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Times New Roman" w:hAnsi="Times New Roman" w:eastAsia="黑体" w:cs="Times New Roman"/>
          <w:kern w:val="0"/>
          <w:sz w:val="32"/>
          <w:szCs w:val="32"/>
          <w:highlight w:val="none"/>
          <w:lang w:val="en-US" w:eastAsia="zh-CN"/>
        </w:rPr>
      </w:pPr>
    </w:p>
    <w:p>
      <w:pPr>
        <w:wordWrap w:val="0"/>
        <w:spacing w:line="480" w:lineRule="exact"/>
        <w:jc w:val="center"/>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安徽省安车交通运输集团有限公司移动式充电桩采购项目</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BZJK-2024-053号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both"/>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rPr>
        <w:t>安徽省安车交通运输集团</w:t>
      </w:r>
      <w:r>
        <w:rPr>
          <w:rFonts w:hint="eastAsia" w:ascii="Times New Roman" w:hAnsi="Times New Roman" w:eastAsia="楷体" w:cs="Times New Roman"/>
          <w:kern w:val="0"/>
          <w:sz w:val="32"/>
          <w:szCs w:val="32"/>
          <w:lang w:eastAsia="zh-CN"/>
        </w:rPr>
        <w:t>有限</w:t>
      </w:r>
      <w:r>
        <w:rPr>
          <w:rFonts w:hint="eastAsia" w:ascii="Times New Roman" w:hAnsi="Times New Roman" w:eastAsia="楷体" w:cs="Times New Roman"/>
          <w:kern w:val="0"/>
          <w:sz w:val="32"/>
          <w:szCs w:val="32"/>
        </w:rPr>
        <w:t>公司</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both"/>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2024年7</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bookmarkStart w:id="486" w:name="_GoBack"/>
      <w:bookmarkEnd w:id="486"/>
      <w:r>
        <w:rPr>
          <w:rFonts w:hint="eastAsia" w:ascii="Times New Roman" w:hAnsi="Times New Roman" w:eastAsia="黑体" w:cs="Times New Roman"/>
          <w:kern w:val="0"/>
          <w:sz w:val="32"/>
          <w:szCs w:val="32"/>
          <w:highlight w:val="none"/>
          <w:lang w:val="en-US" w:eastAsia="zh-CN"/>
        </w:rPr>
        <w:t>33</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wordWrap w:val="0"/>
        <w:spacing w:line="480" w:lineRule="exact"/>
        <w:jc w:val="center"/>
        <w:rPr>
          <w:rFonts w:hint="eastAsia" w:ascii="Times New Roman" w:hAnsi="Times New Roman" w:eastAsia="黑体" w:cs="Times New Roman"/>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安徽省安车交通运输集团有限公司移动式充电桩采购项目</w:t>
      </w:r>
      <w:permEnd w:id="4"/>
    </w:p>
    <w:p>
      <w:pPr>
        <w:wordWrap w:val="0"/>
        <w:spacing w:line="480" w:lineRule="exact"/>
        <w:jc w:val="center"/>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6996909"/>
      <w:bookmarkStart w:id="2" w:name="_Toc247085680"/>
      <w:bookmarkStart w:id="3" w:name="_Toc179632536"/>
      <w:bookmarkStart w:id="4" w:name="_Toc296602410"/>
      <w:bookmarkStart w:id="5" w:name="_Toc246996166"/>
      <w:bookmarkStart w:id="6" w:name="_Toc152045519"/>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u w:val="single"/>
          <w:lang w:eastAsia="zh-CN"/>
        </w:rPr>
      </w:pPr>
      <w:bookmarkStart w:id="8" w:name="_Toc152042296"/>
      <w:bookmarkStart w:id="9" w:name="_Toc246996167"/>
      <w:bookmarkStart w:id="10" w:name="_Toc144974488"/>
      <w:bookmarkStart w:id="11" w:name="_Toc179632537"/>
      <w:bookmarkStart w:id="12" w:name="_Toc152045520"/>
      <w:bookmarkStart w:id="13" w:name="_Toc246996910"/>
      <w:bookmarkStart w:id="14" w:name="_Toc247085681"/>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安徽省安车交通运输集团有限公司移动式充电桩采购项目</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6" w:edGrp="everyone"/>
      <w:r>
        <w:rPr>
          <w:rFonts w:hint="eastAsia" w:ascii="Times New Roman" w:hAnsi="Times New Roman" w:eastAsia="楷体" w:cs="Times New Roman"/>
          <w:kern w:val="0"/>
          <w:sz w:val="28"/>
          <w:szCs w:val="28"/>
          <w:highlight w:val="none"/>
          <w:shd w:val="clear" w:color="auto" w:fill="auto"/>
          <w:lang w:val="en-US" w:eastAsia="zh-CN"/>
        </w:rPr>
        <w:t>BZJK-2024-053号</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u w:val="none"/>
        </w:rPr>
        <w:t>业主自筹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安徽省安车交通运输集团有限公司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（一）项目概况：安徽省安车交通运输集团有限公司因经营业务需要，拟采购移动式机器人内置充电桩。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（二）招标范围：移动式机器人内置充电桩2台，包括但不限于供货、包装、运输、装卸、调试、质量保证、售后服务等。移动式机器人内置充电桩的技术参数、规格及要求详见采购人要求。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0" w:edGrp="everyone"/>
      <w:r>
        <w:rPr>
          <w:rFonts w:hint="eastAsia" w:asciiTheme="minorEastAsia" w:hAnsiTheme="minorEastAsia" w:eastAsiaTheme="minorEastAsia" w:cstheme="minorEastAsia"/>
          <w:sz w:val="28"/>
          <w:szCs w:val="28"/>
          <w:highlight w:val="none"/>
          <w:lang w:val="en-US" w:eastAsia="zh-CN"/>
        </w:rPr>
        <w:t>亳州市内</w:t>
      </w:r>
      <w:r>
        <w:rPr>
          <w:rFonts w:hint="eastAsia" w:asciiTheme="minorEastAsia" w:hAnsiTheme="minorEastAsia" w:cstheme="minorEastAsia"/>
          <w:sz w:val="28"/>
          <w:szCs w:val="28"/>
          <w:highlight w:val="none"/>
          <w:lang w:val="en-US" w:eastAsia="zh-CN"/>
        </w:rPr>
        <w:t>，招标人指定地点</w:t>
      </w:r>
      <w:r>
        <w:rPr>
          <w:rFonts w:hint="eastAsia" w:asciiTheme="minorEastAsia" w:hAnsiTheme="minorEastAsia" w:eastAsiaTheme="minorEastAsia" w:cstheme="minorEastAsia"/>
          <w:sz w:val="28"/>
          <w:szCs w:val="28"/>
          <w:highlight w:val="none"/>
          <w:lang w:val="en-US" w:eastAsia="zh-CN"/>
        </w:rPr>
        <w:t>。</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none"/>
          <w:lang w:val="en-US" w:eastAsia="zh-CN"/>
        </w:rPr>
        <w:t>自招标人</w:t>
      </w:r>
      <w:r>
        <w:rPr>
          <w:rFonts w:hint="eastAsia" w:asciiTheme="minorEastAsia" w:hAnsiTheme="minorEastAsia" w:cstheme="minorEastAsia"/>
          <w:sz w:val="28"/>
          <w:szCs w:val="28"/>
          <w:highlight w:val="none"/>
          <w:u w:val="none"/>
          <w:lang w:val="en-US" w:eastAsia="zh-CN"/>
        </w:rPr>
        <w:t>下达供货</w:t>
      </w:r>
      <w:r>
        <w:rPr>
          <w:rFonts w:hint="eastAsia" w:asciiTheme="minorEastAsia" w:hAnsiTheme="minorEastAsia" w:eastAsiaTheme="minorEastAsia" w:cstheme="minorEastAsia"/>
          <w:sz w:val="28"/>
          <w:szCs w:val="28"/>
          <w:highlight w:val="none"/>
          <w:u w:val="none"/>
          <w:lang w:val="en-US" w:eastAsia="zh-CN"/>
        </w:rPr>
        <w:t>通知之日起20个工作日。</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rPr>
        <w:t>最高投标限价（含税</w:t>
      </w:r>
      <w:r>
        <w:rPr>
          <w:rFonts w:hint="eastAsia" w:asciiTheme="minorEastAsia" w:hAnsiTheme="minorEastAsia" w:cstheme="minorEastAsia"/>
          <w:sz w:val="28"/>
          <w:szCs w:val="28"/>
          <w:lang w:val="en-US" w:eastAsia="zh-CN"/>
        </w:rPr>
        <w:t>13%</w:t>
      </w:r>
      <w:r>
        <w:rPr>
          <w:rFonts w:hint="eastAsia" w:asciiTheme="minorEastAsia" w:hAnsiTheme="minorEastAsia" w:cstheme="minorEastAsia"/>
          <w:sz w:val="28"/>
          <w:szCs w:val="28"/>
        </w:rPr>
        <w:t>）：</w:t>
      </w:r>
      <w:r>
        <w:rPr>
          <w:rFonts w:hint="eastAsia" w:asciiTheme="minorEastAsia" w:hAnsiTheme="minorEastAsia" w:cstheme="minorEastAsia"/>
          <w:color w:val="auto"/>
          <w:sz w:val="28"/>
          <w:szCs w:val="28"/>
          <w:u w:val="none"/>
          <w:lang w:val="en-US" w:eastAsia="zh-CN"/>
        </w:rPr>
        <w:t>56万元，投标人按固定总价投标报价。</w:t>
      </w:r>
      <w:r>
        <w:rPr>
          <w:rFonts w:hint="eastAsia" w:asciiTheme="minorEastAsia" w:hAnsiTheme="minorEastAsia" w:cstheme="minorEastAsia"/>
          <w:sz w:val="28"/>
          <w:szCs w:val="28"/>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2"/>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二</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投标人须提供至少1个类似项目业绩，类似项目业绩是指投标人自2021年1月1日以来承接的单项合同金额不低于50万元的移动式充电桩供货业绩，业绩时间以合同签订时间为准。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4" w:edGrp="everyone"/>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ermStart w:id="16" w:edGrp="everyone"/>
      <w:r>
        <w:rPr>
          <w:rFonts w:hint="eastAsia" w:asciiTheme="minorEastAsia" w:hAnsiTheme="minorEastAsia" w:eastAsiaTheme="minorEastAsia" w:cstheme="minorEastAsia"/>
          <w:color w:val="FF0000"/>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七</w:t>
      </w:r>
      <w:r>
        <w:rPr>
          <w:rFonts w:hint="eastAsia" w:asciiTheme="minorEastAsia" w:hAnsiTheme="minorEastAsia" w:eastAsiaTheme="minorEastAsia" w:cstheme="minorEastAsia"/>
          <w:color w:val="FF0000"/>
          <w:sz w:val="28"/>
          <w:szCs w:val="28"/>
          <w:highlight w:val="none"/>
          <w:lang w:val="en-US" w:eastAsia="zh-CN"/>
        </w:rPr>
        <w:t>）一个制造商对同一品牌同一型号的设备或材料，仅能委托一个代理商参加投标。</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cstheme="minorEastAsia"/>
          <w:color w:val="FF0000"/>
          <w:sz w:val="28"/>
          <w:szCs w:val="28"/>
          <w:highlight w:val="none"/>
          <w:lang w:val="en-US" w:eastAsia="zh-CN"/>
        </w:rPr>
        <w:t>不允许</w:t>
      </w:r>
      <w:permEnd w:id="18"/>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9"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 标 人：安徽省安车交通运输集团有限公司</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址：亳州市高新区银杏路与宋汤河路交叉口</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w:t>
      </w:r>
      <w:r>
        <w:rPr>
          <w:rFonts w:hint="eastAsia" w:asciiTheme="minorEastAsia" w:hAnsiTheme="minorEastAsia" w:cstheme="minorEastAsia"/>
          <w:sz w:val="28"/>
          <w:szCs w:val="28"/>
          <w:lang w:eastAsia="zh-CN"/>
        </w:rPr>
        <w:t>李工</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lang w:val="en-US" w:eastAsia="zh-CN"/>
        </w:rPr>
        <w:t>15256393990</w:t>
      </w:r>
    </w:p>
    <w:p>
      <w:pPr>
        <w:wordWrap w:val="0"/>
        <w:spacing w:line="480" w:lineRule="exact"/>
        <w:rPr>
          <w:rFonts w:hint="eastAsia" w:asciiTheme="minorEastAsia" w:hAnsiTheme="minorEastAsia" w:cstheme="minorEastAsia"/>
          <w:sz w:val="28"/>
          <w:szCs w:val="28"/>
          <w:lang w:val="en-US" w:eastAsia="zh-CN"/>
        </w:rPr>
      </w:pPr>
    </w:p>
    <w:p>
      <w:p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（温馨提示：</w:t>
      </w:r>
      <w:r>
        <w:rPr>
          <w:rFonts w:hint="eastAsia" w:asciiTheme="minorEastAsia" w:hAnsiTheme="minorEastAsia" w:cstheme="minorEastAsia"/>
          <w:sz w:val="28"/>
          <w:szCs w:val="28"/>
          <w:highlight w:val="none"/>
        </w:rPr>
        <w:t>工作日8:00-12:00，14:30-17:30</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i w:val="0"/>
          <w:iCs w:val="0"/>
          <w:sz w:val="28"/>
          <w:szCs w:val="28"/>
          <w:highlight w:val="none"/>
          <w:lang w:val="en-US" w:eastAsia="zh-CN"/>
        </w:rPr>
      </w:pPr>
    </w:p>
    <w:p>
      <w:pPr>
        <w:spacing w:line="480" w:lineRule="exact"/>
        <w:jc w:val="right"/>
        <w:rPr>
          <w:rFonts w:asciiTheme="minorEastAsia" w:hAnsiTheme="minorEastAsia" w:cstheme="minorEastAsia"/>
          <w:sz w:val="28"/>
          <w:szCs w:val="28"/>
        </w:rPr>
      </w:pPr>
      <w:r>
        <w:rPr>
          <w:rFonts w:hint="eastAsia" w:asciiTheme="minorEastAsia" w:hAnsiTheme="minorEastAsia" w:cstheme="minorEastAsia"/>
          <w:sz w:val="28"/>
          <w:szCs w:val="28"/>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rPr>
        <w:t>202</w:t>
      </w:r>
      <w:r>
        <w:rPr>
          <w:rFonts w:hint="eastAsia" w:asciiTheme="minorEastAsia" w:hAnsiTheme="minorEastAsia" w:cstheme="minorEastAsia"/>
          <w:sz w:val="28"/>
          <w:szCs w:val="28"/>
          <w:highlight w:val="none"/>
          <w:lang w:val="en-US" w:eastAsia="zh-CN"/>
        </w:rPr>
        <w:t>4</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lang w:val="en-US" w:eastAsia="zh-CN"/>
        </w:rPr>
        <w:t>7</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19</w:t>
      </w:r>
      <w:r>
        <w:rPr>
          <w:rFonts w:hint="eastAsia" w:asciiTheme="minorEastAsia" w:hAnsiTheme="minorEastAsia" w:cstheme="minorEastAsia"/>
          <w:sz w:val="28"/>
          <w:szCs w:val="28"/>
          <w:highlight w:val="none"/>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0" w:edGrp="everyone"/>
            <w:r>
              <w:rPr>
                <w:rFonts w:hint="default" w:ascii="Times New Roman" w:hAnsi="Times New Roman" w:cs="Times New Roman"/>
                <w:szCs w:val="21"/>
                <w:highlight w:val="none"/>
              </w:rPr>
              <w:t>详见第一章招标公告。</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1"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1"/>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22" w:edGrp="everyone"/>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4" w:edGrp="everyone"/>
            <w:r>
              <w:rPr>
                <w:rFonts w:hint="eastAsia" w:hAnsi="宋体"/>
                <w:sz w:val="21"/>
                <w:szCs w:val="21"/>
                <w:lang w:val="en-US" w:eastAsia="zh-CN"/>
              </w:rPr>
              <w:t xml:space="preserve"> 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19</w:t>
            </w:r>
            <w:r>
              <w:rPr>
                <w:rFonts w:hint="eastAsia" w:ascii="Times New Roman" w:hAnsi="Times New Roman" w:cs="Times New Roman"/>
                <w:szCs w:val="21"/>
                <w:lang w:eastAsia="zh-CN"/>
              </w:rPr>
              <w:t>）</w:t>
            </w:r>
            <w:r>
              <w:rPr>
                <w:rFonts w:hint="eastAsia" w:ascii="Times New Roman" w:hAnsi="Times New Roman" w:cs="Times New Roman"/>
                <w:szCs w:val="21"/>
              </w:rPr>
              <w:t>在以往承接亳州交通投资控股集团有限公司及其子公司项目过程中，列入不受欢迎的供应商名单的，不得参加本次招标投标活动。</w:t>
            </w:r>
            <w:r>
              <w:rPr>
                <w:rFonts w:hint="eastAsia" w:hAnsi="宋体"/>
                <w:sz w:val="21"/>
                <w:szCs w:val="21"/>
                <w:lang w:val="en-US" w:eastAsia="zh-CN"/>
              </w:rPr>
              <w:t xml:space="preserve">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27" w:edGrp="everyone"/>
            <w:r>
              <w:rPr>
                <w:rFonts w:hint="eastAsia" w:ascii="Times New Roman" w:hAnsi="Times New Roman" w:cs="Times New Roman"/>
                <w:szCs w:val="21"/>
              </w:rPr>
              <w:t>详见第四章合同条款及格式、第五章供货要求</w:t>
            </w:r>
            <w:r>
              <w:rPr>
                <w:rFonts w:hint="eastAsia" w:hAnsi="宋体"/>
                <w:sz w:val="21"/>
                <w:szCs w:val="21"/>
                <w:lang w:val="en-US" w:eastAsia="zh-CN"/>
              </w:rPr>
              <w:t>。</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28" w:edGrp="everyone"/>
            <w:r>
              <w:rPr>
                <w:rFonts w:hint="eastAsia" w:ascii="Times New Roman" w:hAnsi="Times New Roman" w:cs="Times New Roman"/>
                <w:szCs w:val="21"/>
              </w:rPr>
              <w:t>技术支持资料以制造商公开发布的印刷资料，或检测机构出具的检测报告为准，其他形式的技术支持资料视为无效。</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permStart w:id="29" w:edGrp="everyone"/>
            <w:r>
              <w:rPr>
                <w:rFonts w:ascii="Times New Roman" w:hAnsi="Times New Roman" w:cs="Times New Roman"/>
                <w:szCs w:val="21"/>
              </w:rPr>
              <w:t>详见第一章招标公告</w:t>
            </w:r>
            <w:r>
              <w:rPr>
                <w:rFonts w:hint="eastAsia" w:ascii="Times New Roman" w:hAnsi="Times New Roman" w:cs="Times New Roman"/>
                <w:szCs w:val="21"/>
                <w:lang w:eastAsia="zh-CN"/>
              </w:rPr>
              <w:t>。</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30"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3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1" w:edGrp="everyone"/>
            <w:r>
              <w:rPr>
                <w:rFonts w:hint="eastAsia" w:ascii="Times New Roman" w:hAnsi="Times New Roman" w:cs="Times New Roman"/>
                <w:color w:val="auto"/>
                <w:szCs w:val="21"/>
                <w:highlight w:val="none"/>
                <w:u w:val="single"/>
                <w:lang w:val="en-US" w:eastAsia="zh-CN"/>
              </w:rPr>
              <w:t>10000元</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color w:val="FF0000"/>
                <w:szCs w:val="21"/>
                <w:highlight w:val="yellow"/>
                <w:lang w:val="en-US" w:eastAsia="zh-CN"/>
              </w:rPr>
              <w:t>BZJK-2024-053号保证</w:t>
            </w:r>
            <w:r>
              <w:rPr>
                <w:rFonts w:hint="eastAsia" w:ascii="Times New Roman" w:hAnsi="Times New Roman" w:cs="Times New Roman"/>
                <w:color w:val="FF0000"/>
                <w:szCs w:val="21"/>
                <w:highlight w:val="none"/>
                <w:lang w:val="en-US" w:eastAsia="zh-CN"/>
              </w:rPr>
              <w:t>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36"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eastAsiaTheme="minorEastAsia"/>
                <w:sz w:val="21"/>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sz w:val="21"/>
                <w:szCs w:val="21"/>
                <w:highlight w:val="none"/>
                <w:u w:val="none"/>
                <w:lang w:val="en-US" w:eastAsia="zh-CN"/>
              </w:rPr>
              <w:t>亳州交通投资控股集团有限公司</w:t>
            </w:r>
            <w:r>
              <w:rPr>
                <w:rFonts w:hint="eastAsia" w:ascii="Times New Roman" w:hAnsi="Times New Roman" w:cs="Times New Roman"/>
                <w:i w:val="0"/>
                <w:iCs w:val="0"/>
                <w:sz w:val="21"/>
                <w:szCs w:val="21"/>
                <w:highlight w:val="none"/>
                <w:u w:val="none"/>
                <w:lang w:val="en-US" w:eastAsia="zh-CN"/>
              </w:rPr>
              <w:t>15</w:t>
            </w:r>
            <w:r>
              <w:rPr>
                <w:rFonts w:hint="eastAsia" w:ascii="Times New Roman" w:hAnsi="Times New Roman" w:cs="Times New Roman" w:eastAsiaTheme="minorEastAsia"/>
                <w:i w:val="0"/>
                <w:iCs w:val="0"/>
                <w:sz w:val="21"/>
                <w:szCs w:val="21"/>
                <w:highlight w:val="none"/>
                <w:u w:val="none"/>
                <w:lang w:val="en-US" w:eastAsia="zh-CN"/>
              </w:rPr>
              <w:t>楼</w:t>
            </w:r>
            <w:r>
              <w:rPr>
                <w:rFonts w:hint="eastAsia" w:ascii="Times New Roman" w:hAnsi="Times New Roman" w:cs="Times New Roman"/>
                <w:i w:val="0"/>
                <w:iCs w:val="0"/>
                <w:sz w:val="21"/>
                <w:szCs w:val="21"/>
                <w:highlight w:val="none"/>
                <w:u w:val="none"/>
                <w:lang w:val="en-US" w:eastAsia="zh-CN"/>
              </w:rPr>
              <w:t>开标</w:t>
            </w:r>
            <w:r>
              <w:rPr>
                <w:rFonts w:hint="eastAsia" w:ascii="Times New Roman" w:hAnsi="Times New Roman" w:cs="Times New Roman" w:eastAsiaTheme="minorEastAsia"/>
                <w:i w:val="0"/>
                <w:iCs w:val="0"/>
                <w:sz w:val="21"/>
                <w:szCs w:val="21"/>
                <w:highlight w:val="none"/>
                <w:u w:val="none"/>
                <w:lang w:val="en-US" w:eastAsia="zh-CN"/>
              </w:rPr>
              <w:t>室（药都大道与希夷大道交叉口东北角</w:t>
            </w:r>
            <w:r>
              <w:rPr>
                <w:rFonts w:hint="eastAsia" w:ascii="Times New Roman" w:hAnsi="Times New Roman" w:cs="Times New Roman"/>
                <w:i w:val="0"/>
                <w:iCs w:val="0"/>
                <w:sz w:val="21"/>
                <w:szCs w:val="21"/>
                <w:highlight w:val="none"/>
                <w:u w:val="none"/>
                <w:lang w:val="en-US" w:eastAsia="zh-CN"/>
              </w:rPr>
              <w:t>15</w:t>
            </w:r>
            <w:r>
              <w:rPr>
                <w:rFonts w:hint="eastAsia" w:ascii="Times New Roman" w:hAnsi="Times New Roman" w:cs="Times New Roman" w:eastAsiaTheme="minorEastAsia"/>
                <w:i w:val="0"/>
                <w:iCs w:val="0"/>
                <w:sz w:val="21"/>
                <w:szCs w:val="21"/>
                <w:highlight w:val="none"/>
                <w:u w:val="none"/>
                <w:lang w:val="en-US" w:eastAsia="zh-CN"/>
              </w:rPr>
              <w:t>楼）</w:t>
            </w:r>
          </w:p>
          <w:p>
            <w:pPr>
              <w:wordWrap w:val="0"/>
              <w:spacing w:line="400" w:lineRule="exact"/>
              <w:ind w:firstLine="420" w:firstLineChars="200"/>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szCs w:val="21"/>
                <w:highlight w:val="none"/>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heme="minorEastAsia" w:hAnsiTheme="minorEastAsia" w:cstheme="minorEastAsia"/>
                <w:sz w:val="21"/>
                <w:szCs w:val="21"/>
                <w:highlight w:val="none"/>
                <w:u w:val="single"/>
                <w:lang w:eastAsia="zh-CN"/>
              </w:rPr>
              <w:t>安徽省安车交通运输集团</w:t>
            </w:r>
            <w:r>
              <w:rPr>
                <w:rFonts w:hint="eastAsia" w:asciiTheme="minorEastAsia" w:hAnsiTheme="minorEastAsia" w:eastAsiaTheme="minorEastAsia" w:cstheme="minorEastAsia"/>
                <w:sz w:val="21"/>
                <w:szCs w:val="21"/>
                <w:highlight w:val="none"/>
                <w:u w:val="single"/>
                <w:lang w:val="en-US" w:eastAsia="zh-CN"/>
              </w:rPr>
              <w:t>移动式充电桩采购项</w:t>
            </w:r>
            <w:r>
              <w:rPr>
                <w:rFonts w:hint="eastAsia" w:asciiTheme="minorEastAsia" w:hAnsiTheme="minorEastAsia" w:cstheme="minorEastAsia"/>
                <w:sz w:val="21"/>
                <w:szCs w:val="21"/>
                <w:highlight w:val="none"/>
                <w:u w:val="single"/>
                <w:lang w:val="en-US" w:eastAsia="zh-CN"/>
              </w:rPr>
              <w:t>目</w:t>
            </w:r>
            <w:r>
              <w:rPr>
                <w:rFonts w:hint="eastAsia"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项目编号：BZJK-2024-053号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szCs w:val="21"/>
                <w:highlight w:val="none"/>
                <w:lang w:val="en-US" w:eastAsia="zh-CN"/>
              </w:rPr>
              <w:t>10000元</w:t>
            </w:r>
            <w:permEnd w:id="41"/>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r>
              <w:rPr>
                <w:rFonts w:hint="eastAsia" w:ascii="Times New Roman" w:hAnsi="Times New Roman" w:cs="Times New Roman"/>
                <w:szCs w:val="21"/>
              </w:rPr>
              <w:t>无违约行为发生或违约行为已处理的情况下，</w:t>
            </w:r>
            <w:r>
              <w:rPr>
                <w:rFonts w:hint="eastAsia" w:ascii="Times New Roman" w:hAnsi="Times New Roman" w:cs="Times New Roman"/>
                <w:szCs w:val="21"/>
                <w:lang w:val="en-US" w:eastAsia="zh-CN"/>
              </w:rPr>
              <w:t>供货完成且验收合格后</w:t>
            </w:r>
            <w:r>
              <w:rPr>
                <w:rFonts w:hint="eastAsia" w:ascii="Times New Roman" w:hAnsi="Times New Roman" w:cs="Times New Roman"/>
                <w:szCs w:val="21"/>
              </w:rPr>
              <w:t>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246996918"/>
      <w:bookmarkStart w:id="17" w:name="_Toc247085689"/>
      <w:bookmarkStart w:id="18" w:name="_Toc179632546"/>
      <w:bookmarkStart w:id="19" w:name="_Toc246996175"/>
      <w:bookmarkStart w:id="20" w:name="_Toc144974497"/>
      <w:bookmarkStart w:id="21" w:name="_Toc296602420"/>
      <w:bookmarkStart w:id="22" w:name="_Toc152042305"/>
      <w:bookmarkStart w:id="23" w:name="_Toc15204552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179632547"/>
      <w:bookmarkStart w:id="26" w:name="_Toc152045530"/>
      <w:bookmarkStart w:id="27" w:name="_Toc152042306"/>
      <w:bookmarkStart w:id="28" w:name="_Toc247085690"/>
      <w:bookmarkStart w:id="29" w:name="_Toc296602421"/>
      <w:bookmarkStart w:id="30" w:name="_Toc246996176"/>
      <w:bookmarkStart w:id="31" w:name="_Toc246996919"/>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246996920"/>
      <w:bookmarkStart w:id="34" w:name="_Toc144974499"/>
      <w:bookmarkStart w:id="35" w:name="_Toc247085691"/>
      <w:bookmarkStart w:id="36" w:name="_Toc179632548"/>
      <w:bookmarkStart w:id="37" w:name="_Toc152042307"/>
      <w:bookmarkStart w:id="38" w:name="_Toc152045531"/>
      <w:bookmarkStart w:id="39" w:name="_Toc296602422"/>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247085692"/>
      <w:bookmarkStart w:id="42" w:name="_Toc144974500"/>
      <w:bookmarkStart w:id="43" w:name="_Toc246996921"/>
      <w:bookmarkStart w:id="44" w:name="_Toc246996178"/>
      <w:bookmarkStart w:id="45" w:name="_Toc296602423"/>
      <w:bookmarkStart w:id="46" w:name="_Toc152042308"/>
      <w:bookmarkStart w:id="47" w:name="_Toc152045532"/>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296602424"/>
      <w:bookmarkStart w:id="50" w:name="_Toc152045534"/>
      <w:bookmarkStart w:id="51" w:name="_Toc246996179"/>
      <w:bookmarkStart w:id="52" w:name="_Toc179632551"/>
      <w:bookmarkStart w:id="53" w:name="_Toc144974502"/>
      <w:bookmarkStart w:id="54" w:name="_Toc247085693"/>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246996180"/>
      <w:bookmarkStart w:id="58" w:name="_Toc247085694"/>
      <w:bookmarkStart w:id="59" w:name="_Toc246996923"/>
      <w:bookmarkStart w:id="60" w:name="_Toc152042311"/>
      <w:bookmarkStart w:id="61" w:name="_Toc179632552"/>
      <w:bookmarkStart w:id="62" w:name="_Toc152045535"/>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26"/>
      <w:bookmarkStart w:id="65" w:name="_Toc152042312"/>
      <w:bookmarkStart w:id="66" w:name="_Toc247085695"/>
      <w:bookmarkStart w:id="67" w:name="_Toc144974504"/>
      <w:bookmarkStart w:id="68" w:name="_Toc246996181"/>
      <w:bookmarkStart w:id="69" w:name="_Toc246996924"/>
      <w:bookmarkStart w:id="70" w:name="_Toc179632553"/>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96602427"/>
      <w:bookmarkStart w:id="75" w:name="_Toc246996925"/>
      <w:bookmarkStart w:id="76" w:name="_Toc152042313"/>
      <w:bookmarkStart w:id="77" w:name="_Toc246996182"/>
      <w:bookmarkStart w:id="78" w:name="_Toc152045537"/>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6996183"/>
      <w:bookmarkStart w:id="82" w:name="_Toc152045538"/>
      <w:bookmarkStart w:id="83" w:name="_Toc179632555"/>
      <w:bookmarkStart w:id="84" w:name="_Toc152042314"/>
      <w:bookmarkStart w:id="85" w:name="_Toc247085697"/>
      <w:bookmarkStart w:id="86"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247513962"/>
      <w:bookmarkStart w:id="90" w:name="_Toc296602429"/>
      <w:bookmarkStart w:id="91" w:name="_Toc144974507"/>
      <w:bookmarkStart w:id="92" w:name="_Toc152042315"/>
      <w:bookmarkStart w:id="93" w:name="_Toc247527563"/>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47527564"/>
      <w:bookmarkStart w:id="96" w:name="_Toc152042316"/>
      <w:bookmarkStart w:id="97" w:name="_Toc247513963"/>
      <w:bookmarkStart w:id="98" w:name="_Toc144974508"/>
      <w:bookmarkStart w:id="99" w:name="_Toc152045540"/>
      <w:bookmarkStart w:id="100" w:name="_Toc296602430"/>
      <w:bookmarkStart w:id="101" w:name="_Toc247592877"/>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296602432"/>
      <w:bookmarkStart w:id="105" w:name="_Toc246996930"/>
      <w:bookmarkStart w:id="106" w:name="_Toc144974510"/>
      <w:bookmarkStart w:id="107" w:name="_Toc152042318"/>
      <w:bookmarkStart w:id="108" w:name="_Toc247085701"/>
      <w:bookmarkStart w:id="109" w:name="_Toc179632560"/>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152042319"/>
      <w:bookmarkStart w:id="113" w:name="_Toc247085702"/>
      <w:bookmarkStart w:id="114" w:name="_Toc246996931"/>
      <w:bookmarkStart w:id="115" w:name="_Toc144974511"/>
      <w:bookmarkStart w:id="116" w:name="_Toc296602433"/>
      <w:bookmarkStart w:id="117" w:name="_Toc179632561"/>
      <w:bookmarkStart w:id="118" w:name="_Toc15204554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144974512"/>
      <w:bookmarkStart w:id="121" w:name="_Toc247085703"/>
      <w:bookmarkStart w:id="122" w:name="_Toc152042320"/>
      <w:bookmarkStart w:id="123" w:name="_Toc152045544"/>
      <w:bookmarkStart w:id="124" w:name="_Toc179632562"/>
      <w:bookmarkStart w:id="125" w:name="_Toc296602434"/>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21"/>
      <w:bookmarkStart w:id="128" w:name="_Toc152045545"/>
      <w:bookmarkStart w:id="129" w:name="_Toc246996933"/>
      <w:bookmarkStart w:id="130" w:name="_Toc179632563"/>
      <w:bookmarkStart w:id="131" w:name="_Toc246996190"/>
      <w:bookmarkStart w:id="132" w:name="_Toc296602435"/>
      <w:bookmarkStart w:id="133" w:name="_Toc144974513"/>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152042322"/>
      <w:bookmarkStart w:id="137" w:name="_Toc144974514"/>
      <w:bookmarkStart w:id="138" w:name="_Toc296602436"/>
      <w:bookmarkStart w:id="139" w:name="_Toc152045546"/>
      <w:bookmarkStart w:id="140" w:name="_Toc179632564"/>
      <w:bookmarkStart w:id="141" w:name="_Toc246996191"/>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247085706"/>
      <w:bookmarkStart w:id="145" w:name="_Toc296602437"/>
      <w:bookmarkStart w:id="146" w:name="_Toc246996935"/>
      <w:bookmarkStart w:id="147" w:name="_Toc179632565"/>
      <w:bookmarkStart w:id="148" w:name="_Toc152042323"/>
      <w:bookmarkStart w:id="149" w:name="_Toc246996192"/>
      <w:bookmarkStart w:id="150" w:name="_Toc15204554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152045548"/>
      <w:bookmarkStart w:id="153" w:name="_Toc296602438"/>
      <w:bookmarkStart w:id="154" w:name="_Toc247085707"/>
      <w:bookmarkStart w:id="155" w:name="_Toc152042324"/>
      <w:bookmarkStart w:id="156" w:name="_Toc144974516"/>
      <w:bookmarkStart w:id="157" w:name="_Toc179632566"/>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52045549"/>
      <w:bookmarkStart w:id="161" w:name="_Toc179632567"/>
      <w:bookmarkStart w:id="162" w:name="_Toc152042325"/>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6996937"/>
      <w:bookmarkStart w:id="165" w:name="_Toc296602439"/>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246996195"/>
      <w:bookmarkStart w:id="169" w:name="_Toc152042326"/>
      <w:bookmarkStart w:id="170" w:name="_Toc144974518"/>
      <w:bookmarkStart w:id="171" w:name="_Toc247085709"/>
      <w:bookmarkStart w:id="172" w:name="_Toc246996938"/>
      <w:bookmarkStart w:id="173" w:name="_Toc152045550"/>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46996939"/>
      <w:bookmarkStart w:id="177" w:name="_Toc152045552"/>
      <w:bookmarkStart w:id="178" w:name="_Toc296602441"/>
      <w:bookmarkStart w:id="179" w:name="_Toc144974520"/>
      <w:bookmarkStart w:id="180" w:name="_Toc246996196"/>
      <w:bookmarkStart w:id="181" w:name="_Toc247085710"/>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7085711"/>
      <w:bookmarkStart w:id="185" w:name="_Toc152042329"/>
      <w:bookmarkStart w:id="186" w:name="_Toc246996940"/>
      <w:bookmarkStart w:id="187" w:name="_Toc144974521"/>
      <w:bookmarkStart w:id="188" w:name="_Toc179632571"/>
      <w:bookmarkStart w:id="189" w:name="_Toc152045553"/>
      <w:bookmarkStart w:id="190" w:name="_Toc246996197"/>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246996199"/>
      <w:bookmarkStart w:id="192" w:name="_Toc144974523"/>
      <w:bookmarkStart w:id="193" w:name="_Toc179632573"/>
      <w:bookmarkStart w:id="194" w:name="_Toc246996942"/>
      <w:bookmarkStart w:id="195" w:name="_Toc247085713"/>
      <w:bookmarkStart w:id="196" w:name="_Toc152045555"/>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46996200"/>
      <w:bookmarkStart w:id="201" w:name="_Toc247085714"/>
      <w:bookmarkStart w:id="202" w:name="_Toc152042332"/>
      <w:bookmarkStart w:id="203" w:name="_Toc179632574"/>
      <w:bookmarkStart w:id="204" w:name="_Toc246996943"/>
      <w:bookmarkStart w:id="205" w:name="_Toc152045556"/>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5557"/>
      <w:bookmarkStart w:id="208" w:name="_Toc144974525"/>
      <w:bookmarkStart w:id="209" w:name="_Toc247085715"/>
      <w:bookmarkStart w:id="210" w:name="_Toc179632575"/>
      <w:bookmarkStart w:id="211" w:name="_Toc246996201"/>
      <w:bookmarkStart w:id="212" w:name="_Toc152042333"/>
      <w:bookmarkStart w:id="213" w:name="_Toc246996944"/>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144974526"/>
      <w:bookmarkStart w:id="217" w:name="_Toc247085716"/>
      <w:bookmarkStart w:id="218" w:name="_Toc246996202"/>
      <w:bookmarkStart w:id="219" w:name="_Toc296602446"/>
      <w:bookmarkStart w:id="220" w:name="_Toc179632576"/>
      <w:bookmarkStart w:id="221" w:name="_Toc152045558"/>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144974527"/>
      <w:bookmarkStart w:id="225" w:name="_Toc179632577"/>
      <w:bookmarkStart w:id="226" w:name="_Toc152045559"/>
      <w:bookmarkStart w:id="227" w:name="_Toc247085717"/>
      <w:bookmarkStart w:id="228" w:name="_Toc246996946"/>
      <w:bookmarkStart w:id="229" w:name="_Toc296602447"/>
      <w:bookmarkStart w:id="230" w:name="_Toc246996203"/>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96602448"/>
      <w:bookmarkStart w:id="233" w:name="_Toc144974528"/>
      <w:bookmarkStart w:id="234" w:name="_Toc246996947"/>
      <w:bookmarkStart w:id="235" w:name="_Toc152045560"/>
      <w:bookmarkStart w:id="236" w:name="_Toc247085718"/>
      <w:bookmarkStart w:id="237" w:name="_Toc152042336"/>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144974529"/>
      <w:bookmarkStart w:id="241" w:name="_Toc179632579"/>
      <w:bookmarkStart w:id="242" w:name="_Toc296602449"/>
      <w:bookmarkStart w:id="243" w:name="_Toc247085719"/>
      <w:bookmarkStart w:id="244" w:name="_Toc152045561"/>
      <w:bookmarkStart w:id="245" w:name="_Toc246996205"/>
      <w:bookmarkStart w:id="246" w:name="_Toc246996948"/>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247085720"/>
      <w:bookmarkStart w:id="250" w:name="_Toc296602451"/>
      <w:bookmarkStart w:id="251" w:name="_Toc179632580"/>
      <w:bookmarkStart w:id="252" w:name="_Toc152042338"/>
      <w:bookmarkStart w:id="253" w:name="_Toc246996949"/>
      <w:bookmarkStart w:id="254" w:name="_Toc144974530"/>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246996207"/>
      <w:bookmarkStart w:id="258" w:name="_Toc179632581"/>
      <w:bookmarkStart w:id="259" w:name="_Toc152042339"/>
      <w:bookmarkStart w:id="260" w:name="_Toc144974531"/>
      <w:bookmarkStart w:id="261" w:name="_Toc247085721"/>
      <w:bookmarkStart w:id="262" w:name="_Toc152045563"/>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144974532"/>
      <w:bookmarkStart w:id="266" w:name="_Toc246996208"/>
      <w:bookmarkStart w:id="267" w:name="_Toc247085722"/>
      <w:bookmarkStart w:id="268" w:name="_Toc296602453"/>
      <w:bookmarkStart w:id="269" w:name="_Toc152045564"/>
      <w:bookmarkStart w:id="270" w:name="_Toc152042340"/>
      <w:bookmarkStart w:id="271" w:name="_Toc246996951"/>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246996952"/>
      <w:bookmarkStart w:id="274" w:name="_Toc152042341"/>
      <w:bookmarkStart w:id="275" w:name="_Toc179632583"/>
      <w:bookmarkStart w:id="276" w:name="_Toc144974533"/>
      <w:bookmarkStart w:id="277" w:name="_Toc152045565"/>
      <w:bookmarkStart w:id="278" w:name="_Toc246996209"/>
      <w:bookmarkStart w:id="279" w:name="_Toc296602454"/>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46996210"/>
      <w:bookmarkStart w:id="282" w:name="_Toc152042342"/>
      <w:bookmarkStart w:id="283" w:name="_Toc246996953"/>
      <w:bookmarkStart w:id="284" w:name="_Toc247085724"/>
      <w:bookmarkStart w:id="285" w:name="_Toc152045566"/>
      <w:bookmarkStart w:id="286" w:name="_Toc296602455"/>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179632586"/>
      <w:bookmarkStart w:id="290" w:name="_Toc152042344"/>
      <w:bookmarkStart w:id="291" w:name="_Toc246996212"/>
      <w:bookmarkStart w:id="292" w:name="_Toc296602458"/>
      <w:bookmarkStart w:id="293" w:name="_Toc247085726"/>
      <w:bookmarkStart w:id="294" w:name="_Toc152045568"/>
      <w:bookmarkStart w:id="295" w:name="_Toc246996955"/>
      <w:bookmarkStart w:id="296" w:name="_Toc144974536"/>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213"/>
      <w:bookmarkStart w:id="298" w:name="_Toc179632587"/>
      <w:bookmarkStart w:id="299" w:name="_Toc247085727"/>
      <w:bookmarkStart w:id="300" w:name="_Toc296602459"/>
      <w:bookmarkStart w:id="301" w:name="_Toc246996956"/>
      <w:bookmarkStart w:id="302" w:name="_Toc144974537"/>
      <w:bookmarkStart w:id="303" w:name="_Toc152042345"/>
      <w:bookmarkStart w:id="304" w:name="_Toc152045569"/>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144974538"/>
      <w:bookmarkStart w:id="306" w:name="_Toc246996214"/>
      <w:bookmarkStart w:id="307" w:name="_Toc152042346"/>
      <w:bookmarkStart w:id="308" w:name="_Toc296602460"/>
      <w:bookmarkStart w:id="309" w:name="_Toc152045570"/>
      <w:bookmarkStart w:id="310" w:name="_Toc247085728"/>
      <w:bookmarkStart w:id="311" w:name="_Toc246996957"/>
      <w:bookmarkStart w:id="312" w:name="_Toc179632588"/>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96602462"/>
      <w:bookmarkStart w:id="315" w:name="_Toc152042351"/>
      <w:bookmarkStart w:id="316" w:name="_Toc247085733"/>
      <w:bookmarkStart w:id="317" w:name="_Toc152045575"/>
      <w:bookmarkStart w:id="318" w:name="_Toc296590983"/>
      <w:bookmarkStart w:id="319" w:name="_Toc246996962"/>
      <w:bookmarkStart w:id="320" w:name="_Toc144974543"/>
      <w:bookmarkStart w:id="321" w:name="_Toc246996219"/>
      <w:bookmarkStart w:id="322" w:name="_Toc179632593"/>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152042352"/>
      <w:bookmarkStart w:id="324" w:name="_Toc247085734"/>
      <w:bookmarkStart w:id="325" w:name="_Toc144974544"/>
      <w:bookmarkStart w:id="326" w:name="_Toc246996963"/>
      <w:bookmarkStart w:id="327" w:name="_Toc179632594"/>
      <w:bookmarkStart w:id="328" w:name="_Toc246996220"/>
      <w:bookmarkStart w:id="329" w:name="_Toc296602463"/>
      <w:bookmarkStart w:id="330" w:name="_Toc152045576"/>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152042353"/>
      <w:bookmarkStart w:id="332" w:name="_Toc296602464"/>
      <w:bookmarkStart w:id="333" w:name="_Toc246996221"/>
      <w:bookmarkStart w:id="334" w:name="_Toc152045577"/>
      <w:bookmarkStart w:id="335" w:name="_Toc179632595"/>
      <w:bookmarkStart w:id="336" w:name="_Toc144974545"/>
      <w:bookmarkStart w:id="337" w:name="_Toc247085735"/>
      <w:bookmarkStart w:id="338" w:name="_Toc246996964"/>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4"/>
      <w:bookmarkStart w:id="340" w:name="_Toc246996222"/>
      <w:bookmarkStart w:id="341" w:name="_Toc152045578"/>
      <w:bookmarkStart w:id="342" w:name="_Toc246996965"/>
      <w:bookmarkStart w:id="343" w:name="_Toc179632596"/>
      <w:bookmarkStart w:id="344" w:name="_Toc247085736"/>
      <w:bookmarkStart w:id="345" w:name="_Toc296602465"/>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6996223"/>
      <w:bookmarkStart w:id="349" w:name="_Toc247085737"/>
      <w:bookmarkStart w:id="350" w:name="_Toc246996966"/>
      <w:bookmarkStart w:id="351" w:name="_Toc152042356"/>
      <w:bookmarkStart w:id="352" w:name="_Toc179632597"/>
      <w:bookmarkStart w:id="353" w:name="_Toc152045579"/>
      <w:bookmarkStart w:id="354" w:name="_Toc296602466"/>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96602467"/>
      <w:bookmarkStart w:id="357" w:name="_Toc152045580"/>
      <w:bookmarkStart w:id="358" w:name="_Toc144974547"/>
      <w:bookmarkStart w:id="359" w:name="_Toc246996224"/>
      <w:bookmarkStart w:id="360" w:name="_Toc246996967"/>
      <w:bookmarkStart w:id="361" w:name="_Toc179632598"/>
      <w:bookmarkStart w:id="362" w:name="_Toc152042357"/>
      <w:bookmarkStart w:id="363" w:name="_Toc247085738"/>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评审因素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2.1.1</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形式评审标准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投标人名称</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与营业执照、资质证书</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安全生产许可证</w:t>
            </w:r>
            <w:r>
              <w:rPr>
                <w:rFonts w:hint="default" w:ascii="Times New Roman" w:hAnsi="Times New Roman" w:cs="Times New Roman" w:eastAsiaTheme="minorEastAsia"/>
                <w:color w:val="000000"/>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投标函及投标函附录</w:t>
            </w:r>
            <w:r>
              <w:rPr>
                <w:rFonts w:hint="default" w:ascii="Times New Roman" w:hAnsi="Times New Roman" w:cs="Times New Roman" w:eastAsiaTheme="minorEastAsia"/>
                <w:color w:val="000000"/>
                <w:kern w:val="0"/>
                <w:sz w:val="24"/>
                <w:szCs w:val="24"/>
                <w:highlight w:val="none"/>
              </w:rPr>
              <w:t>签字盖章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有法定代表人</w:t>
            </w:r>
            <w:r>
              <w:rPr>
                <w:rFonts w:hint="eastAsia" w:ascii="Times New Roman" w:hAnsi="Times New Roman" w:cs="Times New Roman"/>
                <w:color w:val="000000"/>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投标文件格式</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符合第</w:t>
            </w:r>
            <w:r>
              <w:rPr>
                <w:rFonts w:hint="eastAsia" w:ascii="Times New Roman" w:hAnsi="Times New Roman" w:cs="Times New Roman"/>
                <w:color w:val="000000"/>
                <w:kern w:val="0"/>
                <w:sz w:val="24"/>
                <w:szCs w:val="24"/>
                <w:highlight w:val="none"/>
                <w:lang w:val="en-US" w:eastAsia="zh-CN"/>
              </w:rPr>
              <w:t>六</w:t>
            </w:r>
            <w:r>
              <w:rPr>
                <w:rFonts w:hint="default" w:ascii="Times New Roman" w:hAnsi="Times New Roman" w:cs="Times New Roman" w:eastAsiaTheme="minorEastAsia"/>
                <w:color w:val="000000"/>
                <w:kern w:val="0"/>
                <w:sz w:val="24"/>
                <w:szCs w:val="24"/>
                <w:highlight w:val="none"/>
              </w:rPr>
              <w:t>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投标文件格式</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的</w:t>
            </w:r>
            <w:r>
              <w:rPr>
                <w:rFonts w:hint="eastAsia" w:ascii="Times New Roman" w:hAnsi="Times New Roman" w:cs="Times New Roman"/>
                <w:color w:val="000000"/>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报价唯一</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permStart w:id="42" w:edGrp="everyone" w:colFirst="3" w:colLast="3"/>
            <w:r>
              <w:rPr>
                <w:rFonts w:hint="eastAsia" w:ascii="Times New Roman" w:hAnsi="Times New Roman" w:cs="Times New Roman"/>
                <w:color w:val="000000"/>
                <w:kern w:val="0"/>
                <w:sz w:val="24"/>
                <w:szCs w:val="24"/>
                <w:highlight w:val="none"/>
                <w:lang w:val="en-US" w:eastAsia="zh-CN"/>
              </w:rPr>
              <w:t>2.1.2</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资格评审标准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default" w:ascii="Times New Roman" w:hAnsi="Times New Roman" w:cs="Times New Roman" w:eastAsiaTheme="minorEastAsia"/>
                <w:color w:val="000000"/>
                <w:kern w:val="0"/>
                <w:sz w:val="24"/>
                <w:szCs w:val="24"/>
                <w:highlight w:val="none"/>
              </w:rPr>
              <w:t>营业执照</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3"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资质等级</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4"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财务要求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5"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业绩要求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eastAsia" w:ascii="Times New Roman" w:hAnsi="Times New Roman" w:cs="Times New Roman"/>
                <w:color w:val="000000"/>
                <w:kern w:val="0"/>
                <w:sz w:val="24"/>
                <w:szCs w:val="24"/>
                <w:highlight w:val="none"/>
                <w:lang w:val="en-US" w:eastAsia="zh-CN"/>
              </w:rPr>
              <w:t>信誉要求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46" w:edGrp="everyone"/>
            <w:r>
              <w:rPr>
                <w:rFonts w:hint="eastAsia" w:ascii="Times New Roman" w:hAnsi="Times New Roman" w:cs="Times New Roman"/>
                <w:color w:val="000000"/>
                <w:kern w:val="0"/>
                <w:sz w:val="24"/>
                <w:szCs w:val="24"/>
                <w:highlight w:val="none"/>
                <w:lang w:val="en-US" w:eastAsia="zh-CN"/>
              </w:rPr>
              <w:t>符合第二章“投标人须知”第1.4.1项规定</w:t>
            </w:r>
            <w:permEnd w:id="4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7"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联合体投标人</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符合第二章“投标人须知”第1.4.2项规定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8"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不存在禁止投标的情形</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不存在第二章“投标人须知”第1.4.3项规定的任何一种情形</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eastAsia" w:ascii="Times New Roman" w:hAnsi="Times New Roman" w:cs="Times New Roman"/>
                <w:color w:val="000000"/>
                <w:kern w:val="0"/>
                <w:sz w:val="24"/>
                <w:szCs w:val="24"/>
                <w:highlight w:val="none"/>
                <w:lang w:val="en-US" w:eastAsia="zh-CN"/>
              </w:rPr>
              <w:t>其他要求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49" w:edGrp="everyone"/>
            <w:r>
              <w:rPr>
                <w:rFonts w:hint="eastAsia" w:ascii="Times New Roman" w:hAnsi="Times New Roman" w:cs="Times New Roman"/>
                <w:color w:val="000000"/>
                <w:kern w:val="0"/>
                <w:sz w:val="24"/>
                <w:szCs w:val="24"/>
                <w:highlight w:val="none"/>
                <w:lang w:val="en-US" w:eastAsia="zh-CN"/>
              </w:rPr>
              <w:t>符合第二章“投标人须知”第1.4.1项规定</w:t>
            </w:r>
            <w:permEnd w:id="4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permStart w:id="50" w:edGrp="everyone" w:colFirst="3" w:colLast="3"/>
            <w:r>
              <w:rPr>
                <w:rFonts w:hint="eastAsia" w:ascii="Times New Roman" w:hAnsi="Times New Roman" w:cs="Times New Roman"/>
                <w:color w:val="000000"/>
                <w:kern w:val="0"/>
                <w:sz w:val="24"/>
                <w:szCs w:val="24"/>
                <w:highlight w:val="none"/>
                <w:lang w:val="en-US" w:eastAsia="zh-CN"/>
              </w:rPr>
              <w:t>2.1.3</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响应性评审标准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投标报价</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第3.2.3项</w:t>
            </w:r>
            <w:r>
              <w:rPr>
                <w:rFonts w:hint="default" w:ascii="Times New Roman" w:hAnsi="Times New Roman" w:cs="Times New Roman" w:eastAsiaTheme="minorEastAsia"/>
                <w:color w:val="000000"/>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1"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投标内容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第1.3.1项</w:t>
            </w:r>
            <w:r>
              <w:rPr>
                <w:rFonts w:hint="default" w:ascii="Times New Roman" w:hAnsi="Times New Roman" w:cs="Times New Roman" w:eastAsiaTheme="minorEastAsia"/>
                <w:color w:val="000000"/>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2"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交货期</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第1.3.2项</w:t>
            </w:r>
            <w:r>
              <w:rPr>
                <w:rFonts w:hint="default" w:ascii="Times New Roman" w:hAnsi="Times New Roman" w:cs="Times New Roman" w:eastAsiaTheme="minorEastAsia"/>
                <w:color w:val="000000"/>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3"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交货地点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第1.3.3项</w:t>
            </w:r>
            <w:r>
              <w:rPr>
                <w:rFonts w:hint="default" w:ascii="Times New Roman" w:hAnsi="Times New Roman" w:cs="Times New Roman" w:eastAsiaTheme="minorEastAsia"/>
                <w:color w:val="000000"/>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4"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投标有效期</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第3.3.1项</w:t>
            </w:r>
            <w:r>
              <w:rPr>
                <w:rFonts w:hint="default" w:ascii="Times New Roman" w:hAnsi="Times New Roman" w:cs="Times New Roman" w:eastAsiaTheme="minorEastAsia"/>
                <w:color w:val="000000"/>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5"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投标保证金</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第3.4.1项</w:t>
            </w:r>
            <w:r>
              <w:rPr>
                <w:rFonts w:hint="default" w:ascii="Times New Roman" w:hAnsi="Times New Roman" w:cs="Times New Roman" w:eastAsiaTheme="minorEastAsia"/>
                <w:color w:val="000000"/>
                <w:kern w:val="0"/>
                <w:sz w:val="24"/>
                <w:szCs w:val="24"/>
                <w:highlight w:val="none"/>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6"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权利义务</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符合第二章“投标人须知”第1.11.1项规定和第四章“合同条款及格式”中的实质性要求和条件</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yellow"/>
                <w:lang w:val="en-US" w:eastAsia="zh-CN" w:bidi="ar-SA"/>
              </w:rPr>
            </w:pPr>
            <w:r>
              <w:rPr>
                <w:rFonts w:hint="eastAsia" w:ascii="Times New Roman" w:hAnsi="Times New Roman" w:cs="Times New Roman"/>
                <w:color w:val="000000"/>
                <w:kern w:val="0"/>
                <w:sz w:val="24"/>
                <w:szCs w:val="24"/>
                <w:highlight w:val="none"/>
                <w:lang w:val="en-US" w:eastAsia="zh-CN"/>
              </w:rPr>
              <w:t>技术支持资料</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57" w:edGrp="everyone"/>
            <w:r>
              <w:rPr>
                <w:rFonts w:hint="eastAsia" w:ascii="Times New Roman" w:hAnsi="Times New Roman" w:cs="Times New Roman"/>
                <w:color w:val="000000"/>
                <w:kern w:val="0"/>
                <w:sz w:val="24"/>
                <w:szCs w:val="24"/>
                <w:highlight w:val="none"/>
                <w:lang w:val="en-US" w:eastAsia="zh-CN"/>
              </w:rPr>
              <w:t>符合第二章“投标人须知”第1.11.3项规定</w:t>
            </w:r>
            <w:permEnd w:id="5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技术性能指标</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投标设备及技术服务和质保期服务</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8"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其他要求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bookmarkStart w:id="364" w:name="_Toc246996232"/>
            <w:bookmarkStart w:id="365" w:name="_Toc246996975"/>
            <w:bookmarkStart w:id="366" w:name="_Toc179632607"/>
            <w:bookmarkStart w:id="367" w:name="_Toc152042366"/>
            <w:bookmarkStart w:id="368" w:name="_Toc144974556"/>
            <w:bookmarkStart w:id="369" w:name="_Toc296602477"/>
            <w:bookmarkStart w:id="370" w:name="_Toc152045589"/>
            <w:bookmarkStart w:id="371" w:name="_Toc247085747"/>
            <w:r>
              <w:rPr>
                <w:rFonts w:hint="default" w:ascii="Times New Roman" w:hAnsi="Times New Roman" w:cs="Times New Roman"/>
                <w:b/>
                <w:bCs/>
                <w:color w:val="000000"/>
                <w:kern w:val="0"/>
                <w:sz w:val="24"/>
                <w:szCs w:val="24"/>
                <w:highlight w:val="none"/>
                <w:lang w:val="en-US" w:eastAsia="zh-CN"/>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条款内容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2.2.1</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default" w:ascii="Times New Roman" w:hAnsi="Times New Roman" w:cs="Times New Roman"/>
                <w:i w:val="0"/>
                <w:iCs w:val="0"/>
                <w:color w:val="00000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default" w:ascii="Times New Roman" w:hAnsi="Times New Roman" w:cs="Times New Roman"/>
                <w:i w:val="0"/>
                <w:iCs w:val="0"/>
                <w:color w:val="000000"/>
                <w:kern w:val="0"/>
                <w:sz w:val="24"/>
                <w:szCs w:val="24"/>
                <w:highlight w:val="none"/>
                <w:lang w:val="en-US" w:eastAsia="zh-CN"/>
              </w:rPr>
              <w:t>（总分100分）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000000"/>
                <w:kern w:val="0"/>
                <w:sz w:val="24"/>
                <w:szCs w:val="24"/>
                <w:highlight w:val="none"/>
              </w:rPr>
            </w:pPr>
            <w:permStart w:id="59" w:edGrp="everyone"/>
            <w:r>
              <w:rPr>
                <w:rFonts w:hint="eastAsia" w:ascii="Times New Roman" w:hAnsi="Times New Roman" w:cs="Times New Roman"/>
                <w:i w:val="0"/>
                <w:iCs w:val="0"/>
                <w:color w:val="000000"/>
                <w:kern w:val="0"/>
                <w:sz w:val="24"/>
                <w:szCs w:val="24"/>
                <w:highlight w:val="none"/>
                <w:lang w:val="en-US" w:eastAsia="zh-CN"/>
              </w:rPr>
              <w:t>商务部分</w:t>
            </w:r>
            <w:r>
              <w:rPr>
                <w:rFonts w:hint="default" w:ascii="Times New Roman" w:hAnsi="Times New Roman" w:cs="Times New Roman" w:eastAsiaTheme="minorEastAsia"/>
                <w:i w:val="0"/>
                <w:iCs w:val="0"/>
                <w:color w:val="000000"/>
                <w:kern w:val="0"/>
                <w:sz w:val="24"/>
                <w:szCs w:val="24"/>
                <w:highlight w:val="none"/>
              </w:rPr>
              <w:t>：</w:t>
            </w:r>
            <w:r>
              <w:rPr>
                <w:rFonts w:hint="eastAsia" w:ascii="Times New Roman" w:hAnsi="Times New Roman" w:cs="Times New Roman"/>
                <w:i w:val="0"/>
                <w:iCs w:val="0"/>
                <w:color w:val="000000"/>
                <w:kern w:val="0"/>
                <w:sz w:val="24"/>
                <w:szCs w:val="24"/>
                <w:highlight w:val="none"/>
                <w:u w:val="single"/>
                <w:lang w:val="en-US" w:eastAsia="zh-CN"/>
              </w:rPr>
              <w:t xml:space="preserve"> 10 </w:t>
            </w:r>
            <w:r>
              <w:rPr>
                <w:rFonts w:hint="default" w:ascii="Times New Roman" w:hAnsi="Times New Roman" w:cs="Times New Roman" w:eastAsiaTheme="minorEastAsia"/>
                <w:i w:val="0"/>
                <w:iCs w:val="0"/>
                <w:color w:val="000000"/>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技术部分：</w:t>
            </w:r>
            <w:r>
              <w:rPr>
                <w:rFonts w:hint="eastAsia" w:ascii="Times New Roman" w:hAnsi="Times New Roman" w:cs="Times New Roman"/>
                <w:i w:val="0"/>
                <w:iCs w:val="0"/>
                <w:color w:val="000000"/>
                <w:kern w:val="0"/>
                <w:sz w:val="24"/>
                <w:szCs w:val="24"/>
                <w:highlight w:val="none"/>
                <w:u w:val="single"/>
                <w:lang w:val="en-US" w:eastAsia="zh-CN"/>
              </w:rPr>
              <w:t xml:space="preserve"> 50 </w:t>
            </w:r>
            <w:r>
              <w:rPr>
                <w:rFonts w:hint="default" w:ascii="Times New Roman" w:hAnsi="Times New Roman" w:cs="Times New Roman" w:eastAsiaTheme="minorEastAsia"/>
                <w:i w:val="0"/>
                <w:iCs w:val="0"/>
                <w:color w:val="000000"/>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000000"/>
                <w:kern w:val="0"/>
                <w:sz w:val="24"/>
                <w:szCs w:val="24"/>
                <w:highlight w:val="yellow"/>
                <w:lang w:val="en-US"/>
              </w:rPr>
            </w:pPr>
            <w:r>
              <w:rPr>
                <w:rFonts w:hint="eastAsia" w:ascii="Times New Roman" w:hAnsi="Times New Roman" w:cs="Times New Roman"/>
                <w:i w:val="0"/>
                <w:iCs w:val="0"/>
                <w:color w:val="000000"/>
                <w:kern w:val="0"/>
                <w:sz w:val="24"/>
                <w:szCs w:val="24"/>
                <w:highlight w:val="none"/>
                <w:lang w:val="en-US" w:eastAsia="zh-CN"/>
              </w:rPr>
              <w:t>投标报价：</w:t>
            </w:r>
            <w:r>
              <w:rPr>
                <w:rFonts w:hint="eastAsia" w:ascii="Times New Roman" w:hAnsi="Times New Roman" w:cs="Times New Roman"/>
                <w:i w:val="0"/>
                <w:iCs w:val="0"/>
                <w:color w:val="000000"/>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000000"/>
                <w:kern w:val="0"/>
                <w:sz w:val="24"/>
                <w:szCs w:val="24"/>
                <w:highlight w:val="none"/>
              </w:rPr>
              <w:t>分</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46"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2.2.2</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评标基准价计算方法</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eastAsiaTheme="minorEastAsia"/>
                <w:i w:val="0"/>
                <w:iCs w:val="0"/>
                <w:color w:val="000000"/>
                <w:kern w:val="0"/>
                <w:sz w:val="24"/>
                <w:szCs w:val="24"/>
                <w:highlight w:val="none"/>
                <w:lang w:val="en-US" w:eastAsia="zh-CN"/>
              </w:rPr>
            </w:pPr>
            <w:permStart w:id="60" w:edGrp="everyone"/>
            <w:r>
              <w:rPr>
                <w:rFonts w:hint="eastAsia" w:ascii="Times New Roman" w:hAnsi="Times New Roman" w:cs="Times New Roman"/>
                <w:i w:val="0"/>
                <w:iCs w:val="0"/>
                <w:color w:val="000000"/>
                <w:kern w:val="0"/>
                <w:sz w:val="24"/>
                <w:szCs w:val="24"/>
                <w:highlight w:val="none"/>
                <w:u w:val="single"/>
                <w:lang w:val="en-US" w:eastAsia="zh-CN"/>
              </w:rPr>
              <w:t>以通过初步评审的投标人的算数平均值作为评标基准价。（</w:t>
            </w:r>
            <w:r>
              <w:rPr>
                <w:rFonts w:hint="eastAsia" w:ascii="Times New Roman" w:hAnsi="Times New Roman" w:cs="Times New Roman"/>
                <w:color w:val="000000"/>
                <w:kern w:val="0"/>
                <w:sz w:val="24"/>
                <w:szCs w:val="24"/>
                <w:lang w:val="en-US" w:eastAsia="zh-CN" w:bidi="ar-SA"/>
              </w:rPr>
              <w:t>投标人为</w:t>
            </w:r>
            <w:r>
              <w:rPr>
                <w:rFonts w:hint="eastAsia" w:ascii="Times New Roman" w:hAnsi="Times New Roman" w:cs="Times New Roman" w:eastAsiaTheme="minorEastAsia"/>
                <w:color w:val="000000"/>
                <w:kern w:val="0"/>
                <w:sz w:val="24"/>
                <w:szCs w:val="24"/>
                <w:lang w:val="en-US" w:eastAsia="zh-CN" w:bidi="ar-SA"/>
              </w:rPr>
              <w:t>5家（不含）以上</w:t>
            </w:r>
            <w:r>
              <w:rPr>
                <w:rFonts w:hint="eastAsia" w:ascii="Times New Roman" w:hAnsi="Times New Roman" w:cs="Times New Roman"/>
                <w:color w:val="000000"/>
                <w:kern w:val="0"/>
                <w:sz w:val="24"/>
                <w:szCs w:val="24"/>
                <w:lang w:val="en-US" w:eastAsia="zh-CN" w:bidi="ar-SA"/>
              </w:rPr>
              <w:t>时，</w:t>
            </w:r>
            <w:r>
              <w:rPr>
                <w:rFonts w:hint="eastAsia" w:ascii="Times New Roman" w:hAnsi="Times New Roman" w:cs="Times New Roman" w:eastAsiaTheme="minorEastAsia"/>
                <w:color w:val="000000"/>
                <w:kern w:val="0"/>
                <w:sz w:val="24"/>
                <w:szCs w:val="24"/>
                <w:lang w:val="en-US" w:eastAsia="zh-CN" w:bidi="ar-SA"/>
              </w:rPr>
              <w:t>去掉一个最高价和</w:t>
            </w:r>
            <w:r>
              <w:rPr>
                <w:rFonts w:hint="eastAsia" w:ascii="Times New Roman" w:hAnsi="Times New Roman" w:cs="Times New Roman"/>
                <w:color w:val="000000"/>
                <w:kern w:val="0"/>
                <w:sz w:val="24"/>
                <w:szCs w:val="24"/>
                <w:lang w:val="en-US" w:eastAsia="zh-CN" w:bidi="ar-SA"/>
              </w:rPr>
              <w:t>一个</w:t>
            </w:r>
            <w:r>
              <w:rPr>
                <w:rFonts w:hint="eastAsia" w:ascii="Times New Roman" w:hAnsi="Times New Roman" w:cs="Times New Roman" w:eastAsiaTheme="minorEastAsia"/>
                <w:color w:val="000000"/>
                <w:kern w:val="0"/>
                <w:sz w:val="24"/>
                <w:szCs w:val="24"/>
                <w:lang w:val="en-US" w:eastAsia="zh-CN" w:bidi="ar-SA"/>
              </w:rPr>
              <w:t>最低价</w:t>
            </w:r>
            <w:r>
              <w:rPr>
                <w:rFonts w:hint="eastAsia" w:ascii="Times New Roman" w:hAnsi="Times New Roman" w:cs="Times New Roman"/>
                <w:i w:val="0"/>
                <w:iCs w:val="0"/>
                <w:color w:val="000000"/>
                <w:kern w:val="0"/>
                <w:sz w:val="24"/>
                <w:szCs w:val="24"/>
                <w:highlight w:val="none"/>
                <w:u w:val="none"/>
                <w:lang w:val="en-US" w:eastAsia="zh-CN"/>
              </w:rPr>
              <w:t>）</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2.2.3</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投标报价的偏差率计算公式</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000000"/>
                <w:kern w:val="0"/>
                <w:sz w:val="24"/>
                <w:szCs w:val="24"/>
                <w:highlight w:val="none"/>
                <w:lang w:val="en-US" w:eastAsia="zh-CN"/>
              </w:rPr>
            </w:pPr>
            <w:permStart w:id="61" w:edGrp="everyone"/>
            <w:r>
              <w:rPr>
                <w:rFonts w:hint="eastAsia" w:ascii="Times New Roman" w:hAnsi="Times New Roman" w:cs="Times New Roman"/>
                <w:i w:val="0"/>
                <w:iCs w:val="0"/>
                <w:color w:val="000000"/>
                <w:kern w:val="0"/>
                <w:sz w:val="24"/>
                <w:szCs w:val="24"/>
                <w:highlight w:val="none"/>
                <w:lang w:val="en-US" w:eastAsia="zh-CN"/>
              </w:rPr>
              <w:t>偏差率=100%×（投标人报价</w:t>
            </w:r>
            <w:r>
              <w:rPr>
                <w:rFonts w:hint="eastAsia" w:ascii="宋体" w:hAnsi="宋体" w:eastAsia="宋体" w:cs="宋体"/>
                <w:i w:val="0"/>
                <w:iCs w:val="0"/>
                <w:color w:val="000000"/>
                <w:kern w:val="0"/>
                <w:sz w:val="24"/>
                <w:szCs w:val="24"/>
                <w:highlight w:val="none"/>
                <w:lang w:val="en-US" w:eastAsia="zh-CN"/>
              </w:rPr>
              <w:t>－</w:t>
            </w:r>
            <w:r>
              <w:rPr>
                <w:rFonts w:hint="eastAsia" w:ascii="Times New Roman" w:hAnsi="Times New Roman" w:cs="Times New Roman"/>
                <w:i w:val="0"/>
                <w:iCs w:val="0"/>
                <w:color w:val="000000"/>
                <w:kern w:val="0"/>
                <w:sz w:val="24"/>
                <w:szCs w:val="24"/>
                <w:highlight w:val="none"/>
                <w:lang w:val="en-US" w:eastAsia="zh-CN"/>
              </w:rPr>
              <w:t>评标基准价）/评标基准价</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000000"/>
                <w:kern w:val="0"/>
                <w:sz w:val="24"/>
                <w:szCs w:val="24"/>
                <w:highlight w:val="none"/>
                <w:lang w:val="en-US" w:eastAsia="zh-CN"/>
              </w:rPr>
            </w:pPr>
            <w:r>
              <w:rPr>
                <w:rFonts w:hint="default" w:ascii="Times New Roman" w:hAnsi="Times New Roman" w:cs="Times New Roman"/>
                <w:b/>
                <w:bCs/>
                <w:i w:val="0"/>
                <w:iCs w:val="0"/>
                <w:color w:val="000000"/>
                <w:kern w:val="0"/>
                <w:sz w:val="24"/>
                <w:szCs w:val="24"/>
                <w:highlight w:val="none"/>
                <w:lang w:val="en-US" w:eastAsia="zh-CN"/>
              </w:rPr>
              <w:t>评分因素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color w:val="000000"/>
                <w:kern w:val="0"/>
                <w:sz w:val="24"/>
                <w:szCs w:val="24"/>
                <w:highlight w:val="none"/>
                <w:lang w:val="en-US" w:eastAsia="zh-CN"/>
              </w:rPr>
            </w:pPr>
            <w:r>
              <w:rPr>
                <w:rFonts w:hint="default" w:ascii="Times New Roman" w:hAnsi="Times New Roman" w:cs="Times New Roman"/>
                <w:b/>
                <w:bCs/>
                <w:i w:val="0"/>
                <w:iCs w:val="0"/>
                <w:color w:val="00000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62" w:edGrp="everyone" w:colFirst="0" w:colLast="0"/>
            <w:permStart w:id="63" w:edGrp="everyone" w:colFirst="1" w:colLast="1"/>
            <w:permStart w:id="64" w:edGrp="everyone" w:colFirst="2" w:colLast="2"/>
            <w:permStart w:id="65" w:edGrp="everyone" w:colFirst="3" w:colLast="3"/>
            <w:r>
              <w:rPr>
                <w:rFonts w:hint="eastAsia" w:ascii="Times New Roman" w:hAnsi="Times New Roman" w:cs="Times New Roman"/>
                <w:color w:val="000000"/>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（1）</w:t>
            </w:r>
          </w:p>
        </w:tc>
        <w:tc>
          <w:tcPr>
            <w:tcW w:w="99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r>
              <w:rPr>
                <w:rFonts w:hint="default" w:ascii="Times New Roman" w:hAnsi="Times New Roman" w:cs="Times New Roman"/>
                <w:i/>
                <w:iCs/>
                <w:color w:val="000000"/>
                <w:kern w:val="0"/>
                <w:sz w:val="24"/>
                <w:szCs w:val="24"/>
                <w:highlight w:val="none"/>
                <w:u w:val="single"/>
                <w:lang w:val="en-US" w:eastAsia="zh-CN"/>
              </w:rPr>
              <w:t>（</w:t>
            </w:r>
            <w:r>
              <w:rPr>
                <w:rFonts w:hint="eastAsia" w:ascii="Times New Roman" w:hAnsi="Times New Roman" w:cs="Times New Roman"/>
                <w:i/>
                <w:iCs/>
                <w:color w:val="000000"/>
                <w:kern w:val="0"/>
                <w:sz w:val="24"/>
                <w:szCs w:val="24"/>
                <w:highlight w:val="none"/>
                <w:u w:val="single"/>
                <w:lang w:val="en-US" w:eastAsia="zh-CN"/>
              </w:rPr>
              <w:t>10</w:t>
            </w:r>
            <w:r>
              <w:rPr>
                <w:rFonts w:hint="default" w:ascii="Times New Roman" w:hAnsi="Times New Roman" w:cs="Times New Roman"/>
                <w:i/>
                <w:iCs/>
                <w:color w:val="000000"/>
                <w:kern w:val="0"/>
                <w:sz w:val="24"/>
                <w:szCs w:val="24"/>
                <w:highlight w:val="none"/>
                <w:u w:val="single"/>
                <w:lang w:val="en-US" w:eastAsia="zh-CN"/>
              </w:rPr>
              <w:t>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ascii="宋体" w:hAnsi="宋体" w:eastAsia="宋体" w:cs="Times New Roman"/>
                <w:color w:val="000000"/>
                <w:kern w:val="0"/>
                <w:sz w:val="24"/>
              </w:rPr>
            </w:pPr>
            <w:r>
              <w:rPr>
                <w:rFonts w:hint="eastAsia" w:ascii="宋体" w:hAnsi="宋体" w:eastAsia="宋体" w:cs="Times New Roman"/>
                <w:color w:val="000000"/>
                <w:kern w:val="0"/>
                <w:sz w:val="24"/>
              </w:rPr>
              <w:t>企业业绩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yellow"/>
                <w:lang w:val="en-US" w:eastAsia="zh-CN"/>
              </w:rPr>
            </w:pP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10</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lang w:val="en-US" w:eastAsia="zh-CN"/>
              </w:rPr>
              <w:t>除投标人资格要求业绩外，</w:t>
            </w:r>
            <w:r>
              <w:rPr>
                <w:rFonts w:hint="eastAsia" w:ascii="宋体" w:hAnsi="宋体" w:eastAsia="宋体" w:cs="Times New Roman"/>
                <w:color w:val="000000"/>
                <w:kern w:val="0"/>
                <w:sz w:val="24"/>
              </w:rPr>
              <w:t>投标人</w:t>
            </w:r>
            <w:r>
              <w:rPr>
                <w:rFonts w:hint="eastAsia" w:ascii="宋体" w:hAnsi="宋体" w:eastAsia="宋体" w:cs="Times New Roman"/>
                <w:color w:val="000000"/>
                <w:kern w:val="0"/>
                <w:sz w:val="24"/>
                <w:lang w:val="en-US" w:eastAsia="zh-CN"/>
              </w:rPr>
              <w:t>每额外提供1项</w:t>
            </w:r>
            <w:r>
              <w:rPr>
                <w:rFonts w:hint="eastAsia" w:ascii="宋体" w:hAnsi="宋体" w:eastAsia="宋体" w:cs="Times New Roman"/>
                <w:color w:val="000000"/>
                <w:kern w:val="0"/>
                <w:sz w:val="24"/>
              </w:rPr>
              <w:t>自</w:t>
            </w:r>
            <w:r>
              <w:rPr>
                <w:rFonts w:ascii="宋体" w:hAnsi="宋体" w:eastAsia="宋体" w:cs="Times New Roman"/>
                <w:color w:val="000000"/>
                <w:kern w:val="0"/>
                <w:sz w:val="24"/>
              </w:rPr>
              <w:t>202</w:t>
            </w:r>
            <w:r>
              <w:rPr>
                <w:rFonts w:hint="eastAsia" w:ascii="宋体" w:hAnsi="宋体" w:eastAsia="宋体" w:cs="Times New Roman"/>
                <w:color w:val="000000"/>
                <w:kern w:val="0"/>
                <w:sz w:val="24"/>
                <w:lang w:val="en-US" w:eastAsia="zh-CN"/>
              </w:rPr>
              <w:t>1</w:t>
            </w:r>
            <w:r>
              <w:rPr>
                <w:rFonts w:ascii="宋体" w:hAnsi="宋体" w:eastAsia="宋体" w:cs="Times New Roman"/>
                <w:color w:val="000000"/>
                <w:kern w:val="0"/>
                <w:sz w:val="24"/>
              </w:rPr>
              <w:t>年</w:t>
            </w:r>
            <w:r>
              <w:rPr>
                <w:rFonts w:hint="eastAsia" w:ascii="宋体" w:hAnsi="宋体" w:eastAsia="宋体" w:cs="Times New Roman"/>
                <w:color w:val="000000"/>
                <w:kern w:val="0"/>
                <w:sz w:val="24"/>
                <w:lang w:val="en-US" w:eastAsia="zh-CN"/>
              </w:rPr>
              <w:t>1</w:t>
            </w:r>
            <w:r>
              <w:rPr>
                <w:rFonts w:ascii="宋体" w:hAnsi="宋体" w:eastAsia="宋体" w:cs="Times New Roman"/>
                <w:color w:val="000000"/>
                <w:kern w:val="0"/>
                <w:sz w:val="24"/>
              </w:rPr>
              <w:t>月以来完成</w:t>
            </w:r>
            <w:r>
              <w:rPr>
                <w:rFonts w:hint="eastAsia" w:ascii="宋体" w:hAnsi="宋体" w:eastAsia="宋体" w:cs="Times New Roman"/>
                <w:color w:val="000000"/>
                <w:kern w:val="0"/>
                <w:sz w:val="24"/>
                <w:lang w:val="en-US" w:eastAsia="zh-CN"/>
              </w:rPr>
              <w:t>的</w:t>
            </w:r>
            <w:r>
              <w:rPr>
                <w:rFonts w:ascii="宋体" w:hAnsi="宋体" w:eastAsia="宋体" w:cs="Times New Roman"/>
                <w:color w:val="000000"/>
                <w:kern w:val="0"/>
                <w:sz w:val="24"/>
              </w:rPr>
              <w:t>单项合同金额在</w:t>
            </w:r>
            <w:r>
              <w:rPr>
                <w:rFonts w:hint="eastAsia" w:ascii="宋体" w:hAnsi="宋体" w:eastAsia="宋体" w:cs="Times New Roman"/>
                <w:color w:val="000000"/>
                <w:kern w:val="0"/>
                <w:sz w:val="24"/>
                <w:lang w:val="en-US" w:eastAsia="zh-CN"/>
              </w:rPr>
              <w:t>50</w:t>
            </w:r>
            <w:r>
              <w:rPr>
                <w:rFonts w:ascii="宋体" w:hAnsi="宋体" w:eastAsia="宋体" w:cs="Times New Roman"/>
                <w:color w:val="000000"/>
                <w:kern w:val="0"/>
                <w:sz w:val="24"/>
              </w:rPr>
              <w:t>万元以上的</w:t>
            </w:r>
            <w:r>
              <w:rPr>
                <w:rFonts w:hint="eastAsia" w:ascii="宋体" w:hAnsi="宋体" w:eastAsia="宋体" w:cs="Times New Roman"/>
                <w:color w:val="000000"/>
                <w:kern w:val="0"/>
                <w:sz w:val="24"/>
                <w:lang w:val="en-US" w:eastAsia="zh-CN"/>
              </w:rPr>
              <w:t>移动式</w:t>
            </w:r>
            <w:r>
              <w:rPr>
                <w:rFonts w:ascii="宋体" w:hAnsi="宋体" w:eastAsia="宋体" w:cs="Times New Roman"/>
                <w:color w:val="000000"/>
                <w:kern w:val="0"/>
                <w:sz w:val="24"/>
              </w:rPr>
              <w:t>充电桩供货业绩，每具备一个得</w:t>
            </w:r>
            <w:r>
              <w:rPr>
                <w:rFonts w:hint="eastAsia" w:ascii="宋体" w:hAnsi="宋体" w:eastAsia="宋体" w:cs="Times New Roman"/>
                <w:color w:val="000000"/>
                <w:kern w:val="0"/>
                <w:sz w:val="24"/>
                <w:lang w:val="en-US" w:eastAsia="zh-CN"/>
              </w:rPr>
              <w:t>5</w:t>
            </w:r>
            <w:r>
              <w:rPr>
                <w:rFonts w:ascii="宋体" w:hAnsi="宋体" w:eastAsia="宋体" w:cs="Times New Roman"/>
                <w:color w:val="000000"/>
                <w:kern w:val="0"/>
                <w:sz w:val="24"/>
              </w:rPr>
              <w:t>分，最高得</w:t>
            </w:r>
            <w:r>
              <w:rPr>
                <w:rFonts w:hint="eastAsia" w:ascii="宋体" w:hAnsi="宋体" w:eastAsia="宋体" w:cs="Times New Roman"/>
                <w:color w:val="000000"/>
                <w:kern w:val="0"/>
                <w:sz w:val="24"/>
                <w:lang w:val="en-US" w:eastAsia="zh-CN"/>
              </w:rPr>
              <w:t>10</w:t>
            </w:r>
            <w:r>
              <w:rPr>
                <w:rFonts w:ascii="宋体" w:hAnsi="宋体" w:eastAsia="宋体" w:cs="Times New Roman"/>
                <w:color w:val="000000"/>
                <w:kern w:val="0"/>
                <w:sz w:val="24"/>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宋体" w:hAnsi="宋体" w:eastAsia="宋体" w:cs="Times New Roman"/>
                <w:b/>
                <w:bCs/>
                <w:color w:val="000000"/>
                <w:kern w:val="0"/>
                <w:sz w:val="24"/>
              </w:rPr>
              <w:t>注：提供业绩合同原件扫描件，否则不得分</w:t>
            </w:r>
            <w:r>
              <w:rPr>
                <w:rFonts w:hint="eastAsia" w:ascii="宋体" w:hAnsi="宋体" w:eastAsia="宋体" w:cs="Times New Roman"/>
                <w:b/>
                <w:bCs/>
                <w:color w:val="000000"/>
                <w:kern w:val="0"/>
                <w:sz w:val="24"/>
                <w:lang w:eastAsia="zh-CN"/>
              </w:rPr>
              <w:t>。</w:t>
            </w:r>
          </w:p>
        </w:tc>
      </w:tr>
      <w:permEnd w:id="62"/>
      <w:permEnd w:id="63"/>
      <w:permEnd w:id="64"/>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3"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permStart w:id="66" w:edGrp="everyone"/>
            <w:r>
              <w:rPr>
                <w:rFonts w:hint="eastAsia" w:ascii="Times New Roman" w:hAnsi="Times New Roman" w:cs="Times New Roman"/>
                <w:color w:val="000000"/>
                <w:kern w:val="0"/>
                <w:sz w:val="24"/>
                <w:szCs w:val="24"/>
                <w:highlight w:val="none"/>
                <w:lang w:val="en-US" w:eastAsia="zh-CN"/>
              </w:rPr>
              <w:t>2.2.4.（2）</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default" w:ascii="Times New Roman" w:hAnsi="Times New Roman" w:cs="Times New Roman"/>
                <w:i/>
                <w:iCs/>
                <w:color w:val="000000"/>
                <w:kern w:val="0"/>
                <w:sz w:val="24"/>
                <w:szCs w:val="24"/>
                <w:highlight w:val="none"/>
                <w:u w:val="single"/>
                <w:lang w:val="en-US" w:eastAsia="zh-CN"/>
              </w:rPr>
              <w:t>（</w:t>
            </w:r>
            <w:r>
              <w:rPr>
                <w:rFonts w:hint="eastAsia" w:ascii="Times New Roman" w:hAnsi="Times New Roman" w:cs="Times New Roman"/>
                <w:i/>
                <w:iCs/>
                <w:color w:val="000000"/>
                <w:kern w:val="0"/>
                <w:sz w:val="24"/>
                <w:szCs w:val="24"/>
                <w:highlight w:val="none"/>
                <w:u w:val="single"/>
                <w:lang w:val="en-US" w:eastAsia="zh-CN"/>
              </w:rPr>
              <w:t xml:space="preserve"> 50 </w:t>
            </w:r>
            <w:r>
              <w:rPr>
                <w:rFonts w:hint="default" w:ascii="Times New Roman" w:hAnsi="Times New Roman" w:cs="Times New Roman"/>
                <w:i/>
                <w:iCs/>
                <w:color w:val="000000"/>
                <w:kern w:val="0"/>
                <w:sz w:val="24"/>
                <w:szCs w:val="24"/>
                <w:highlight w:val="none"/>
                <w:u w:val="single"/>
                <w:lang w:val="en-US" w:eastAsia="zh-CN"/>
              </w:rPr>
              <w:t>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hint="eastAsia" w:ascii="Times New Roman" w:hAnsi="Times New Roman" w:cs="Times New Roman" w:eastAsiaTheme="minorEastAsia"/>
                <w:i w:val="0"/>
                <w:iCs w:val="0"/>
                <w:color w:val="000000"/>
                <w:kern w:val="0"/>
                <w:sz w:val="24"/>
                <w:szCs w:val="24"/>
                <w:highlight w:val="none"/>
                <w:lang w:val="en-US" w:eastAsia="zh-CN" w:bidi="ar-SA"/>
              </w:rPr>
            </w:pPr>
            <w:r>
              <w:rPr>
                <w:rFonts w:hint="eastAsia" w:ascii="宋体" w:hAnsi="宋体" w:eastAsia="宋体" w:cs="Times New Roman"/>
                <w:color w:val="000000"/>
                <w:kern w:val="0"/>
                <w:sz w:val="24"/>
              </w:rPr>
              <w:t>技术性能响应情况（</w:t>
            </w:r>
            <w:r>
              <w:rPr>
                <w:rFonts w:hint="eastAsia" w:ascii="宋体" w:hAnsi="宋体" w:eastAsia="宋体" w:cs="Times New Roman"/>
                <w:color w:val="000000"/>
                <w:kern w:val="0"/>
                <w:sz w:val="24"/>
                <w:lang w:val="en-US" w:eastAsia="zh-CN"/>
              </w:rPr>
              <w:t>20</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kern w:val="0"/>
                <w:sz w:val="24"/>
                <w:lang w:val="en-US" w:eastAsia="zh-CN"/>
              </w:rPr>
              <w:t>1.</w:t>
            </w:r>
            <w:r>
              <w:rPr>
                <w:rFonts w:hint="eastAsia" w:ascii="宋体" w:hAnsi="宋体" w:eastAsia="宋体" w:cs="Times New Roman"/>
                <w:kern w:val="0"/>
                <w:sz w:val="24"/>
              </w:rPr>
              <w:t>投标人投标设备技术性能指标全部符合招标文件第五章</w:t>
            </w:r>
            <w:r>
              <w:rPr>
                <w:rFonts w:hint="eastAsia" w:ascii="宋体" w:hAnsi="宋体" w:eastAsia="宋体" w:cs="Times New Roman"/>
                <w:kern w:val="0"/>
                <w:sz w:val="24"/>
                <w:lang w:val="en-US" w:eastAsia="zh-CN"/>
              </w:rPr>
              <w:t>供货要求</w:t>
            </w:r>
            <w:r>
              <w:rPr>
                <w:rFonts w:hint="eastAsia" w:ascii="宋体" w:hAnsi="宋体" w:eastAsia="宋体" w:cs="Times New Roman"/>
                <w:kern w:val="0"/>
                <w:sz w:val="24"/>
              </w:rPr>
              <w:t>的</w:t>
            </w:r>
            <w:r>
              <w:rPr>
                <w:rFonts w:hint="eastAsia" w:ascii="宋体" w:hAnsi="宋体" w:eastAsia="宋体" w:cs="Times New Roman"/>
                <w:kern w:val="0"/>
                <w:sz w:val="24"/>
                <w:lang w:eastAsia="zh-CN"/>
              </w:rPr>
              <w:t>得</w:t>
            </w:r>
            <w:r>
              <w:rPr>
                <w:rFonts w:hint="eastAsia" w:ascii="宋体" w:hAnsi="宋体" w:eastAsia="宋体" w:cs="Times New Roman"/>
                <w:kern w:val="0"/>
                <w:sz w:val="24"/>
                <w:lang w:val="en-US" w:eastAsia="zh-CN"/>
              </w:rPr>
              <w:t>8分</w:t>
            </w:r>
            <w:r>
              <w:rPr>
                <w:rFonts w:hint="eastAsia" w:ascii="宋体" w:hAnsi="宋体" w:eastAsia="宋体" w:cs="Times New Roman"/>
                <w:kern w:val="0"/>
                <w:sz w:val="24"/>
              </w:rPr>
              <w:t>。</w:t>
            </w:r>
          </w:p>
          <w:p>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投标人投标设备技术性能指标每有1项出现负偏离的扣2分，最低扣至0分。</w:t>
            </w:r>
          </w:p>
          <w:p>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2.投标人具有国家认可的产品检测机构（具备CMA及CNAS资质）出具的电池簇检验报告得4分；</w:t>
            </w:r>
          </w:p>
          <w:p>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投标人具有国家认可的产品检测机构（具备CMA及CNAS资质）出具的电池模块检验报告得4分；</w:t>
            </w:r>
          </w:p>
          <w:p>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投标人具有国家认可的产品检测机构（具备CMA及CNAS资质）出具的移动充电机器人内置充电桩检验报告得4分；</w:t>
            </w:r>
          </w:p>
          <w:p>
            <w:pPr>
              <w:wordWrap w:val="0"/>
              <w:spacing w:line="440" w:lineRule="exact"/>
              <w:ind w:firstLine="482" w:firstLineChars="200"/>
              <w:rPr>
                <w:rFonts w:hint="default" w:ascii="宋体" w:hAnsi="宋体" w:eastAsia="宋体" w:cs="Times New Roman"/>
                <w:kern w:val="0"/>
                <w:sz w:val="24"/>
                <w:lang w:val="en-US" w:eastAsia="zh-CN"/>
              </w:rPr>
            </w:pPr>
            <w:r>
              <w:rPr>
                <w:rFonts w:hint="eastAsia" w:ascii="宋体" w:hAnsi="宋体" w:eastAsia="宋体" w:cs="Times New Roman"/>
                <w:b/>
                <w:bCs/>
                <w:kern w:val="0"/>
                <w:sz w:val="24"/>
              </w:rPr>
              <w:t>注：</w:t>
            </w:r>
            <w:r>
              <w:rPr>
                <w:rFonts w:hint="eastAsia" w:ascii="宋体" w:hAnsi="宋体" w:eastAsia="宋体" w:cs="Times New Roman"/>
                <w:b/>
                <w:bCs/>
                <w:kern w:val="0"/>
                <w:sz w:val="24"/>
                <w:lang w:val="en-US" w:eastAsia="zh-CN"/>
              </w:rPr>
              <w:t>1.</w:t>
            </w:r>
            <w:r>
              <w:rPr>
                <w:rFonts w:hint="default" w:ascii="宋体" w:hAnsi="宋体" w:eastAsia="宋体" w:cs="Times New Roman"/>
                <w:kern w:val="0"/>
                <w:sz w:val="24"/>
                <w:lang w:val="en-US" w:eastAsia="zh-CN"/>
              </w:rPr>
              <w:t>投标人应提供投标设备带有CMA或CNAS标识的型式试验报告全部复印件，加盖投标人单位公章，并装订入投标文件中；</w:t>
            </w:r>
          </w:p>
          <w:p>
            <w:pPr>
              <w:wordWrap w:val="0"/>
              <w:spacing w:line="440" w:lineRule="exact"/>
              <w:ind w:firstLine="480" w:firstLineChars="200"/>
              <w:rPr>
                <w:rFonts w:hint="default" w:ascii="宋体" w:hAnsi="宋体" w:eastAsia="宋体" w:cs="Times New Roman"/>
                <w:kern w:val="0"/>
                <w:sz w:val="24"/>
                <w:lang w:val="en-US" w:eastAsia="zh-CN"/>
              </w:rPr>
            </w:pPr>
            <w:r>
              <w:rPr>
                <w:rFonts w:hint="eastAsia" w:ascii="宋体" w:hAnsi="宋体" w:eastAsia="宋体" w:cs="Times New Roman"/>
                <w:kern w:val="0"/>
                <w:sz w:val="24"/>
                <w:lang w:val="en-US" w:eastAsia="zh-CN"/>
              </w:rPr>
              <w:t>2.</w:t>
            </w:r>
            <w:r>
              <w:rPr>
                <w:rFonts w:hint="eastAsia" w:ascii="Times New Roman" w:hAnsi="Times New Roman" w:cs="Times New Roman"/>
                <w:kern w:val="0"/>
                <w:sz w:val="24"/>
                <w:szCs w:val="24"/>
                <w:highlight w:val="none"/>
                <w:lang w:val="en-US" w:eastAsia="zh-CN"/>
              </w:rPr>
              <w:t>招标文件第五章技术标准和要求标有“</w:t>
            </w:r>
            <w:r>
              <w:rPr>
                <w:rFonts w:hint="eastAsia" w:ascii="宋体" w:hAnsi="宋体" w:cs="宋体"/>
                <w:szCs w:val="21"/>
              </w:rPr>
              <w:t>▲</w:t>
            </w:r>
            <w:r>
              <w:rPr>
                <w:rFonts w:hint="eastAsia" w:ascii="Times New Roman" w:hAnsi="Times New Roman" w:cs="Times New Roman"/>
                <w:kern w:val="0"/>
                <w:sz w:val="24"/>
                <w:szCs w:val="24"/>
                <w:highlight w:val="none"/>
                <w:lang w:val="en-US" w:eastAsia="zh-CN"/>
              </w:rPr>
              <w:t>”的条款为关键技术参数，投标人必须响应或优于响应，否则其投标无效。</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permStart w:id="67"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hint="eastAsia" w:ascii="宋体" w:hAnsi="宋体" w:eastAsia="宋体" w:cs="Times New Roman"/>
                <w:color w:val="000000"/>
                <w:kern w:val="0"/>
                <w:sz w:val="24"/>
              </w:rPr>
            </w:pPr>
            <w:r>
              <w:rPr>
                <w:rFonts w:hint="eastAsia" w:ascii="宋体" w:hAnsi="宋体" w:eastAsia="宋体" w:cs="Times New Roman"/>
                <w:color w:val="000000"/>
                <w:kern w:val="0"/>
                <w:sz w:val="24"/>
              </w:rPr>
              <w:t>培训方案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5分</w:t>
            </w:r>
            <w:r>
              <w:rPr>
                <w:rFonts w:hint="eastAsia" w:ascii="宋体" w:hAnsi="宋体" w:eastAsia="宋体" w:cs="Times New Roman"/>
                <w:color w:val="000000"/>
                <w:kern w:val="0"/>
                <w:sz w:val="24"/>
              </w:rPr>
              <w:t>）</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投标人需提供完善的培训方案，包括但不限于培训目标、培训课程、培训教材、培训时间、培训对象等，评委根据投标文件中的方案横向比较，酌情打分。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Times New Roman"/>
                <w:color w:val="000000"/>
                <w:kern w:val="0"/>
                <w:sz w:val="24"/>
              </w:rPr>
            </w:pPr>
            <w:r>
              <w:rPr>
                <w:rFonts w:ascii="宋体" w:hAnsi="宋体" w:eastAsia="宋体" w:cs="Times New Roman"/>
                <w:color w:val="000000"/>
                <w:kern w:val="0"/>
                <w:sz w:val="24"/>
              </w:rPr>
              <w:t>本项满分</w:t>
            </w:r>
            <w:r>
              <w:rPr>
                <w:rFonts w:hint="eastAsia" w:ascii="宋体" w:hAnsi="宋体" w:eastAsia="宋体" w:cs="Times New Roman"/>
                <w:color w:val="000000"/>
                <w:kern w:val="0"/>
                <w:sz w:val="24"/>
                <w:lang w:val="en-US" w:eastAsia="zh-CN"/>
              </w:rPr>
              <w:t>5</w:t>
            </w:r>
            <w:r>
              <w:rPr>
                <w:rFonts w:ascii="宋体" w:hAnsi="宋体" w:eastAsia="宋体" w:cs="Times New Roman"/>
                <w:color w:val="000000"/>
                <w:kern w:val="0"/>
                <w:sz w:val="24"/>
              </w:rPr>
              <w:t>分，评委根据方案的完整性、实用性酌情给分，</w:t>
            </w:r>
            <w:r>
              <w:rPr>
                <w:rFonts w:hint="eastAsia" w:ascii="宋体" w:hAnsi="宋体" w:eastAsia="宋体" w:cs="Times New Roman"/>
                <w:color w:val="000000"/>
                <w:kern w:val="0"/>
                <w:sz w:val="24"/>
              </w:rPr>
              <w:t>好得</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5分</w:t>
            </w:r>
            <w:r>
              <w:rPr>
                <w:rFonts w:hint="eastAsia" w:ascii="宋体" w:hAnsi="宋体" w:eastAsia="宋体" w:cs="Times New Roman"/>
                <w:color w:val="000000"/>
                <w:kern w:val="0"/>
                <w:sz w:val="24"/>
              </w:rPr>
              <w:t>，较好得</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3分</w:t>
            </w:r>
            <w:r>
              <w:rPr>
                <w:rFonts w:hint="eastAsia" w:ascii="宋体" w:hAnsi="宋体" w:eastAsia="宋体" w:cs="Times New Roman"/>
                <w:color w:val="000000"/>
                <w:kern w:val="0"/>
                <w:sz w:val="24"/>
              </w:rPr>
              <w:t>，一般得1-</w:t>
            </w:r>
            <w:r>
              <w:rPr>
                <w:rFonts w:hint="eastAsia" w:ascii="宋体" w:hAnsi="宋体" w:eastAsia="宋体" w:cs="Times New Roman"/>
                <w:color w:val="000000"/>
                <w:kern w:val="0"/>
                <w:sz w:val="24"/>
                <w:lang w:val="en-US" w:eastAsia="zh-CN"/>
              </w:rPr>
              <w:t>2分</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未提供方案</w:t>
            </w:r>
            <w:r>
              <w:rPr>
                <w:rFonts w:hint="eastAsia" w:ascii="宋体" w:hAnsi="宋体" w:eastAsia="宋体" w:cs="Times New Roman"/>
                <w:color w:val="000000"/>
                <w:kern w:val="0"/>
                <w:sz w:val="24"/>
              </w:rPr>
              <w:t>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本项评分取整数，小数点后四舍五入。</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34"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68"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hint="eastAsia" w:ascii="宋体" w:hAnsi="宋体" w:eastAsia="宋体" w:cs="Times New Roman"/>
                <w:color w:val="000000"/>
                <w:kern w:val="0"/>
                <w:sz w:val="24"/>
              </w:rPr>
            </w:pPr>
            <w:r>
              <w:rPr>
                <w:rFonts w:hint="eastAsia" w:ascii="宋体" w:hAnsi="宋体" w:eastAsia="宋体" w:cs="Times New Roman"/>
                <w:color w:val="000000"/>
                <w:kern w:val="0"/>
                <w:sz w:val="24"/>
              </w:rPr>
              <w:t>供货方案</w:t>
            </w:r>
          </w:p>
          <w:p>
            <w:pPr>
              <w:wordWrap w:val="0"/>
              <w:spacing w:line="440" w:lineRule="exact"/>
              <w:jc w:val="center"/>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5</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rPr>
              <w:t>根据投标人提供的供货方案进行评分，至少包括供货计划、供货质量、生产质检、包装入库、出库运输等内容，方案内容全面、计划合理得</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5</w:t>
            </w:r>
            <w:r>
              <w:rPr>
                <w:rFonts w:ascii="宋体" w:hAnsi="宋体" w:eastAsia="宋体" w:cs="Times New Roman"/>
                <w:color w:val="000000"/>
                <w:kern w:val="0"/>
                <w:sz w:val="24"/>
              </w:rPr>
              <w:t>分，方案基本全面、计划基本合理得</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3</w:t>
            </w:r>
            <w:r>
              <w:rPr>
                <w:rFonts w:ascii="宋体" w:hAnsi="宋体" w:eastAsia="宋体" w:cs="Times New Roman"/>
                <w:color w:val="000000"/>
                <w:kern w:val="0"/>
                <w:sz w:val="24"/>
              </w:rPr>
              <w:t>分，方案粗略、计划不合理得</w:t>
            </w:r>
            <w:r>
              <w:rPr>
                <w:rFonts w:hint="eastAsia" w:ascii="宋体" w:hAnsi="宋体" w:eastAsia="宋体" w:cs="Times New Roman"/>
                <w:color w:val="000000"/>
                <w:kern w:val="0"/>
                <w:sz w:val="24"/>
              </w:rPr>
              <w:t>1-</w:t>
            </w:r>
            <w:r>
              <w:rPr>
                <w:rFonts w:hint="eastAsia" w:ascii="宋体" w:hAnsi="宋体" w:eastAsia="宋体" w:cs="Times New Roman"/>
                <w:color w:val="000000"/>
                <w:kern w:val="0"/>
                <w:sz w:val="24"/>
                <w:lang w:val="en-US" w:eastAsia="zh-CN"/>
              </w:rPr>
              <w:t>2</w:t>
            </w:r>
            <w:r>
              <w:rPr>
                <w:rFonts w:ascii="宋体" w:hAnsi="宋体" w:eastAsia="宋体" w:cs="Times New Roman"/>
                <w:color w:val="000000"/>
                <w:kern w:val="0"/>
                <w:sz w:val="24"/>
              </w:rPr>
              <w:t>分。未提供方案不得分</w:t>
            </w:r>
            <w:r>
              <w:rPr>
                <w:rFonts w:hint="eastAsia" w:ascii="宋体" w:hAnsi="宋体" w:eastAsia="宋体" w:cs="Times New Roman"/>
                <w:color w:val="000000"/>
                <w:kern w:val="0"/>
                <w:sz w:val="24"/>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本项评分取整数，小数点后四舍五入。</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23"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69"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both"/>
              <w:rPr>
                <w:rFonts w:hint="eastAsia" w:ascii="Times New Roman" w:hAnsi="Times New Roman" w:cs="Times New Roman" w:eastAsiaTheme="minorEastAsia"/>
                <w:i w:val="0"/>
                <w:iCs w:val="0"/>
                <w:color w:val="000000"/>
                <w:kern w:val="0"/>
                <w:sz w:val="24"/>
                <w:szCs w:val="24"/>
                <w:highlight w:val="none"/>
                <w:lang w:val="en-US" w:eastAsia="zh-CN" w:bidi="ar-SA"/>
              </w:rPr>
            </w:pPr>
            <w:r>
              <w:rPr>
                <w:rFonts w:hint="eastAsia" w:ascii="宋体" w:hAnsi="宋体" w:eastAsia="宋体" w:cs="Times New Roman"/>
                <w:color w:val="000000"/>
                <w:kern w:val="0"/>
                <w:sz w:val="24"/>
              </w:rPr>
              <w:t>售后服务（</w:t>
            </w:r>
            <w:r>
              <w:rPr>
                <w:rFonts w:hint="eastAsia" w:ascii="宋体" w:hAnsi="宋体" w:eastAsia="宋体" w:cs="Times New Roman"/>
                <w:color w:val="000000"/>
                <w:kern w:val="0"/>
                <w:sz w:val="24"/>
                <w:lang w:val="en-US" w:eastAsia="zh-CN"/>
              </w:rPr>
              <w:t>20</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1.售后服务点（</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分）</w:t>
            </w:r>
          </w:p>
          <w:p>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rPr>
              <w:t>投标人</w:t>
            </w:r>
            <w:r>
              <w:rPr>
                <w:rFonts w:hint="eastAsia" w:ascii="宋体" w:hAnsi="宋体" w:eastAsia="宋体" w:cs="Times New Roman"/>
                <w:color w:val="000000"/>
                <w:kern w:val="0"/>
                <w:sz w:val="24"/>
                <w:lang w:val="en-US" w:eastAsia="zh-CN"/>
              </w:rPr>
              <w:t>为安徽省内注册企业，或在</w:t>
            </w:r>
            <w:r>
              <w:rPr>
                <w:rFonts w:hint="eastAsia" w:ascii="宋体" w:hAnsi="宋体" w:eastAsia="宋体" w:cs="Times New Roman"/>
                <w:color w:val="000000"/>
                <w:kern w:val="0"/>
                <w:sz w:val="24"/>
              </w:rPr>
              <w:t>安徽省内设有分公司或</w:t>
            </w:r>
            <w:r>
              <w:rPr>
                <w:rFonts w:hint="eastAsia" w:ascii="宋体" w:hAnsi="宋体" w:eastAsia="宋体" w:cs="Times New Roman"/>
                <w:color w:val="000000"/>
                <w:kern w:val="0"/>
                <w:sz w:val="24"/>
                <w:lang w:val="en-US" w:eastAsia="zh-CN"/>
              </w:rPr>
              <w:t>设有售后</w:t>
            </w:r>
            <w:r>
              <w:rPr>
                <w:rFonts w:hint="eastAsia" w:ascii="宋体" w:hAnsi="宋体" w:eastAsia="宋体" w:cs="Times New Roman"/>
                <w:color w:val="000000"/>
                <w:kern w:val="0"/>
                <w:sz w:val="24"/>
              </w:rPr>
              <w:t>服务网点</w:t>
            </w:r>
            <w:r>
              <w:rPr>
                <w:rFonts w:hint="eastAsia" w:ascii="宋体" w:hAnsi="宋体" w:eastAsia="宋体" w:cs="Times New Roman"/>
                <w:color w:val="000000"/>
                <w:kern w:val="0"/>
                <w:sz w:val="24"/>
                <w:lang w:val="en-US" w:eastAsia="zh-CN"/>
              </w:rPr>
              <w:t>或委托有第三方售后代理服务网点</w:t>
            </w:r>
            <w:r>
              <w:rPr>
                <w:rFonts w:hint="eastAsia" w:ascii="宋体" w:hAnsi="宋体" w:eastAsia="宋体" w:cs="Times New Roman"/>
                <w:color w:val="000000"/>
                <w:kern w:val="0"/>
                <w:sz w:val="24"/>
              </w:rPr>
              <w:t>的</w:t>
            </w: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或承诺中标后在</w:t>
            </w:r>
            <w:r>
              <w:rPr>
                <w:rFonts w:hint="eastAsia" w:ascii="宋体" w:hAnsi="宋体" w:eastAsia="宋体" w:cs="Times New Roman"/>
                <w:color w:val="000000"/>
                <w:kern w:val="0"/>
                <w:sz w:val="24"/>
              </w:rPr>
              <w:t>安徽省内设</w:t>
            </w:r>
            <w:r>
              <w:rPr>
                <w:rFonts w:hint="eastAsia" w:ascii="宋体" w:hAnsi="宋体" w:eastAsia="宋体" w:cs="Times New Roman"/>
                <w:color w:val="000000"/>
                <w:kern w:val="0"/>
                <w:sz w:val="24"/>
                <w:lang w:val="en-US" w:eastAsia="zh-CN"/>
              </w:rPr>
              <w:t>立</w:t>
            </w:r>
            <w:r>
              <w:rPr>
                <w:rFonts w:hint="eastAsia" w:ascii="宋体" w:hAnsi="宋体" w:eastAsia="宋体" w:cs="Times New Roman"/>
                <w:color w:val="000000"/>
                <w:kern w:val="0"/>
                <w:sz w:val="24"/>
              </w:rPr>
              <w:t>分公司或设</w:t>
            </w:r>
            <w:r>
              <w:rPr>
                <w:rFonts w:hint="eastAsia" w:ascii="宋体" w:hAnsi="宋体" w:eastAsia="宋体" w:cs="Times New Roman"/>
                <w:color w:val="000000"/>
                <w:kern w:val="0"/>
                <w:sz w:val="24"/>
                <w:lang w:val="en-US" w:eastAsia="zh-CN"/>
              </w:rPr>
              <w:t>立</w:t>
            </w:r>
            <w:r>
              <w:rPr>
                <w:rFonts w:hint="eastAsia" w:ascii="宋体" w:hAnsi="宋体" w:eastAsia="宋体" w:cs="Times New Roman"/>
                <w:color w:val="000000"/>
                <w:kern w:val="0"/>
                <w:sz w:val="24"/>
              </w:rPr>
              <w:t>售后服务网点或委托第三方售后代理服务网点的</w:t>
            </w: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rPr>
              <w:t>得</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分。</w:t>
            </w:r>
          </w:p>
          <w:p>
            <w:pPr>
              <w:wordWrap w:val="0"/>
              <w:spacing w:line="440" w:lineRule="exact"/>
              <w:ind w:firstLine="482" w:firstLineChars="200"/>
              <w:rPr>
                <w:rFonts w:ascii="宋体" w:hAnsi="宋体" w:eastAsia="宋体" w:cs="Times New Roman"/>
                <w:color w:val="000000"/>
                <w:kern w:val="0"/>
                <w:sz w:val="24"/>
              </w:rPr>
            </w:pPr>
            <w:r>
              <w:rPr>
                <w:rFonts w:hint="eastAsia" w:ascii="宋体" w:hAnsi="宋体" w:eastAsia="宋体" w:cs="Times New Roman"/>
                <w:b/>
                <w:bCs/>
                <w:color w:val="000000"/>
                <w:kern w:val="0"/>
                <w:sz w:val="24"/>
              </w:rPr>
              <w:t>注：</w:t>
            </w:r>
            <w:r>
              <w:rPr>
                <w:rFonts w:hint="eastAsia" w:ascii="宋体" w:hAnsi="宋体" w:eastAsia="宋体" w:cs="Times New Roman"/>
                <w:b/>
                <w:bCs/>
                <w:color w:val="000000"/>
                <w:kern w:val="0"/>
                <w:sz w:val="24"/>
                <w:lang w:val="en-US" w:eastAsia="zh-CN"/>
              </w:rPr>
              <w:t>投标人安徽省外注册企业的，</w:t>
            </w:r>
            <w:r>
              <w:rPr>
                <w:rFonts w:hint="eastAsia" w:ascii="宋体" w:hAnsi="宋体" w:eastAsia="宋体" w:cs="Times New Roman"/>
                <w:b/>
                <w:bCs/>
                <w:color w:val="000000"/>
                <w:kern w:val="0"/>
                <w:sz w:val="24"/>
              </w:rPr>
              <w:t>提供</w:t>
            </w:r>
            <w:r>
              <w:rPr>
                <w:rFonts w:hint="eastAsia" w:ascii="宋体" w:hAnsi="宋体" w:eastAsia="宋体" w:cs="Times New Roman"/>
                <w:b/>
                <w:bCs/>
                <w:color w:val="000000"/>
                <w:kern w:val="0"/>
                <w:sz w:val="24"/>
                <w:lang w:val="en-US" w:eastAsia="zh-CN"/>
              </w:rPr>
              <w:t>安徽省内</w:t>
            </w:r>
            <w:r>
              <w:rPr>
                <w:rFonts w:hint="eastAsia" w:ascii="宋体" w:hAnsi="宋体" w:eastAsia="宋体" w:cs="Times New Roman"/>
                <w:b/>
                <w:bCs/>
                <w:color w:val="000000"/>
                <w:kern w:val="0"/>
                <w:sz w:val="24"/>
              </w:rPr>
              <w:t>售后服务点</w:t>
            </w:r>
            <w:r>
              <w:rPr>
                <w:rFonts w:hint="eastAsia" w:ascii="宋体" w:hAnsi="宋体" w:eastAsia="宋体" w:cs="Times New Roman"/>
                <w:b/>
                <w:bCs/>
                <w:color w:val="000000"/>
                <w:kern w:val="0"/>
                <w:sz w:val="24"/>
                <w:lang w:eastAsia="zh-CN"/>
              </w:rPr>
              <w:t>（</w:t>
            </w:r>
            <w:r>
              <w:rPr>
                <w:rFonts w:hint="eastAsia" w:ascii="宋体" w:hAnsi="宋体" w:eastAsia="宋体" w:cs="Times New Roman"/>
                <w:b/>
                <w:bCs/>
                <w:color w:val="000000"/>
                <w:kern w:val="0"/>
                <w:sz w:val="24"/>
                <w:lang w:val="en-US" w:eastAsia="zh-CN"/>
              </w:rPr>
              <w:t>或分公司</w:t>
            </w:r>
            <w:r>
              <w:rPr>
                <w:rFonts w:hint="eastAsia" w:ascii="宋体" w:hAnsi="宋体" w:eastAsia="宋体" w:cs="Times New Roman"/>
                <w:b/>
                <w:bCs/>
                <w:color w:val="000000"/>
                <w:kern w:val="0"/>
                <w:sz w:val="24"/>
                <w:lang w:eastAsia="zh-CN"/>
              </w:rPr>
              <w:t>）</w:t>
            </w:r>
            <w:r>
              <w:rPr>
                <w:rFonts w:hint="eastAsia" w:ascii="宋体" w:hAnsi="宋体" w:eastAsia="宋体" w:cs="Times New Roman"/>
                <w:b/>
                <w:bCs/>
                <w:color w:val="000000"/>
                <w:kern w:val="0"/>
                <w:sz w:val="24"/>
              </w:rPr>
              <w:t>详细地址、售后联系人、联系方式等信息，</w:t>
            </w:r>
            <w:r>
              <w:rPr>
                <w:rFonts w:hint="eastAsia" w:ascii="宋体" w:hAnsi="宋体" w:eastAsia="宋体" w:cs="Times New Roman"/>
                <w:b/>
                <w:bCs/>
                <w:color w:val="000000"/>
                <w:kern w:val="0"/>
                <w:sz w:val="24"/>
                <w:lang w:val="en-US" w:eastAsia="zh-CN"/>
              </w:rPr>
              <w:t>或提供相关承诺书，</w:t>
            </w:r>
            <w:r>
              <w:rPr>
                <w:rFonts w:hint="eastAsia" w:ascii="宋体" w:hAnsi="宋体" w:eastAsia="宋体" w:cs="Times New Roman"/>
                <w:b/>
                <w:bCs/>
                <w:color w:val="000000"/>
                <w:kern w:val="0"/>
                <w:sz w:val="24"/>
              </w:rPr>
              <w:t>并</w:t>
            </w:r>
            <w:r>
              <w:rPr>
                <w:rFonts w:hint="eastAsia" w:ascii="宋体" w:hAnsi="宋体" w:eastAsia="宋体" w:cs="Times New Roman"/>
                <w:b/>
                <w:bCs/>
                <w:color w:val="000000"/>
                <w:kern w:val="0"/>
                <w:sz w:val="24"/>
                <w:lang w:val="en-US" w:eastAsia="zh-CN"/>
              </w:rPr>
              <w:t>附</w:t>
            </w:r>
            <w:r>
              <w:rPr>
                <w:rFonts w:hint="eastAsia" w:ascii="宋体" w:hAnsi="宋体" w:eastAsia="宋体" w:cs="Times New Roman"/>
                <w:b/>
                <w:bCs/>
                <w:color w:val="000000"/>
                <w:kern w:val="0"/>
                <w:sz w:val="24"/>
              </w:rPr>
              <w:t>入投标文件中</w:t>
            </w:r>
            <w:r>
              <w:rPr>
                <w:rFonts w:hint="eastAsia" w:ascii="宋体" w:hAnsi="宋体" w:eastAsia="宋体" w:cs="Times New Roman"/>
                <w:color w:val="000000"/>
                <w:kern w:val="0"/>
                <w:sz w:val="24"/>
              </w:rPr>
              <w:t>。</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2.售后服务响应时限（</w:t>
            </w:r>
            <w:r>
              <w:rPr>
                <w:rFonts w:hint="eastAsia" w:ascii="宋体" w:hAnsi="宋体" w:eastAsia="宋体" w:cs="Times New Roman"/>
                <w:color w:val="000000"/>
                <w:kern w:val="0"/>
                <w:sz w:val="24"/>
                <w:lang w:val="en-US" w:eastAsia="zh-CN"/>
              </w:rPr>
              <w:t>5</w:t>
            </w:r>
            <w:r>
              <w:rPr>
                <w:rFonts w:hint="eastAsia" w:ascii="宋体" w:hAnsi="宋体" w:eastAsia="宋体" w:cs="Times New Roman"/>
                <w:color w:val="000000"/>
                <w:kern w:val="0"/>
                <w:sz w:val="24"/>
              </w:rPr>
              <w:t>分）</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投标人承诺提供7×24小时全天候电话技术支持服务，对于招标人以书面或电话形式提出的质量、服务等问题，投标人于</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小时内予以答复响应，需要投标人委派技术、服务人员的，于</w:t>
            </w:r>
            <w:r>
              <w:rPr>
                <w:rFonts w:hint="eastAsia" w:ascii="宋体" w:hAnsi="宋体" w:eastAsia="宋体" w:cs="Times New Roman"/>
                <w:color w:val="000000"/>
                <w:kern w:val="0"/>
                <w:sz w:val="24"/>
                <w:lang w:val="en-US" w:eastAsia="zh-CN"/>
              </w:rPr>
              <w:t>6</w:t>
            </w:r>
            <w:r>
              <w:rPr>
                <w:rFonts w:hint="eastAsia" w:ascii="宋体" w:hAnsi="宋体" w:eastAsia="宋体" w:cs="Times New Roman"/>
                <w:color w:val="000000"/>
                <w:kern w:val="0"/>
                <w:sz w:val="24"/>
              </w:rPr>
              <w:t>小时内到达现场，并于24小时内解决问题的得</w:t>
            </w:r>
            <w:r>
              <w:rPr>
                <w:rFonts w:hint="eastAsia" w:ascii="宋体" w:hAnsi="宋体" w:eastAsia="宋体" w:cs="Times New Roman"/>
                <w:color w:val="000000"/>
                <w:kern w:val="0"/>
                <w:sz w:val="24"/>
                <w:lang w:val="en-US" w:eastAsia="zh-CN"/>
              </w:rPr>
              <w:t>5</w:t>
            </w:r>
            <w:r>
              <w:rPr>
                <w:rFonts w:hint="eastAsia" w:ascii="宋体" w:hAnsi="宋体" w:eastAsia="宋体" w:cs="Times New Roman"/>
                <w:color w:val="000000"/>
                <w:kern w:val="0"/>
                <w:sz w:val="24"/>
              </w:rPr>
              <w:t>分。</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lang w:val="en-US" w:eastAsia="zh-CN"/>
              </w:rPr>
              <w:t>3</w:t>
            </w:r>
            <w:r>
              <w:rPr>
                <w:rFonts w:hint="eastAsia" w:ascii="宋体" w:hAnsi="宋体" w:eastAsia="宋体" w:cs="Times New Roman"/>
                <w:color w:val="000000"/>
                <w:kern w:val="0"/>
                <w:sz w:val="24"/>
              </w:rPr>
              <w:t>.售后服务方案（</w:t>
            </w:r>
            <w:r>
              <w:rPr>
                <w:rFonts w:hint="eastAsia" w:ascii="宋体" w:hAnsi="宋体" w:cs="Times New Roman"/>
                <w:color w:val="000000"/>
                <w:kern w:val="0"/>
                <w:sz w:val="24"/>
                <w:lang w:val="en-US" w:eastAsia="zh-CN"/>
              </w:rPr>
              <w:t>11</w:t>
            </w:r>
            <w:r>
              <w:rPr>
                <w:rFonts w:hint="eastAsia" w:ascii="宋体" w:hAnsi="宋体" w:eastAsia="宋体" w:cs="Times New Roman"/>
                <w:color w:val="000000"/>
                <w:kern w:val="0"/>
                <w:sz w:val="24"/>
              </w:rPr>
              <w:t>分）</w:t>
            </w:r>
          </w:p>
          <w:p>
            <w:pPr>
              <w:wordWrap w:val="0"/>
              <w:spacing w:line="440" w:lineRule="exact"/>
              <w:ind w:firstLine="480" w:firstLineChars="200"/>
              <w:rPr>
                <w:rFonts w:ascii="宋体" w:hAnsi="宋体" w:eastAsia="宋体" w:cs="Times New Roman"/>
                <w:color w:val="FF0000"/>
                <w:kern w:val="0"/>
                <w:sz w:val="24"/>
              </w:rPr>
            </w:pPr>
            <w:r>
              <w:rPr>
                <w:rFonts w:hint="eastAsia" w:ascii="宋体" w:hAnsi="宋体" w:eastAsia="宋体" w:cs="Times New Roman"/>
                <w:color w:val="FF0000"/>
                <w:kern w:val="0"/>
                <w:sz w:val="24"/>
              </w:rPr>
              <w:t>投标人针对本项目编制</w:t>
            </w:r>
            <w:r>
              <w:rPr>
                <w:rFonts w:hint="eastAsia" w:ascii="宋体" w:hAnsi="宋体" w:eastAsia="宋体" w:cs="Times New Roman"/>
                <w:color w:val="FF0000"/>
                <w:kern w:val="0"/>
                <w:sz w:val="24"/>
                <w:lang w:eastAsia="zh-CN"/>
              </w:rPr>
              <w:t>完善的</w:t>
            </w:r>
            <w:r>
              <w:rPr>
                <w:rFonts w:hint="eastAsia" w:ascii="宋体" w:hAnsi="宋体" w:eastAsia="宋体" w:cs="Times New Roman"/>
                <w:color w:val="FF0000"/>
                <w:kern w:val="0"/>
                <w:sz w:val="24"/>
              </w:rPr>
              <w:t>售后服务方案，包括但不限于售后服务机构设置及联系方式、</w:t>
            </w:r>
            <w:r>
              <w:rPr>
                <w:rFonts w:hint="eastAsia" w:ascii="宋体" w:hAnsi="宋体" w:eastAsia="宋体" w:cs="Times New Roman"/>
                <w:color w:val="FF0000"/>
                <w:kern w:val="0"/>
                <w:sz w:val="24"/>
                <w:lang w:eastAsia="zh-CN"/>
              </w:rPr>
              <w:t>本地化服务</w:t>
            </w:r>
            <w:r>
              <w:rPr>
                <w:rFonts w:hint="eastAsia" w:ascii="宋体" w:hAnsi="宋体" w:eastAsia="宋体" w:cs="Times New Roman"/>
                <w:color w:val="FF0000"/>
                <w:kern w:val="0"/>
                <w:sz w:val="24"/>
              </w:rPr>
              <w:t>、</w:t>
            </w:r>
            <w:r>
              <w:rPr>
                <w:rFonts w:hint="eastAsia" w:ascii="宋体" w:hAnsi="宋体" w:eastAsia="宋体" w:cs="Times New Roman"/>
                <w:color w:val="FF0000"/>
                <w:kern w:val="0"/>
                <w:sz w:val="24"/>
                <w:lang w:eastAsia="zh-CN"/>
              </w:rPr>
              <w:t>智能运维、巡检服务、产品故障及时维修、</w:t>
            </w:r>
            <w:r>
              <w:rPr>
                <w:rFonts w:hint="eastAsia" w:ascii="宋体" w:hAnsi="宋体" w:eastAsia="宋体" w:cs="Times New Roman"/>
                <w:color w:val="FF0000"/>
                <w:kern w:val="0"/>
                <w:sz w:val="24"/>
              </w:rPr>
              <w:t>投标设备常见故障分析及</w:t>
            </w:r>
            <w:r>
              <w:rPr>
                <w:rFonts w:hint="eastAsia" w:ascii="宋体" w:hAnsi="宋体" w:eastAsia="宋体" w:cs="Times New Roman"/>
                <w:color w:val="FF0000"/>
                <w:kern w:val="0"/>
                <w:sz w:val="24"/>
                <w:lang w:eastAsia="zh-CN"/>
              </w:rPr>
              <w:t>解决方案</w:t>
            </w:r>
            <w:r>
              <w:rPr>
                <w:rFonts w:hint="eastAsia" w:ascii="宋体" w:hAnsi="宋体" w:eastAsia="宋体" w:cs="Times New Roman"/>
                <w:color w:val="FF0000"/>
                <w:kern w:val="0"/>
                <w:sz w:val="24"/>
              </w:rPr>
              <w:t>等。</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ascii="宋体" w:hAnsi="宋体" w:eastAsia="宋体" w:cs="Times New Roman"/>
                <w:color w:val="000000"/>
                <w:kern w:val="0"/>
                <w:sz w:val="24"/>
              </w:rPr>
            </w:pPr>
            <w:r>
              <w:rPr>
                <w:rFonts w:ascii="宋体" w:hAnsi="宋体" w:eastAsia="宋体" w:cs="Times New Roman"/>
                <w:color w:val="000000"/>
                <w:kern w:val="0"/>
                <w:sz w:val="24"/>
              </w:rPr>
              <w:t>本项满分</w:t>
            </w:r>
            <w:r>
              <w:rPr>
                <w:rFonts w:hint="eastAsia" w:ascii="宋体" w:hAnsi="宋体" w:cs="Times New Roman"/>
                <w:color w:val="000000"/>
                <w:kern w:val="0"/>
                <w:sz w:val="24"/>
                <w:lang w:val="en-US" w:eastAsia="zh-CN"/>
              </w:rPr>
              <w:t>11</w:t>
            </w:r>
            <w:r>
              <w:rPr>
                <w:rFonts w:ascii="宋体" w:hAnsi="宋体" w:eastAsia="宋体" w:cs="Times New Roman"/>
                <w:color w:val="000000"/>
                <w:kern w:val="0"/>
                <w:sz w:val="24"/>
              </w:rPr>
              <w:t>分，评委根据方案的完整性、实用性酌情给分，优得</w:t>
            </w:r>
            <w:r>
              <w:rPr>
                <w:rFonts w:hint="eastAsia" w:ascii="宋体" w:hAnsi="宋体" w:cs="Times New Roman"/>
                <w:color w:val="000000"/>
                <w:kern w:val="0"/>
                <w:sz w:val="24"/>
                <w:lang w:val="en-US" w:eastAsia="zh-CN"/>
              </w:rPr>
              <w:t>8</w:t>
            </w:r>
            <w:r>
              <w:rPr>
                <w:rFonts w:hint="eastAsia" w:ascii="宋体" w:hAnsi="宋体" w:eastAsia="宋体" w:cs="Times New Roman"/>
                <w:color w:val="000000"/>
                <w:kern w:val="0"/>
                <w:sz w:val="24"/>
              </w:rPr>
              <w:t>—</w:t>
            </w:r>
            <w:r>
              <w:rPr>
                <w:rFonts w:hint="eastAsia" w:ascii="宋体" w:hAnsi="宋体" w:cs="Times New Roman"/>
                <w:color w:val="000000"/>
                <w:kern w:val="0"/>
                <w:sz w:val="24"/>
                <w:lang w:val="en-US" w:eastAsia="zh-CN"/>
              </w:rPr>
              <w:t>11</w:t>
            </w:r>
            <w:r>
              <w:rPr>
                <w:rFonts w:ascii="宋体" w:hAnsi="宋体" w:eastAsia="宋体" w:cs="Times New Roman"/>
                <w:color w:val="000000"/>
                <w:kern w:val="0"/>
                <w:sz w:val="24"/>
              </w:rPr>
              <w:t>分，一般得</w:t>
            </w:r>
            <w:r>
              <w:rPr>
                <w:rFonts w:hint="eastAsia" w:ascii="宋体" w:hAnsi="宋体" w:cs="Times New Roman"/>
                <w:color w:val="000000"/>
                <w:kern w:val="0"/>
                <w:sz w:val="24"/>
                <w:lang w:val="en-US" w:eastAsia="zh-CN"/>
              </w:rPr>
              <w:t>4</w:t>
            </w:r>
            <w:r>
              <w:rPr>
                <w:rFonts w:hint="eastAsia" w:ascii="宋体" w:hAnsi="宋体" w:eastAsia="宋体" w:cs="Times New Roman"/>
                <w:color w:val="000000"/>
                <w:kern w:val="0"/>
                <w:sz w:val="24"/>
              </w:rPr>
              <w:t>—</w:t>
            </w:r>
            <w:r>
              <w:rPr>
                <w:rFonts w:hint="eastAsia" w:ascii="宋体" w:hAnsi="宋体" w:cs="Times New Roman"/>
                <w:color w:val="000000"/>
                <w:kern w:val="0"/>
                <w:sz w:val="24"/>
                <w:lang w:val="en-US" w:eastAsia="zh-CN"/>
              </w:rPr>
              <w:t>7</w:t>
            </w:r>
            <w:r>
              <w:rPr>
                <w:rFonts w:ascii="宋体" w:hAnsi="宋体" w:eastAsia="宋体" w:cs="Times New Roman"/>
                <w:color w:val="000000"/>
                <w:kern w:val="0"/>
                <w:sz w:val="24"/>
              </w:rPr>
              <w:t>分，</w:t>
            </w:r>
            <w:r>
              <w:rPr>
                <w:rFonts w:hint="eastAsia" w:ascii="宋体" w:hAnsi="宋体" w:eastAsia="宋体" w:cs="Times New Roman"/>
                <w:color w:val="000000"/>
                <w:kern w:val="0"/>
                <w:sz w:val="24"/>
              </w:rPr>
              <w:t>差得0-</w:t>
            </w:r>
            <w:r>
              <w:rPr>
                <w:rFonts w:hint="eastAsia" w:ascii="宋体" w:hAnsi="宋体" w:cs="Times New Roman"/>
                <w:color w:val="000000"/>
                <w:kern w:val="0"/>
                <w:sz w:val="24"/>
                <w:lang w:val="en-US" w:eastAsia="zh-CN"/>
              </w:rPr>
              <w:t>3</w:t>
            </w:r>
            <w:r>
              <w:rPr>
                <w:rFonts w:hint="eastAsia" w:ascii="宋体" w:hAnsi="宋体" w:eastAsia="宋体" w:cs="Times New Roman"/>
                <w:color w:val="000000"/>
                <w:kern w:val="0"/>
                <w:sz w:val="24"/>
              </w:rPr>
              <w:t>分，</w:t>
            </w:r>
            <w:r>
              <w:rPr>
                <w:rFonts w:hint="eastAsia" w:ascii="宋体" w:hAnsi="宋体" w:eastAsia="宋体" w:cs="Times New Roman"/>
                <w:color w:val="000000"/>
                <w:kern w:val="0"/>
                <w:sz w:val="24"/>
                <w:lang w:val="en-US" w:eastAsia="zh-CN"/>
              </w:rPr>
              <w:t>未</w:t>
            </w:r>
            <w:r>
              <w:rPr>
                <w:rFonts w:ascii="宋体" w:hAnsi="宋体" w:eastAsia="宋体" w:cs="Times New Roman"/>
                <w:color w:val="000000"/>
                <w:kern w:val="0"/>
                <w:sz w:val="24"/>
              </w:rPr>
              <w:t>提供方案的不得分。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i w:val="0"/>
                <w:iCs w:val="0"/>
                <w:color w:val="000000"/>
                <w:kern w:val="0"/>
                <w:sz w:val="24"/>
                <w:szCs w:val="24"/>
                <w:highlight w:val="none"/>
                <w:lang w:val="en-US" w:eastAsia="zh-CN" w:bidi="ar-SA"/>
              </w:rPr>
            </w:pPr>
            <w:r>
              <w:rPr>
                <w:rFonts w:hint="eastAsia" w:ascii="宋体" w:hAnsi="宋体" w:eastAsia="宋体" w:cs="Times New Roman"/>
                <w:color w:val="000000"/>
                <w:kern w:val="0"/>
                <w:sz w:val="24"/>
                <w:lang w:val="en-US" w:eastAsia="zh-CN"/>
              </w:rPr>
              <w:t>本项评分取整数，小数点后四舍五入。</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70" w:edGrp="everyone" w:colFirst="0" w:colLast="0"/>
            <w:permStart w:id="71" w:edGrp="everyone" w:colFirst="1" w:colLast="1"/>
            <w:permStart w:id="72" w:edGrp="everyone" w:colFirst="2" w:colLast="2"/>
            <w:permStart w:id="73" w:edGrp="everyone" w:colFirst="3" w:colLast="3"/>
            <w:r>
              <w:rPr>
                <w:rFonts w:hint="eastAsia" w:ascii="Times New Roman" w:hAnsi="Times New Roman" w:cs="Times New Roman"/>
                <w:color w:val="000000"/>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w:t>
            </w:r>
            <w:r>
              <w:rPr>
                <w:rFonts w:hint="default" w:ascii="Times New Roman" w:hAnsi="Times New Roman" w:cs="Times New Roman"/>
                <w:color w:val="000000"/>
                <w:kern w:val="0"/>
                <w:sz w:val="24"/>
                <w:szCs w:val="24"/>
                <w:highlight w:val="none"/>
                <w:lang w:val="en-US" w:eastAsia="zh-CN"/>
              </w:rPr>
              <w:t>3</w:t>
            </w:r>
            <w:r>
              <w:rPr>
                <w:rFonts w:hint="eastAsia" w:ascii="Times New Roman" w:hAnsi="Times New Roman" w:cs="Times New Roman"/>
                <w:color w:val="000000"/>
                <w:kern w:val="0"/>
                <w:sz w:val="24"/>
                <w:szCs w:val="24"/>
                <w:highlight w:val="none"/>
                <w:lang w:val="en-US" w:eastAsia="zh-CN"/>
              </w:rPr>
              <w:t>）</w:t>
            </w:r>
          </w:p>
        </w:tc>
        <w:tc>
          <w:tcPr>
            <w:tcW w:w="99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hint="default"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投标报价评分标准（40分）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投标报价分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宋体" w:hAnsi="宋体" w:eastAsia="宋体" w:cs="Times New Roman"/>
                <w:color w:val="000000"/>
                <w:kern w:val="0"/>
                <w:sz w:val="24"/>
                <w:lang w:val="en-US" w:eastAsia="zh-CN"/>
              </w:rPr>
              <w:t>（40分）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取所有有效投标报价的算术平均值作为评标基准价（</w:t>
            </w:r>
            <w:r>
              <w:rPr>
                <w:rFonts w:hint="eastAsia" w:ascii="Times New Roman" w:hAnsi="Times New Roman" w:cs="Times New Roman"/>
                <w:color w:val="000000"/>
                <w:kern w:val="0"/>
                <w:sz w:val="24"/>
                <w:szCs w:val="24"/>
                <w:lang w:val="en-US" w:eastAsia="zh-CN" w:bidi="ar-SA"/>
              </w:rPr>
              <w:t>投标人为</w:t>
            </w:r>
            <w:r>
              <w:rPr>
                <w:rFonts w:hint="eastAsia" w:ascii="Times New Roman" w:hAnsi="Times New Roman" w:cs="Times New Roman" w:eastAsiaTheme="minorEastAsia"/>
                <w:color w:val="000000"/>
                <w:kern w:val="0"/>
                <w:sz w:val="24"/>
                <w:szCs w:val="24"/>
                <w:lang w:val="en-US" w:eastAsia="zh-CN" w:bidi="ar-SA"/>
              </w:rPr>
              <w:t>5家（不含）以上</w:t>
            </w:r>
            <w:r>
              <w:rPr>
                <w:rFonts w:hint="eastAsia" w:ascii="Times New Roman" w:hAnsi="Times New Roman" w:cs="Times New Roman"/>
                <w:color w:val="000000"/>
                <w:kern w:val="0"/>
                <w:sz w:val="24"/>
                <w:szCs w:val="24"/>
                <w:lang w:val="en-US" w:eastAsia="zh-CN" w:bidi="ar-SA"/>
              </w:rPr>
              <w:t>时，</w:t>
            </w:r>
            <w:r>
              <w:rPr>
                <w:rFonts w:hint="eastAsia" w:ascii="Times New Roman" w:hAnsi="Times New Roman" w:cs="Times New Roman" w:eastAsiaTheme="minorEastAsia"/>
                <w:color w:val="000000"/>
                <w:kern w:val="0"/>
                <w:sz w:val="24"/>
                <w:szCs w:val="24"/>
                <w:lang w:val="en-US" w:eastAsia="zh-CN" w:bidi="ar-SA"/>
              </w:rPr>
              <w:t>去掉一个最高价和</w:t>
            </w:r>
            <w:r>
              <w:rPr>
                <w:rFonts w:hint="eastAsia" w:ascii="Times New Roman" w:hAnsi="Times New Roman" w:cs="Times New Roman"/>
                <w:color w:val="000000"/>
                <w:kern w:val="0"/>
                <w:sz w:val="24"/>
                <w:szCs w:val="24"/>
                <w:lang w:val="en-US" w:eastAsia="zh-CN" w:bidi="ar-SA"/>
              </w:rPr>
              <w:t>一个</w:t>
            </w:r>
            <w:r>
              <w:rPr>
                <w:rFonts w:hint="eastAsia" w:ascii="Times New Roman" w:hAnsi="Times New Roman" w:cs="Times New Roman" w:eastAsiaTheme="minorEastAsia"/>
                <w:color w:val="000000"/>
                <w:kern w:val="0"/>
                <w:sz w:val="24"/>
                <w:szCs w:val="24"/>
                <w:lang w:val="en-US" w:eastAsia="zh-CN" w:bidi="ar-SA"/>
              </w:rPr>
              <w:t>最低价），各投标人的投标报价得分按以下公式计算：</w:t>
            </w:r>
          </w:p>
          <w:p>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 xml:space="preserve"> （1）投标人的投标报价等于评标基准价得</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 xml:space="preserve">0分； </w:t>
            </w:r>
          </w:p>
          <w:p>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（2）投标人的投标报价高于评标基准价：</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0-（投标人投标报价-评标基准价）/评标基准价*100*</w:t>
            </w:r>
            <w:r>
              <w:rPr>
                <w:rFonts w:hint="eastAsia" w:ascii="Times New Roman" w:hAnsi="Times New Roman" w:cs="Times New Roman"/>
                <w:color w:val="000000"/>
                <w:kern w:val="0"/>
                <w:sz w:val="24"/>
                <w:szCs w:val="24"/>
                <w:lang w:val="en-US" w:eastAsia="zh-CN" w:bidi="ar-SA"/>
              </w:rPr>
              <w:t>1</w:t>
            </w:r>
            <w:r>
              <w:rPr>
                <w:rFonts w:hint="eastAsia" w:ascii="Times New Roman" w:hAnsi="Times New Roman" w:cs="Times New Roman" w:eastAsiaTheme="minorEastAsia"/>
                <w:color w:val="000000"/>
                <w:kern w:val="0"/>
                <w:sz w:val="24"/>
                <w:szCs w:val="24"/>
                <w:lang w:val="en-US" w:eastAsia="zh-CN" w:bidi="ar-SA"/>
              </w:rPr>
              <w:t xml:space="preserve">； </w:t>
            </w:r>
          </w:p>
          <w:p>
            <w:pPr>
              <w:spacing w:line="460" w:lineRule="exact"/>
              <w:ind w:firstLine="480" w:firstLineChars="200"/>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eastAsiaTheme="minorEastAsia"/>
                <w:color w:val="000000"/>
                <w:kern w:val="0"/>
                <w:sz w:val="24"/>
                <w:szCs w:val="24"/>
                <w:lang w:val="en-US" w:eastAsia="zh-CN" w:bidi="ar-SA"/>
              </w:rPr>
              <w:t>（3）投标人的投标报价低于评标基准价：</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0+（投标人投标报价-评标基准价）/评标基准价*100*</w:t>
            </w:r>
            <w:r>
              <w:rPr>
                <w:rFonts w:hint="eastAsia" w:ascii="Times New Roman" w:hAnsi="Times New Roman" w:cs="Times New Roman"/>
                <w:color w:val="000000"/>
                <w:kern w:val="0"/>
                <w:sz w:val="24"/>
                <w:szCs w:val="24"/>
                <w:lang w:val="en-US" w:eastAsia="zh-CN" w:bidi="ar-SA"/>
              </w:rPr>
              <w:t>0.5</w:t>
            </w:r>
            <w:r>
              <w:rPr>
                <w:rFonts w:hint="eastAsia" w:ascii="Times New Roman" w:hAnsi="Times New Roman" w:cs="Times New Roman" w:eastAsiaTheme="minorEastAsia"/>
                <w:color w:val="000000"/>
                <w:kern w:val="0"/>
                <w:sz w:val="24"/>
                <w:szCs w:val="24"/>
                <w:lang w:val="en-US" w:eastAsia="zh-CN" w:bidi="ar-SA"/>
              </w:rPr>
              <w:t>。</w:t>
            </w:r>
          </w:p>
        </w:tc>
      </w:tr>
      <w:permEnd w:id="70"/>
      <w:permEnd w:id="71"/>
      <w:permEnd w:id="72"/>
      <w:permEnd w:id="73"/>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144974557"/>
      <w:bookmarkStart w:id="373" w:name="_Toc152042367"/>
      <w:bookmarkStart w:id="374" w:name="_Toc179632608"/>
      <w:bookmarkStart w:id="375" w:name="_Toc296602478"/>
      <w:bookmarkStart w:id="376" w:name="_Toc246996976"/>
      <w:bookmarkStart w:id="377" w:name="_Toc247085748"/>
      <w:bookmarkStart w:id="378" w:name="_Toc152045590"/>
      <w:bookmarkStart w:id="379" w:name="_Toc246996233"/>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7085749"/>
      <w:bookmarkStart w:id="381" w:name="_Toc296602479"/>
      <w:bookmarkStart w:id="382" w:name="_Toc144974558"/>
      <w:bookmarkStart w:id="383" w:name="_Toc246996977"/>
      <w:bookmarkStart w:id="384" w:name="_Toc179632609"/>
      <w:bookmarkStart w:id="385" w:name="_Toc246996234"/>
      <w:bookmarkStart w:id="386" w:name="_Toc152045591"/>
      <w:bookmarkStart w:id="387"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46996236"/>
      <w:bookmarkStart w:id="389" w:name="_Toc152045593"/>
      <w:bookmarkStart w:id="390" w:name="_Toc144974560"/>
      <w:bookmarkStart w:id="391" w:name="_Toc179632611"/>
      <w:bookmarkStart w:id="392" w:name="_Toc246996979"/>
      <w:bookmarkStart w:id="393" w:name="_Toc247085751"/>
      <w:bookmarkStart w:id="394" w:name="_Toc296602481"/>
      <w:bookmarkStart w:id="395"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74" w:edGrp="everyone"/>
      <w:r>
        <w:rPr>
          <w:rFonts w:hint="eastAsia" w:ascii="Times New Roman" w:hAnsi="Times New Roman" w:cs="Times New Roman"/>
          <w:kern w:val="0"/>
          <w:sz w:val="24"/>
          <w:szCs w:val="24"/>
          <w:highlight w:val="none"/>
          <w:lang w:val="en-US" w:eastAsia="zh-CN"/>
        </w:rPr>
        <w:t>商务部分</w:t>
      </w:r>
      <w:permEnd w:id="7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75" w:edGrp="everyone"/>
      <w:r>
        <w:rPr>
          <w:rFonts w:hint="eastAsia" w:ascii="Times New Roman" w:hAnsi="Times New Roman" w:cs="Times New Roman"/>
          <w:kern w:val="0"/>
          <w:sz w:val="24"/>
          <w:szCs w:val="24"/>
          <w:highlight w:val="none"/>
          <w:lang w:val="en-US" w:eastAsia="zh-CN"/>
        </w:rPr>
        <w:t>技术部分</w:t>
      </w:r>
      <w:permEnd w:id="7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76" w:edGrp="everyone"/>
      <w:r>
        <w:rPr>
          <w:rFonts w:hint="eastAsia" w:ascii="Times New Roman" w:hAnsi="Times New Roman" w:cs="Times New Roman" w:eastAsiaTheme="minorEastAsia"/>
          <w:kern w:val="0"/>
          <w:sz w:val="24"/>
          <w:szCs w:val="24"/>
          <w:highlight w:val="none"/>
          <w:lang w:val="en-US" w:eastAsia="zh-CN"/>
        </w:rPr>
        <w:t>投标报价</w:t>
      </w:r>
      <w:permEnd w:id="7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77" w:edGrp="everyone"/>
      <w:r>
        <w:rPr>
          <w:rFonts w:hint="eastAsia" w:ascii="Times New Roman" w:hAnsi="Times New Roman" w:cs="Times New Roman" w:eastAsiaTheme="minorEastAsia"/>
          <w:kern w:val="0"/>
          <w:sz w:val="24"/>
          <w:szCs w:val="24"/>
          <w:highlight w:val="none"/>
          <w:lang w:val="en-US" w:eastAsia="zh-CN"/>
        </w:rPr>
        <w:t>其他评分因素</w:t>
      </w:r>
      <w:permEnd w:id="77"/>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7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7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7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7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8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8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47085752"/>
      <w:bookmarkStart w:id="397" w:name="_Toc246996237"/>
      <w:bookmarkStart w:id="398" w:name="_Toc152045594"/>
      <w:bookmarkStart w:id="399" w:name="_Toc246996980"/>
      <w:bookmarkStart w:id="400" w:name="_Toc179632612"/>
      <w:bookmarkStart w:id="401" w:name="_Toc144974561"/>
      <w:bookmarkStart w:id="402" w:name="_Toc296602482"/>
      <w:bookmarkStart w:id="403" w:name="_Toc152042371"/>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96602483"/>
      <w:bookmarkStart w:id="405" w:name="_Toc144974562"/>
      <w:bookmarkStart w:id="406" w:name="_Toc246996238"/>
      <w:bookmarkStart w:id="407" w:name="_Toc179632613"/>
      <w:bookmarkStart w:id="408" w:name="_Toc152045595"/>
      <w:bookmarkStart w:id="409" w:name="_Toc152042372"/>
      <w:bookmarkStart w:id="410" w:name="_Toc247085753"/>
      <w:bookmarkStart w:id="411" w:name="_Toc246996981"/>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246996239"/>
      <w:bookmarkStart w:id="414" w:name="_Toc152045596"/>
      <w:bookmarkStart w:id="415" w:name="_Toc179632614"/>
      <w:bookmarkStart w:id="416" w:name="_Toc246996982"/>
      <w:bookmarkStart w:id="417" w:name="_Toc247085754"/>
      <w:bookmarkStart w:id="418" w:name="_Toc296602484"/>
      <w:bookmarkStart w:id="419"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8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82"/>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8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8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8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8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85"/>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6"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wordWrap w:val="0"/>
              <w:spacing w:line="440" w:lineRule="exact"/>
              <w:ind w:firstLine="480" w:firstLineChars="200"/>
              <w:rPr>
                <w:rFonts w:hint="eastAsia" w:ascii="Times New Roman" w:hAnsi="Times New Roman" w:cs="Times New Roman"/>
                <w:kern w:val="0"/>
                <w:sz w:val="24"/>
                <w:szCs w:val="24"/>
                <w:u w:val="none"/>
                <w:lang w:val="en-US" w:eastAsia="zh-CN"/>
              </w:rPr>
            </w:pPr>
            <w:r>
              <w:rPr>
                <w:rFonts w:hint="eastAsia" w:ascii="Times New Roman" w:hAnsi="Times New Roman" w:cs="Times New Roman"/>
                <w:kern w:val="0"/>
                <w:sz w:val="24"/>
                <w:u w:val="none"/>
              </w:rPr>
              <w:t>签订合同后，自招标人通知之日起20个工作日内完成供货，设备到货并经招标人验收合格后，招标人向中标人支付至合同总金额的80%；招标人验收合格之日起满一年后，招标人向中标人支付至合同总金额的95%；余款5%作为质保金，</w:t>
            </w:r>
            <w:r>
              <w:rPr>
                <w:rFonts w:hint="eastAsia" w:ascii="Times New Roman" w:hAnsi="Times New Roman" w:cs="Times New Roman"/>
                <w:kern w:val="0"/>
                <w:sz w:val="24"/>
                <w:u w:val="none"/>
                <w:lang w:eastAsia="zh-CN"/>
              </w:rPr>
              <w:t>五年</w:t>
            </w:r>
            <w:r>
              <w:rPr>
                <w:rFonts w:hint="eastAsia" w:ascii="Times New Roman" w:hAnsi="Times New Roman" w:cs="Times New Roman"/>
                <w:kern w:val="0"/>
                <w:sz w:val="24"/>
                <w:u w:val="none"/>
              </w:rPr>
              <w:t>质保期满无质量问题或质量问题已处理后，招标人一次性付清余款（本金无息）。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lang w:val="en-US" w:eastAsia="zh-CN"/>
              </w:rPr>
              <w:t>注：</w:t>
            </w:r>
            <w:r>
              <w:rPr>
                <w:rFonts w:hint="eastAsia" w:ascii="Times New Roman" w:hAnsi="Times New Roman" w:cs="Times New Roman"/>
                <w:kern w:val="0"/>
                <w:sz w:val="24"/>
              </w:rPr>
              <w:t>付款前，中标人应开具等额有效的增值税专用发票（税率：13%），否则招标人有权暂停付款。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7" w:edGrp="everyone"/>
            <w:r>
              <w:rPr>
                <w:rFonts w:hint="eastAsia" w:ascii="Times New Roman" w:hAnsi="Times New Roman" w:cs="Times New Roman"/>
                <w:kern w:val="0"/>
                <w:sz w:val="24"/>
                <w:szCs w:val="24"/>
                <w:highlight w:val="none"/>
                <w:shd w:val="clear" w:color="auto" w:fill="auto"/>
                <w:vertAlign w:val="baseline"/>
                <w:lang w:val="en-US" w:eastAsia="zh-CN"/>
              </w:rPr>
              <w:t>设备自交付验收</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合格</w:t>
            </w:r>
            <w:r>
              <w:rPr>
                <w:rFonts w:hint="eastAsia" w:ascii="Times New Roman" w:hAnsi="Times New Roman" w:cs="Times New Roman"/>
                <w:kern w:val="0"/>
                <w:sz w:val="24"/>
                <w:szCs w:val="24"/>
                <w:highlight w:val="none"/>
                <w:shd w:val="clear" w:color="auto" w:fill="auto"/>
                <w:vertAlign w:val="baseline"/>
                <w:lang w:val="en-US" w:eastAsia="zh-CN"/>
              </w:rPr>
              <w:t>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kern w:val="0"/>
                <w:sz w:val="24"/>
                <w:szCs w:val="24"/>
                <w:highlight w:val="none"/>
                <w:shd w:val="clear" w:color="auto" w:fill="auto"/>
                <w:vertAlign w:val="baseline"/>
                <w:lang w:val="en-US" w:eastAsia="zh-CN"/>
              </w:rPr>
              <w:t>年，内部电芯自交付验收</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合格</w:t>
            </w:r>
            <w:r>
              <w:rPr>
                <w:rFonts w:hint="eastAsia" w:ascii="Times New Roman" w:hAnsi="Times New Roman" w:cs="Times New Roman"/>
                <w:kern w:val="0"/>
                <w:sz w:val="24"/>
                <w:szCs w:val="24"/>
                <w:highlight w:val="none"/>
                <w:shd w:val="clear" w:color="auto" w:fill="auto"/>
                <w:vertAlign w:val="baseline"/>
                <w:lang w:val="en-US" w:eastAsia="zh-CN"/>
              </w:rPr>
              <w:t>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5</w:t>
            </w:r>
            <w:r>
              <w:rPr>
                <w:rFonts w:hint="eastAsia" w:ascii="Times New Roman" w:hAnsi="Times New Roman" w:cs="Times New Roman"/>
                <w:kern w:val="0"/>
                <w:sz w:val="24"/>
                <w:szCs w:val="24"/>
                <w:highlight w:val="none"/>
                <w:shd w:val="clear" w:color="auto" w:fill="auto"/>
                <w:vertAlign w:val="baseline"/>
                <w:lang w:val="en-US" w:eastAsia="zh-CN"/>
              </w:rPr>
              <w:t>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outlineLvl w:val="9"/>
              <w:rPr>
                <w:rFonts w:hint="eastAsia" w:ascii="Times New Roman" w:hAnsi="Times New Roman" w:cs="Times New Roman" w:eastAsiaTheme="minorEastAsia"/>
                <w:kern w:val="0"/>
                <w:sz w:val="24"/>
                <w:szCs w:val="24"/>
                <w:u w:val="none"/>
                <w:shd w:val="clear"/>
                <w:vertAlign w:val="baseline"/>
                <w:lang w:val="en-US" w:eastAsia="zh-CN"/>
              </w:rPr>
            </w:pPr>
            <w:r>
              <w:rPr>
                <w:rFonts w:hint="eastAsia" w:ascii="Times New Roman" w:hAnsi="Times New Roman" w:cs="Times New Roman"/>
                <w:kern w:val="0"/>
                <w:sz w:val="24"/>
                <w:szCs w:val="24"/>
                <w:u w:val="none"/>
                <w:shd w:val="clear"/>
                <w:vertAlign w:val="baseline"/>
                <w:lang w:val="en-US" w:eastAsia="zh-CN"/>
              </w:rPr>
              <w:t>其他</w:t>
            </w:r>
          </w:p>
        </w:tc>
        <w:tc>
          <w:tcPr>
            <w:tcW w:w="6253" w:type="dxa"/>
            <w:vAlign w:val="center"/>
          </w:tcPr>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outlineLvl w:val="9"/>
              <w:rPr>
                <w:rFonts w:hint="eastAsia" w:ascii="Times New Roman" w:hAnsi="Times New Roman" w:cs="Times New Roman"/>
                <w:kern w:val="0"/>
                <w:sz w:val="24"/>
                <w:szCs w:val="24"/>
                <w:u w:val="none"/>
                <w:shd w:val="clear"/>
                <w:vertAlign w:val="baseline"/>
                <w:lang w:val="en-US" w:eastAsia="zh-CN"/>
              </w:rPr>
            </w:pPr>
            <w:r>
              <w:rPr>
                <w:rFonts w:hint="eastAsia" w:ascii="Times New Roman" w:hAnsi="Times New Roman" w:cs="Times New Roman" w:eastAsiaTheme="minorEastAsia"/>
                <w:kern w:val="0"/>
                <w:sz w:val="24"/>
                <w:szCs w:val="24"/>
                <w:u w:val="none"/>
                <w:lang w:val="en-US" w:eastAsia="zh-CN"/>
              </w:rPr>
              <w:t>中标人需再向招标人免费提供1台移动式充电桩用于共同经营，共同经营期限不得少于</w:t>
            </w:r>
            <w:r>
              <w:rPr>
                <w:rFonts w:hint="eastAsia" w:ascii="Times New Roman" w:hAnsi="Times New Roman" w:cs="Times New Roman"/>
                <w:kern w:val="0"/>
                <w:sz w:val="24"/>
                <w:szCs w:val="24"/>
                <w:u w:val="none"/>
                <w:lang w:val="en-US" w:eastAsia="zh-CN"/>
              </w:rPr>
              <w:t>半</w:t>
            </w:r>
            <w:r>
              <w:rPr>
                <w:rFonts w:hint="eastAsia" w:ascii="Times New Roman" w:hAnsi="Times New Roman" w:cs="Times New Roman" w:eastAsiaTheme="minorEastAsia"/>
                <w:kern w:val="0"/>
                <w:sz w:val="24"/>
                <w:szCs w:val="24"/>
                <w:u w:val="none"/>
                <w:lang w:val="en-US" w:eastAsia="zh-CN"/>
              </w:rPr>
              <w:t>年</w:t>
            </w:r>
            <w:r>
              <w:rPr>
                <w:rFonts w:hint="eastAsia" w:ascii="Times New Roman" w:hAnsi="Times New Roman" w:cs="Times New Roman"/>
                <w:kern w:val="0"/>
                <w:sz w:val="24"/>
                <w:szCs w:val="24"/>
                <w:u w:val="none"/>
                <w:lang w:val="en-US" w:eastAsia="zh-CN"/>
              </w:rPr>
              <w:t>，半年后根据运营情况双方可以续签共同经营协议。</w:t>
            </w:r>
            <w:r>
              <w:rPr>
                <w:rFonts w:hint="eastAsia" w:ascii="Times New Roman" w:hAnsi="Times New Roman" w:cs="Times New Roman" w:eastAsiaTheme="minorEastAsia"/>
                <w:kern w:val="0"/>
                <w:sz w:val="24"/>
                <w:szCs w:val="24"/>
                <w:u w:val="none"/>
                <w:lang w:val="en-US" w:eastAsia="zh-CN"/>
              </w:rPr>
              <w:t>（共同经营期间，移动式充电桩服务费双方各占50%）。</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364"/>
    <w:bookmarkEnd w:id="365"/>
    <w:bookmarkEnd w:id="366"/>
    <w:bookmarkEnd w:id="367"/>
    <w:bookmarkEnd w:id="368"/>
    <w:bookmarkEnd w:id="369"/>
    <w:bookmarkEnd w:id="370"/>
    <w:bookmarkEnd w:id="371"/>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供货要求</w:t>
      </w:r>
    </w:p>
    <w:p>
      <w:pPr>
        <w:wordWrap w:val="0"/>
        <w:spacing w:line="440" w:lineRule="exact"/>
        <w:ind w:firstLine="480" w:firstLineChars="200"/>
        <w:rPr>
          <w:rFonts w:hint="eastAsia" w:ascii="Times New Roman" w:hAnsi="Times New Roman" w:cs="Times New Roman"/>
          <w:kern w:val="0"/>
          <w:sz w:val="24"/>
          <w:lang w:val="en-US" w:eastAsia="zh-CN"/>
        </w:rPr>
      </w:pPr>
      <w:permStart w:id="88" w:edGrp="everyone"/>
    </w:p>
    <w:p>
      <w:pPr>
        <w:wordWrap w:val="0"/>
        <w:spacing w:line="440" w:lineRule="exact"/>
        <w:ind w:firstLine="480" w:firstLineChars="200"/>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（一）</w:t>
      </w:r>
      <w:r>
        <w:rPr>
          <w:rFonts w:hint="default" w:ascii="Times New Roman" w:hAnsi="Times New Roman" w:cs="Times New Roman"/>
          <w:kern w:val="0"/>
          <w:sz w:val="24"/>
          <w:lang w:val="en-US" w:eastAsia="zh-CN"/>
        </w:rPr>
        <w:t>移动式</w:t>
      </w:r>
      <w:r>
        <w:rPr>
          <w:rFonts w:hint="eastAsia" w:asciiTheme="minorEastAsia" w:hAnsiTheme="minorEastAsia" w:cstheme="minorEastAsia"/>
          <w:sz w:val="24"/>
          <w:szCs w:val="24"/>
          <w:highlight w:val="none"/>
          <w:lang w:val="en-US" w:eastAsia="zh-CN"/>
        </w:rPr>
        <w:t>机器人内置</w:t>
      </w:r>
      <w:r>
        <w:rPr>
          <w:rFonts w:hint="default" w:ascii="Times New Roman" w:hAnsi="Times New Roman" w:cs="Times New Roman"/>
          <w:kern w:val="0"/>
          <w:sz w:val="24"/>
          <w:lang w:val="en-US" w:eastAsia="zh-CN"/>
        </w:rPr>
        <w:t>充电桩技术参数要求</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1.引用标准</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GB/T 18487.1-2015</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电动汽车传导充电系统第1部分：通用要求</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GB/T 20234.1-2015</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电动汽车传导充电用连接装置第1部分：通用要求</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GB/T 20234.3-2015</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电动汽车传导充电用连接装置第2部分：直流充电接口</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 xml:space="preserve">NB/T 33008.1-2013 </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电动汽车充电设备检验试验规范第1部分：非车载充电机</w:t>
      </w:r>
    </w:p>
    <w:p>
      <w:pPr>
        <w:wordWrap w:val="0"/>
        <w:spacing w:line="440" w:lineRule="exact"/>
        <w:ind w:firstLine="480" w:firstLineChars="200"/>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（二）</w:t>
      </w:r>
      <w:r>
        <w:rPr>
          <w:rFonts w:hint="default" w:ascii="Times New Roman" w:hAnsi="Times New Roman" w:cs="Times New Roman"/>
          <w:kern w:val="0"/>
          <w:sz w:val="24"/>
          <w:lang w:val="en-US" w:eastAsia="zh-CN"/>
        </w:rPr>
        <w:t>产品基本功能</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直流充电桩功能，产品包含最大60KW直流输出能力</w:t>
      </w:r>
      <w:r>
        <w:rPr>
          <w:rFonts w:hint="eastAsia" w:ascii="Times New Roman" w:hAnsi="Times New Roman" w:cs="Times New Roman"/>
          <w:kern w:val="0"/>
          <w:sz w:val="24"/>
          <w:lang w:val="en-US" w:eastAsia="zh-CN"/>
        </w:rPr>
        <w:t>。</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1、具有完善的监控与保护功能：运行状态监测、故障状态监测、充电计量和充电过程的联动控制、短路保护、过流保护等功能。</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2、充电结算功能：充电过程自动计量计费，充电记录可查询。</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3、阶梯电价和自定义电价功能：系统采用高精度智能电表，具有多费率多时段计量计费功能，支持阶梯电价和运营单位自定义电价。</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4、储能功能，产品包含至少180kWh储能电池供充电桩离网放电。</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5、移动功能，产品具有遥控移动功能。</w:t>
      </w:r>
    </w:p>
    <w:tbl>
      <w:tblPr>
        <w:tblStyle w:val="16"/>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45"/>
        <w:gridCol w:w="55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top"/>
          </w:tcPr>
          <w:p>
            <w:pPr>
              <w:pStyle w:val="34"/>
              <w:ind w:firstLine="0" w:firstLineChars="0"/>
              <w:jc w:val="center"/>
              <w:rPr>
                <w:rFonts w:hint="eastAsia" w:ascii="宋体" w:hAnsi="宋体" w:eastAsia="宋体" w:cs="宋体"/>
                <w:b/>
                <w:kern w:val="2"/>
                <w:sz w:val="28"/>
                <w:szCs w:val="28"/>
                <w:lang w:val="en-US" w:eastAsia="zh-CN" w:bidi="ar-SA"/>
              </w:rPr>
            </w:pPr>
            <w:r>
              <w:rPr>
                <w:rFonts w:hint="eastAsia" w:ascii="宋体" w:hAnsi="宋体" w:eastAsia="宋体" w:cs="宋体"/>
                <w:b/>
                <w:kern w:val="2"/>
                <w:sz w:val="28"/>
                <w:szCs w:val="28"/>
                <w:lang w:val="en-US" w:eastAsia="zh-CN" w:bidi="ar-SA"/>
              </w:rPr>
              <w:t>项目</w:t>
            </w:r>
          </w:p>
        </w:tc>
        <w:tc>
          <w:tcPr>
            <w:tcW w:w="5575" w:type="dxa"/>
            <w:shd w:val="clear" w:color="auto" w:fill="auto"/>
            <w:vAlign w:val="top"/>
          </w:tcPr>
          <w:p>
            <w:pPr>
              <w:pStyle w:val="34"/>
              <w:ind w:firstLine="0" w:firstLineChars="0"/>
              <w:jc w:val="center"/>
              <w:rPr>
                <w:rFonts w:hint="eastAsia" w:ascii="宋体" w:hAnsi="宋体" w:eastAsia="宋体" w:cs="宋体"/>
                <w:b/>
                <w:kern w:val="2"/>
                <w:sz w:val="28"/>
                <w:szCs w:val="28"/>
                <w:lang w:val="en-US" w:eastAsia="zh-CN" w:bidi="ar-SA"/>
              </w:rPr>
            </w:pPr>
            <w:r>
              <w:rPr>
                <w:rFonts w:hint="eastAsia" w:ascii="宋体" w:hAnsi="宋体" w:eastAsia="宋体" w:cs="宋体"/>
                <w:b/>
                <w:kern w:val="2"/>
                <w:sz w:val="28"/>
                <w:szCs w:val="28"/>
                <w:lang w:val="en-US" w:eastAsia="zh-CN" w:bidi="ar-SA"/>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lang w:val="en-US" w:eastAsia="zh-CN"/>
              </w:rPr>
              <w:t xml:space="preserve"> </w:t>
            </w:r>
            <w:r>
              <w:rPr>
                <w:rFonts w:hint="eastAsia" w:ascii="宋体" w:hAnsi="宋体" w:eastAsia="宋体" w:cs="宋体"/>
                <w:b/>
                <w:kern w:val="2"/>
                <w:sz w:val="24"/>
                <w:szCs w:val="24"/>
                <w:lang w:val="en-US" w:eastAsia="zh-CN" w:bidi="ar-SA"/>
              </w:rPr>
              <w:t>额定电量</w:t>
            </w:r>
          </w:p>
        </w:tc>
        <w:tc>
          <w:tcPr>
            <w:tcW w:w="5575" w:type="dxa"/>
            <w:shd w:val="clear" w:color="auto" w:fill="auto"/>
            <w:vAlign w:val="center"/>
          </w:tcPr>
          <w:p>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rPr>
              <w:t>▲</w:t>
            </w:r>
            <w:r>
              <w:rPr>
                <w:rFonts w:hint="eastAsia" w:ascii="宋体" w:hAnsi="宋体"/>
                <w:sz w:val="24"/>
              </w:rPr>
              <w:t>≥</w:t>
            </w:r>
            <w:r>
              <w:rPr>
                <w:rFonts w:hint="eastAsia" w:ascii="宋体" w:hAnsi="宋体"/>
                <w:sz w:val="24"/>
                <w:lang w:val="en-US" w:eastAsia="zh-CN"/>
              </w:rPr>
              <w:t>180kwh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显示屏</w:t>
            </w:r>
          </w:p>
        </w:tc>
        <w:tc>
          <w:tcPr>
            <w:tcW w:w="5575" w:type="dxa"/>
            <w:shd w:val="clear" w:color="auto" w:fill="auto"/>
            <w:vAlign w:val="center"/>
          </w:tcPr>
          <w:p>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sz w:val="24"/>
              </w:rPr>
              <w:t>7 英寸触摸 LCD 显示屏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充电方式</w:t>
            </w:r>
          </w:p>
        </w:tc>
        <w:tc>
          <w:tcPr>
            <w:tcW w:w="5575" w:type="dxa"/>
            <w:shd w:val="clear" w:color="auto" w:fill="auto"/>
            <w:vAlign w:val="center"/>
          </w:tcPr>
          <w:p>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rPr>
              <w:t>▲</w:t>
            </w:r>
            <w:r>
              <w:rPr>
                <w:rFonts w:hint="eastAsia" w:ascii="宋体" w:hAnsi="宋体"/>
                <w:sz w:val="24"/>
                <w:lang w:val="en-US" w:eastAsia="zh-CN"/>
              </w:rPr>
              <w:t>APP、小程序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操作温度</w:t>
            </w:r>
          </w:p>
        </w:tc>
        <w:tc>
          <w:tcPr>
            <w:tcW w:w="5575" w:type="dxa"/>
            <w:shd w:val="clear" w:color="auto" w:fill="auto"/>
            <w:vAlign w:val="center"/>
          </w:tcPr>
          <w:p>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sz w:val="24"/>
              </w:rPr>
              <w:t>-20℃ ~ 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海拔高度</w:t>
            </w:r>
          </w:p>
        </w:tc>
        <w:tc>
          <w:tcPr>
            <w:tcW w:w="5575" w:type="dxa"/>
            <w:shd w:val="clear" w:color="auto" w:fill="auto"/>
            <w:vAlign w:val="center"/>
          </w:tcPr>
          <w:p>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sz w:val="24"/>
              </w:rPr>
              <w:t>≤ 2000 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防护等级 (IP)</w:t>
            </w:r>
          </w:p>
        </w:tc>
        <w:tc>
          <w:tcPr>
            <w:tcW w:w="5575" w:type="dxa"/>
            <w:shd w:val="clear" w:color="auto" w:fill="auto"/>
            <w:vAlign w:val="center"/>
          </w:tcPr>
          <w:p>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rPr>
              <w:t>▲</w:t>
            </w:r>
            <w:r>
              <w:rPr>
                <w:rFonts w:hint="eastAsia" w:ascii="宋体" w:hAnsi="宋体"/>
                <w:sz w:val="24"/>
                <w:lang w:eastAsia="zh-CN"/>
              </w:rPr>
              <w:t>不低于</w:t>
            </w:r>
            <w:r>
              <w:rPr>
                <w:rFonts w:hint="eastAsia" w:ascii="宋体" w:hAnsi="宋体"/>
                <w:sz w:val="24"/>
              </w:rPr>
              <w:t>IP54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直流充电电缆长度</w:t>
            </w:r>
          </w:p>
        </w:tc>
        <w:tc>
          <w:tcPr>
            <w:tcW w:w="5575" w:type="dxa"/>
            <w:shd w:val="clear" w:color="auto" w:fill="auto"/>
            <w:vAlign w:val="center"/>
          </w:tcPr>
          <w:p>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rPr>
              <w:t>▲</w:t>
            </w:r>
            <w:r>
              <w:rPr>
                <w:rFonts w:hint="eastAsia" w:ascii="宋体" w:hAnsi="宋体"/>
                <w:sz w:val="24"/>
                <w:lang w:eastAsia="zh-CN"/>
              </w:rPr>
              <w:t>不低于</w:t>
            </w:r>
            <w:r>
              <w:rPr>
                <w:rFonts w:hint="eastAsia" w:ascii="宋体" w:hAnsi="宋体"/>
                <w:sz w:val="24"/>
              </w:rPr>
              <w:t>3.5米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充电枪接口标准</w:t>
            </w:r>
          </w:p>
        </w:tc>
        <w:tc>
          <w:tcPr>
            <w:tcW w:w="5575" w:type="dxa"/>
            <w:shd w:val="clear" w:color="auto" w:fill="auto"/>
            <w:vAlign w:val="center"/>
          </w:tcPr>
          <w:p>
            <w:pPr>
              <w:topLinePunct/>
              <w:snapToGrid w:val="0"/>
              <w:spacing w:before="60" w:after="60"/>
              <w:ind w:left="124" w:leftChars="59"/>
              <w:jc w:val="center"/>
              <w:rPr>
                <w:rFonts w:hint="eastAsia" w:ascii="宋体" w:hAnsi="宋体"/>
                <w:sz w:val="24"/>
                <w:lang w:val="en-US" w:eastAsia="zh-CN"/>
              </w:rPr>
            </w:pPr>
            <w:r>
              <w:rPr>
                <w:rFonts w:hint="eastAsia" w:ascii="宋体" w:hAnsi="宋体"/>
                <w:sz w:val="24"/>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top"/>
          </w:tcPr>
          <w:p>
            <w:pPr>
              <w:widowControl/>
              <w:jc w:val="center"/>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充电接口</w:t>
            </w:r>
          </w:p>
        </w:tc>
        <w:tc>
          <w:tcPr>
            <w:tcW w:w="5575" w:type="dxa"/>
            <w:shd w:val="clear" w:color="auto" w:fill="auto"/>
            <w:vAlign w:val="top"/>
          </w:tcPr>
          <w:p>
            <w:pPr>
              <w:topLinePunct/>
              <w:snapToGrid w:val="0"/>
              <w:spacing w:before="60" w:after="60"/>
              <w:ind w:left="124" w:leftChars="59"/>
              <w:jc w:val="center"/>
              <w:rPr>
                <w:rFonts w:hint="eastAsia" w:ascii="宋体" w:hAnsi="宋体"/>
                <w:sz w:val="24"/>
                <w:lang w:val="en-US" w:eastAsia="zh-CN"/>
              </w:rPr>
            </w:pPr>
            <w:r>
              <w:rPr>
                <w:rFonts w:hint="eastAsia" w:ascii="宋体" w:hAnsi="宋体"/>
                <w:sz w:val="24"/>
                <w:lang w:val="en-US" w:eastAsia="zh-CN"/>
              </w:rPr>
              <w:t>满足GB/T 20234-2015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软件配置</w:t>
            </w:r>
          </w:p>
        </w:tc>
        <w:tc>
          <w:tcPr>
            <w:tcW w:w="5575" w:type="dxa"/>
            <w:shd w:val="clear" w:color="auto" w:fill="auto"/>
            <w:vAlign w:val="center"/>
          </w:tcPr>
          <w:p>
            <w:pPr>
              <w:topLinePunct/>
              <w:snapToGrid w:val="0"/>
              <w:spacing w:before="60" w:after="60"/>
              <w:ind w:left="124" w:leftChars="59"/>
              <w:jc w:val="center"/>
              <w:rPr>
                <w:rFonts w:hint="eastAsia" w:ascii="宋体" w:hAnsi="宋体"/>
                <w:sz w:val="24"/>
                <w:lang w:val="en-US" w:eastAsia="zh-CN"/>
              </w:rPr>
            </w:pPr>
            <w:r>
              <w:rPr>
                <w:rFonts w:hint="eastAsia" w:ascii="宋体" w:hAnsi="宋体" w:cs="宋体"/>
                <w:szCs w:val="21"/>
              </w:rPr>
              <w:t>▲</w:t>
            </w:r>
            <w:r>
              <w:rPr>
                <w:rFonts w:hint="eastAsia" w:ascii="宋体" w:hAnsi="宋体"/>
                <w:sz w:val="24"/>
                <w:lang w:val="en-US" w:eastAsia="zh-CN"/>
              </w:rPr>
              <w:t>采用国标2015协议，兼容2011协议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pPr>
              <w:widowControl/>
              <w:jc w:val="center"/>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与车辆通讯协议</w:t>
            </w:r>
          </w:p>
        </w:tc>
        <w:tc>
          <w:tcPr>
            <w:tcW w:w="5575" w:type="dxa"/>
            <w:shd w:val="clear" w:color="auto" w:fill="auto"/>
            <w:vAlign w:val="center"/>
          </w:tcPr>
          <w:p>
            <w:pPr>
              <w:topLinePunct/>
              <w:snapToGrid w:val="0"/>
              <w:spacing w:before="60" w:after="60"/>
              <w:ind w:left="124" w:leftChars="59"/>
              <w:jc w:val="center"/>
              <w:rPr>
                <w:rFonts w:hint="eastAsia" w:ascii="宋体" w:hAnsi="宋体"/>
                <w:sz w:val="24"/>
                <w:lang w:val="en-US" w:eastAsia="zh-CN"/>
              </w:rPr>
            </w:pPr>
            <w:r>
              <w:rPr>
                <w:rFonts w:hint="eastAsia" w:ascii="宋体" w:hAnsi="宋体" w:cs="宋体"/>
                <w:szCs w:val="21"/>
              </w:rPr>
              <w:t>▲</w:t>
            </w:r>
            <w:r>
              <w:rPr>
                <w:rFonts w:hint="eastAsia" w:ascii="宋体" w:hAnsi="宋体"/>
                <w:sz w:val="24"/>
                <w:lang w:val="en-US" w:eastAsia="zh-CN"/>
              </w:rPr>
              <w:t>GB/T 27930-2015</w:t>
            </w:r>
          </w:p>
        </w:tc>
      </w:tr>
    </w:tbl>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（三）运营平台技术要求</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本项目采购的充电桩平台需为公有云平台，招标人无需承担该平台所需的服务器等部署资源费。</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中标方所有的充电数据接口要免费接入招标人指定的平台。</w:t>
      </w:r>
      <w:r>
        <w:rPr>
          <w:rFonts w:hint="eastAsia" w:ascii="Times New Roman" w:hAnsi="Times New Roman" w:cs="Times New Roman"/>
          <w:kern w:val="0"/>
          <w:sz w:val="24"/>
          <w:lang w:val="en-US" w:eastAsia="zh-CN"/>
        </w:rPr>
        <w:t>招标人</w:t>
      </w:r>
      <w:r>
        <w:rPr>
          <w:rFonts w:hint="default" w:ascii="Times New Roman" w:hAnsi="Times New Roman" w:cs="Times New Roman"/>
          <w:kern w:val="0"/>
          <w:sz w:val="24"/>
          <w:lang w:val="en-US" w:eastAsia="zh-CN"/>
        </w:rPr>
        <w:t>建设亳州市充电桩运营平台建设完成后，中标人应在3个月内免费无条件直连接入充电桩运营平台。</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支持上级政府监控平台、电子政务平台等数据上报，excel数据格式。</w:t>
      </w:r>
    </w:p>
    <w:p>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支持充电设施运营商、车辆制造商、第三方互联网平台互联互通，实现数据整合与共享。</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b w:val="0"/>
          <w:bCs w:val="0"/>
          <w:kern w:val="0"/>
          <w:sz w:val="24"/>
          <w:szCs w:val="24"/>
          <w:lang w:val="en-US" w:eastAsia="zh-CN"/>
        </w:rPr>
        <w:t>（四）供货要求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交货前，投标人应对货物质量、规格、性能、数量和重量等进行详细全面的检验，并出具一份证明货物符合招标文件要求及合同约定的检验证书，投标人的检验结果和细节应附在检验证书内。</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检验证书是付款时所需要的必要文件，但不作为货物质量、规格、数量及重量的最终检验结果。</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投标设备运抵现场后，招标人可向质监或有关部门申请对货物的质量、规格、数量和重量进行检验，并出具检验证书，也可自行组织验收，也可委托第三方检测机构进行验收。</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设备的到货验收包括：数量、外观、质量、随机备件备品、装箱单、随机资料（质量检验合格证、图纸）及包装等。</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投标人向招标人交付设备后，招标人在运营实况下进行测试，如设备技术性能指标检验考核结果不符合本章技术标准和要求及投标文件承诺，投标人应无条件进行退换货处理。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lang w:val="en-US" w:eastAsia="zh-CN"/>
        </w:rPr>
        <w:t>五）</w:t>
      </w:r>
      <w:r>
        <w:rPr>
          <w:rFonts w:hint="default" w:ascii="Times New Roman" w:hAnsi="Times New Roman" w:cs="Times New Roman"/>
          <w:b w:val="0"/>
          <w:bCs w:val="0"/>
          <w:kern w:val="0"/>
          <w:sz w:val="24"/>
          <w:szCs w:val="24"/>
          <w:lang w:val="en-US" w:eastAsia="zh-CN"/>
        </w:rPr>
        <w:t>相关服务要求</w:t>
      </w:r>
    </w:p>
    <w:permEnd w:id="88"/>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1.招标人保留在签订合同前对本章技术标准和要求进行补充、修改的权利，投标人应予以配合；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2.投标人应保证投标设备是原厂生产的全新未使用的合格产品，各类指标均符合国家强制性标准、制造商出厂检验标准以及行业标准；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3.投标设备的品牌、型号、规格、主要技术指标、质保期等均应详细明确，产品及其附件的铭牌、使用指南、警告指示等应以中文或英文或通用符号表示，且能准确无误反映产品信息；</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4.投标人应提交投标设备的技术文件，包括相应的每一套设备和仪器的中文技术文件，如产品目录、图纸、操作手册、使用说明、维护手册、服务指南等，这些文件应随同投标设备一起交付招标人；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5.招标人如需要，投标人应能说明投标设备的主要技术指标，能提供与指标相对应的在有效期内的检测报告，能提供质量保证承诺、售后服务条款和技术支持等相关材料；</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6.投标人投标设备质保期</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年</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内部电芯及电池组件质保期5年</w:t>
      </w:r>
      <w:r>
        <w:rPr>
          <w:rFonts w:hint="eastAsia" w:ascii="Times New Roman" w:hAnsi="Times New Roman" w:cs="Times New Roman"/>
          <w:kern w:val="0"/>
          <w:sz w:val="24"/>
        </w:rPr>
        <w:t>。质保期自货到验收合格之日起开始计算</w:t>
      </w:r>
      <w:r>
        <w:rPr>
          <w:rFonts w:hint="eastAsia" w:ascii="Times New Roman" w:hAnsi="Times New Roman" w:cs="Times New Roman"/>
          <w:kern w:val="0"/>
          <w:sz w:val="24"/>
          <w:lang w:eastAsia="zh-CN"/>
        </w:rPr>
        <w:t>。</w:t>
      </w:r>
      <w:r>
        <w:rPr>
          <w:rFonts w:hint="eastAsia" w:ascii="Times New Roman" w:hAnsi="Times New Roman" w:cs="Times New Roman"/>
          <w:kern w:val="0"/>
          <w:sz w:val="24"/>
        </w:rPr>
        <w:t>投标人或制造商或国家有更长质保期承诺和规定的，应从其承诺和规定。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标明所有配件名称及过保后所需费用</w:t>
      </w:r>
      <w:r>
        <w:rPr>
          <w:rFonts w:hint="eastAsia" w:ascii="Times New Roman" w:hAnsi="Times New Roman" w:cs="Times New Roman"/>
          <w:kern w:val="0"/>
          <w:sz w:val="24"/>
          <w:lang w:eastAsia="zh-CN"/>
        </w:rPr>
        <w:t>）</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7</w:t>
      </w:r>
      <w:r>
        <w:rPr>
          <w:rFonts w:hint="eastAsia" w:ascii="Times New Roman" w:hAnsi="Times New Roman" w:cs="Times New Roman"/>
          <w:kern w:val="0"/>
          <w:sz w:val="24"/>
        </w:rPr>
        <w:t>.投标人如有违反售后服务条款或质量承诺，给招标人造成损失的应承担赔偿责任；</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lang w:val="en-US" w:eastAsia="zh-CN"/>
        </w:rPr>
        <w:t>8</w:t>
      </w:r>
      <w:r>
        <w:rPr>
          <w:rFonts w:hint="eastAsia" w:ascii="Times New Roman" w:hAnsi="Times New Roman" w:cs="Times New Roman"/>
          <w:kern w:val="0"/>
          <w:sz w:val="24"/>
        </w:rPr>
        <w:t>.投标人应当向招标人提供投标设备操作培训，培训效果应达到招标人工作人员能够独立进行日常操作和简单维护的水平。</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eastAsiaTheme="minorEastAsia"/>
          <w:b w:val="0"/>
          <w:bCs w:val="0"/>
          <w:kern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0" w:name="_Toc152045787"/>
      <w:bookmarkStart w:id="421" w:name="_Toc152042576"/>
      <w:bookmarkStart w:id="422" w:name="_Toc300835209"/>
      <w:bookmarkStart w:id="423" w:name="_Toc247527827"/>
      <w:bookmarkStart w:id="424" w:name="_Toc144974856"/>
      <w:bookmarkStart w:id="425" w:name="_Toc247514246"/>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sz w:val="20"/>
          <w:szCs w:val="20"/>
        </w:rPr>
      </w:pPr>
      <w:bookmarkStart w:id="426" w:name="_Toc144974857"/>
      <w:bookmarkStart w:id="427" w:name="_Toc300835210"/>
      <w:bookmarkStart w:id="428" w:name="_Toc152045788"/>
      <w:bookmarkStart w:id="429" w:name="_Toc247514247"/>
      <w:bookmarkStart w:id="430" w:name="_Toc152042577"/>
      <w:bookmarkStart w:id="431" w:name="_Toc247527828"/>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8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89"/>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4）商务和技术偏差表；（5）分项报价表；（6）资格审查资料；（7）投标产品性能指标的详细描述；（8）技术支持资料；（9）相关服务计划；（10）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300835213"/>
      <w:bookmarkStart w:id="433" w:name="_Toc247527831"/>
      <w:bookmarkStart w:id="434" w:name="_Toc152042580"/>
      <w:bookmarkStart w:id="435" w:name="_Toc152045791"/>
      <w:bookmarkStart w:id="436" w:name="_Toc247514283"/>
      <w:bookmarkStart w:id="437" w:name="_Toc14497486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38" w:name="_Toc247514284"/>
      <w:bookmarkStart w:id="439" w:name="_Toc152045792"/>
      <w:bookmarkStart w:id="440" w:name="_Toc247527832"/>
      <w:bookmarkStart w:id="441" w:name="_Toc152042581"/>
      <w:bookmarkStart w:id="442" w:name="_Toc300835214"/>
      <w:bookmarkStart w:id="443" w:name="_Toc144974861"/>
      <w:r>
        <w:rPr>
          <w:rFonts w:hint="default" w:ascii="Times New Roman" w:hAnsi="Times New Roman" w:cs="Times New Roman"/>
        </w:rPr>
        <w:t>二、授权委托书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委托代理人身份证复印件和2024年 1月起任意3个月及以上养老保险证明。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44" w:name="_Toc144974862"/>
      <w:bookmarkStart w:id="445" w:name="_Toc300835216"/>
      <w:bookmarkStart w:id="446" w:name="_Toc152042583"/>
      <w:bookmarkStart w:id="447" w:name="_Toc247514286"/>
      <w:bookmarkStart w:id="448" w:name="_Toc152045794"/>
      <w:bookmarkStart w:id="449"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rPr>
          <w:rFonts w:hint="default" w:ascii="Times New Roman" w:hAnsi="Times New Roman" w:cs="Times New Roman"/>
        </w:rPr>
      </w:pPr>
      <w:bookmarkStart w:id="451" w:name="_Toc247514287"/>
      <w:bookmarkStart w:id="452" w:name="_Toc152045795"/>
      <w:bookmarkStart w:id="453" w:name="_Toc300835218"/>
      <w:bookmarkStart w:id="454" w:name="_Toc144974863"/>
      <w:bookmarkStart w:id="455" w:name="_Toc152042584"/>
      <w:bookmarkStart w:id="456" w:name="_Toc24752783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51"/>
      <w:bookmarkEnd w:id="452"/>
      <w:bookmarkEnd w:id="453"/>
      <w:bookmarkEnd w:id="454"/>
      <w:bookmarkEnd w:id="455"/>
      <w:bookmarkEnd w:id="456"/>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57" w:name="_Toc152042585"/>
            <w:bookmarkStart w:id="458" w:name="_Toc300835221"/>
            <w:bookmarkStart w:id="459" w:name="_Toc247527836"/>
            <w:bookmarkStart w:id="460" w:name="_Toc152045796"/>
            <w:bookmarkStart w:id="461" w:name="_Toc247514288"/>
            <w:bookmarkStart w:id="462" w:name="_Toc144974864"/>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57"/>
      <w:bookmarkEnd w:id="458"/>
      <w:bookmarkEnd w:id="459"/>
      <w:bookmarkEnd w:id="460"/>
      <w:bookmarkEnd w:id="461"/>
      <w:bookmarkEnd w:id="462"/>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63"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63"/>
    <w:p>
      <w:pPr>
        <w:pStyle w:val="3"/>
        <w:jc w:val="center"/>
        <w:rPr>
          <w:rFonts w:hint="eastAsia"/>
          <w:highlight w:val="none"/>
        </w:rPr>
      </w:pPr>
      <w:bookmarkStart w:id="464" w:name="_Toc246997112"/>
      <w:bookmarkStart w:id="465" w:name="_Toc179632823"/>
      <w:bookmarkStart w:id="466" w:name="_Toc152042592"/>
      <w:bookmarkStart w:id="467" w:name="_Toc296602614"/>
      <w:bookmarkStart w:id="468" w:name="_Toc246996369"/>
      <w:bookmarkStart w:id="469" w:name="_Toc144974871"/>
      <w:bookmarkStart w:id="470" w:name="_Toc152045803"/>
      <w:bookmarkStart w:id="471" w:name="_Toc247085887"/>
      <w:bookmarkStart w:id="472" w:name="_Toc300835224"/>
      <w:bookmarkStart w:id="473" w:name="_Toc247514300"/>
      <w:bookmarkStart w:id="474" w:name="_Toc247527848"/>
      <w:bookmarkStart w:id="475" w:name="_Toc144974876"/>
      <w:bookmarkStart w:id="476" w:name="_Toc152042597"/>
      <w:bookmarkStart w:id="477" w:name="_Toc152045808"/>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90"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“近年完成的类似项目情况表”应附合同协议书等的复印件，具体时间要求见投标人须知前附表。每张表格只填写一个项目，并标明序号。</w:t>
      </w:r>
    </w:p>
    <w:permEnd w:id="90"/>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464"/>
      <w:bookmarkEnd w:id="465"/>
      <w:bookmarkEnd w:id="466"/>
      <w:bookmarkEnd w:id="467"/>
      <w:bookmarkEnd w:id="468"/>
      <w:bookmarkEnd w:id="469"/>
      <w:bookmarkEnd w:id="470"/>
      <w:bookmarkEnd w:id="471"/>
      <w:r>
        <w:rPr>
          <w:rFonts w:hint="eastAsia"/>
          <w:lang w:val="en-US" w:eastAsia="zh-CN"/>
        </w:rPr>
        <w:t>投标产品性能指标的详细描述</w:t>
      </w:r>
    </w:p>
    <w:bookmarkEnd w:id="472"/>
    <w:bookmarkEnd w:id="473"/>
    <w:bookmarkEnd w:id="474"/>
    <w:bookmarkEnd w:id="475"/>
    <w:bookmarkEnd w:id="476"/>
    <w:bookmarkEnd w:id="477"/>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8" w:name="_Toc144974881"/>
      <w:bookmarkStart w:id="479" w:name="_Toc247527853"/>
      <w:bookmarkStart w:id="480" w:name="_Toc247530162"/>
      <w:bookmarkStart w:id="481" w:name="_Toc247514305"/>
      <w:bookmarkStart w:id="482" w:name="_Toc152042602"/>
      <w:bookmarkStart w:id="483" w:name="_Toc152045813"/>
    </w:p>
    <w:bookmarkEnd w:id="478"/>
    <w:bookmarkEnd w:id="479"/>
    <w:bookmarkEnd w:id="480"/>
    <w:bookmarkEnd w:id="481"/>
    <w:bookmarkEnd w:id="482"/>
    <w:bookmarkEnd w:id="483"/>
    <w:p>
      <w:pPr>
        <w:pStyle w:val="3"/>
        <w:jc w:val="center"/>
        <w:rPr>
          <w:rFonts w:hint="default" w:ascii="Times New Roman" w:hAnsi="Times New Roman" w:cs="Times New Roman"/>
        </w:rPr>
      </w:pPr>
      <w:bookmarkStart w:id="484" w:name="_Toc300835233"/>
      <w:bookmarkStart w:id="485"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84"/>
      <w:bookmarkEnd w:id="485"/>
    </w:p>
    <w:p>
      <w:pPr>
        <w:ind w:firstLine="420" w:firstLineChars="200"/>
        <w:rPr>
          <w:rFonts w:hint="eastAsia" w:ascii="Times New Roman" w:hAnsi="Times New Roman" w:eastAsiaTheme="minorEastAsia"/>
          <w:lang w:eastAsia="zh-CN"/>
        </w:rPr>
      </w:pPr>
      <w:permStart w:id="91"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91"/>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EU-F1">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927CB6"/>
    <w:multiLevelType w:val="singleLevel"/>
    <w:tmpl w:val="49927CB6"/>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0752034b-caf9-415d-bc6f-1f3e27a3c6ff"/>
  </w:docVars>
  <w:rsids>
    <w:rsidRoot w:val="00000000"/>
    <w:rsid w:val="000A4B92"/>
    <w:rsid w:val="00104448"/>
    <w:rsid w:val="001978C2"/>
    <w:rsid w:val="002609D3"/>
    <w:rsid w:val="002C069E"/>
    <w:rsid w:val="003752C8"/>
    <w:rsid w:val="0040224D"/>
    <w:rsid w:val="00541695"/>
    <w:rsid w:val="00696F68"/>
    <w:rsid w:val="00733B0B"/>
    <w:rsid w:val="00764376"/>
    <w:rsid w:val="007958E0"/>
    <w:rsid w:val="00796B76"/>
    <w:rsid w:val="00850CC0"/>
    <w:rsid w:val="00B00F2F"/>
    <w:rsid w:val="00D032BE"/>
    <w:rsid w:val="00E30FAC"/>
    <w:rsid w:val="00E54D24"/>
    <w:rsid w:val="00FF308E"/>
    <w:rsid w:val="010158D6"/>
    <w:rsid w:val="011E6004"/>
    <w:rsid w:val="01253372"/>
    <w:rsid w:val="0145105E"/>
    <w:rsid w:val="014A102B"/>
    <w:rsid w:val="01543C57"/>
    <w:rsid w:val="018E53BB"/>
    <w:rsid w:val="019846E3"/>
    <w:rsid w:val="01CB0CDF"/>
    <w:rsid w:val="01CD2334"/>
    <w:rsid w:val="01E140D3"/>
    <w:rsid w:val="01EE4D0C"/>
    <w:rsid w:val="01F16263"/>
    <w:rsid w:val="02016132"/>
    <w:rsid w:val="0212370C"/>
    <w:rsid w:val="021D348F"/>
    <w:rsid w:val="022C0730"/>
    <w:rsid w:val="023A1A82"/>
    <w:rsid w:val="024C62D4"/>
    <w:rsid w:val="025263E9"/>
    <w:rsid w:val="0261662C"/>
    <w:rsid w:val="026E5FAB"/>
    <w:rsid w:val="026F1774"/>
    <w:rsid w:val="02983D41"/>
    <w:rsid w:val="029E226A"/>
    <w:rsid w:val="029F2BC9"/>
    <w:rsid w:val="02A31129"/>
    <w:rsid w:val="02A46690"/>
    <w:rsid w:val="02AC508C"/>
    <w:rsid w:val="02BE075F"/>
    <w:rsid w:val="02D50DC8"/>
    <w:rsid w:val="02DE5ECF"/>
    <w:rsid w:val="02F4317E"/>
    <w:rsid w:val="03030333"/>
    <w:rsid w:val="030B18CA"/>
    <w:rsid w:val="0324584F"/>
    <w:rsid w:val="032652C7"/>
    <w:rsid w:val="033964DC"/>
    <w:rsid w:val="0345268F"/>
    <w:rsid w:val="034877EC"/>
    <w:rsid w:val="035021B2"/>
    <w:rsid w:val="03642557"/>
    <w:rsid w:val="03696450"/>
    <w:rsid w:val="038E65F9"/>
    <w:rsid w:val="03AA4003"/>
    <w:rsid w:val="03C10800"/>
    <w:rsid w:val="03C96DCC"/>
    <w:rsid w:val="03F359AA"/>
    <w:rsid w:val="03FB71CD"/>
    <w:rsid w:val="04127BBC"/>
    <w:rsid w:val="041515CF"/>
    <w:rsid w:val="04210376"/>
    <w:rsid w:val="04212D24"/>
    <w:rsid w:val="042C575E"/>
    <w:rsid w:val="04382327"/>
    <w:rsid w:val="043A6EF6"/>
    <w:rsid w:val="043F5557"/>
    <w:rsid w:val="044363A4"/>
    <w:rsid w:val="04856772"/>
    <w:rsid w:val="04885B47"/>
    <w:rsid w:val="04A52387"/>
    <w:rsid w:val="04B54547"/>
    <w:rsid w:val="04B862AB"/>
    <w:rsid w:val="04CD15E8"/>
    <w:rsid w:val="04CF4810"/>
    <w:rsid w:val="04D63FDF"/>
    <w:rsid w:val="04D8694E"/>
    <w:rsid w:val="04EB08D2"/>
    <w:rsid w:val="04EC7DA2"/>
    <w:rsid w:val="050252F6"/>
    <w:rsid w:val="05027E6C"/>
    <w:rsid w:val="055625ED"/>
    <w:rsid w:val="0560706F"/>
    <w:rsid w:val="0566574C"/>
    <w:rsid w:val="0572490A"/>
    <w:rsid w:val="057E3D65"/>
    <w:rsid w:val="058253F2"/>
    <w:rsid w:val="05872EB9"/>
    <w:rsid w:val="05923C96"/>
    <w:rsid w:val="05933026"/>
    <w:rsid w:val="059835D0"/>
    <w:rsid w:val="05AF1F5A"/>
    <w:rsid w:val="05B66F83"/>
    <w:rsid w:val="05BA17C0"/>
    <w:rsid w:val="05D9116E"/>
    <w:rsid w:val="05DB04A3"/>
    <w:rsid w:val="061F0438"/>
    <w:rsid w:val="06292F58"/>
    <w:rsid w:val="063F4D83"/>
    <w:rsid w:val="06451DC1"/>
    <w:rsid w:val="06497B03"/>
    <w:rsid w:val="064B59D4"/>
    <w:rsid w:val="06501BB5"/>
    <w:rsid w:val="06624967"/>
    <w:rsid w:val="06626753"/>
    <w:rsid w:val="06714440"/>
    <w:rsid w:val="067240CC"/>
    <w:rsid w:val="06866D3C"/>
    <w:rsid w:val="06972E4E"/>
    <w:rsid w:val="06A31B6E"/>
    <w:rsid w:val="06A848F7"/>
    <w:rsid w:val="06A905A2"/>
    <w:rsid w:val="06AE0835"/>
    <w:rsid w:val="06B86823"/>
    <w:rsid w:val="06BF2153"/>
    <w:rsid w:val="06D375E0"/>
    <w:rsid w:val="06D9502E"/>
    <w:rsid w:val="06DF5D71"/>
    <w:rsid w:val="06E329B2"/>
    <w:rsid w:val="06EB4F76"/>
    <w:rsid w:val="06ED1728"/>
    <w:rsid w:val="06F81D74"/>
    <w:rsid w:val="06FC74D4"/>
    <w:rsid w:val="071A70F3"/>
    <w:rsid w:val="073D0CEA"/>
    <w:rsid w:val="074267A8"/>
    <w:rsid w:val="074A7C93"/>
    <w:rsid w:val="07666E00"/>
    <w:rsid w:val="07723470"/>
    <w:rsid w:val="077965A7"/>
    <w:rsid w:val="07832BA1"/>
    <w:rsid w:val="07972327"/>
    <w:rsid w:val="079E79DA"/>
    <w:rsid w:val="07A85930"/>
    <w:rsid w:val="07AF1BE8"/>
    <w:rsid w:val="07C82CA9"/>
    <w:rsid w:val="07EE56D8"/>
    <w:rsid w:val="07F43A9E"/>
    <w:rsid w:val="08033CE1"/>
    <w:rsid w:val="083726B7"/>
    <w:rsid w:val="08554A0D"/>
    <w:rsid w:val="08563EE1"/>
    <w:rsid w:val="086D3DA1"/>
    <w:rsid w:val="08774BE1"/>
    <w:rsid w:val="088A4403"/>
    <w:rsid w:val="088B0BE4"/>
    <w:rsid w:val="088F5820"/>
    <w:rsid w:val="08903F11"/>
    <w:rsid w:val="08932D8F"/>
    <w:rsid w:val="08ED571D"/>
    <w:rsid w:val="08F024B8"/>
    <w:rsid w:val="08F53A28"/>
    <w:rsid w:val="08F85810"/>
    <w:rsid w:val="0922447E"/>
    <w:rsid w:val="0926237D"/>
    <w:rsid w:val="092D0C4C"/>
    <w:rsid w:val="09500971"/>
    <w:rsid w:val="096213E6"/>
    <w:rsid w:val="09631DA5"/>
    <w:rsid w:val="09641BD1"/>
    <w:rsid w:val="0967298A"/>
    <w:rsid w:val="098F4C8F"/>
    <w:rsid w:val="099948FD"/>
    <w:rsid w:val="09A71C3D"/>
    <w:rsid w:val="09AF2C22"/>
    <w:rsid w:val="09B32D8C"/>
    <w:rsid w:val="09C37FE6"/>
    <w:rsid w:val="09D236A1"/>
    <w:rsid w:val="09DB25D9"/>
    <w:rsid w:val="09DF226A"/>
    <w:rsid w:val="09EC69D2"/>
    <w:rsid w:val="0A074254"/>
    <w:rsid w:val="0A0A75A9"/>
    <w:rsid w:val="0A3B332D"/>
    <w:rsid w:val="0A430A92"/>
    <w:rsid w:val="0A466107"/>
    <w:rsid w:val="0A500304"/>
    <w:rsid w:val="0A5234C1"/>
    <w:rsid w:val="0A5B2776"/>
    <w:rsid w:val="0A704DEE"/>
    <w:rsid w:val="0A8B5261"/>
    <w:rsid w:val="0A8C6210"/>
    <w:rsid w:val="0A8E5075"/>
    <w:rsid w:val="0A907D3B"/>
    <w:rsid w:val="0AA913FB"/>
    <w:rsid w:val="0AAE6B76"/>
    <w:rsid w:val="0AB37F43"/>
    <w:rsid w:val="0AB930A2"/>
    <w:rsid w:val="0ADD0DF0"/>
    <w:rsid w:val="0AEB40E8"/>
    <w:rsid w:val="0B0E131B"/>
    <w:rsid w:val="0B416906"/>
    <w:rsid w:val="0B422D73"/>
    <w:rsid w:val="0B5D1C2A"/>
    <w:rsid w:val="0B685C3C"/>
    <w:rsid w:val="0B7202E7"/>
    <w:rsid w:val="0B991D46"/>
    <w:rsid w:val="0B9F686D"/>
    <w:rsid w:val="0BAA1044"/>
    <w:rsid w:val="0BDE31B0"/>
    <w:rsid w:val="0C110CA2"/>
    <w:rsid w:val="0C773477"/>
    <w:rsid w:val="0C833643"/>
    <w:rsid w:val="0C886EAB"/>
    <w:rsid w:val="0C957310"/>
    <w:rsid w:val="0C9F113B"/>
    <w:rsid w:val="0CD3448B"/>
    <w:rsid w:val="0CF072F3"/>
    <w:rsid w:val="0D2466BD"/>
    <w:rsid w:val="0D3A1668"/>
    <w:rsid w:val="0D3C216F"/>
    <w:rsid w:val="0D5C2246"/>
    <w:rsid w:val="0D6A3C45"/>
    <w:rsid w:val="0D7F3B4D"/>
    <w:rsid w:val="0D84383E"/>
    <w:rsid w:val="0DA13B17"/>
    <w:rsid w:val="0DA277FF"/>
    <w:rsid w:val="0DA87805"/>
    <w:rsid w:val="0DB22432"/>
    <w:rsid w:val="0DB8057F"/>
    <w:rsid w:val="0DBD75AC"/>
    <w:rsid w:val="0DC57869"/>
    <w:rsid w:val="0DD331D8"/>
    <w:rsid w:val="0DDB677F"/>
    <w:rsid w:val="0E093A81"/>
    <w:rsid w:val="0E1201C4"/>
    <w:rsid w:val="0E230C39"/>
    <w:rsid w:val="0E35096D"/>
    <w:rsid w:val="0E3C08A3"/>
    <w:rsid w:val="0E464928"/>
    <w:rsid w:val="0E626142"/>
    <w:rsid w:val="0E6D3EE4"/>
    <w:rsid w:val="0E8168AC"/>
    <w:rsid w:val="0E9601D9"/>
    <w:rsid w:val="0EAA3109"/>
    <w:rsid w:val="0EDF4D5E"/>
    <w:rsid w:val="0EF860F0"/>
    <w:rsid w:val="0F024085"/>
    <w:rsid w:val="0F1438EF"/>
    <w:rsid w:val="0F144A26"/>
    <w:rsid w:val="0F274759"/>
    <w:rsid w:val="0F463825"/>
    <w:rsid w:val="0F4B0F6A"/>
    <w:rsid w:val="0F575798"/>
    <w:rsid w:val="0F5F5CB1"/>
    <w:rsid w:val="0F6D192D"/>
    <w:rsid w:val="0F6E4AA0"/>
    <w:rsid w:val="0F865924"/>
    <w:rsid w:val="0F886069"/>
    <w:rsid w:val="0F895414"/>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A65B52"/>
    <w:rsid w:val="10D07BC0"/>
    <w:rsid w:val="10D35E97"/>
    <w:rsid w:val="10EA43CD"/>
    <w:rsid w:val="11114551"/>
    <w:rsid w:val="112269D1"/>
    <w:rsid w:val="11356135"/>
    <w:rsid w:val="11800917"/>
    <w:rsid w:val="11806078"/>
    <w:rsid w:val="118955AD"/>
    <w:rsid w:val="11970BCB"/>
    <w:rsid w:val="1197226B"/>
    <w:rsid w:val="11AA0839"/>
    <w:rsid w:val="11C42470"/>
    <w:rsid w:val="11C71895"/>
    <w:rsid w:val="11CD444A"/>
    <w:rsid w:val="11E2334D"/>
    <w:rsid w:val="11E42CC6"/>
    <w:rsid w:val="11F058CE"/>
    <w:rsid w:val="11FC3F3B"/>
    <w:rsid w:val="11FF19BD"/>
    <w:rsid w:val="121F5782"/>
    <w:rsid w:val="124D3BAD"/>
    <w:rsid w:val="125A52C4"/>
    <w:rsid w:val="12655D96"/>
    <w:rsid w:val="1266706A"/>
    <w:rsid w:val="126B32F7"/>
    <w:rsid w:val="128E3C38"/>
    <w:rsid w:val="129E7A48"/>
    <w:rsid w:val="12BF2922"/>
    <w:rsid w:val="12C942C8"/>
    <w:rsid w:val="12DC5F5E"/>
    <w:rsid w:val="12DC7F8C"/>
    <w:rsid w:val="12E82A0B"/>
    <w:rsid w:val="131873D2"/>
    <w:rsid w:val="13274F9C"/>
    <w:rsid w:val="13325EC2"/>
    <w:rsid w:val="13417410"/>
    <w:rsid w:val="134A448A"/>
    <w:rsid w:val="134F7EA7"/>
    <w:rsid w:val="135107A8"/>
    <w:rsid w:val="136066CF"/>
    <w:rsid w:val="13637D2A"/>
    <w:rsid w:val="13657E31"/>
    <w:rsid w:val="136C3340"/>
    <w:rsid w:val="1387094F"/>
    <w:rsid w:val="139C08EB"/>
    <w:rsid w:val="13D2730A"/>
    <w:rsid w:val="13D35238"/>
    <w:rsid w:val="13D81B1F"/>
    <w:rsid w:val="13EE1CEA"/>
    <w:rsid w:val="14011A1D"/>
    <w:rsid w:val="14061B66"/>
    <w:rsid w:val="142B5FE2"/>
    <w:rsid w:val="14542872"/>
    <w:rsid w:val="147E2423"/>
    <w:rsid w:val="1487273A"/>
    <w:rsid w:val="148C28CB"/>
    <w:rsid w:val="148E0DD7"/>
    <w:rsid w:val="14944440"/>
    <w:rsid w:val="14A059A0"/>
    <w:rsid w:val="14A32AD4"/>
    <w:rsid w:val="14B97B05"/>
    <w:rsid w:val="14C44177"/>
    <w:rsid w:val="14CD31B9"/>
    <w:rsid w:val="14DA6BBE"/>
    <w:rsid w:val="14E67563"/>
    <w:rsid w:val="14F926F4"/>
    <w:rsid w:val="15021B62"/>
    <w:rsid w:val="150A21BA"/>
    <w:rsid w:val="151779D1"/>
    <w:rsid w:val="1522437E"/>
    <w:rsid w:val="15283931"/>
    <w:rsid w:val="15382F40"/>
    <w:rsid w:val="156F0970"/>
    <w:rsid w:val="15704DEE"/>
    <w:rsid w:val="157E65AB"/>
    <w:rsid w:val="158374C1"/>
    <w:rsid w:val="15A62ECC"/>
    <w:rsid w:val="15AE56B5"/>
    <w:rsid w:val="15B14179"/>
    <w:rsid w:val="15C516BD"/>
    <w:rsid w:val="15F80BFE"/>
    <w:rsid w:val="16026A2A"/>
    <w:rsid w:val="166266B1"/>
    <w:rsid w:val="16777D74"/>
    <w:rsid w:val="169528F0"/>
    <w:rsid w:val="16C724D4"/>
    <w:rsid w:val="16D411E7"/>
    <w:rsid w:val="16DB6E25"/>
    <w:rsid w:val="16ED0036"/>
    <w:rsid w:val="170756D4"/>
    <w:rsid w:val="170F4587"/>
    <w:rsid w:val="176115DC"/>
    <w:rsid w:val="176D7525"/>
    <w:rsid w:val="17824660"/>
    <w:rsid w:val="178F2FF8"/>
    <w:rsid w:val="179121FE"/>
    <w:rsid w:val="17915931"/>
    <w:rsid w:val="17C41ABF"/>
    <w:rsid w:val="17FF7946"/>
    <w:rsid w:val="181066D2"/>
    <w:rsid w:val="18175D56"/>
    <w:rsid w:val="18276B10"/>
    <w:rsid w:val="18806715"/>
    <w:rsid w:val="18930C59"/>
    <w:rsid w:val="189B5F22"/>
    <w:rsid w:val="18A70256"/>
    <w:rsid w:val="18A944F8"/>
    <w:rsid w:val="18B73074"/>
    <w:rsid w:val="18DA76F1"/>
    <w:rsid w:val="19034C2D"/>
    <w:rsid w:val="190B7F24"/>
    <w:rsid w:val="1916127C"/>
    <w:rsid w:val="193D465D"/>
    <w:rsid w:val="193D4E12"/>
    <w:rsid w:val="19565565"/>
    <w:rsid w:val="196C6238"/>
    <w:rsid w:val="19755A4A"/>
    <w:rsid w:val="198A59D6"/>
    <w:rsid w:val="19A075E2"/>
    <w:rsid w:val="19A73D74"/>
    <w:rsid w:val="19AA5416"/>
    <w:rsid w:val="19AC5876"/>
    <w:rsid w:val="19CE7FF6"/>
    <w:rsid w:val="19D30698"/>
    <w:rsid w:val="19D70C6D"/>
    <w:rsid w:val="19E2271F"/>
    <w:rsid w:val="1A075570"/>
    <w:rsid w:val="1A1C623A"/>
    <w:rsid w:val="1A270D5F"/>
    <w:rsid w:val="1A48766E"/>
    <w:rsid w:val="1A4D4CED"/>
    <w:rsid w:val="1A701A29"/>
    <w:rsid w:val="1A7647E7"/>
    <w:rsid w:val="1A797469"/>
    <w:rsid w:val="1A8850B8"/>
    <w:rsid w:val="1A911621"/>
    <w:rsid w:val="1A9B5FFB"/>
    <w:rsid w:val="1AA066C8"/>
    <w:rsid w:val="1ADB0B95"/>
    <w:rsid w:val="1AF80851"/>
    <w:rsid w:val="1B0361BC"/>
    <w:rsid w:val="1B0767A2"/>
    <w:rsid w:val="1B116412"/>
    <w:rsid w:val="1B262D26"/>
    <w:rsid w:val="1B2670F4"/>
    <w:rsid w:val="1B2D1E19"/>
    <w:rsid w:val="1B2D7FD6"/>
    <w:rsid w:val="1B3501FE"/>
    <w:rsid w:val="1B3A5220"/>
    <w:rsid w:val="1B3B258E"/>
    <w:rsid w:val="1B544B28"/>
    <w:rsid w:val="1B652C95"/>
    <w:rsid w:val="1B6B3C20"/>
    <w:rsid w:val="1B70155F"/>
    <w:rsid w:val="1B723039"/>
    <w:rsid w:val="1B7700FA"/>
    <w:rsid w:val="1B824429"/>
    <w:rsid w:val="1B894EBC"/>
    <w:rsid w:val="1B8C1172"/>
    <w:rsid w:val="1B9269B7"/>
    <w:rsid w:val="1BB12BB2"/>
    <w:rsid w:val="1BCE49E9"/>
    <w:rsid w:val="1BD12722"/>
    <w:rsid w:val="1BD15865"/>
    <w:rsid w:val="1BE870EB"/>
    <w:rsid w:val="1BFE7E24"/>
    <w:rsid w:val="1C100B6A"/>
    <w:rsid w:val="1C2075D6"/>
    <w:rsid w:val="1C2B6CB4"/>
    <w:rsid w:val="1C3774BA"/>
    <w:rsid w:val="1C4E114E"/>
    <w:rsid w:val="1C533032"/>
    <w:rsid w:val="1C5D5F8B"/>
    <w:rsid w:val="1C6E241C"/>
    <w:rsid w:val="1C7D00AF"/>
    <w:rsid w:val="1CB07DF9"/>
    <w:rsid w:val="1CC3681B"/>
    <w:rsid w:val="1CC50B58"/>
    <w:rsid w:val="1CF251D3"/>
    <w:rsid w:val="1CFF3217"/>
    <w:rsid w:val="1CFF6D16"/>
    <w:rsid w:val="1D0C3E62"/>
    <w:rsid w:val="1D104A7F"/>
    <w:rsid w:val="1D1D0D81"/>
    <w:rsid w:val="1D48246B"/>
    <w:rsid w:val="1D5835F0"/>
    <w:rsid w:val="1D594678"/>
    <w:rsid w:val="1D7A336D"/>
    <w:rsid w:val="1D8C5045"/>
    <w:rsid w:val="1D903E12"/>
    <w:rsid w:val="1D9244F8"/>
    <w:rsid w:val="1D931CEA"/>
    <w:rsid w:val="1DC177D9"/>
    <w:rsid w:val="1E1A236E"/>
    <w:rsid w:val="1E225BB3"/>
    <w:rsid w:val="1E2A6113"/>
    <w:rsid w:val="1E2D212B"/>
    <w:rsid w:val="1E2E6E13"/>
    <w:rsid w:val="1E32182A"/>
    <w:rsid w:val="1E5A61EE"/>
    <w:rsid w:val="1E713E2F"/>
    <w:rsid w:val="1E7F010E"/>
    <w:rsid w:val="1E91399D"/>
    <w:rsid w:val="1E980FE4"/>
    <w:rsid w:val="1EA573D8"/>
    <w:rsid w:val="1EA77665"/>
    <w:rsid w:val="1EB0513B"/>
    <w:rsid w:val="1EB72F76"/>
    <w:rsid w:val="1EC10726"/>
    <w:rsid w:val="1EE36B2C"/>
    <w:rsid w:val="1EEB7551"/>
    <w:rsid w:val="1EF342CB"/>
    <w:rsid w:val="1F020394"/>
    <w:rsid w:val="1F020A44"/>
    <w:rsid w:val="1F041BC7"/>
    <w:rsid w:val="1F127B09"/>
    <w:rsid w:val="1F1C3BAF"/>
    <w:rsid w:val="1F2354C8"/>
    <w:rsid w:val="1F237E35"/>
    <w:rsid w:val="1F36160E"/>
    <w:rsid w:val="1F3802BD"/>
    <w:rsid w:val="1F3F33F9"/>
    <w:rsid w:val="1F417171"/>
    <w:rsid w:val="1F4D1086"/>
    <w:rsid w:val="1F5D00BF"/>
    <w:rsid w:val="1F5E5F75"/>
    <w:rsid w:val="1F640255"/>
    <w:rsid w:val="1F671677"/>
    <w:rsid w:val="1F722047"/>
    <w:rsid w:val="1F8279F3"/>
    <w:rsid w:val="1F904945"/>
    <w:rsid w:val="1FA53BA4"/>
    <w:rsid w:val="1FAA6A2E"/>
    <w:rsid w:val="1FC11059"/>
    <w:rsid w:val="1FDC7161"/>
    <w:rsid w:val="1FE4351E"/>
    <w:rsid w:val="1FE570E2"/>
    <w:rsid w:val="1FE7673E"/>
    <w:rsid w:val="200E38F2"/>
    <w:rsid w:val="201E585F"/>
    <w:rsid w:val="2049266D"/>
    <w:rsid w:val="204B4B47"/>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44F9D"/>
    <w:rsid w:val="212B2F31"/>
    <w:rsid w:val="21327DB2"/>
    <w:rsid w:val="213D6756"/>
    <w:rsid w:val="213D7BD8"/>
    <w:rsid w:val="214C4EC5"/>
    <w:rsid w:val="2153567F"/>
    <w:rsid w:val="21592826"/>
    <w:rsid w:val="217422B6"/>
    <w:rsid w:val="2177158E"/>
    <w:rsid w:val="21787096"/>
    <w:rsid w:val="2188758A"/>
    <w:rsid w:val="21A61686"/>
    <w:rsid w:val="21C13A32"/>
    <w:rsid w:val="21C37C83"/>
    <w:rsid w:val="221B3735"/>
    <w:rsid w:val="22270787"/>
    <w:rsid w:val="224D73DD"/>
    <w:rsid w:val="22592601"/>
    <w:rsid w:val="22603DB2"/>
    <w:rsid w:val="226D7B83"/>
    <w:rsid w:val="22813DBA"/>
    <w:rsid w:val="2293123C"/>
    <w:rsid w:val="22A570EC"/>
    <w:rsid w:val="22B42350"/>
    <w:rsid w:val="22DC0713"/>
    <w:rsid w:val="22EF3388"/>
    <w:rsid w:val="232079E6"/>
    <w:rsid w:val="232E56FD"/>
    <w:rsid w:val="233F5F96"/>
    <w:rsid w:val="2341634B"/>
    <w:rsid w:val="235F4D23"/>
    <w:rsid w:val="236D4028"/>
    <w:rsid w:val="238A4DFC"/>
    <w:rsid w:val="23C44815"/>
    <w:rsid w:val="24226CC5"/>
    <w:rsid w:val="24312A4A"/>
    <w:rsid w:val="244A5E9A"/>
    <w:rsid w:val="244C4BB8"/>
    <w:rsid w:val="24691193"/>
    <w:rsid w:val="246C3A46"/>
    <w:rsid w:val="247152E7"/>
    <w:rsid w:val="24724271"/>
    <w:rsid w:val="24961D0D"/>
    <w:rsid w:val="249F7E9E"/>
    <w:rsid w:val="24BD0029"/>
    <w:rsid w:val="24CF3471"/>
    <w:rsid w:val="24D9609E"/>
    <w:rsid w:val="24E567F1"/>
    <w:rsid w:val="24FF7718"/>
    <w:rsid w:val="251A7612"/>
    <w:rsid w:val="25237A22"/>
    <w:rsid w:val="2527505B"/>
    <w:rsid w:val="25290DD3"/>
    <w:rsid w:val="252E0774"/>
    <w:rsid w:val="253B28B5"/>
    <w:rsid w:val="25481BCE"/>
    <w:rsid w:val="256E1E26"/>
    <w:rsid w:val="256E2C8A"/>
    <w:rsid w:val="25812F8D"/>
    <w:rsid w:val="25814DB7"/>
    <w:rsid w:val="25824959"/>
    <w:rsid w:val="2584600A"/>
    <w:rsid w:val="25987A23"/>
    <w:rsid w:val="25BC46FF"/>
    <w:rsid w:val="25C517A2"/>
    <w:rsid w:val="25EF41EA"/>
    <w:rsid w:val="25F5789E"/>
    <w:rsid w:val="25FD6A72"/>
    <w:rsid w:val="2608561B"/>
    <w:rsid w:val="26196938"/>
    <w:rsid w:val="26261861"/>
    <w:rsid w:val="26382AAC"/>
    <w:rsid w:val="26506FAD"/>
    <w:rsid w:val="26655E3B"/>
    <w:rsid w:val="26656277"/>
    <w:rsid w:val="26663117"/>
    <w:rsid w:val="267771CA"/>
    <w:rsid w:val="26807144"/>
    <w:rsid w:val="26851ABB"/>
    <w:rsid w:val="268A362E"/>
    <w:rsid w:val="269560EE"/>
    <w:rsid w:val="26AD77E2"/>
    <w:rsid w:val="26AF686C"/>
    <w:rsid w:val="26CA60FC"/>
    <w:rsid w:val="26D16018"/>
    <w:rsid w:val="26DB3228"/>
    <w:rsid w:val="26DF6074"/>
    <w:rsid w:val="26E05716"/>
    <w:rsid w:val="26E34FB2"/>
    <w:rsid w:val="26FE679C"/>
    <w:rsid w:val="27191146"/>
    <w:rsid w:val="271D4673"/>
    <w:rsid w:val="27301EDB"/>
    <w:rsid w:val="27453115"/>
    <w:rsid w:val="274A285D"/>
    <w:rsid w:val="275814FC"/>
    <w:rsid w:val="276C029F"/>
    <w:rsid w:val="27867E0A"/>
    <w:rsid w:val="27982DD4"/>
    <w:rsid w:val="27BA3F65"/>
    <w:rsid w:val="27DD09CE"/>
    <w:rsid w:val="27EC553C"/>
    <w:rsid w:val="280C4BFC"/>
    <w:rsid w:val="2813394B"/>
    <w:rsid w:val="281C1F63"/>
    <w:rsid w:val="281C54D8"/>
    <w:rsid w:val="283610D5"/>
    <w:rsid w:val="284D302B"/>
    <w:rsid w:val="285F5293"/>
    <w:rsid w:val="28622D71"/>
    <w:rsid w:val="286E69FD"/>
    <w:rsid w:val="287560DE"/>
    <w:rsid w:val="28904CC6"/>
    <w:rsid w:val="28953E0E"/>
    <w:rsid w:val="28A10C81"/>
    <w:rsid w:val="28C56178"/>
    <w:rsid w:val="28CA68A9"/>
    <w:rsid w:val="28FA546B"/>
    <w:rsid w:val="28FE025E"/>
    <w:rsid w:val="29245F1A"/>
    <w:rsid w:val="29366359"/>
    <w:rsid w:val="2944442E"/>
    <w:rsid w:val="29586D7A"/>
    <w:rsid w:val="29772B51"/>
    <w:rsid w:val="29791894"/>
    <w:rsid w:val="2984235F"/>
    <w:rsid w:val="29967FD2"/>
    <w:rsid w:val="2998070D"/>
    <w:rsid w:val="29A52D8F"/>
    <w:rsid w:val="29C56C3A"/>
    <w:rsid w:val="29D750CA"/>
    <w:rsid w:val="29D85278"/>
    <w:rsid w:val="29E1380C"/>
    <w:rsid w:val="29E85046"/>
    <w:rsid w:val="2A017BFD"/>
    <w:rsid w:val="2A0A71F8"/>
    <w:rsid w:val="2A4913A2"/>
    <w:rsid w:val="2A9154D8"/>
    <w:rsid w:val="2A9C3DF6"/>
    <w:rsid w:val="2AA04C57"/>
    <w:rsid w:val="2AA5577A"/>
    <w:rsid w:val="2AD750C3"/>
    <w:rsid w:val="2AE77D08"/>
    <w:rsid w:val="2AEA3011"/>
    <w:rsid w:val="2AEB08D9"/>
    <w:rsid w:val="2AF53506"/>
    <w:rsid w:val="2B151AF7"/>
    <w:rsid w:val="2B252D72"/>
    <w:rsid w:val="2B3E0375"/>
    <w:rsid w:val="2B492499"/>
    <w:rsid w:val="2B512E32"/>
    <w:rsid w:val="2B557BB5"/>
    <w:rsid w:val="2B5D3585"/>
    <w:rsid w:val="2B652A8D"/>
    <w:rsid w:val="2B6C55DB"/>
    <w:rsid w:val="2B8D5640"/>
    <w:rsid w:val="2B9176D3"/>
    <w:rsid w:val="2BB75E31"/>
    <w:rsid w:val="2BF4029C"/>
    <w:rsid w:val="2C1C6937"/>
    <w:rsid w:val="2C202757"/>
    <w:rsid w:val="2C270D43"/>
    <w:rsid w:val="2C42329A"/>
    <w:rsid w:val="2C6436A6"/>
    <w:rsid w:val="2C7A2A8F"/>
    <w:rsid w:val="2C9023A5"/>
    <w:rsid w:val="2C937549"/>
    <w:rsid w:val="2C9D6A04"/>
    <w:rsid w:val="2CB62598"/>
    <w:rsid w:val="2CBC136A"/>
    <w:rsid w:val="2CCD0E25"/>
    <w:rsid w:val="2CD47877"/>
    <w:rsid w:val="2CFE607B"/>
    <w:rsid w:val="2D012636"/>
    <w:rsid w:val="2D095409"/>
    <w:rsid w:val="2D3A3199"/>
    <w:rsid w:val="2D4B38E7"/>
    <w:rsid w:val="2D5470D9"/>
    <w:rsid w:val="2D551303"/>
    <w:rsid w:val="2D772574"/>
    <w:rsid w:val="2D8D31B7"/>
    <w:rsid w:val="2D8D5835"/>
    <w:rsid w:val="2DAB1C25"/>
    <w:rsid w:val="2DCC12FC"/>
    <w:rsid w:val="2DD66E3A"/>
    <w:rsid w:val="2DF17D73"/>
    <w:rsid w:val="2E016ADE"/>
    <w:rsid w:val="2E334A71"/>
    <w:rsid w:val="2E652B8E"/>
    <w:rsid w:val="2E66167A"/>
    <w:rsid w:val="2E6C7EF1"/>
    <w:rsid w:val="2E6D69DB"/>
    <w:rsid w:val="2E6F6584"/>
    <w:rsid w:val="2E7823B0"/>
    <w:rsid w:val="2E933BCE"/>
    <w:rsid w:val="2E9C6490"/>
    <w:rsid w:val="2EA40069"/>
    <w:rsid w:val="2EAA3B87"/>
    <w:rsid w:val="2EB66E96"/>
    <w:rsid w:val="2EBC23A0"/>
    <w:rsid w:val="2EFA0191"/>
    <w:rsid w:val="2F097580"/>
    <w:rsid w:val="2F436846"/>
    <w:rsid w:val="2F4556CE"/>
    <w:rsid w:val="2F4607D4"/>
    <w:rsid w:val="2F6F3C93"/>
    <w:rsid w:val="2F754A27"/>
    <w:rsid w:val="2F890E3A"/>
    <w:rsid w:val="2FA1186B"/>
    <w:rsid w:val="2FA315DF"/>
    <w:rsid w:val="2FB1448A"/>
    <w:rsid w:val="2FC529CB"/>
    <w:rsid w:val="2FC802AE"/>
    <w:rsid w:val="2FE66F94"/>
    <w:rsid w:val="301C41BF"/>
    <w:rsid w:val="302369A0"/>
    <w:rsid w:val="303474C0"/>
    <w:rsid w:val="303B19BB"/>
    <w:rsid w:val="30550CCF"/>
    <w:rsid w:val="305C41A9"/>
    <w:rsid w:val="307C26FF"/>
    <w:rsid w:val="30820205"/>
    <w:rsid w:val="308C6117"/>
    <w:rsid w:val="308E41B5"/>
    <w:rsid w:val="308E752F"/>
    <w:rsid w:val="30952C59"/>
    <w:rsid w:val="30FC55EE"/>
    <w:rsid w:val="30FF4D69"/>
    <w:rsid w:val="310E5321"/>
    <w:rsid w:val="3113559B"/>
    <w:rsid w:val="311978DB"/>
    <w:rsid w:val="312421F6"/>
    <w:rsid w:val="3127420C"/>
    <w:rsid w:val="31477BEB"/>
    <w:rsid w:val="315523B1"/>
    <w:rsid w:val="31684A32"/>
    <w:rsid w:val="318850D4"/>
    <w:rsid w:val="3198056E"/>
    <w:rsid w:val="31AF2660"/>
    <w:rsid w:val="31CD31BF"/>
    <w:rsid w:val="31E10F55"/>
    <w:rsid w:val="31F82192"/>
    <w:rsid w:val="31FA3D10"/>
    <w:rsid w:val="320B7F80"/>
    <w:rsid w:val="3219008D"/>
    <w:rsid w:val="32215B79"/>
    <w:rsid w:val="322241F2"/>
    <w:rsid w:val="3229379D"/>
    <w:rsid w:val="32294133"/>
    <w:rsid w:val="322D5AFA"/>
    <w:rsid w:val="3239511F"/>
    <w:rsid w:val="32514C44"/>
    <w:rsid w:val="326B6B4F"/>
    <w:rsid w:val="328916BE"/>
    <w:rsid w:val="32974C7A"/>
    <w:rsid w:val="32BB4ABE"/>
    <w:rsid w:val="32C8549C"/>
    <w:rsid w:val="32CA16D9"/>
    <w:rsid w:val="32E83928"/>
    <w:rsid w:val="32F45590"/>
    <w:rsid w:val="331C19F3"/>
    <w:rsid w:val="33380434"/>
    <w:rsid w:val="334234A4"/>
    <w:rsid w:val="334B0167"/>
    <w:rsid w:val="3353554F"/>
    <w:rsid w:val="33552D94"/>
    <w:rsid w:val="33582884"/>
    <w:rsid w:val="33773188"/>
    <w:rsid w:val="337E77C9"/>
    <w:rsid w:val="338F53C2"/>
    <w:rsid w:val="33925662"/>
    <w:rsid w:val="339B7AA1"/>
    <w:rsid w:val="33A45AC9"/>
    <w:rsid w:val="33B7637D"/>
    <w:rsid w:val="33D4661F"/>
    <w:rsid w:val="33DB773D"/>
    <w:rsid w:val="33ED39C2"/>
    <w:rsid w:val="340F56DE"/>
    <w:rsid w:val="341A67A4"/>
    <w:rsid w:val="3425597D"/>
    <w:rsid w:val="342A5DF5"/>
    <w:rsid w:val="344851FD"/>
    <w:rsid w:val="34986785"/>
    <w:rsid w:val="349B5E0E"/>
    <w:rsid w:val="349D7D29"/>
    <w:rsid w:val="34A432B6"/>
    <w:rsid w:val="34AA020B"/>
    <w:rsid w:val="34BC17DA"/>
    <w:rsid w:val="34C208FD"/>
    <w:rsid w:val="34D015E3"/>
    <w:rsid w:val="34F85DA8"/>
    <w:rsid w:val="3509398E"/>
    <w:rsid w:val="35162672"/>
    <w:rsid w:val="3547266B"/>
    <w:rsid w:val="3554479E"/>
    <w:rsid w:val="357D63E5"/>
    <w:rsid w:val="357F00D0"/>
    <w:rsid w:val="35894506"/>
    <w:rsid w:val="35954DCB"/>
    <w:rsid w:val="35A377DB"/>
    <w:rsid w:val="35E7387F"/>
    <w:rsid w:val="35E81F7A"/>
    <w:rsid w:val="35EF4AF5"/>
    <w:rsid w:val="35F52BF3"/>
    <w:rsid w:val="35FC0710"/>
    <w:rsid w:val="360530D8"/>
    <w:rsid w:val="3605698A"/>
    <w:rsid w:val="36162F1C"/>
    <w:rsid w:val="363277D2"/>
    <w:rsid w:val="364245EB"/>
    <w:rsid w:val="365D0BBE"/>
    <w:rsid w:val="366244D5"/>
    <w:rsid w:val="367B6FB5"/>
    <w:rsid w:val="36A82C1D"/>
    <w:rsid w:val="36AE1139"/>
    <w:rsid w:val="36B34449"/>
    <w:rsid w:val="36C342D9"/>
    <w:rsid w:val="36CA3A99"/>
    <w:rsid w:val="370F2E93"/>
    <w:rsid w:val="370F32ED"/>
    <w:rsid w:val="374E35E0"/>
    <w:rsid w:val="37560CC6"/>
    <w:rsid w:val="377F2AD5"/>
    <w:rsid w:val="378D0CEB"/>
    <w:rsid w:val="379A026D"/>
    <w:rsid w:val="37A2207E"/>
    <w:rsid w:val="37A2434F"/>
    <w:rsid w:val="37C52BDE"/>
    <w:rsid w:val="37ED6D6E"/>
    <w:rsid w:val="37F232A7"/>
    <w:rsid w:val="380C3B20"/>
    <w:rsid w:val="381039F4"/>
    <w:rsid w:val="381B27FE"/>
    <w:rsid w:val="38262F51"/>
    <w:rsid w:val="38422CE2"/>
    <w:rsid w:val="38464281"/>
    <w:rsid w:val="38575800"/>
    <w:rsid w:val="386E21B0"/>
    <w:rsid w:val="38AE496C"/>
    <w:rsid w:val="38B54D45"/>
    <w:rsid w:val="38D242CD"/>
    <w:rsid w:val="38ED6BA1"/>
    <w:rsid w:val="390C2146"/>
    <w:rsid w:val="393E0C7A"/>
    <w:rsid w:val="394125EA"/>
    <w:rsid w:val="39470BCD"/>
    <w:rsid w:val="394F019F"/>
    <w:rsid w:val="39821F75"/>
    <w:rsid w:val="398B5520"/>
    <w:rsid w:val="398C3DB7"/>
    <w:rsid w:val="39AB6275"/>
    <w:rsid w:val="39E17621"/>
    <w:rsid w:val="39E8044A"/>
    <w:rsid w:val="39F227B1"/>
    <w:rsid w:val="3A151290"/>
    <w:rsid w:val="3A201663"/>
    <w:rsid w:val="3A257964"/>
    <w:rsid w:val="3A292038"/>
    <w:rsid w:val="3A4A1178"/>
    <w:rsid w:val="3A524E6B"/>
    <w:rsid w:val="3A541FF7"/>
    <w:rsid w:val="3A762A49"/>
    <w:rsid w:val="3A826354"/>
    <w:rsid w:val="3A842D5C"/>
    <w:rsid w:val="3A9D28F5"/>
    <w:rsid w:val="3AA31E02"/>
    <w:rsid w:val="3AAA0260"/>
    <w:rsid w:val="3AC12C33"/>
    <w:rsid w:val="3ACD43C9"/>
    <w:rsid w:val="3AFF2C64"/>
    <w:rsid w:val="3B135A0E"/>
    <w:rsid w:val="3B274878"/>
    <w:rsid w:val="3B2F69DB"/>
    <w:rsid w:val="3B49637F"/>
    <w:rsid w:val="3B79226F"/>
    <w:rsid w:val="3B8F1138"/>
    <w:rsid w:val="3B904834"/>
    <w:rsid w:val="3B932344"/>
    <w:rsid w:val="3B9D20F5"/>
    <w:rsid w:val="3BB33F88"/>
    <w:rsid w:val="3BC15D34"/>
    <w:rsid w:val="3BD93153"/>
    <w:rsid w:val="3BDA6996"/>
    <w:rsid w:val="3C0A3047"/>
    <w:rsid w:val="3C1C6B44"/>
    <w:rsid w:val="3C1F03E3"/>
    <w:rsid w:val="3C2E50FB"/>
    <w:rsid w:val="3C37637A"/>
    <w:rsid w:val="3C4A12AD"/>
    <w:rsid w:val="3C5125FC"/>
    <w:rsid w:val="3C690ECB"/>
    <w:rsid w:val="3C7A386B"/>
    <w:rsid w:val="3C860AC6"/>
    <w:rsid w:val="3C8967A4"/>
    <w:rsid w:val="3C960BC8"/>
    <w:rsid w:val="3C9848A1"/>
    <w:rsid w:val="3CA509B7"/>
    <w:rsid w:val="3CA509D1"/>
    <w:rsid w:val="3CD537E6"/>
    <w:rsid w:val="3CD93879"/>
    <w:rsid w:val="3CF60293"/>
    <w:rsid w:val="3D2571D3"/>
    <w:rsid w:val="3D29776B"/>
    <w:rsid w:val="3D7309E6"/>
    <w:rsid w:val="3D7A2818"/>
    <w:rsid w:val="3D8106EA"/>
    <w:rsid w:val="3D834DF8"/>
    <w:rsid w:val="3D906584"/>
    <w:rsid w:val="3DA352B1"/>
    <w:rsid w:val="3DA554C8"/>
    <w:rsid w:val="3DBA0AB6"/>
    <w:rsid w:val="3DBA61E7"/>
    <w:rsid w:val="3DC14624"/>
    <w:rsid w:val="3DD55956"/>
    <w:rsid w:val="3E067AAC"/>
    <w:rsid w:val="3E100FFC"/>
    <w:rsid w:val="3E201534"/>
    <w:rsid w:val="3E625352"/>
    <w:rsid w:val="3E651EE9"/>
    <w:rsid w:val="3E784A78"/>
    <w:rsid w:val="3E8554F5"/>
    <w:rsid w:val="3EB47508"/>
    <w:rsid w:val="3EB65E71"/>
    <w:rsid w:val="3EC33032"/>
    <w:rsid w:val="3EC61DB3"/>
    <w:rsid w:val="3ECE4FFB"/>
    <w:rsid w:val="3EF62661"/>
    <w:rsid w:val="3F3C595E"/>
    <w:rsid w:val="3F446ADE"/>
    <w:rsid w:val="3F59346C"/>
    <w:rsid w:val="3F657308"/>
    <w:rsid w:val="3F7856B5"/>
    <w:rsid w:val="3F7970EE"/>
    <w:rsid w:val="3F8003ED"/>
    <w:rsid w:val="3F8B5F41"/>
    <w:rsid w:val="3FC519F7"/>
    <w:rsid w:val="3FCB4F93"/>
    <w:rsid w:val="3FD0326B"/>
    <w:rsid w:val="3FD34D1A"/>
    <w:rsid w:val="3FEB6F5A"/>
    <w:rsid w:val="3FED63B1"/>
    <w:rsid w:val="40031733"/>
    <w:rsid w:val="40076D3D"/>
    <w:rsid w:val="401F65F0"/>
    <w:rsid w:val="404470DB"/>
    <w:rsid w:val="404C2292"/>
    <w:rsid w:val="404D5D77"/>
    <w:rsid w:val="405D572D"/>
    <w:rsid w:val="408D1EA0"/>
    <w:rsid w:val="408E2DBF"/>
    <w:rsid w:val="409D2A1A"/>
    <w:rsid w:val="40A752D1"/>
    <w:rsid w:val="40B21FB5"/>
    <w:rsid w:val="40B95E2E"/>
    <w:rsid w:val="40B97058"/>
    <w:rsid w:val="40C17F9E"/>
    <w:rsid w:val="40C43B66"/>
    <w:rsid w:val="40E247F7"/>
    <w:rsid w:val="40EE5966"/>
    <w:rsid w:val="410F1967"/>
    <w:rsid w:val="41335FC7"/>
    <w:rsid w:val="415978C8"/>
    <w:rsid w:val="415C1B4D"/>
    <w:rsid w:val="417843F2"/>
    <w:rsid w:val="41807B75"/>
    <w:rsid w:val="41814752"/>
    <w:rsid w:val="418A1799"/>
    <w:rsid w:val="418C651A"/>
    <w:rsid w:val="41943621"/>
    <w:rsid w:val="41A61C3F"/>
    <w:rsid w:val="41B17185"/>
    <w:rsid w:val="41B810BD"/>
    <w:rsid w:val="41F05895"/>
    <w:rsid w:val="42040076"/>
    <w:rsid w:val="420C70DA"/>
    <w:rsid w:val="4226611D"/>
    <w:rsid w:val="422C5607"/>
    <w:rsid w:val="424B3CDF"/>
    <w:rsid w:val="425402BB"/>
    <w:rsid w:val="42564ADA"/>
    <w:rsid w:val="42747A95"/>
    <w:rsid w:val="427E52C8"/>
    <w:rsid w:val="429D02B3"/>
    <w:rsid w:val="42C76B2F"/>
    <w:rsid w:val="42CA464A"/>
    <w:rsid w:val="42D30947"/>
    <w:rsid w:val="42FA6BD0"/>
    <w:rsid w:val="42FB4E01"/>
    <w:rsid w:val="4301585B"/>
    <w:rsid w:val="431B31A4"/>
    <w:rsid w:val="43325808"/>
    <w:rsid w:val="433E1CAF"/>
    <w:rsid w:val="4340580E"/>
    <w:rsid w:val="43412297"/>
    <w:rsid w:val="43413ED4"/>
    <w:rsid w:val="43511AE7"/>
    <w:rsid w:val="43594499"/>
    <w:rsid w:val="43636C3F"/>
    <w:rsid w:val="436E5353"/>
    <w:rsid w:val="438073DF"/>
    <w:rsid w:val="439D6340"/>
    <w:rsid w:val="43AC4C52"/>
    <w:rsid w:val="43ED0DC6"/>
    <w:rsid w:val="43FD7280"/>
    <w:rsid w:val="441532B2"/>
    <w:rsid w:val="441C5686"/>
    <w:rsid w:val="441E55BD"/>
    <w:rsid w:val="442C59F4"/>
    <w:rsid w:val="442C5CE7"/>
    <w:rsid w:val="443F7EE3"/>
    <w:rsid w:val="44477A7A"/>
    <w:rsid w:val="445A5900"/>
    <w:rsid w:val="448012E9"/>
    <w:rsid w:val="44831552"/>
    <w:rsid w:val="4492209A"/>
    <w:rsid w:val="44A0611E"/>
    <w:rsid w:val="44A72CB4"/>
    <w:rsid w:val="44DC0CFE"/>
    <w:rsid w:val="44DC4FCA"/>
    <w:rsid w:val="44FD1C6D"/>
    <w:rsid w:val="452A2215"/>
    <w:rsid w:val="453F207E"/>
    <w:rsid w:val="454276A8"/>
    <w:rsid w:val="45465AD9"/>
    <w:rsid w:val="457C4AF8"/>
    <w:rsid w:val="45806396"/>
    <w:rsid w:val="459C1146"/>
    <w:rsid w:val="45A100BA"/>
    <w:rsid w:val="45A31600"/>
    <w:rsid w:val="45E526C2"/>
    <w:rsid w:val="45ED75B7"/>
    <w:rsid w:val="45EF5694"/>
    <w:rsid w:val="45F32D75"/>
    <w:rsid w:val="45FE4441"/>
    <w:rsid w:val="460934CE"/>
    <w:rsid w:val="46132D66"/>
    <w:rsid w:val="461F685B"/>
    <w:rsid w:val="46284FD9"/>
    <w:rsid w:val="463A35BA"/>
    <w:rsid w:val="464478D6"/>
    <w:rsid w:val="46565349"/>
    <w:rsid w:val="46582E6F"/>
    <w:rsid w:val="46594972"/>
    <w:rsid w:val="46753A21"/>
    <w:rsid w:val="46763AFA"/>
    <w:rsid w:val="469519CD"/>
    <w:rsid w:val="469F45FA"/>
    <w:rsid w:val="46A86AC5"/>
    <w:rsid w:val="46AF0ACC"/>
    <w:rsid w:val="46CD2EA3"/>
    <w:rsid w:val="46E33C2A"/>
    <w:rsid w:val="46E5026C"/>
    <w:rsid w:val="46EB5C2E"/>
    <w:rsid w:val="46F77BF9"/>
    <w:rsid w:val="47070F66"/>
    <w:rsid w:val="47191F43"/>
    <w:rsid w:val="471B210D"/>
    <w:rsid w:val="47330BB1"/>
    <w:rsid w:val="474340E1"/>
    <w:rsid w:val="4754737E"/>
    <w:rsid w:val="475F394A"/>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55D52"/>
    <w:rsid w:val="481D4366"/>
    <w:rsid w:val="482E20D9"/>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292511"/>
    <w:rsid w:val="49441489"/>
    <w:rsid w:val="4948117F"/>
    <w:rsid w:val="494B0B0D"/>
    <w:rsid w:val="494B77C3"/>
    <w:rsid w:val="49510EF2"/>
    <w:rsid w:val="49563E9E"/>
    <w:rsid w:val="4961203A"/>
    <w:rsid w:val="497E20AD"/>
    <w:rsid w:val="49820EB7"/>
    <w:rsid w:val="499416E9"/>
    <w:rsid w:val="499C12C5"/>
    <w:rsid w:val="49A63EAD"/>
    <w:rsid w:val="49B4166E"/>
    <w:rsid w:val="49BA2C9E"/>
    <w:rsid w:val="49BC3715"/>
    <w:rsid w:val="49C56A6D"/>
    <w:rsid w:val="49F72310"/>
    <w:rsid w:val="49FD2EE4"/>
    <w:rsid w:val="4A0B4FDE"/>
    <w:rsid w:val="4A343D11"/>
    <w:rsid w:val="4A497D35"/>
    <w:rsid w:val="4A595408"/>
    <w:rsid w:val="4A7933B4"/>
    <w:rsid w:val="4A7F4492"/>
    <w:rsid w:val="4A8A37D8"/>
    <w:rsid w:val="4A8B4AB2"/>
    <w:rsid w:val="4AAC3789"/>
    <w:rsid w:val="4ABC0E71"/>
    <w:rsid w:val="4AD9595B"/>
    <w:rsid w:val="4AF21B19"/>
    <w:rsid w:val="4AF93EAE"/>
    <w:rsid w:val="4AFC3A3A"/>
    <w:rsid w:val="4B232749"/>
    <w:rsid w:val="4B26353C"/>
    <w:rsid w:val="4B311212"/>
    <w:rsid w:val="4B3A2B43"/>
    <w:rsid w:val="4B3E6720"/>
    <w:rsid w:val="4B43535A"/>
    <w:rsid w:val="4B476348"/>
    <w:rsid w:val="4B55797D"/>
    <w:rsid w:val="4B625BF7"/>
    <w:rsid w:val="4B871B00"/>
    <w:rsid w:val="4B8B7843"/>
    <w:rsid w:val="4BB21AF4"/>
    <w:rsid w:val="4BB351AA"/>
    <w:rsid w:val="4BB54107"/>
    <w:rsid w:val="4BB67EEE"/>
    <w:rsid w:val="4BD17814"/>
    <w:rsid w:val="4BDC5109"/>
    <w:rsid w:val="4BE84FA7"/>
    <w:rsid w:val="4BF70C92"/>
    <w:rsid w:val="4BF76C86"/>
    <w:rsid w:val="4BFD0513"/>
    <w:rsid w:val="4C005E77"/>
    <w:rsid w:val="4C1A02C6"/>
    <w:rsid w:val="4C2B76C1"/>
    <w:rsid w:val="4C5419A1"/>
    <w:rsid w:val="4C5429A3"/>
    <w:rsid w:val="4C645A11"/>
    <w:rsid w:val="4C714C8A"/>
    <w:rsid w:val="4C87254B"/>
    <w:rsid w:val="4CDE4416"/>
    <w:rsid w:val="4CF56B0E"/>
    <w:rsid w:val="4D004DF6"/>
    <w:rsid w:val="4D1B69A4"/>
    <w:rsid w:val="4D1C2C8C"/>
    <w:rsid w:val="4D1E77BE"/>
    <w:rsid w:val="4D20220D"/>
    <w:rsid w:val="4D245FC5"/>
    <w:rsid w:val="4D2B3B2C"/>
    <w:rsid w:val="4D44414D"/>
    <w:rsid w:val="4D795776"/>
    <w:rsid w:val="4D822005"/>
    <w:rsid w:val="4DA943B0"/>
    <w:rsid w:val="4DB0533F"/>
    <w:rsid w:val="4DC515BB"/>
    <w:rsid w:val="4DCB5984"/>
    <w:rsid w:val="4DD610A9"/>
    <w:rsid w:val="4DD64458"/>
    <w:rsid w:val="4DDD4E1A"/>
    <w:rsid w:val="4DEA1EC9"/>
    <w:rsid w:val="4E135BFA"/>
    <w:rsid w:val="4E1B2DDB"/>
    <w:rsid w:val="4E250E8C"/>
    <w:rsid w:val="4E355E12"/>
    <w:rsid w:val="4E41208C"/>
    <w:rsid w:val="4E563E70"/>
    <w:rsid w:val="4E5D7C3A"/>
    <w:rsid w:val="4E614AF3"/>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242156"/>
    <w:rsid w:val="505C17AE"/>
    <w:rsid w:val="507410D2"/>
    <w:rsid w:val="50A4392E"/>
    <w:rsid w:val="50A97681"/>
    <w:rsid w:val="50AE3B94"/>
    <w:rsid w:val="50AF7418"/>
    <w:rsid w:val="50B03BC6"/>
    <w:rsid w:val="50E93575"/>
    <w:rsid w:val="50EE4AFC"/>
    <w:rsid w:val="50F04D4E"/>
    <w:rsid w:val="50F57385"/>
    <w:rsid w:val="50F6016F"/>
    <w:rsid w:val="50FB1FB9"/>
    <w:rsid w:val="51132FF4"/>
    <w:rsid w:val="51151213"/>
    <w:rsid w:val="5116195C"/>
    <w:rsid w:val="513225F9"/>
    <w:rsid w:val="513F5114"/>
    <w:rsid w:val="51440384"/>
    <w:rsid w:val="514C35D0"/>
    <w:rsid w:val="515E6A1B"/>
    <w:rsid w:val="516B705C"/>
    <w:rsid w:val="5177537A"/>
    <w:rsid w:val="518806E3"/>
    <w:rsid w:val="518C66BB"/>
    <w:rsid w:val="519A635A"/>
    <w:rsid w:val="51A1217B"/>
    <w:rsid w:val="51A47CAD"/>
    <w:rsid w:val="51BC2004"/>
    <w:rsid w:val="51C462A1"/>
    <w:rsid w:val="51CB0C5C"/>
    <w:rsid w:val="51CB74F6"/>
    <w:rsid w:val="51D13948"/>
    <w:rsid w:val="51EB5979"/>
    <w:rsid w:val="51F7178E"/>
    <w:rsid w:val="5209326F"/>
    <w:rsid w:val="521A0101"/>
    <w:rsid w:val="52241967"/>
    <w:rsid w:val="52263E21"/>
    <w:rsid w:val="522D1CB6"/>
    <w:rsid w:val="52444C58"/>
    <w:rsid w:val="5257047F"/>
    <w:rsid w:val="5263075C"/>
    <w:rsid w:val="52660A26"/>
    <w:rsid w:val="52717995"/>
    <w:rsid w:val="528315FB"/>
    <w:rsid w:val="52910142"/>
    <w:rsid w:val="52990759"/>
    <w:rsid w:val="529E42FF"/>
    <w:rsid w:val="52B87033"/>
    <w:rsid w:val="52BE5917"/>
    <w:rsid w:val="52D876B2"/>
    <w:rsid w:val="52ED3633"/>
    <w:rsid w:val="52FB71E7"/>
    <w:rsid w:val="531758B4"/>
    <w:rsid w:val="531B72EC"/>
    <w:rsid w:val="531E35FC"/>
    <w:rsid w:val="531E3DBA"/>
    <w:rsid w:val="532B1547"/>
    <w:rsid w:val="532C2C22"/>
    <w:rsid w:val="533E6E17"/>
    <w:rsid w:val="5343182D"/>
    <w:rsid w:val="53552E21"/>
    <w:rsid w:val="535A6478"/>
    <w:rsid w:val="535D3886"/>
    <w:rsid w:val="536C4A63"/>
    <w:rsid w:val="53900A6E"/>
    <w:rsid w:val="539B26A9"/>
    <w:rsid w:val="53A201DA"/>
    <w:rsid w:val="53B22D34"/>
    <w:rsid w:val="53B6236C"/>
    <w:rsid w:val="53BD6F30"/>
    <w:rsid w:val="53C95448"/>
    <w:rsid w:val="540540F5"/>
    <w:rsid w:val="542913B3"/>
    <w:rsid w:val="543F18BA"/>
    <w:rsid w:val="54883400"/>
    <w:rsid w:val="54932F58"/>
    <w:rsid w:val="54A81CB5"/>
    <w:rsid w:val="54C41B11"/>
    <w:rsid w:val="54D526BD"/>
    <w:rsid w:val="54DF44B0"/>
    <w:rsid w:val="54E04A04"/>
    <w:rsid w:val="550E49C6"/>
    <w:rsid w:val="553D557C"/>
    <w:rsid w:val="556E6B20"/>
    <w:rsid w:val="5596306C"/>
    <w:rsid w:val="559819BA"/>
    <w:rsid w:val="55A47D96"/>
    <w:rsid w:val="55C94049"/>
    <w:rsid w:val="55DA287E"/>
    <w:rsid w:val="55DD1819"/>
    <w:rsid w:val="55EE6DAD"/>
    <w:rsid w:val="5604091D"/>
    <w:rsid w:val="56073162"/>
    <w:rsid w:val="5609127C"/>
    <w:rsid w:val="56243B92"/>
    <w:rsid w:val="562B5EAA"/>
    <w:rsid w:val="5630526E"/>
    <w:rsid w:val="563D619D"/>
    <w:rsid w:val="56413F2B"/>
    <w:rsid w:val="564D4072"/>
    <w:rsid w:val="56537C47"/>
    <w:rsid w:val="56A010C0"/>
    <w:rsid w:val="56B96B8E"/>
    <w:rsid w:val="56C747B5"/>
    <w:rsid w:val="56D42684"/>
    <w:rsid w:val="56DD2471"/>
    <w:rsid w:val="56E61DD1"/>
    <w:rsid w:val="57210A6D"/>
    <w:rsid w:val="5744214A"/>
    <w:rsid w:val="574B480A"/>
    <w:rsid w:val="57543081"/>
    <w:rsid w:val="575E5D20"/>
    <w:rsid w:val="576553EC"/>
    <w:rsid w:val="577E64AD"/>
    <w:rsid w:val="5789649C"/>
    <w:rsid w:val="57A203EE"/>
    <w:rsid w:val="57A373F0"/>
    <w:rsid w:val="57BC40F5"/>
    <w:rsid w:val="57C83C57"/>
    <w:rsid w:val="57FB2FB4"/>
    <w:rsid w:val="582028C2"/>
    <w:rsid w:val="582908A2"/>
    <w:rsid w:val="583D07DD"/>
    <w:rsid w:val="585A65D3"/>
    <w:rsid w:val="585F1862"/>
    <w:rsid w:val="58613E05"/>
    <w:rsid w:val="58620D26"/>
    <w:rsid w:val="58706FB1"/>
    <w:rsid w:val="587C5983"/>
    <w:rsid w:val="58E8415E"/>
    <w:rsid w:val="58ED1995"/>
    <w:rsid w:val="58FF1A45"/>
    <w:rsid w:val="591578E8"/>
    <w:rsid w:val="591C580B"/>
    <w:rsid w:val="5926497A"/>
    <w:rsid w:val="592A1893"/>
    <w:rsid w:val="594A2AEB"/>
    <w:rsid w:val="595D3E12"/>
    <w:rsid w:val="59961EFB"/>
    <w:rsid w:val="59A11353"/>
    <w:rsid w:val="59B40569"/>
    <w:rsid w:val="59CC1752"/>
    <w:rsid w:val="5A0336C4"/>
    <w:rsid w:val="5A1D0D82"/>
    <w:rsid w:val="5A20315B"/>
    <w:rsid w:val="5A4C2893"/>
    <w:rsid w:val="5A541BFB"/>
    <w:rsid w:val="5A5827FE"/>
    <w:rsid w:val="5A70211C"/>
    <w:rsid w:val="5A9A53AC"/>
    <w:rsid w:val="5AAB2A29"/>
    <w:rsid w:val="5AAB3211"/>
    <w:rsid w:val="5AAC7307"/>
    <w:rsid w:val="5AB86388"/>
    <w:rsid w:val="5ABF41C0"/>
    <w:rsid w:val="5ACA577B"/>
    <w:rsid w:val="5AD07CB2"/>
    <w:rsid w:val="5AE37CAA"/>
    <w:rsid w:val="5AEC4B78"/>
    <w:rsid w:val="5AEF1DC1"/>
    <w:rsid w:val="5B09375B"/>
    <w:rsid w:val="5B353486"/>
    <w:rsid w:val="5B3A7E78"/>
    <w:rsid w:val="5B3C6463"/>
    <w:rsid w:val="5B3D442E"/>
    <w:rsid w:val="5B412C22"/>
    <w:rsid w:val="5B4B2EB1"/>
    <w:rsid w:val="5B510D60"/>
    <w:rsid w:val="5B570332"/>
    <w:rsid w:val="5B5714EF"/>
    <w:rsid w:val="5B5F0395"/>
    <w:rsid w:val="5B6300A3"/>
    <w:rsid w:val="5B6C0ED6"/>
    <w:rsid w:val="5B790B4E"/>
    <w:rsid w:val="5B7A2400"/>
    <w:rsid w:val="5B9B626D"/>
    <w:rsid w:val="5BA762EC"/>
    <w:rsid w:val="5BD32897"/>
    <w:rsid w:val="5BDB5C7C"/>
    <w:rsid w:val="5BF50A44"/>
    <w:rsid w:val="5BFB3A80"/>
    <w:rsid w:val="5C272C70"/>
    <w:rsid w:val="5C295CCC"/>
    <w:rsid w:val="5C381A3A"/>
    <w:rsid w:val="5C590D88"/>
    <w:rsid w:val="5C5C135C"/>
    <w:rsid w:val="5C872DAA"/>
    <w:rsid w:val="5C920EF4"/>
    <w:rsid w:val="5C974816"/>
    <w:rsid w:val="5CA97228"/>
    <w:rsid w:val="5CBA57BD"/>
    <w:rsid w:val="5CC5471C"/>
    <w:rsid w:val="5CDC5386"/>
    <w:rsid w:val="5CEE7B85"/>
    <w:rsid w:val="5CF07506"/>
    <w:rsid w:val="5CF73D69"/>
    <w:rsid w:val="5CFF1E3E"/>
    <w:rsid w:val="5D202057"/>
    <w:rsid w:val="5D207CD3"/>
    <w:rsid w:val="5D4700C2"/>
    <w:rsid w:val="5D487342"/>
    <w:rsid w:val="5D4D72B7"/>
    <w:rsid w:val="5D6C4615"/>
    <w:rsid w:val="5D79399F"/>
    <w:rsid w:val="5D7C5A81"/>
    <w:rsid w:val="5DD31E8F"/>
    <w:rsid w:val="5DD76917"/>
    <w:rsid w:val="5DDF2196"/>
    <w:rsid w:val="5DF01C4B"/>
    <w:rsid w:val="5DF704AE"/>
    <w:rsid w:val="5DF954B7"/>
    <w:rsid w:val="5DFF05CD"/>
    <w:rsid w:val="5E1672C2"/>
    <w:rsid w:val="5E1B6033"/>
    <w:rsid w:val="5E2612F9"/>
    <w:rsid w:val="5E534129"/>
    <w:rsid w:val="5E6028C0"/>
    <w:rsid w:val="5E6E3C24"/>
    <w:rsid w:val="5E7255BD"/>
    <w:rsid w:val="5E937CCC"/>
    <w:rsid w:val="5EAC3900"/>
    <w:rsid w:val="5EC450EE"/>
    <w:rsid w:val="5ED03A93"/>
    <w:rsid w:val="5EF83794"/>
    <w:rsid w:val="5F0173CC"/>
    <w:rsid w:val="5F1A1A93"/>
    <w:rsid w:val="5F287F7E"/>
    <w:rsid w:val="5F475677"/>
    <w:rsid w:val="5F484198"/>
    <w:rsid w:val="5F50072F"/>
    <w:rsid w:val="5F567498"/>
    <w:rsid w:val="5F5979B7"/>
    <w:rsid w:val="5F7D71F9"/>
    <w:rsid w:val="5F8420E2"/>
    <w:rsid w:val="5F862461"/>
    <w:rsid w:val="5F887220"/>
    <w:rsid w:val="5F9022AB"/>
    <w:rsid w:val="5F9B0EB3"/>
    <w:rsid w:val="5FB81E56"/>
    <w:rsid w:val="5FCD7FD2"/>
    <w:rsid w:val="5FD85FDC"/>
    <w:rsid w:val="5FEB78D3"/>
    <w:rsid w:val="5FEC00EE"/>
    <w:rsid w:val="600339F4"/>
    <w:rsid w:val="600951D4"/>
    <w:rsid w:val="6010358A"/>
    <w:rsid w:val="60156960"/>
    <w:rsid w:val="60163727"/>
    <w:rsid w:val="601A25EF"/>
    <w:rsid w:val="60250EC1"/>
    <w:rsid w:val="603718EF"/>
    <w:rsid w:val="603E7832"/>
    <w:rsid w:val="60403103"/>
    <w:rsid w:val="6044067F"/>
    <w:rsid w:val="60793AF7"/>
    <w:rsid w:val="6099592B"/>
    <w:rsid w:val="60A13AB9"/>
    <w:rsid w:val="60A7744C"/>
    <w:rsid w:val="60B5798C"/>
    <w:rsid w:val="60C13530"/>
    <w:rsid w:val="60CF04AB"/>
    <w:rsid w:val="60DB5486"/>
    <w:rsid w:val="60E43825"/>
    <w:rsid w:val="60E82C1A"/>
    <w:rsid w:val="60EC0541"/>
    <w:rsid w:val="60FD245E"/>
    <w:rsid w:val="61033EA8"/>
    <w:rsid w:val="610A1613"/>
    <w:rsid w:val="610E0DD2"/>
    <w:rsid w:val="61157719"/>
    <w:rsid w:val="61251167"/>
    <w:rsid w:val="61432D9E"/>
    <w:rsid w:val="6151078F"/>
    <w:rsid w:val="61683AEB"/>
    <w:rsid w:val="618A70BC"/>
    <w:rsid w:val="61963F6D"/>
    <w:rsid w:val="61BD1F9D"/>
    <w:rsid w:val="61C55405"/>
    <w:rsid w:val="61D218D0"/>
    <w:rsid w:val="61EA093B"/>
    <w:rsid w:val="62024DB4"/>
    <w:rsid w:val="62117D72"/>
    <w:rsid w:val="62140656"/>
    <w:rsid w:val="62210A89"/>
    <w:rsid w:val="62285DB7"/>
    <w:rsid w:val="623B56C7"/>
    <w:rsid w:val="626857C6"/>
    <w:rsid w:val="626C17E1"/>
    <w:rsid w:val="62923991"/>
    <w:rsid w:val="62966DA1"/>
    <w:rsid w:val="62F20D03"/>
    <w:rsid w:val="62F26EC0"/>
    <w:rsid w:val="62F75B83"/>
    <w:rsid w:val="63095375"/>
    <w:rsid w:val="63097573"/>
    <w:rsid w:val="630B17A3"/>
    <w:rsid w:val="630E6937"/>
    <w:rsid w:val="6312135F"/>
    <w:rsid w:val="632A3D0D"/>
    <w:rsid w:val="633443AB"/>
    <w:rsid w:val="6353750E"/>
    <w:rsid w:val="638857E1"/>
    <w:rsid w:val="639F3A33"/>
    <w:rsid w:val="63AB78F4"/>
    <w:rsid w:val="63C642C7"/>
    <w:rsid w:val="63C85688"/>
    <w:rsid w:val="63CD5666"/>
    <w:rsid w:val="63D01EF3"/>
    <w:rsid w:val="63D2038C"/>
    <w:rsid w:val="63E15DFA"/>
    <w:rsid w:val="63E631E1"/>
    <w:rsid w:val="63F66CE6"/>
    <w:rsid w:val="640E7E19"/>
    <w:rsid w:val="64227AB6"/>
    <w:rsid w:val="642C4C04"/>
    <w:rsid w:val="647527CB"/>
    <w:rsid w:val="648A0F84"/>
    <w:rsid w:val="648E4974"/>
    <w:rsid w:val="648F4377"/>
    <w:rsid w:val="64935AC5"/>
    <w:rsid w:val="64994927"/>
    <w:rsid w:val="649E65A7"/>
    <w:rsid w:val="64B70C4D"/>
    <w:rsid w:val="64D14920"/>
    <w:rsid w:val="64DC3A26"/>
    <w:rsid w:val="64E738E4"/>
    <w:rsid w:val="64EA382F"/>
    <w:rsid w:val="64ED3306"/>
    <w:rsid w:val="65112EA3"/>
    <w:rsid w:val="6511603A"/>
    <w:rsid w:val="65162422"/>
    <w:rsid w:val="65206DF6"/>
    <w:rsid w:val="652763A9"/>
    <w:rsid w:val="653B0F51"/>
    <w:rsid w:val="65434194"/>
    <w:rsid w:val="65434E76"/>
    <w:rsid w:val="65477730"/>
    <w:rsid w:val="654912E0"/>
    <w:rsid w:val="65623B1B"/>
    <w:rsid w:val="656A4332"/>
    <w:rsid w:val="65733372"/>
    <w:rsid w:val="65744876"/>
    <w:rsid w:val="657845AE"/>
    <w:rsid w:val="658C7FE7"/>
    <w:rsid w:val="658D0170"/>
    <w:rsid w:val="65991D3E"/>
    <w:rsid w:val="659E280B"/>
    <w:rsid w:val="65B74A52"/>
    <w:rsid w:val="65BD55BD"/>
    <w:rsid w:val="65C53449"/>
    <w:rsid w:val="65F27286"/>
    <w:rsid w:val="6601664A"/>
    <w:rsid w:val="6602655A"/>
    <w:rsid w:val="66037BA1"/>
    <w:rsid w:val="660D45C7"/>
    <w:rsid w:val="66280ABB"/>
    <w:rsid w:val="665C4848"/>
    <w:rsid w:val="666717B3"/>
    <w:rsid w:val="6668032B"/>
    <w:rsid w:val="66686F5C"/>
    <w:rsid w:val="667C4290"/>
    <w:rsid w:val="66AB481F"/>
    <w:rsid w:val="66C95898"/>
    <w:rsid w:val="66F8201A"/>
    <w:rsid w:val="671C5A04"/>
    <w:rsid w:val="673F01D2"/>
    <w:rsid w:val="67535261"/>
    <w:rsid w:val="676777C3"/>
    <w:rsid w:val="676A25AA"/>
    <w:rsid w:val="677D4B8A"/>
    <w:rsid w:val="67802ACE"/>
    <w:rsid w:val="67804B33"/>
    <w:rsid w:val="67C40A09"/>
    <w:rsid w:val="67D020A7"/>
    <w:rsid w:val="67D600B8"/>
    <w:rsid w:val="67D76FBF"/>
    <w:rsid w:val="67E4087E"/>
    <w:rsid w:val="67E95901"/>
    <w:rsid w:val="67EC2FBF"/>
    <w:rsid w:val="6821192D"/>
    <w:rsid w:val="68337E89"/>
    <w:rsid w:val="68337EE8"/>
    <w:rsid w:val="683A6C76"/>
    <w:rsid w:val="685C5B46"/>
    <w:rsid w:val="686F1486"/>
    <w:rsid w:val="688C0656"/>
    <w:rsid w:val="68AC1DA2"/>
    <w:rsid w:val="68AE1735"/>
    <w:rsid w:val="68B72950"/>
    <w:rsid w:val="68D60630"/>
    <w:rsid w:val="68F00432"/>
    <w:rsid w:val="68F8555D"/>
    <w:rsid w:val="6905258B"/>
    <w:rsid w:val="691D712E"/>
    <w:rsid w:val="69205616"/>
    <w:rsid w:val="695D23C7"/>
    <w:rsid w:val="697C715B"/>
    <w:rsid w:val="697E7396"/>
    <w:rsid w:val="69A009FE"/>
    <w:rsid w:val="69A729C5"/>
    <w:rsid w:val="69BE2739"/>
    <w:rsid w:val="69BF206E"/>
    <w:rsid w:val="69CF4947"/>
    <w:rsid w:val="69D519C4"/>
    <w:rsid w:val="69E46DF1"/>
    <w:rsid w:val="69E8174D"/>
    <w:rsid w:val="69EB7655"/>
    <w:rsid w:val="69F66247"/>
    <w:rsid w:val="69F820EF"/>
    <w:rsid w:val="69F86AAF"/>
    <w:rsid w:val="6A1F6154"/>
    <w:rsid w:val="6A23667C"/>
    <w:rsid w:val="6A2746CC"/>
    <w:rsid w:val="6A4F7CF0"/>
    <w:rsid w:val="6A5517EC"/>
    <w:rsid w:val="6A694BA1"/>
    <w:rsid w:val="6A734205"/>
    <w:rsid w:val="6A995680"/>
    <w:rsid w:val="6ABC3292"/>
    <w:rsid w:val="6ABF6769"/>
    <w:rsid w:val="6AC04F0B"/>
    <w:rsid w:val="6ACC4ABB"/>
    <w:rsid w:val="6ACE7EB3"/>
    <w:rsid w:val="6AD34458"/>
    <w:rsid w:val="6ADB7A47"/>
    <w:rsid w:val="6ADC4801"/>
    <w:rsid w:val="6ADF25FC"/>
    <w:rsid w:val="6AF24B54"/>
    <w:rsid w:val="6B020CD0"/>
    <w:rsid w:val="6B1148AC"/>
    <w:rsid w:val="6B3E0351"/>
    <w:rsid w:val="6B42449D"/>
    <w:rsid w:val="6B451364"/>
    <w:rsid w:val="6B4A5562"/>
    <w:rsid w:val="6B4B77D1"/>
    <w:rsid w:val="6B565807"/>
    <w:rsid w:val="6B7A369F"/>
    <w:rsid w:val="6BAC2823"/>
    <w:rsid w:val="6BBC634D"/>
    <w:rsid w:val="6BBD5024"/>
    <w:rsid w:val="6BDB5825"/>
    <w:rsid w:val="6BF37DF1"/>
    <w:rsid w:val="6C07486C"/>
    <w:rsid w:val="6C0905E4"/>
    <w:rsid w:val="6C630CE9"/>
    <w:rsid w:val="6C914CAA"/>
    <w:rsid w:val="6CB57E24"/>
    <w:rsid w:val="6CCC3665"/>
    <w:rsid w:val="6CD60113"/>
    <w:rsid w:val="6CE32BE3"/>
    <w:rsid w:val="6CEC0F34"/>
    <w:rsid w:val="6CF73CA4"/>
    <w:rsid w:val="6CFC1EF7"/>
    <w:rsid w:val="6D005FF7"/>
    <w:rsid w:val="6D021C57"/>
    <w:rsid w:val="6D05105B"/>
    <w:rsid w:val="6D207FCD"/>
    <w:rsid w:val="6D280BD4"/>
    <w:rsid w:val="6D280C36"/>
    <w:rsid w:val="6D286C4C"/>
    <w:rsid w:val="6D2B5B01"/>
    <w:rsid w:val="6D36363D"/>
    <w:rsid w:val="6D381497"/>
    <w:rsid w:val="6D541980"/>
    <w:rsid w:val="6D6A2DB3"/>
    <w:rsid w:val="6D6A69AA"/>
    <w:rsid w:val="6D79127B"/>
    <w:rsid w:val="6D832281"/>
    <w:rsid w:val="6DB93944"/>
    <w:rsid w:val="6DBE5BA3"/>
    <w:rsid w:val="6DC237AE"/>
    <w:rsid w:val="6DF46C32"/>
    <w:rsid w:val="6DF91502"/>
    <w:rsid w:val="6E01482E"/>
    <w:rsid w:val="6E0D1941"/>
    <w:rsid w:val="6E18292B"/>
    <w:rsid w:val="6E2E60E0"/>
    <w:rsid w:val="6E402C35"/>
    <w:rsid w:val="6E403BCF"/>
    <w:rsid w:val="6E424CF7"/>
    <w:rsid w:val="6E5223EC"/>
    <w:rsid w:val="6E96703D"/>
    <w:rsid w:val="6E984122"/>
    <w:rsid w:val="6EC15C51"/>
    <w:rsid w:val="6EC4761A"/>
    <w:rsid w:val="6ED26905"/>
    <w:rsid w:val="6ED924EF"/>
    <w:rsid w:val="6EE20566"/>
    <w:rsid w:val="6EEB6DD8"/>
    <w:rsid w:val="6EF513F6"/>
    <w:rsid w:val="6F1F0771"/>
    <w:rsid w:val="6F213E96"/>
    <w:rsid w:val="6F3669E2"/>
    <w:rsid w:val="6F3A0437"/>
    <w:rsid w:val="6F452492"/>
    <w:rsid w:val="6F4E1ABB"/>
    <w:rsid w:val="6F65489B"/>
    <w:rsid w:val="6F6A3A3D"/>
    <w:rsid w:val="6F86274A"/>
    <w:rsid w:val="6F8A6B50"/>
    <w:rsid w:val="6F9A42D9"/>
    <w:rsid w:val="6F9E4E98"/>
    <w:rsid w:val="6FB536E7"/>
    <w:rsid w:val="6FC169C6"/>
    <w:rsid w:val="6FD20CED"/>
    <w:rsid w:val="700148B1"/>
    <w:rsid w:val="700708F2"/>
    <w:rsid w:val="70231548"/>
    <w:rsid w:val="70262445"/>
    <w:rsid w:val="70334A73"/>
    <w:rsid w:val="706D65A0"/>
    <w:rsid w:val="70796EB7"/>
    <w:rsid w:val="70846EFD"/>
    <w:rsid w:val="70891E2B"/>
    <w:rsid w:val="709304FC"/>
    <w:rsid w:val="709509D2"/>
    <w:rsid w:val="70B21D55"/>
    <w:rsid w:val="70BA4068"/>
    <w:rsid w:val="70DB513F"/>
    <w:rsid w:val="70EF1D98"/>
    <w:rsid w:val="70F06D61"/>
    <w:rsid w:val="70F36F46"/>
    <w:rsid w:val="70F412DA"/>
    <w:rsid w:val="710650F2"/>
    <w:rsid w:val="711C66C3"/>
    <w:rsid w:val="71231B23"/>
    <w:rsid w:val="713B214A"/>
    <w:rsid w:val="714633CE"/>
    <w:rsid w:val="71496F8A"/>
    <w:rsid w:val="714A76D4"/>
    <w:rsid w:val="714D2DB3"/>
    <w:rsid w:val="716342F2"/>
    <w:rsid w:val="718621EE"/>
    <w:rsid w:val="71894FD2"/>
    <w:rsid w:val="71A3311F"/>
    <w:rsid w:val="71AA4E1C"/>
    <w:rsid w:val="71B55135"/>
    <w:rsid w:val="71C1726B"/>
    <w:rsid w:val="72005730"/>
    <w:rsid w:val="7224387D"/>
    <w:rsid w:val="72280301"/>
    <w:rsid w:val="7231753D"/>
    <w:rsid w:val="723260C2"/>
    <w:rsid w:val="72386C6E"/>
    <w:rsid w:val="723A3057"/>
    <w:rsid w:val="723B0DCB"/>
    <w:rsid w:val="72400885"/>
    <w:rsid w:val="724B6026"/>
    <w:rsid w:val="725273EA"/>
    <w:rsid w:val="725B1897"/>
    <w:rsid w:val="72603689"/>
    <w:rsid w:val="726C47BC"/>
    <w:rsid w:val="727B566C"/>
    <w:rsid w:val="728E7595"/>
    <w:rsid w:val="72CD2240"/>
    <w:rsid w:val="72DC19E2"/>
    <w:rsid w:val="72EC4E12"/>
    <w:rsid w:val="73373DED"/>
    <w:rsid w:val="73391B68"/>
    <w:rsid w:val="733F7A24"/>
    <w:rsid w:val="735C44F0"/>
    <w:rsid w:val="736A01CD"/>
    <w:rsid w:val="736B4D35"/>
    <w:rsid w:val="73741988"/>
    <w:rsid w:val="737D0F13"/>
    <w:rsid w:val="73814929"/>
    <w:rsid w:val="7393399F"/>
    <w:rsid w:val="739764D5"/>
    <w:rsid w:val="73984022"/>
    <w:rsid w:val="73C11347"/>
    <w:rsid w:val="73E159A2"/>
    <w:rsid w:val="73E2421D"/>
    <w:rsid w:val="74000D97"/>
    <w:rsid w:val="74185CCF"/>
    <w:rsid w:val="741D2E7E"/>
    <w:rsid w:val="74563F0C"/>
    <w:rsid w:val="74694C3B"/>
    <w:rsid w:val="746A6AAD"/>
    <w:rsid w:val="747A4FBC"/>
    <w:rsid w:val="748B466B"/>
    <w:rsid w:val="749018A2"/>
    <w:rsid w:val="74B84955"/>
    <w:rsid w:val="74D94903"/>
    <w:rsid w:val="74DC7834"/>
    <w:rsid w:val="74E271F1"/>
    <w:rsid w:val="750556C0"/>
    <w:rsid w:val="75096F5F"/>
    <w:rsid w:val="75326EC3"/>
    <w:rsid w:val="75371D1E"/>
    <w:rsid w:val="75474A77"/>
    <w:rsid w:val="7551327B"/>
    <w:rsid w:val="755F3E02"/>
    <w:rsid w:val="755F782E"/>
    <w:rsid w:val="75A16A9F"/>
    <w:rsid w:val="75BC6CCF"/>
    <w:rsid w:val="75DA08FB"/>
    <w:rsid w:val="75E27D49"/>
    <w:rsid w:val="75FA2D4B"/>
    <w:rsid w:val="761867BE"/>
    <w:rsid w:val="76236746"/>
    <w:rsid w:val="763149BF"/>
    <w:rsid w:val="76365AD0"/>
    <w:rsid w:val="765D57EA"/>
    <w:rsid w:val="7688585F"/>
    <w:rsid w:val="76AF1D88"/>
    <w:rsid w:val="76E97048"/>
    <w:rsid w:val="76F54CF0"/>
    <w:rsid w:val="76FD2AF3"/>
    <w:rsid w:val="76FD5906"/>
    <w:rsid w:val="77072866"/>
    <w:rsid w:val="770B684E"/>
    <w:rsid w:val="771D50F3"/>
    <w:rsid w:val="77204CB1"/>
    <w:rsid w:val="77356662"/>
    <w:rsid w:val="777C1603"/>
    <w:rsid w:val="77A14CDE"/>
    <w:rsid w:val="77AA2F7D"/>
    <w:rsid w:val="77C96BD3"/>
    <w:rsid w:val="77F02658"/>
    <w:rsid w:val="780221AD"/>
    <w:rsid w:val="78266CE5"/>
    <w:rsid w:val="7827421F"/>
    <w:rsid w:val="782B4A23"/>
    <w:rsid w:val="78302F8F"/>
    <w:rsid w:val="783B3DB6"/>
    <w:rsid w:val="784117AB"/>
    <w:rsid w:val="78510397"/>
    <w:rsid w:val="78552936"/>
    <w:rsid w:val="78731F0E"/>
    <w:rsid w:val="78754CBA"/>
    <w:rsid w:val="78962FA5"/>
    <w:rsid w:val="789A0E02"/>
    <w:rsid w:val="78A376CA"/>
    <w:rsid w:val="78B611AB"/>
    <w:rsid w:val="78BD69DE"/>
    <w:rsid w:val="78C148AC"/>
    <w:rsid w:val="78CA1FEE"/>
    <w:rsid w:val="78CB3FEB"/>
    <w:rsid w:val="78CF4963"/>
    <w:rsid w:val="793B5CE2"/>
    <w:rsid w:val="79404E92"/>
    <w:rsid w:val="795C411F"/>
    <w:rsid w:val="796834B3"/>
    <w:rsid w:val="796D0618"/>
    <w:rsid w:val="797B3C8A"/>
    <w:rsid w:val="797F45FC"/>
    <w:rsid w:val="79970647"/>
    <w:rsid w:val="79D9682C"/>
    <w:rsid w:val="79DB75C0"/>
    <w:rsid w:val="79E37881"/>
    <w:rsid w:val="79E4486C"/>
    <w:rsid w:val="79EA2E0E"/>
    <w:rsid w:val="79ED08FA"/>
    <w:rsid w:val="79ED6E4F"/>
    <w:rsid w:val="7A067AFA"/>
    <w:rsid w:val="7A0C585A"/>
    <w:rsid w:val="7A2C7450"/>
    <w:rsid w:val="7A326B5A"/>
    <w:rsid w:val="7A553725"/>
    <w:rsid w:val="7A616D0A"/>
    <w:rsid w:val="7A707A80"/>
    <w:rsid w:val="7A7F2C76"/>
    <w:rsid w:val="7AAC462A"/>
    <w:rsid w:val="7AC5756B"/>
    <w:rsid w:val="7ACB6C20"/>
    <w:rsid w:val="7AF84FA0"/>
    <w:rsid w:val="7AF909C6"/>
    <w:rsid w:val="7B305E10"/>
    <w:rsid w:val="7B3E7693"/>
    <w:rsid w:val="7B564EC8"/>
    <w:rsid w:val="7B6273C9"/>
    <w:rsid w:val="7B6F1BD0"/>
    <w:rsid w:val="7B732126"/>
    <w:rsid w:val="7B755C15"/>
    <w:rsid w:val="7B7B20CE"/>
    <w:rsid w:val="7B8E1216"/>
    <w:rsid w:val="7B9A1345"/>
    <w:rsid w:val="7BBB7E74"/>
    <w:rsid w:val="7BCA6C86"/>
    <w:rsid w:val="7BDC53CD"/>
    <w:rsid w:val="7BF87D2D"/>
    <w:rsid w:val="7C003703"/>
    <w:rsid w:val="7C044DA1"/>
    <w:rsid w:val="7C1032C9"/>
    <w:rsid w:val="7C176405"/>
    <w:rsid w:val="7C25541E"/>
    <w:rsid w:val="7C30406C"/>
    <w:rsid w:val="7C365DE1"/>
    <w:rsid w:val="7CA33449"/>
    <w:rsid w:val="7CCE4D69"/>
    <w:rsid w:val="7D0A0BA4"/>
    <w:rsid w:val="7D107AF3"/>
    <w:rsid w:val="7D4253C7"/>
    <w:rsid w:val="7D4C5341"/>
    <w:rsid w:val="7D4E5EE6"/>
    <w:rsid w:val="7D8901AD"/>
    <w:rsid w:val="7D8A150E"/>
    <w:rsid w:val="7D8E577D"/>
    <w:rsid w:val="7D9A426A"/>
    <w:rsid w:val="7DC6355C"/>
    <w:rsid w:val="7DCB394B"/>
    <w:rsid w:val="7DF509C8"/>
    <w:rsid w:val="7E006F08"/>
    <w:rsid w:val="7E01736D"/>
    <w:rsid w:val="7E192908"/>
    <w:rsid w:val="7E333E03"/>
    <w:rsid w:val="7E391FE6"/>
    <w:rsid w:val="7E3F3803"/>
    <w:rsid w:val="7E916762"/>
    <w:rsid w:val="7EA916FD"/>
    <w:rsid w:val="7EAB552B"/>
    <w:rsid w:val="7EBD37FA"/>
    <w:rsid w:val="7EE53C64"/>
    <w:rsid w:val="7EF06AF3"/>
    <w:rsid w:val="7F403EC5"/>
    <w:rsid w:val="7F541580"/>
    <w:rsid w:val="7F5444E7"/>
    <w:rsid w:val="7F590594"/>
    <w:rsid w:val="7F667225"/>
    <w:rsid w:val="7F7B2EF8"/>
    <w:rsid w:val="7F844A6E"/>
    <w:rsid w:val="7F8660CC"/>
    <w:rsid w:val="7FAA1C29"/>
    <w:rsid w:val="7FAC4830"/>
    <w:rsid w:val="7FB659E5"/>
    <w:rsid w:val="7FB7407D"/>
    <w:rsid w:val="7FBD3767"/>
    <w:rsid w:val="7FC22B2C"/>
    <w:rsid w:val="7FE42AA2"/>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widowControl/>
      <w:ind w:firstLine="420"/>
      <w:jc w:val="left"/>
    </w:pPr>
    <w:rPr>
      <w:rFonts w:ascii="Calibri" w:hAnsi="Calibri" w:eastAsia="宋体" w:cs="Times New Roma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表格内字体字号"/>
    <w:basedOn w:val="1"/>
    <w:qFormat/>
    <w:uiPriority w:val="0"/>
    <w:pPr>
      <w:topLinePunct/>
      <w:snapToGrid w:val="0"/>
      <w:spacing w:beforeLines="20" w:afterLines="20" w:line="360" w:lineRule="auto"/>
      <w:ind w:left="30" w:leftChars="30" w:right="30" w:rightChars="30"/>
      <w:jc w:val="center"/>
    </w:pPr>
    <w:rPr>
      <w:rFonts w:ascii="宋体" w:hAnsi="宋体" w:eastAsia="宋体" w:cs="宋体"/>
      <w:sz w:val="18"/>
      <w:szCs w:val="18"/>
    </w:rPr>
  </w:style>
  <w:style w:type="character" w:customStyle="1" w:styleId="30">
    <w:name w:val="数字EU Char"/>
    <w:link w:val="31"/>
    <w:qFormat/>
    <w:uiPriority w:val="0"/>
    <w:rPr>
      <w:rFonts w:ascii="EU-F1" w:hAnsi="Times New Roman" w:eastAsia="宋体" w:cs="Times New Roman"/>
      <w:kern w:val="21"/>
      <w:sz w:val="20"/>
      <w:szCs w:val="21"/>
    </w:rPr>
  </w:style>
  <w:style w:type="paragraph" w:customStyle="1" w:styleId="31">
    <w:name w:val="数字EU"/>
    <w:basedOn w:val="1"/>
    <w:link w:val="30"/>
    <w:qFormat/>
    <w:uiPriority w:val="0"/>
    <w:pPr>
      <w:widowControl/>
      <w:wordWrap w:val="0"/>
      <w:overflowPunct w:val="0"/>
      <w:topLinePunct/>
      <w:jc w:val="left"/>
    </w:pPr>
    <w:rPr>
      <w:rFonts w:ascii="EU-F1" w:hAnsi="Times New Roman" w:eastAsia="宋体" w:cs="Times New Roman"/>
      <w:kern w:val="21"/>
      <w:sz w:val="20"/>
      <w:szCs w:val="21"/>
    </w:rPr>
  </w:style>
  <w:style w:type="paragraph" w:customStyle="1" w:styleId="32">
    <w:name w:val="正文表标题"/>
    <w:next w:val="1"/>
    <w:qFormat/>
    <w:uiPriority w:val="0"/>
    <w:pPr>
      <w:spacing w:before="156" w:beforeLines="50" w:after="156" w:afterLines="50"/>
      <w:jc w:val="center"/>
    </w:pPr>
    <w:rPr>
      <w:rFonts w:ascii="黑体" w:hAnsi="Times New Roman" w:eastAsia="黑体" w:cs="Times New Roman"/>
      <w:sz w:val="21"/>
      <w:lang w:val="en-US" w:eastAsia="zh-CN" w:bidi="ar-SA"/>
    </w:rPr>
  </w:style>
  <w:style w:type="paragraph" w:customStyle="1" w:styleId="33">
    <w:name w:val="black1"/>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customStyle="1" w:styleId="34">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21619</Words>
  <Characters>23814</Characters>
  <Lines>0</Lines>
  <Paragraphs>0</Paragraphs>
  <TotalTime>9</TotalTime>
  <ScaleCrop>false</ScaleCrop>
  <LinksUpToDate>false</LinksUpToDate>
  <CharactersWithSpaces>25359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2024-07-12T01:08:00Z</cp:lastPrinted>
  <dcterms:modified xsi:type="dcterms:W3CDTF">2024-07-19T02:38:47Z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ED50EF2E81104048B851009355D0A722_13</vt:lpwstr>
  </property>
</Properties>
</file>