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DFEE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14:paraId="11E075D2">
      <w:pPr>
        <w:pStyle w:val="5"/>
        <w:spacing w:before="0" w:after="0" w:line="579" w:lineRule="auto"/>
        <w:jc w:val="center"/>
        <w:rPr>
          <w:rFonts w:hint="eastAsia" w:ascii="Times New Roman" w:hAnsi="Times New Roman" w:cs="Times New Roman"/>
          <w:sz w:val="32"/>
          <w:szCs w:val="32"/>
          <w:shd w:val="clear" w:color="FFFFFF" w:fill="D9D9D9"/>
          <w:lang w:val="en-US" w:eastAsia="zh-CN"/>
        </w:rPr>
      </w:pPr>
      <w:r>
        <w:rPr>
          <w:rFonts w:hint="eastAsia" w:ascii="Times New Roman" w:hAnsi="Times New Roman" w:cs="Times New Roman"/>
          <w:sz w:val="36"/>
          <w:szCs w:val="36"/>
          <w:lang w:val="en-US" w:eastAsia="zh-CN"/>
        </w:rPr>
        <w:t>采购需求</w:t>
      </w:r>
      <w:permStart w:id="0" w:edGrp="everyone"/>
    </w:p>
    <w:p w14:paraId="4DCAE261">
      <w:pPr>
        <w:pStyle w:val="10"/>
        <w:widowControl/>
        <w:shd w:val="clear" w:color="auto" w:fill="FFFFFF"/>
        <w:spacing w:before="0" w:after="0" w:line="579" w:lineRule="auto"/>
        <w:ind w:firstLine="0" w:firstLineChars="0"/>
        <w:jc w:val="both"/>
        <w:rPr>
          <w:rFonts w:hint="eastAsia" w:ascii="Times New Roman" w:hAnsi="Times New Roman" w:cstheme="minorBidi"/>
          <w:kern w:val="2"/>
          <w:sz w:val="32"/>
          <w:szCs w:val="32"/>
          <w:highlight w:val="none"/>
          <w:lang w:val="en-US" w:eastAsia="zh-CN"/>
        </w:rPr>
      </w:pPr>
      <w:r>
        <w:rPr>
          <w:rFonts w:hint="eastAsia" w:ascii="Times New Roman" w:hAnsi="Times New Roman" w:cstheme="minorBidi"/>
          <w:kern w:val="2"/>
          <w:sz w:val="32"/>
          <w:szCs w:val="32"/>
          <w:highlight w:val="none"/>
          <w:lang w:val="en-US" w:eastAsia="zh-CN"/>
        </w:rPr>
        <w:t>一、</w:t>
      </w:r>
      <w:r>
        <w:rPr>
          <w:rFonts w:hint="eastAsia" w:ascii="Times New Roman" w:hAnsi="Times New Roman"/>
          <w:kern w:val="2"/>
          <w:sz w:val="32"/>
          <w:szCs w:val="32"/>
          <w:lang w:val="en-US" w:eastAsia="zh-CN"/>
        </w:rPr>
        <w:t>质量</w:t>
      </w:r>
      <w:bookmarkStart w:id="0" w:name="_GoBack"/>
      <w:bookmarkEnd w:id="0"/>
      <w:r>
        <w:rPr>
          <w:rFonts w:hint="eastAsia" w:ascii="Times New Roman" w:hAnsi="Times New Roman"/>
          <w:kern w:val="2"/>
          <w:sz w:val="32"/>
          <w:szCs w:val="32"/>
          <w:lang w:val="en-US" w:eastAsia="zh-CN"/>
        </w:rPr>
        <w:t>要求</w:t>
      </w:r>
    </w:p>
    <w:p w14:paraId="6FA11FAB">
      <w:pPr>
        <w:pStyle w:val="10"/>
        <w:widowControl/>
        <w:shd w:val="clear" w:color="auto" w:fill="FFFFFF"/>
        <w:spacing w:before="0" w:beforeAutospacing="0" w:after="0" w:afterAutospacing="0"/>
        <w:ind w:firstLine="640" w:firstLineChars="200"/>
        <w:jc w:val="both"/>
        <w:rPr>
          <w:rFonts w:ascii="Times New Roman" w:hAnsi="Times New Roman"/>
          <w:kern w:val="2"/>
          <w:sz w:val="32"/>
          <w:szCs w:val="32"/>
        </w:rPr>
      </w:pPr>
      <w:r>
        <w:rPr>
          <w:rFonts w:hint="eastAsia" w:ascii="Times New Roman" w:hAnsi="Times New Roman"/>
          <w:kern w:val="2"/>
          <w:sz w:val="32"/>
          <w:szCs w:val="32"/>
        </w:rPr>
        <w:t>1、符合国家、地方、行业现行相关规范合格标准，符合施工图设计要求，且经国家认定的质量监督检验机构检测合格。</w:t>
      </w:r>
    </w:p>
    <w:p w14:paraId="1348CA27">
      <w:pPr>
        <w:pStyle w:val="10"/>
        <w:widowControl/>
        <w:shd w:val="clear" w:color="auto" w:fill="FFFFFF"/>
        <w:spacing w:before="0" w:beforeAutospacing="0" w:after="0" w:afterAutospacing="0"/>
        <w:ind w:firstLine="640" w:firstLineChars="200"/>
        <w:jc w:val="both"/>
        <w:rPr>
          <w:rFonts w:ascii="Times New Roman" w:hAnsi="Times New Roman"/>
          <w:kern w:val="2"/>
          <w:sz w:val="32"/>
          <w:szCs w:val="32"/>
        </w:rPr>
      </w:pPr>
      <w:r>
        <w:rPr>
          <w:rFonts w:hint="eastAsia" w:ascii="Times New Roman" w:hAnsi="Times New Roman"/>
          <w:kern w:val="2"/>
          <w:sz w:val="32"/>
          <w:szCs w:val="32"/>
        </w:rPr>
        <w:t>2、建材原材料应为符合规范标准的的合格产品，供应商应能提供质量合格证书、复试报告。</w:t>
      </w:r>
    </w:p>
    <w:p w14:paraId="6A7FE45A">
      <w:pPr>
        <w:pStyle w:val="10"/>
        <w:widowControl/>
        <w:shd w:val="clear" w:color="auto" w:fill="FFFFFF"/>
        <w:spacing w:before="0" w:beforeAutospacing="0" w:after="0" w:afterAutospacing="0"/>
        <w:ind w:firstLine="640" w:firstLineChars="200"/>
        <w:jc w:val="both"/>
        <w:rPr>
          <w:rFonts w:ascii="Times New Roman" w:hAnsi="Times New Roman"/>
          <w:kern w:val="2"/>
          <w:sz w:val="32"/>
          <w:szCs w:val="32"/>
        </w:rPr>
      </w:pPr>
      <w:r>
        <w:rPr>
          <w:rFonts w:hint="eastAsia" w:ascii="Times New Roman" w:hAnsi="Times New Roman"/>
          <w:kern w:val="2"/>
          <w:sz w:val="32"/>
          <w:szCs w:val="32"/>
        </w:rPr>
        <w:t>3、建材验收为货到验收，供应商在建材出厂前，应按技术标准规定的检验项目和试验方法进行全面检验，必要时</w:t>
      </w:r>
      <w:r>
        <w:rPr>
          <w:rFonts w:hint="eastAsia" w:ascii="Times New Roman" w:hAnsi="Times New Roman"/>
          <w:kern w:val="2"/>
          <w:sz w:val="32"/>
          <w:szCs w:val="32"/>
          <w:lang w:val="en-US" w:eastAsia="zh-CN"/>
        </w:rPr>
        <w:t>招标人</w:t>
      </w:r>
      <w:r>
        <w:rPr>
          <w:rFonts w:hint="eastAsia" w:ascii="Times New Roman" w:hAnsi="Times New Roman"/>
          <w:kern w:val="2"/>
          <w:sz w:val="32"/>
          <w:szCs w:val="32"/>
        </w:rPr>
        <w:t>可委派工作人员现场鉴证，建材验收应符合国家、地方、行业现行相关规范合格标准。</w:t>
      </w:r>
    </w:p>
    <w:p w14:paraId="476834A6">
      <w:pPr>
        <w:pStyle w:val="10"/>
        <w:widowControl/>
        <w:shd w:val="clear" w:color="auto" w:fill="FFFFFF"/>
        <w:spacing w:before="0" w:beforeAutospacing="0" w:after="0" w:afterAutospacing="0"/>
        <w:ind w:firstLine="640" w:firstLineChars="200"/>
        <w:jc w:val="both"/>
        <w:rPr>
          <w:rFonts w:hint="eastAsia" w:ascii="Times New Roman" w:hAnsi="Times New Roman"/>
          <w:kern w:val="2"/>
          <w:sz w:val="32"/>
          <w:szCs w:val="32"/>
        </w:rPr>
      </w:pPr>
      <w:r>
        <w:rPr>
          <w:rFonts w:hint="eastAsia" w:ascii="Times New Roman" w:hAnsi="Times New Roman"/>
          <w:kern w:val="2"/>
          <w:sz w:val="32"/>
          <w:szCs w:val="32"/>
        </w:rPr>
        <w:t>4、建材送达</w:t>
      </w:r>
      <w:r>
        <w:rPr>
          <w:rFonts w:hint="eastAsia" w:ascii="Times New Roman" w:hAnsi="Times New Roman"/>
          <w:kern w:val="2"/>
          <w:sz w:val="32"/>
          <w:szCs w:val="32"/>
          <w:lang w:val="en-US" w:eastAsia="zh-CN"/>
        </w:rPr>
        <w:t>招标人</w:t>
      </w:r>
      <w:r>
        <w:rPr>
          <w:rFonts w:hint="eastAsia" w:ascii="Times New Roman" w:hAnsi="Times New Roman"/>
          <w:kern w:val="2"/>
          <w:sz w:val="32"/>
          <w:szCs w:val="32"/>
        </w:rPr>
        <w:t>指定地点后，由</w:t>
      </w:r>
      <w:r>
        <w:rPr>
          <w:rFonts w:hint="eastAsia" w:ascii="Times New Roman" w:hAnsi="Times New Roman"/>
          <w:kern w:val="2"/>
          <w:sz w:val="32"/>
          <w:szCs w:val="32"/>
          <w:lang w:val="en-US" w:eastAsia="zh-CN"/>
        </w:rPr>
        <w:t>招标人</w:t>
      </w:r>
      <w:r>
        <w:rPr>
          <w:rFonts w:hint="eastAsia" w:ascii="Times New Roman" w:hAnsi="Times New Roman"/>
          <w:kern w:val="2"/>
          <w:sz w:val="32"/>
          <w:szCs w:val="32"/>
        </w:rPr>
        <w:t>现场代表对建材的基本质量和数量进行验收，但不作为最终验收合格的证明。</w:t>
      </w:r>
    </w:p>
    <w:p w14:paraId="3C16548D">
      <w:pPr>
        <w:pStyle w:val="10"/>
        <w:widowControl/>
        <w:shd w:val="clear" w:color="auto" w:fill="FFFFFF"/>
        <w:spacing w:line="579" w:lineRule="auto"/>
        <w:ind w:firstLine="0" w:firstLineChars="0"/>
        <w:rPr>
          <w:rFonts w:hint="eastAsia" w:ascii="Times New Roman" w:hAnsi="Times New Roman" w:eastAsiaTheme="minorEastAsia" w:cstheme="minorBidi"/>
          <w:kern w:val="2"/>
          <w:sz w:val="32"/>
          <w:szCs w:val="32"/>
          <w:highlight w:val="none"/>
        </w:rPr>
      </w:pPr>
      <w:r>
        <w:rPr>
          <w:rFonts w:hint="eastAsia" w:ascii="Times New Roman" w:hAnsi="Times New Roman"/>
          <w:kern w:val="2"/>
          <w:sz w:val="32"/>
          <w:szCs w:val="32"/>
          <w:highlight w:val="none"/>
          <w:lang w:val="en-US" w:eastAsia="zh-CN"/>
        </w:rPr>
        <w:t>二、</w:t>
      </w:r>
      <w:r>
        <w:rPr>
          <w:rFonts w:hint="eastAsia" w:ascii="Times New Roman" w:hAnsi="Times New Roman" w:eastAsiaTheme="minorEastAsia" w:cstheme="minorBidi"/>
          <w:kern w:val="2"/>
          <w:sz w:val="32"/>
          <w:szCs w:val="32"/>
          <w:highlight w:val="none"/>
        </w:rPr>
        <w:t>采购人要求</w:t>
      </w:r>
    </w:p>
    <w:p w14:paraId="0889F0AC">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1、成交人应按采购人实际需求，将干混砂浆原材料足量备货到仓库,并配合采购人做好供货仓储计划，保障干混砂浆及时供应，保障采购人建设项目施工的正常进行，切实为采购人提供快捷可靠的服务:</w:t>
      </w:r>
    </w:p>
    <w:p w14:paraId="459DF241">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2、采购人对供应干混砂浆具有自主选择权，实际供应干混砂浆的的数量、规格、型号等均以采购人订单通知为准;</w:t>
      </w:r>
    </w:p>
    <w:p w14:paraId="2152E365">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3、如因成交人延期交货，给采购人造成损失的，成交人应据实承担所有经济赔偿和法律责任;</w:t>
      </w:r>
    </w:p>
    <w:p w14:paraId="64581B94">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4、对于采购人以书面或电话形式提出的质量、服务等问题，成交人应于 24 小时内予以答复响应;</w:t>
      </w:r>
    </w:p>
    <w:p w14:paraId="68869F81">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5、成交人如有违反质量承诺的，采购人有权没收其履约保证金，给采购人造成损失的同时应承担赔偿责任;</w:t>
      </w:r>
    </w:p>
    <w:p w14:paraId="43F6A360">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6、成交人对供应干混砂浆应以国家或行业标准配送，不得以次充好，不得偷工减料，对质量不合格的产品应实行包退、包换:若因供应商供应干混砂浆质量问题或以次充好或偷工减料造成的工程安全事故，成交人应承担所有经济赔偿和法律责任;</w:t>
      </w:r>
    </w:p>
    <w:p w14:paraId="78914A8D">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7、成交人人员在采购人施工现场造成本人或者第三人人身、财产损失成交人应自行承担责任，若因此导致采购人担责，采购人有权对成交人追偿；</w:t>
      </w:r>
    </w:p>
    <w:p w14:paraId="73E1E127">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8、关于干混砂浆散装储罐相关约定:成交人负责免费提供干混砂浆散装储罐，采购人负责现场砂浆储存罐的安防操作空间、基础施工及罐车进出场道路畅通。干混砂浆散装储罐退场时问以采购人通知为准；</w:t>
      </w:r>
    </w:p>
    <w:p w14:paraId="6B60D347">
      <w:pPr>
        <w:pStyle w:val="10"/>
        <w:widowControl/>
        <w:shd w:val="clear" w:color="auto" w:fill="FFFFFF"/>
        <w:ind w:firstLine="640" w:firstLineChars="200"/>
        <w:rPr>
          <w:rFonts w:hint="eastAsia" w:ascii="Times New Roman" w:hAnsi="Times New Roman"/>
          <w:kern w:val="2"/>
          <w:sz w:val="32"/>
          <w:szCs w:val="32"/>
          <w:lang w:val="en-US" w:eastAsia="zh-CN"/>
        </w:rPr>
      </w:pPr>
      <w:r>
        <w:rPr>
          <w:rFonts w:hint="eastAsia" w:ascii="Times New Roman" w:hAnsi="Times New Roman"/>
          <w:kern w:val="2"/>
          <w:sz w:val="32"/>
          <w:szCs w:val="32"/>
          <w:lang w:val="en-US" w:eastAsia="zh-CN"/>
        </w:rPr>
        <w:t>9、预拌砂浆所用水泥品牌必须为海螺、东关、巢湖品牌之一（海螺、铸字、巢东）。</w:t>
      </w:r>
    </w:p>
    <w:permEnd w:id="0"/>
    <w:p w14:paraId="44F80A26">
      <w:pPr>
        <w:spacing w:before="0" w:after="0" w:line="520" w:lineRule="exact"/>
        <w:ind w:firstLine="0" w:firstLineChars="0"/>
        <w:jc w:val="both"/>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0008009F" w:csb1="00000000"/>
  </w:font>
  <w:font w:name="微软雅黑">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revisionView w:markup="0"/>
  <w:trackRevisions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WI4MTg2YzFlM2M3OTJjYmEwNTgwNDM4NmYyMmQ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B76409"/>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6CC6A4F"/>
    <w:rsid w:val="07794418"/>
    <w:rsid w:val="07F95559"/>
    <w:rsid w:val="08334683"/>
    <w:rsid w:val="084C6B81"/>
    <w:rsid w:val="085D7BF2"/>
    <w:rsid w:val="086504F8"/>
    <w:rsid w:val="094762F4"/>
    <w:rsid w:val="0A4C7B8C"/>
    <w:rsid w:val="0B316DB7"/>
    <w:rsid w:val="0B4D3BF1"/>
    <w:rsid w:val="0EE32E18"/>
    <w:rsid w:val="0F4A52C7"/>
    <w:rsid w:val="118B7221"/>
    <w:rsid w:val="11EA4261"/>
    <w:rsid w:val="122B630F"/>
    <w:rsid w:val="13F81FC1"/>
    <w:rsid w:val="1409144A"/>
    <w:rsid w:val="15E50ECA"/>
    <w:rsid w:val="16675465"/>
    <w:rsid w:val="16A23571"/>
    <w:rsid w:val="1720040C"/>
    <w:rsid w:val="17602EFE"/>
    <w:rsid w:val="17B120CF"/>
    <w:rsid w:val="17B77C73"/>
    <w:rsid w:val="17D11706"/>
    <w:rsid w:val="18963AA9"/>
    <w:rsid w:val="19255C97"/>
    <w:rsid w:val="192D5062"/>
    <w:rsid w:val="19B137D6"/>
    <w:rsid w:val="19FF0946"/>
    <w:rsid w:val="1A29745A"/>
    <w:rsid w:val="1B862808"/>
    <w:rsid w:val="1BA50EE0"/>
    <w:rsid w:val="1BBC447B"/>
    <w:rsid w:val="1C2A3722"/>
    <w:rsid w:val="1C8F00F4"/>
    <w:rsid w:val="1E594203"/>
    <w:rsid w:val="1E8E214B"/>
    <w:rsid w:val="1EB97267"/>
    <w:rsid w:val="1EFC62AD"/>
    <w:rsid w:val="1F586514"/>
    <w:rsid w:val="1F6B2440"/>
    <w:rsid w:val="1FB429A4"/>
    <w:rsid w:val="1FE17043"/>
    <w:rsid w:val="20265131"/>
    <w:rsid w:val="20D57FB1"/>
    <w:rsid w:val="21C916A0"/>
    <w:rsid w:val="221C0459"/>
    <w:rsid w:val="22204F24"/>
    <w:rsid w:val="223B582C"/>
    <w:rsid w:val="232437D5"/>
    <w:rsid w:val="23AA508F"/>
    <w:rsid w:val="253A6668"/>
    <w:rsid w:val="25D7012F"/>
    <w:rsid w:val="25E87F6B"/>
    <w:rsid w:val="26650304"/>
    <w:rsid w:val="26A24E49"/>
    <w:rsid w:val="26CF5662"/>
    <w:rsid w:val="27CC5A46"/>
    <w:rsid w:val="28205DAC"/>
    <w:rsid w:val="284D3501"/>
    <w:rsid w:val="286E3521"/>
    <w:rsid w:val="299D3B3E"/>
    <w:rsid w:val="2A434F8A"/>
    <w:rsid w:val="2B7D1B09"/>
    <w:rsid w:val="2CA862FE"/>
    <w:rsid w:val="2CBF5B79"/>
    <w:rsid w:val="2DB72D51"/>
    <w:rsid w:val="2EA72D69"/>
    <w:rsid w:val="2FA81E31"/>
    <w:rsid w:val="3025488D"/>
    <w:rsid w:val="31D571B6"/>
    <w:rsid w:val="323435E7"/>
    <w:rsid w:val="324024E7"/>
    <w:rsid w:val="326E7E26"/>
    <w:rsid w:val="32DD707A"/>
    <w:rsid w:val="335A6BD0"/>
    <w:rsid w:val="34D348B8"/>
    <w:rsid w:val="35F951F0"/>
    <w:rsid w:val="35FC6972"/>
    <w:rsid w:val="36C559EE"/>
    <w:rsid w:val="37993F08"/>
    <w:rsid w:val="388008B3"/>
    <w:rsid w:val="39A9599C"/>
    <w:rsid w:val="39B73173"/>
    <w:rsid w:val="39E15381"/>
    <w:rsid w:val="3A2B6F44"/>
    <w:rsid w:val="3B2A0FAA"/>
    <w:rsid w:val="3B8406BA"/>
    <w:rsid w:val="3C2F4ACA"/>
    <w:rsid w:val="3D424389"/>
    <w:rsid w:val="3DBC7F10"/>
    <w:rsid w:val="3ED01E68"/>
    <w:rsid w:val="4019701E"/>
    <w:rsid w:val="407C4056"/>
    <w:rsid w:val="40837C00"/>
    <w:rsid w:val="40B55684"/>
    <w:rsid w:val="4162149D"/>
    <w:rsid w:val="421649E1"/>
    <w:rsid w:val="42B72E00"/>
    <w:rsid w:val="43313FC3"/>
    <w:rsid w:val="439E2535"/>
    <w:rsid w:val="43CC0E50"/>
    <w:rsid w:val="44C2414A"/>
    <w:rsid w:val="452A0524"/>
    <w:rsid w:val="458A3D9B"/>
    <w:rsid w:val="459359FA"/>
    <w:rsid w:val="46A12F7F"/>
    <w:rsid w:val="46EF473A"/>
    <w:rsid w:val="47217705"/>
    <w:rsid w:val="47361E51"/>
    <w:rsid w:val="47564260"/>
    <w:rsid w:val="47D62E54"/>
    <w:rsid w:val="489A45C2"/>
    <w:rsid w:val="49247038"/>
    <w:rsid w:val="4932021F"/>
    <w:rsid w:val="494444F5"/>
    <w:rsid w:val="4BCE6E1F"/>
    <w:rsid w:val="4BED10E7"/>
    <w:rsid w:val="4CA26BF2"/>
    <w:rsid w:val="4CAF6FD3"/>
    <w:rsid w:val="4D047E1C"/>
    <w:rsid w:val="4D371C9A"/>
    <w:rsid w:val="4D4E1987"/>
    <w:rsid w:val="4D9A16A2"/>
    <w:rsid w:val="4EC40452"/>
    <w:rsid w:val="4F2C6C47"/>
    <w:rsid w:val="502A587C"/>
    <w:rsid w:val="504D489E"/>
    <w:rsid w:val="514364CA"/>
    <w:rsid w:val="51D72884"/>
    <w:rsid w:val="53174839"/>
    <w:rsid w:val="537E791D"/>
    <w:rsid w:val="54372316"/>
    <w:rsid w:val="546122D3"/>
    <w:rsid w:val="546B6463"/>
    <w:rsid w:val="54FB1595"/>
    <w:rsid w:val="554C4DB4"/>
    <w:rsid w:val="56026953"/>
    <w:rsid w:val="56A936C4"/>
    <w:rsid w:val="56FE3F90"/>
    <w:rsid w:val="57037EE2"/>
    <w:rsid w:val="57CB7BCB"/>
    <w:rsid w:val="58044C05"/>
    <w:rsid w:val="58600F69"/>
    <w:rsid w:val="591B0458"/>
    <w:rsid w:val="59590F26"/>
    <w:rsid w:val="5A1A187F"/>
    <w:rsid w:val="5B193FAC"/>
    <w:rsid w:val="5D662547"/>
    <w:rsid w:val="5D990C3B"/>
    <w:rsid w:val="5E5721AC"/>
    <w:rsid w:val="5FDC6467"/>
    <w:rsid w:val="604653D4"/>
    <w:rsid w:val="609747A1"/>
    <w:rsid w:val="60CD01D3"/>
    <w:rsid w:val="60D3511D"/>
    <w:rsid w:val="60EB2945"/>
    <w:rsid w:val="627831CA"/>
    <w:rsid w:val="642E19FC"/>
    <w:rsid w:val="65695331"/>
    <w:rsid w:val="659579C8"/>
    <w:rsid w:val="65FE5602"/>
    <w:rsid w:val="66833198"/>
    <w:rsid w:val="672E75A8"/>
    <w:rsid w:val="6783033A"/>
    <w:rsid w:val="679715F1"/>
    <w:rsid w:val="682269E1"/>
    <w:rsid w:val="687E455F"/>
    <w:rsid w:val="69766FE4"/>
    <w:rsid w:val="69A02DFB"/>
    <w:rsid w:val="6A162110"/>
    <w:rsid w:val="6A7603B2"/>
    <w:rsid w:val="6AEB1671"/>
    <w:rsid w:val="6B827EC3"/>
    <w:rsid w:val="6BBC75A6"/>
    <w:rsid w:val="6BC730D8"/>
    <w:rsid w:val="6BDD159D"/>
    <w:rsid w:val="6BF568E6"/>
    <w:rsid w:val="6C8D2FC3"/>
    <w:rsid w:val="6DB6166C"/>
    <w:rsid w:val="714D0F73"/>
    <w:rsid w:val="7279151A"/>
    <w:rsid w:val="72802C82"/>
    <w:rsid w:val="731E270E"/>
    <w:rsid w:val="73C61A83"/>
    <w:rsid w:val="74420F11"/>
    <w:rsid w:val="75BD0595"/>
    <w:rsid w:val="7608705F"/>
    <w:rsid w:val="76984A3E"/>
    <w:rsid w:val="76A67DC8"/>
    <w:rsid w:val="772E53A2"/>
    <w:rsid w:val="77471FC0"/>
    <w:rsid w:val="776E39F1"/>
    <w:rsid w:val="777FA5D6"/>
    <w:rsid w:val="77B42785"/>
    <w:rsid w:val="787E1A12"/>
    <w:rsid w:val="78A5543C"/>
    <w:rsid w:val="78D45AD6"/>
    <w:rsid w:val="79D83AC2"/>
    <w:rsid w:val="7DE41F56"/>
    <w:rsid w:val="7E0856E7"/>
    <w:rsid w:val="7E0C4128"/>
    <w:rsid w:val="7E2B43EA"/>
    <w:rsid w:val="7E2C7000"/>
    <w:rsid w:val="7E596D8E"/>
    <w:rsid w:val="7EF667A6"/>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5"/>
    <w:qFormat/>
    <w:uiPriority w:val="0"/>
    <w:pPr>
      <w:keepNext/>
      <w:keepLines/>
      <w:tabs>
        <w:tab w:val="left" w:pos="420"/>
      </w:tabs>
      <w:spacing w:before="340" w:after="330" w:line="578" w:lineRule="auto"/>
      <w:outlineLvl w:val="0"/>
    </w:pPr>
    <w:rPr>
      <w:b/>
      <w:bCs/>
      <w:kern w:val="44"/>
      <w:sz w:val="44"/>
      <w:szCs w:val="44"/>
    </w:rPr>
  </w:style>
  <w:style w:type="paragraph" w:styleId="5">
    <w:name w:val="heading 2"/>
    <w:basedOn w:val="1"/>
    <w:next w:val="6"/>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ind w:firstLine="420"/>
    </w:pPr>
  </w:style>
  <w:style w:type="paragraph" w:styleId="3">
    <w:name w:val="Body Text Indent"/>
    <w:basedOn w:val="1"/>
    <w:qFormat/>
    <w:uiPriority w:val="0"/>
    <w:pPr>
      <w:spacing w:after="120" w:afterLines="0"/>
      <w:ind w:left="420" w:leftChars="200"/>
    </w:pPr>
  </w:style>
  <w:style w:type="paragraph" w:styleId="7">
    <w:name w:val="Body Text"/>
    <w:basedOn w:val="1"/>
    <w:qFormat/>
    <w:uiPriority w:val="99"/>
    <w:pPr>
      <w:tabs>
        <w:tab w:val="left" w:pos="420"/>
      </w:tabs>
      <w:ind w:firstLine="480"/>
    </w:pPr>
    <w:rPr>
      <w:rFonts w:ascii="等线" w:hAnsi="等线" w:eastAsia="等线" w:cs="等线"/>
      <w:lang w:val="zh-CN" w:bidi="zh-CN"/>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envelope return"/>
    <w:basedOn w:val="1"/>
    <w:qFormat/>
    <w:uiPriority w:val="0"/>
    <w:pPr>
      <w:snapToGrid w:val="0"/>
    </w:pPr>
    <w:rPr>
      <w:rFonts w:ascii="Arial" w:hAnsi="Arial"/>
      <w:szCs w:val="20"/>
    </w:rPr>
  </w:style>
  <w:style w:type="paragraph" w:styleId="10">
    <w:name w:val="Normal (Web)"/>
    <w:basedOn w:val="1"/>
    <w:qFormat/>
    <w:uiPriority w:val="0"/>
    <w:pPr>
      <w:spacing w:before="100" w:beforeAutospacing="1" w:after="100" w:afterAutospacing="1"/>
      <w:jc w:val="left"/>
    </w:pPr>
    <w:rPr>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Heading1"/>
    <w:basedOn w:val="1"/>
    <w:next w:val="1"/>
    <w:qFormat/>
    <w:locked/>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15">
    <w:name w:val="Table Paragraph"/>
    <w:basedOn w:val="1"/>
    <w:qFormat/>
    <w:uiPriority w:val="1"/>
    <w:pPr>
      <w:autoSpaceDE w:val="0"/>
      <w:autoSpaceDN w:val="0"/>
      <w:jc w:val="left"/>
    </w:pPr>
    <w:rPr>
      <w:rFonts w:ascii="宋体" w:hAnsi="宋体" w:eastAsia="宋体" w:cs="宋体"/>
      <w:kern w:val="0"/>
      <w:sz w:val="22"/>
    </w:rPr>
  </w:style>
  <w:style w:type="table" w:customStyle="1" w:styleId="16">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7">
    <w:name w:val="表格内容2"/>
    <w:basedOn w:val="1"/>
    <w:qFormat/>
    <w:uiPriority w:val="0"/>
    <w:pPr>
      <w:jc w:val="center"/>
    </w:pPr>
    <w:rPr>
      <w:rFonts w:ascii="仿宋_GB2312" w:hAnsi="Batang"/>
      <w:spacing w:val="-2"/>
      <w:kern w:val="0"/>
      <w:position w:val="-2"/>
      <w:szCs w:val="20"/>
    </w:rPr>
  </w:style>
  <w:style w:type="paragraph" w:customStyle="1" w:styleId="18">
    <w:name w:val="6表格"/>
    <w:basedOn w:val="1"/>
    <w:qFormat/>
    <w:uiPriority w:val="0"/>
    <w:pPr>
      <w:autoSpaceDE w:val="0"/>
      <w:autoSpaceDN w:val="0"/>
      <w:adjustRightInd w:val="0"/>
      <w:jc w:val="center"/>
    </w:pPr>
    <w:rPr>
      <w:bCs/>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1067</Words>
  <Characters>1086</Characters>
  <Lines>22</Lines>
  <Paragraphs>6</Paragraphs>
  <TotalTime>0</TotalTime>
  <ScaleCrop>false</ScaleCrop>
  <LinksUpToDate>false</LinksUpToDate>
  <CharactersWithSpaces>1087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2024-07-11T09:07:00Z</cp:lastPrinted>
  <dcterms:modified xsi:type="dcterms:W3CDTF">2024-07-15T04:18:15Z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37212E1C461141AAB133C86B50EAFFF1_13</vt:lpwstr>
  </property>
</Properties>
</file>