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亳州高铁南站金融商务中心项目装饰装修工程专业分包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2024年7</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亳州高铁南站金融商务中心项目装饰装修工程专业分包招标公告</w:t>
      </w:r>
      <w:bookmarkStart w:id="0" w:name="_Toc144974487"/>
      <w:bookmarkStart w:id="1" w:name="_Toc246996909"/>
      <w:bookmarkStart w:id="2" w:name="_Toc296602410"/>
      <w:bookmarkStart w:id="3" w:name="_Toc247085680"/>
      <w:bookmarkStart w:id="4" w:name="_Toc246996166"/>
      <w:bookmarkStart w:id="5" w:name="_Toc152042295"/>
      <w:bookmarkStart w:id="6" w:name="_Toc179632536"/>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52042296"/>
      <w:bookmarkStart w:id="10" w:name="_Toc144974488"/>
      <w:bookmarkStart w:id="11" w:name="_Toc152045520"/>
      <w:bookmarkStart w:id="12" w:name="_Toc246996167"/>
      <w:bookmarkStart w:id="13" w:name="_Toc246996910"/>
      <w:bookmarkStart w:id="14" w:name="_Toc247085681"/>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亳州高铁南站金融商务中心项目装饰装修工程专业分包</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BZJK-2024-052号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（一）项目概况：亳州高铁南站金融商务中心装饰装修项目，位于酒城大道与神农大道交叉口，施工范围：1#</w:t>
      </w:r>
      <w:r>
        <w:rPr>
          <w:rFonts w:hint="eastAsia" w:asciiTheme="minorEastAsia" w:hAnsiTheme="minorEastAsia" w:cstheme="minorEastAsia"/>
          <w:sz w:val="28"/>
          <w:szCs w:val="28"/>
          <w:highlight w:val="none"/>
          <w:lang w:val="en-US" w:eastAsia="zh-CN"/>
        </w:rPr>
        <w:t>楼</w:t>
      </w:r>
      <w:r>
        <w:rPr>
          <w:rFonts w:hint="eastAsia" w:asciiTheme="minorEastAsia" w:hAnsiTheme="minorEastAsia" w:eastAsiaTheme="minorEastAsia" w:cstheme="minorEastAsia"/>
          <w:sz w:val="28"/>
          <w:szCs w:val="28"/>
          <w:highlight w:val="none"/>
          <w:lang w:val="en-US" w:eastAsia="zh-CN"/>
        </w:rPr>
        <w:t>地上1-2层、2#</w:t>
      </w:r>
      <w:r>
        <w:rPr>
          <w:rFonts w:hint="eastAsia" w:asciiTheme="minorEastAsia" w:hAnsiTheme="minorEastAsia" w:cstheme="minorEastAsia"/>
          <w:sz w:val="28"/>
          <w:szCs w:val="28"/>
          <w:highlight w:val="none"/>
          <w:lang w:val="en-US" w:eastAsia="zh-CN"/>
        </w:rPr>
        <w:t>楼</w:t>
      </w:r>
      <w:r>
        <w:rPr>
          <w:rFonts w:hint="eastAsia" w:asciiTheme="minorEastAsia" w:hAnsiTheme="minorEastAsia" w:eastAsiaTheme="minorEastAsia" w:cstheme="minorEastAsia"/>
          <w:sz w:val="28"/>
          <w:szCs w:val="28"/>
          <w:highlight w:val="none"/>
          <w:lang w:val="en-US" w:eastAsia="zh-CN"/>
        </w:rPr>
        <w:t>地上1-6层的装饰装修工程，其中1#楼装修建筑面积1309.16㎡，2#楼装修建筑面积17798.95㎡，总建筑面积19108.11㎡。</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（二）采购范围：本次招标的范围是亳州高铁南站金融商务中心项目1#、2#</w:t>
      </w:r>
      <w:r>
        <w:rPr>
          <w:rFonts w:hint="eastAsia" w:asciiTheme="minorEastAsia" w:hAnsiTheme="minorEastAsia" w:cstheme="minorEastAsia"/>
          <w:sz w:val="28"/>
          <w:szCs w:val="28"/>
          <w:highlight w:val="none"/>
          <w:lang w:val="en-US" w:eastAsia="zh-CN"/>
        </w:rPr>
        <w:t>楼</w:t>
      </w:r>
      <w:r>
        <w:rPr>
          <w:rFonts w:hint="eastAsia" w:asciiTheme="minorEastAsia" w:hAnsiTheme="minorEastAsia" w:eastAsiaTheme="minorEastAsia" w:cstheme="minorEastAsia"/>
          <w:sz w:val="28"/>
          <w:szCs w:val="28"/>
          <w:highlight w:val="none"/>
          <w:lang w:val="en-US" w:eastAsia="zh-CN"/>
        </w:rPr>
        <w:t>装饰装修专业分包工程，除发包人提供的弱电智能化工程不在此次招标范围内，包括但不限于：所有结构混凝土工程及加固工程，拆除工程、砌筑工程，门窗工程，防水工程，楼地面装饰工程，墙、柱面装饰与隔断、幕墙工程，天棚工程，油漆、涂料、裱糊工程，其他装饰工程、脚手架工程、消防工程、水电工程、暖通工程及其他土建及安装工程等，按照施工图纸及发包人的要求，设计变更、业主及招标人要求增加、工程联系单等要求完成所有工作任务，以实际完成合格工程量为准。投标单位投标前请认真看阅施工图、并现场踏堪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（四）计划工期：自合同签订之日起150日历天</w:t>
      </w:r>
      <w:r>
        <w:rPr>
          <w:rFonts w:hint="eastAsia" w:asciiTheme="minorEastAsia" w:hAnsiTheme="minorEastAsia" w:cstheme="minorEastAsia"/>
          <w:sz w:val="28"/>
          <w:szCs w:val="28"/>
          <w:highlight w:val="none"/>
          <w:lang w:val="en-US" w:eastAsia="zh-CN"/>
        </w:rPr>
        <w:t>。</w:t>
      </w:r>
    </w:p>
    <w:p>
      <w:pPr>
        <w:spacing w:line="520" w:lineRule="exact"/>
        <w:ind w:firstLine="560" w:firstLineChars="200"/>
        <w:rPr>
          <w:rFonts w:hint="default" w:ascii="Times New Roman" w:hAnsi="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8" w:edGrp="everyone"/>
      <w:r>
        <w:rPr>
          <w:rFonts w:hint="eastAsia" w:asciiTheme="minorEastAsia" w:hAnsiTheme="minorEastAsia" w:eastAsiaTheme="minorEastAsia" w:cstheme="minorEastAsia"/>
          <w:sz w:val="28"/>
          <w:szCs w:val="28"/>
          <w:highlight w:val="none"/>
          <w:lang w:val="en-US" w:eastAsia="zh-CN"/>
        </w:rPr>
        <w:t>（含税：</w:t>
      </w:r>
      <w:r>
        <w:rPr>
          <w:rFonts w:hint="eastAsia" w:asciiTheme="minorEastAsia" w:hAnsiTheme="minorEastAsia" w:eastAsiaTheme="minorEastAsia" w:cstheme="minorEastAsia"/>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w:t>
      </w:r>
      <w:permEnd w:id="8"/>
      <w:r>
        <w:rPr>
          <w:rFonts w:hint="eastAsia" w:asciiTheme="minorEastAsia" w:hAnsiTheme="minorEastAsia" w:eastAsiaTheme="minorEastAsia" w:cstheme="minorEastAsia"/>
          <w:sz w:val="28"/>
          <w:szCs w:val="28"/>
          <w:highlight w:val="none"/>
          <w:lang w:val="en-US" w:eastAsia="zh-CN"/>
        </w:rPr>
        <w:t>：以建设单位提供的清单控制价装饰装修工程专业部分为基数，投标报价不得超过基数的90%，投标人按</w:t>
      </w:r>
      <w:permStart w:id="9" w:edGrp="everyone"/>
      <w:r>
        <w:rPr>
          <w:rFonts w:hint="eastAsia" w:asciiTheme="minorEastAsia" w:hAnsiTheme="minorEastAsia" w:eastAsiaTheme="minorEastAsia" w:cstheme="minorEastAsia"/>
          <w:sz w:val="28"/>
          <w:szCs w:val="28"/>
          <w:highlight w:val="none"/>
          <w:lang w:val="en-US" w:eastAsia="zh-CN"/>
        </w:rPr>
        <w:t>费率</w:t>
      </w:r>
      <w:permEnd w:id="9"/>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（一）具有独立法人资格，并在人员、设备、资金等方面具有承担本工程施工的能力;</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lang w:val="en-US" w:eastAsia="zh-CN"/>
        </w:rPr>
        <w:t>有效的</w:t>
      </w:r>
      <w:bookmarkStart w:id="574" w:name="_GoBack"/>
      <w:bookmarkEnd w:id="574"/>
      <w:r>
        <w:rPr>
          <w:rFonts w:hint="eastAsia" w:asciiTheme="minorEastAsia" w:hAnsiTheme="minorEastAsia" w:eastAsiaTheme="minorEastAsia" w:cstheme="minorEastAsia"/>
          <w:sz w:val="28"/>
          <w:szCs w:val="28"/>
          <w:highlight w:val="none"/>
          <w:lang w:val="en-US" w:eastAsia="zh-CN"/>
        </w:rPr>
        <w:t>建筑装修装饰工程专业承包二级及以上资质、消防设施工程专业承包二级及以上资质和安全生产许可证；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（三）项目负责人具备建筑工程专业二级建造师及以上执业资格。</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注：项目负责人应附身份证、执业资格证（或注册证书）、有效的安全考核B证及缴纳养老保险的复印件。养老保险须提供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2019</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0" w:edGrp="everyone"/>
      <w:r>
        <w:rPr>
          <w:rFonts w:hint="eastAsia" w:asciiTheme="minorEastAsia" w:hAnsiTheme="minorEastAsia" w:eastAsiaTheme="minorEastAsia" w:cstheme="minorEastAsia"/>
          <w:sz w:val="28"/>
          <w:szCs w:val="28"/>
          <w:highlight w:val="none"/>
          <w:lang w:val="en-US" w:eastAsia="zh-CN"/>
        </w:rPr>
        <w:t>合同签订时间</w:t>
      </w:r>
      <w:permEnd w:id="10"/>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单项合同金额不低于1500万元的装修装饰工程专业承包业绩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提供业绩合同、合同任意节点税务发票</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（总包业绩参与投标不予认可）。</w:t>
      </w:r>
    </w:p>
    <w:permEnd w:id="11"/>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（六）投标人如在以往承接交控集团及下属企业项目过程中被记入“黑名单”，不得参加本次招标投标活动；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（七）本次招标</w:t>
      </w:r>
      <w:permStart w:id="12" w:edGrp="everyone"/>
      <w:r>
        <w:rPr>
          <w:rFonts w:hint="eastAsia" w:asciiTheme="minorEastAsia" w:hAnsiTheme="minorEastAsia" w:eastAsiaTheme="minorEastAsia" w:cstheme="minorEastAsia"/>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联合体投标。</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（八）本项目委托代理人必须是投标单位正式人员，须提供投标单位公司为其缴纳的</w:t>
      </w:r>
      <w:permStart w:id="13" w:edGrp="everyone"/>
      <w:r>
        <w:rPr>
          <w:rFonts w:hint="eastAsia" w:asciiTheme="minorEastAsia" w:hAnsiTheme="minorEastAsia" w:eastAsiaTheme="minorEastAsia" w:cstheme="minorEastAsia"/>
          <w:sz w:val="28"/>
          <w:szCs w:val="28"/>
          <w:highlight w:val="none"/>
          <w:u w:val="singl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月</w:t>
      </w:r>
      <w:permEnd w:id="13"/>
      <w:r>
        <w:rPr>
          <w:rFonts w:hint="eastAsia" w:asciiTheme="minorEastAsia" w:hAnsiTheme="minorEastAsia" w:eastAsiaTheme="minorEastAsia" w:cstheme="minorEastAsia"/>
          <w:sz w:val="28"/>
          <w:szCs w:val="28"/>
          <w:highlight w:val="none"/>
          <w:lang w:val="en-US" w:eastAsia="zh-CN"/>
        </w:rPr>
        <w:t>起任意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19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9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cstheme="minorEastAsia"/>
          <w:color w:val="FF0000"/>
          <w:sz w:val="28"/>
          <w:szCs w:val="28"/>
          <w:highlight w:val="none"/>
          <w:lang w:val="en-US" w:eastAsia="zh-CN"/>
        </w:rPr>
        <w:t>不允许</w:t>
      </w:r>
      <w:permEnd w:id="15"/>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6" w:edGrp="everyone"/>
      <w:r>
        <w:rPr>
          <w:rFonts w:hint="eastAsia" w:asciiTheme="minorEastAsia" w:hAnsiTheme="minorEastAsia" w:cstheme="minorEastAsia"/>
          <w:sz w:val="28"/>
          <w:szCs w:val="28"/>
          <w:highlight w:val="none"/>
          <w:u w:val="single"/>
          <w:lang w:val="en-US" w:eastAsia="zh-CN"/>
        </w:rPr>
        <w:t>200000元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8" w:edGrp="everyone"/>
      <w:r>
        <w:rPr>
          <w:rFonts w:hint="eastAsia" w:asciiTheme="minorEastAsia" w:hAnsiTheme="minorEastAsia" w:cstheme="minorEastAsia"/>
          <w:sz w:val="28"/>
          <w:szCs w:val="28"/>
          <w:highlight w:val="none"/>
          <w:lang w:val="en-US" w:eastAsia="zh-CN"/>
        </w:rPr>
        <w:t xml:space="preserve">安徽省亳州市谯城区S309收费站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 xml:space="preserve">茹经理  </w:t>
      </w:r>
      <w:permEnd w:id="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0" w:edGrp="everyone"/>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 xml:space="preserve">9155250515 </w:t>
      </w:r>
      <w:permEnd w:id="20"/>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2024年7月12 日</w:t>
      </w:r>
      <w:permEnd w:id="21"/>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2"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2"/>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6" w:edGrp="everyone"/>
            <w:r>
              <w:rPr>
                <w:rFonts w:hint="eastAsia" w:ascii="Times New Roman" w:hAnsi="Times New Roman" w:cs="Times New Roman"/>
                <w:color w:val="auto"/>
                <w:szCs w:val="21"/>
                <w:highlight w:val="none"/>
                <w:u w:val="single"/>
                <w:lang w:val="en-US" w:eastAsia="zh-CN"/>
              </w:rPr>
              <w:t xml:space="preserve">200000元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color w:val="FF0000"/>
                <w:szCs w:val="21"/>
                <w:highlight w:val="none"/>
                <w:lang w:val="en-US" w:eastAsia="zh-CN"/>
              </w:rPr>
              <w:t>BZJK-2024-052号保证金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8" w:edGrp="everyone"/>
            <w:permEnd w:id="28"/>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9"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亳州高铁南站金融商务中心项目装饰装修工程专业分包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BZJK-2024-052号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7</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u w:val="single"/>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u w:val="single"/>
                <w:lang w:val="en-US" w:eastAsia="zh-CN"/>
              </w:rPr>
              <w:t>1500000元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6"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44974497"/>
      <w:bookmarkStart w:id="18" w:name="_Toc246996918"/>
      <w:bookmarkStart w:id="19" w:name="_Toc246996175"/>
      <w:bookmarkStart w:id="20" w:name="_Toc179632546"/>
      <w:bookmarkStart w:id="21" w:name="_Toc152045529"/>
      <w:bookmarkStart w:id="22" w:name="_Toc247085689"/>
      <w:bookmarkStart w:id="23" w:name="_Toc296602420"/>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247085690"/>
      <w:bookmarkStart w:id="26" w:name="_Toc152045530"/>
      <w:bookmarkStart w:id="27" w:name="_Toc246996176"/>
      <w:bookmarkStart w:id="28" w:name="_Toc152042306"/>
      <w:bookmarkStart w:id="29" w:name="_Toc144974498"/>
      <w:bookmarkStart w:id="30" w:name="_Toc296602421"/>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152042307"/>
      <w:bookmarkStart w:id="34" w:name="_Toc247085691"/>
      <w:bookmarkStart w:id="35" w:name="_Toc296602422"/>
      <w:bookmarkStart w:id="36" w:name="_Toc246996920"/>
      <w:bookmarkStart w:id="37" w:name="_Toc152045531"/>
      <w:bookmarkStart w:id="38" w:name="_Toc179632548"/>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96602423"/>
      <w:bookmarkStart w:id="42" w:name="_Toc246996921"/>
      <w:bookmarkStart w:id="43" w:name="_Toc247085692"/>
      <w:bookmarkStart w:id="44" w:name="_Toc152042308"/>
      <w:bookmarkStart w:id="45" w:name="_Toc152045532"/>
      <w:bookmarkStart w:id="46" w:name="_Toc144974500"/>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296602424"/>
      <w:bookmarkStart w:id="50" w:name="_Toc247085693"/>
      <w:bookmarkStart w:id="51" w:name="_Toc152042310"/>
      <w:bookmarkStart w:id="52" w:name="_Toc152045534"/>
      <w:bookmarkStart w:id="53" w:name="_Toc246996179"/>
      <w:bookmarkStart w:id="54" w:name="_Toc246996922"/>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3"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3"/>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152045535"/>
      <w:bookmarkStart w:id="58" w:name="_Toc246996923"/>
      <w:bookmarkStart w:id="59" w:name="_Toc296602425"/>
      <w:bookmarkStart w:id="60" w:name="_Toc144974503"/>
      <w:bookmarkStart w:id="61" w:name="_Toc246996180"/>
      <w:bookmarkStart w:id="62" w:name="_Toc179632552"/>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152045536"/>
      <w:bookmarkStart w:id="66" w:name="_Toc144974504"/>
      <w:bookmarkStart w:id="67" w:name="_Toc296602426"/>
      <w:bookmarkStart w:id="68" w:name="_Toc152042312"/>
      <w:bookmarkStart w:id="69" w:name="_Toc247085695"/>
      <w:bookmarkStart w:id="70" w:name="_Toc179632553"/>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79632554"/>
      <w:bookmarkStart w:id="75" w:name="_Toc246996925"/>
      <w:bookmarkStart w:id="76" w:name="_Toc152045537"/>
      <w:bookmarkStart w:id="77" w:name="_Toc152042313"/>
      <w:bookmarkStart w:id="78" w:name="_Toc246996182"/>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247085697"/>
      <w:bookmarkStart w:id="82" w:name="_Toc152042314"/>
      <w:bookmarkStart w:id="83" w:name="_Toc179632555"/>
      <w:bookmarkStart w:id="84" w:name="_Toc246996926"/>
      <w:bookmarkStart w:id="85" w:name="_Toc144974506"/>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96602429"/>
      <w:bookmarkStart w:id="90" w:name="_Toc144974507"/>
      <w:bookmarkStart w:id="91" w:name="_Toc247513962"/>
      <w:bookmarkStart w:id="92" w:name="_Toc152042315"/>
      <w:bookmarkStart w:id="93" w:name="_Toc247527563"/>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152045540"/>
      <w:bookmarkStart w:id="97" w:name="_Toc247592877"/>
      <w:bookmarkStart w:id="98" w:name="_Toc152042316"/>
      <w:bookmarkStart w:id="99" w:name="_Toc247513963"/>
      <w:bookmarkStart w:id="100" w:name="_Toc296602430"/>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6996930"/>
      <w:bookmarkStart w:id="105" w:name="_Toc179632560"/>
      <w:bookmarkStart w:id="106" w:name="_Toc247085701"/>
      <w:bookmarkStart w:id="107" w:name="_Toc246996187"/>
      <w:bookmarkStart w:id="108" w:name="_Toc296602432"/>
      <w:bookmarkStart w:id="109" w:name="_Toc152042318"/>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6996931"/>
      <w:bookmarkStart w:id="113" w:name="_Toc247085702"/>
      <w:bookmarkStart w:id="114" w:name="_Toc296602433"/>
      <w:bookmarkStart w:id="115" w:name="_Toc144974511"/>
      <w:bookmarkStart w:id="116" w:name="_Toc152045543"/>
      <w:bookmarkStart w:id="117" w:name="_Toc17963256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52045544"/>
      <w:bookmarkStart w:id="121" w:name="_Toc247085703"/>
      <w:bookmarkStart w:id="122" w:name="_Toc144974512"/>
      <w:bookmarkStart w:id="123" w:name="_Toc246996189"/>
      <w:bookmarkStart w:id="124" w:name="_Toc179632562"/>
      <w:bookmarkStart w:id="125" w:name="_Toc246996932"/>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96602435"/>
      <w:bookmarkStart w:id="129" w:name="_Toc246996933"/>
      <w:bookmarkStart w:id="130" w:name="_Toc247085704"/>
      <w:bookmarkStart w:id="131" w:name="_Toc152045545"/>
      <w:bookmarkStart w:id="132" w:name="_Toc144974513"/>
      <w:bookmarkStart w:id="133" w:name="_Toc152042321"/>
      <w:bookmarkStart w:id="134" w:name="_Toc246996190"/>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52042322"/>
      <w:bookmarkStart w:id="137" w:name="_Toc152045546"/>
      <w:bookmarkStart w:id="138" w:name="_Toc246996191"/>
      <w:bookmarkStart w:id="139" w:name="_Toc179632564"/>
      <w:bookmarkStart w:id="140" w:name="_Toc247085705"/>
      <w:bookmarkStart w:id="141" w:name="_Toc14497451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2323"/>
      <w:bookmarkStart w:id="145" w:name="_Toc179632565"/>
      <w:bookmarkStart w:id="146" w:name="_Toc247085706"/>
      <w:bookmarkStart w:id="147" w:name="_Toc152045547"/>
      <w:bookmarkStart w:id="148" w:name="_Toc246996192"/>
      <w:bookmarkStart w:id="149" w:name="_Toc144974515"/>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246996193"/>
      <w:bookmarkStart w:id="153" w:name="_Toc152042324"/>
      <w:bookmarkStart w:id="154" w:name="_Toc179632566"/>
      <w:bookmarkStart w:id="155" w:name="_Toc144974516"/>
      <w:bookmarkStart w:id="156" w:name="_Toc246996936"/>
      <w:bookmarkStart w:id="157" w:name="_Toc296602438"/>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44974517"/>
      <w:bookmarkStart w:id="161" w:name="_Toc152045549"/>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47085708"/>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152045550"/>
      <w:bookmarkStart w:id="169" w:name="_Toc144974518"/>
      <w:bookmarkStart w:id="170" w:name="_Toc179632568"/>
      <w:bookmarkStart w:id="171" w:name="_Toc247085709"/>
      <w:bookmarkStart w:id="172" w:name="_Toc296602440"/>
      <w:bookmarkStart w:id="173" w:name="_Toc246996195"/>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44974520"/>
      <w:bookmarkStart w:id="177" w:name="_Toc247085710"/>
      <w:bookmarkStart w:id="178" w:name="_Toc152042328"/>
      <w:bookmarkStart w:id="179" w:name="_Toc246996939"/>
      <w:bookmarkStart w:id="180" w:name="_Toc296602441"/>
      <w:bookmarkStart w:id="181" w:name="_Toc246996196"/>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246996940"/>
      <w:bookmarkStart w:id="186" w:name="_Toc144974521"/>
      <w:bookmarkStart w:id="187" w:name="_Toc246996197"/>
      <w:bookmarkStart w:id="188" w:name="_Toc152045553"/>
      <w:bookmarkStart w:id="189" w:name="_Toc179632571"/>
      <w:bookmarkStart w:id="190" w:name="_Toc24708571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7085713"/>
      <w:bookmarkStart w:id="193" w:name="_Toc246996199"/>
      <w:bookmarkStart w:id="194" w:name="_Toc144974523"/>
      <w:bookmarkStart w:id="195" w:name="_Toc152042331"/>
      <w:bookmarkStart w:id="196" w:name="_Toc246996942"/>
      <w:bookmarkStart w:id="197" w:name="_Toc1520455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96602444"/>
      <w:bookmarkStart w:id="201" w:name="_Toc246996200"/>
      <w:bookmarkStart w:id="202" w:name="_Toc152045556"/>
      <w:bookmarkStart w:id="203" w:name="_Toc246996943"/>
      <w:bookmarkStart w:id="204" w:name="_Toc179632574"/>
      <w:bookmarkStart w:id="205" w:name="_Toc152042332"/>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79632575"/>
      <w:bookmarkStart w:id="209" w:name="_Toc246996944"/>
      <w:bookmarkStart w:id="210" w:name="_Toc144974525"/>
      <w:bookmarkStart w:id="211" w:name="_Toc152045557"/>
      <w:bookmarkStart w:id="212" w:name="_Toc152042333"/>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79632576"/>
      <w:bookmarkStart w:id="217" w:name="_Toc247085716"/>
      <w:bookmarkStart w:id="218" w:name="_Toc152042334"/>
      <w:bookmarkStart w:id="219" w:name="_Toc246996945"/>
      <w:bookmarkStart w:id="220" w:name="_Toc246996202"/>
      <w:bookmarkStart w:id="221" w:name="_Toc296602446"/>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96602447"/>
      <w:bookmarkStart w:id="225" w:name="_Toc247085717"/>
      <w:bookmarkStart w:id="226" w:name="_Toc246996946"/>
      <w:bookmarkStart w:id="227" w:name="_Toc152045559"/>
      <w:bookmarkStart w:id="228" w:name="_Toc152042335"/>
      <w:bookmarkStart w:id="229" w:name="_Toc179632577"/>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46996947"/>
      <w:bookmarkStart w:id="233" w:name="_Toc296602448"/>
      <w:bookmarkStart w:id="234" w:name="_Toc152045560"/>
      <w:bookmarkStart w:id="235" w:name="_Toc179632578"/>
      <w:bookmarkStart w:id="236" w:name="_Toc152042336"/>
      <w:bookmarkStart w:id="237" w:name="_Toc24708571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179632579"/>
      <w:bookmarkStart w:id="241" w:name="_Toc246996205"/>
      <w:bookmarkStart w:id="242" w:name="_Toc247085719"/>
      <w:bookmarkStart w:id="243" w:name="_Toc152042337"/>
      <w:bookmarkStart w:id="244" w:name="_Toc296602449"/>
      <w:bookmarkStart w:id="245" w:name="_Toc246996948"/>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7085720"/>
      <w:bookmarkStart w:id="249" w:name="_Toc152042338"/>
      <w:bookmarkStart w:id="250" w:name="_Toc179632580"/>
      <w:bookmarkStart w:id="251" w:name="_Toc246996206"/>
      <w:bookmarkStart w:id="252" w:name="_Toc296602451"/>
      <w:bookmarkStart w:id="253" w:name="_Toc144974530"/>
      <w:bookmarkStart w:id="254" w:name="_Toc246996949"/>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152042339"/>
      <w:bookmarkStart w:id="258" w:name="_Toc144974531"/>
      <w:bookmarkStart w:id="259" w:name="_Toc296602452"/>
      <w:bookmarkStart w:id="260" w:name="_Toc246996950"/>
      <w:bookmarkStart w:id="261" w:name="_Toc152045563"/>
      <w:bookmarkStart w:id="262" w:name="_Toc247085721"/>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46996208"/>
      <w:bookmarkStart w:id="266" w:name="_Toc144974532"/>
      <w:bookmarkStart w:id="267" w:name="_Toc152042340"/>
      <w:bookmarkStart w:id="268" w:name="_Toc296602453"/>
      <w:bookmarkStart w:id="269" w:name="_Toc152045564"/>
      <w:bookmarkStart w:id="270" w:name="_Toc179632582"/>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79632583"/>
      <w:bookmarkStart w:id="273" w:name="_Toc246996952"/>
      <w:bookmarkStart w:id="274" w:name="_Toc152042341"/>
      <w:bookmarkStart w:id="275" w:name="_Toc247085723"/>
      <w:bookmarkStart w:id="276" w:name="_Toc144974533"/>
      <w:bookmarkStart w:id="277" w:name="_Toc296602454"/>
      <w:bookmarkStart w:id="278" w:name="_Toc152045565"/>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44974534"/>
      <w:bookmarkStart w:id="282" w:name="_Toc179632584"/>
      <w:bookmarkStart w:id="283" w:name="_Toc246996210"/>
      <w:bookmarkStart w:id="284" w:name="_Toc296602455"/>
      <w:bookmarkStart w:id="285" w:name="_Toc246996953"/>
      <w:bookmarkStart w:id="286" w:name="_Toc152042342"/>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96602456"/>
      <w:bookmarkStart w:id="290" w:name="_Toc246996211"/>
      <w:bookmarkStart w:id="291" w:name="_Toc246996954"/>
      <w:bookmarkStart w:id="292" w:name="_Toc179632585"/>
      <w:bookmarkStart w:id="293" w:name="_Toc247085725"/>
      <w:bookmarkStart w:id="294" w:name="_Toc152045567"/>
      <w:bookmarkStart w:id="295" w:name="_Toc152042343"/>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79632586"/>
      <w:bookmarkStart w:id="298" w:name="_Toc246996212"/>
      <w:bookmarkStart w:id="299" w:name="_Toc152042344"/>
      <w:bookmarkStart w:id="300" w:name="_Toc296602458"/>
      <w:bookmarkStart w:id="301" w:name="_Toc152045568"/>
      <w:bookmarkStart w:id="302" w:name="_Toc247085726"/>
      <w:bookmarkStart w:id="303" w:name="_Toc144974536"/>
      <w:bookmarkStart w:id="304" w:name="_Toc246996955"/>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213"/>
      <w:bookmarkStart w:id="306" w:name="_Toc152042345"/>
      <w:bookmarkStart w:id="307" w:name="_Toc144974537"/>
      <w:bookmarkStart w:id="308" w:name="_Toc296602459"/>
      <w:bookmarkStart w:id="309" w:name="_Toc152045569"/>
      <w:bookmarkStart w:id="310" w:name="_Toc179632587"/>
      <w:bookmarkStart w:id="311" w:name="_Toc247085727"/>
      <w:bookmarkStart w:id="312" w:name="_Toc246996956"/>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246996214"/>
      <w:bookmarkStart w:id="315" w:name="_Toc179632588"/>
      <w:bookmarkStart w:id="316" w:name="_Toc247085728"/>
      <w:bookmarkStart w:id="317" w:name="_Toc296602460"/>
      <w:bookmarkStart w:id="318" w:name="_Toc144974538"/>
      <w:bookmarkStart w:id="319" w:name="_Toc152045570"/>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79632593"/>
      <w:bookmarkStart w:id="323" w:name="_Toc152045575"/>
      <w:bookmarkStart w:id="324" w:name="_Toc296590983"/>
      <w:bookmarkStart w:id="325" w:name="_Toc247085733"/>
      <w:bookmarkStart w:id="326" w:name="_Toc144974543"/>
      <w:bookmarkStart w:id="327" w:name="_Toc246996219"/>
      <w:bookmarkStart w:id="328" w:name="_Toc296602462"/>
      <w:bookmarkStart w:id="329" w:name="_Toc152042351"/>
      <w:bookmarkStart w:id="330" w:name="_Toc2469969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79632594"/>
      <w:bookmarkStart w:id="332" w:name="_Toc247085734"/>
      <w:bookmarkStart w:id="333" w:name="_Toc296602463"/>
      <w:bookmarkStart w:id="334" w:name="_Toc144974544"/>
      <w:bookmarkStart w:id="335" w:name="_Toc246996220"/>
      <w:bookmarkStart w:id="336" w:name="_Toc152042352"/>
      <w:bookmarkStart w:id="337" w:name="_Toc246996963"/>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4"/>
      <w:bookmarkStart w:id="340" w:name="_Toc152042353"/>
      <w:bookmarkStart w:id="341" w:name="_Toc179632595"/>
      <w:bookmarkStart w:id="342" w:name="_Toc246996221"/>
      <w:bookmarkStart w:id="343" w:name="_Toc296602464"/>
      <w:bookmarkStart w:id="344" w:name="_Toc144974545"/>
      <w:bookmarkStart w:id="345" w:name="_Toc152045577"/>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6996965"/>
      <w:bookmarkStart w:id="349" w:name="_Toc152042354"/>
      <w:bookmarkStart w:id="350" w:name="_Toc152045578"/>
      <w:bookmarkStart w:id="351" w:name="_Toc179632596"/>
      <w:bookmarkStart w:id="352" w:name="_Toc247085736"/>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296602466"/>
      <w:bookmarkStart w:id="358" w:name="_Toc152042356"/>
      <w:bookmarkStart w:id="359" w:name="_Toc246996966"/>
      <w:bookmarkStart w:id="360" w:name="_Toc246996223"/>
      <w:bookmarkStart w:id="361" w:name="_Toc152045579"/>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246996224"/>
      <w:bookmarkStart w:id="365" w:name="_Toc144974547"/>
      <w:bookmarkStart w:id="366" w:name="_Toc179632598"/>
      <w:bookmarkStart w:id="367" w:name="_Toc246996967"/>
      <w:bookmarkStart w:id="368" w:name="_Toc296602467"/>
      <w:bookmarkStart w:id="369" w:name="_Toc152045580"/>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4"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7085747"/>
            <w:bookmarkStart w:id="373" w:name="_Toc246996232"/>
            <w:bookmarkStart w:id="374" w:name="_Toc152045589"/>
            <w:bookmarkStart w:id="375" w:name="_Toc144974556"/>
            <w:bookmarkStart w:id="376" w:name="_Toc296602477"/>
            <w:bookmarkStart w:id="377" w:name="_Toc179632607"/>
            <w:bookmarkStart w:id="378" w:name="_Toc246996975"/>
            <w:bookmarkStart w:id="379"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default" w:ascii="Times New Roman" w:hAnsi="Times New Roman" w:cs="Times New Roman" w:eastAsiaTheme="minorEastAsia"/>
                <w:i w:val="0"/>
                <w:iCs w:val="0"/>
                <w:color w:val="auto"/>
                <w:kern w:val="0"/>
                <w:sz w:val="24"/>
                <w:szCs w:val="24"/>
                <w:highlight w:val="none"/>
                <w:u w:val="single"/>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i w:val="0"/>
                <w:iCs w:val="0"/>
                <w:color w:val="auto"/>
                <w:kern w:val="0"/>
                <w:sz w:val="24"/>
                <w:szCs w:val="24"/>
                <w:highlight w:val="none"/>
              </w:rPr>
              <w:t>分</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1"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kern w:val="0"/>
                <w:sz w:val="24"/>
              </w:rPr>
              <w:t>低于招标人发布招标控制价且</w:t>
            </w:r>
            <w:r>
              <w:rPr>
                <w:rFonts w:hint="eastAsia" w:ascii="Times New Roman" w:hAnsi="Times New Roman"/>
                <w:kern w:val="0"/>
                <w:sz w:val="24"/>
                <w:lang w:val="en-US" w:eastAsia="zh-CN"/>
              </w:rPr>
              <w:t>经</w:t>
            </w:r>
            <w:r>
              <w:rPr>
                <w:rFonts w:hint="eastAsia" w:ascii="Times New Roman" w:hAnsi="Times New Roman"/>
                <w:kern w:val="0"/>
                <w:sz w:val="24"/>
              </w:rPr>
              <w:t>评审合格的投标报价为有效投标报价，取有效投标报价的算术平均值</w:t>
            </w:r>
            <w:r>
              <w:rPr>
                <w:rFonts w:hint="eastAsia" w:ascii="Times New Roman" w:hAnsi="Times New Roman"/>
                <w:kern w:val="0"/>
                <w:sz w:val="24"/>
                <w:lang w:eastAsia="zh-CN"/>
              </w:rPr>
              <w:t>（</w:t>
            </w:r>
            <w:r>
              <w:rPr>
                <w:rFonts w:hint="eastAsia" w:ascii="Times New Roman" w:hAnsi="Times New Roman"/>
                <w:kern w:val="0"/>
                <w:sz w:val="24"/>
                <w:lang w:val="en-US" w:eastAsia="zh-CN"/>
              </w:rPr>
              <w:t>5家及以上去掉一个最高价和最低价</w:t>
            </w:r>
            <w:r>
              <w:rPr>
                <w:rFonts w:hint="eastAsia" w:ascii="Times New Roman" w:hAnsi="Times New Roman"/>
                <w:kern w:val="0"/>
                <w:sz w:val="24"/>
                <w:lang w:eastAsia="zh-CN"/>
              </w:rPr>
              <w:t>）</w:t>
            </w:r>
            <w:r>
              <w:rPr>
                <w:rFonts w:hint="eastAsia" w:ascii="Times New Roman" w:hAnsi="Times New Roman"/>
                <w:kern w:val="0"/>
                <w:sz w:val="24"/>
              </w:rPr>
              <w:t>作为评标基准价</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2" w:edGrp="everyone" w:colFirst="1" w:colLast="1"/>
            <w:permStart w:id="53" w:edGrp="everyone" w:colFirst="2" w:colLast="2"/>
            <w:permStart w:id="5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总体实施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内容描述</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 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针对本工程实际情况，有总体实施内容描述，表述清晰、完整、严谨、合理，措施具体、有效、成熟，施工段划分呼应总体表述，划分清晰、合理、符合规范要求，工期、质量、安全、文明的标准与目标合理；对本工程特殊工艺和或关键工序设想合理。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52"/>
      <w:permEnd w:id="53"/>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5" w:edGrp="everyone" w:colFirst="1" w:colLast="1"/>
            <w:permStart w:id="56" w:edGrp="everyone" w:colFirst="2" w:colLast="2"/>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各主要分部施工方法符合项目实际，有详尽的、切实可行的施工技术方案，工艺先进、方法科学合理、可行，能指导具体施工并确保安全。 </w:t>
            </w:r>
          </w:p>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对项目关键技术、工艺有深入的表述，对重点、难点有先进、合理的建议，解决方案完整、经济、安全、切实可行，措施得力。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55"/>
      <w:permEnd w:id="56"/>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7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8" w:edGrp="everyone" w:colFirst="1" w:colLast="1"/>
            <w:permStart w:id="59" w:edGrp="everyone" w:colFirst="2" w:colLast="2"/>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 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施工工程质量技术管理制度健全，主要工序有质量技术保证措施和手段，自控体系完整，能有效保证技术质量，达到承诺的质量标准。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58"/>
      <w:permEnd w:id="59"/>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1" w:edGrp="everyone" w:colFirst="1" w:colLast="1"/>
            <w:permStart w:id="62" w:edGrp="everyone" w:colFirst="2" w:colLast="2"/>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施工工程应有专门的安全管理人员和制度，且人员配备合理，制度健全，各道工序安全技术措施符合要求，有安全保证承诺。现场防火、社会治安安全措施得力、有基本的安全管理体系与措施。</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61"/>
      <w:permEnd w:id="62"/>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4" w:edGrp="everyone" w:colFirst="1" w:colLast="1"/>
            <w:permStart w:id="65" w:edGrp="everyone" w:colFirst="2" w:colLast="2"/>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针对本工程项目特点，有具体的环境保护措施，各项措施周全、具体、有效。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64"/>
      <w:permEnd w:id="65"/>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7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7" w:edGrp="everyone" w:colFirst="1" w:colLast="1"/>
            <w:permStart w:id="68" w:edGrp="everyone" w:colFirst="2" w:colLast="2"/>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（满分 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在施工工艺、施工方法、材料选用、劳动力安排、技术等方面有保证工期的具体措施且措施得当，有控制工期的施工进度计划，有施工网络图、横道图，各项计划图表编制完善、安排科学合理，符合本项目施工实际要求。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1"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1" w:colLast="1"/>
            <w:permStart w:id="71" w:edGrp="everyone" w:colFirst="2" w:colLast="2"/>
            <w:permStart w:id="7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文明施工措施（满分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 xml:space="preserve">针对本工程实际情况，有具体、完整、可行、科学的文明施工计划和实施措施。 </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4"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资源配备计划（满分5分）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劳动力、材料投入计划及其保证措施，满足施工需要，调配投入计划合理、准确。机械设备投入计划及检测设备，满足施工需要。</w:t>
            </w:r>
          </w:p>
          <w:p>
            <w:pPr>
              <w:spacing w:line="440" w:lineRule="exact"/>
              <w:ind w:firstLine="480" w:firstLineChars="200"/>
              <w:rPr>
                <w:rFonts w:hint="default" w:ascii="Times New Roman" w:hAnsi="Times New Roman"/>
                <w:kern w:val="0"/>
                <w:sz w:val="24"/>
                <w:lang w:val="en-US" w:eastAsia="zh-CN"/>
              </w:rPr>
            </w:pPr>
            <w:r>
              <w:rPr>
                <w:rFonts w:hint="eastAsia" w:ascii="Times New Roman" w:hAnsi="Times New Roman"/>
                <w:kern w:val="0"/>
                <w:sz w:val="24"/>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3" w:edGrp="everyone" w:colFirst="1" w:colLast="1"/>
            <w:permStart w:id="74" w:edGrp="everyone" w:colFirst="2" w:colLast="2"/>
            <w:permStart w:id="7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rPr>
            </w:pPr>
            <w:r>
              <w:rPr>
                <w:rFonts w:hint="eastAsia" w:ascii="Times New Roman" w:hAnsi="Times New Roman"/>
                <w:kern w:val="0"/>
                <w:sz w:val="24"/>
              </w:rPr>
              <w:t>在符合招标公告投标人资格要求的基础上，投标人每额外提供1个类似项目业绩，得5分，本项满分10分，多分不计。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注：提供</w:t>
            </w:r>
            <w:r>
              <w:rPr>
                <w:rFonts w:hint="eastAsia" w:ascii="Times New Roman" w:hAnsi="Times New Roman" w:cs="Times New Roman"/>
                <w:kern w:val="0"/>
                <w:sz w:val="24"/>
                <w:szCs w:val="24"/>
                <w:highlight w:val="none"/>
                <w:u w:val="single"/>
                <w:lang w:val="en-US" w:eastAsia="zh-CN"/>
              </w:rPr>
              <w:t>2019</w:t>
            </w:r>
            <w:r>
              <w:rPr>
                <w:rFonts w:hint="eastAsia" w:ascii="Times New Roman" w:hAnsi="Times New Roman" w:cs="Times New Roman"/>
                <w:kern w:val="0"/>
                <w:sz w:val="24"/>
                <w:szCs w:val="24"/>
                <w:highlight w:val="none"/>
                <w:lang w:val="en-US" w:eastAsia="zh-CN"/>
              </w:rPr>
              <w:t>年至今企业类似项目业绩，以合同签订时间为准。类似项目业绩指：</w:t>
            </w:r>
            <w:r>
              <w:rPr>
                <w:rFonts w:hint="eastAsia" w:ascii="Times New Roman" w:hAnsi="Times New Roman" w:cs="Times New Roman"/>
                <w:kern w:val="0"/>
                <w:sz w:val="24"/>
                <w:szCs w:val="24"/>
                <w:highlight w:val="none"/>
                <w:u w:val="single"/>
                <w:lang w:val="en-US" w:eastAsia="zh-CN"/>
              </w:rPr>
              <w:t>单项合同金额不低于1500万元的装修装饰工程专业承包业绩</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提供业绩合同、合同任意节点税务发票的复印件或扫描件加盖单位公章装订入投标文件中。（总包业绩参与投标不予认可）。</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6" w:edGrp="everyone" w:colFirst="1" w:colLast="1"/>
            <w:permStart w:id="77" w:edGrp="everyone" w:colFirst="2" w:colLast="2"/>
            <w:permStart w:id="7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480" w:firstLineChars="200"/>
              <w:rPr>
                <w:rFonts w:hint="eastAsia" w:ascii="Times New Roman" w:hAnsi="Times New Roman"/>
                <w:kern w:val="0"/>
                <w:sz w:val="24"/>
              </w:rPr>
            </w:pPr>
            <w:r>
              <w:rPr>
                <w:rFonts w:hint="eastAsia" w:ascii="Times New Roman" w:hAnsi="Times New Roman"/>
                <w:kern w:val="0"/>
                <w:sz w:val="24"/>
              </w:rPr>
              <w:t>低于招标人发布招标控制价且</w:t>
            </w:r>
            <w:r>
              <w:rPr>
                <w:rFonts w:hint="eastAsia" w:ascii="Times New Roman" w:hAnsi="Times New Roman"/>
                <w:kern w:val="0"/>
                <w:sz w:val="24"/>
                <w:lang w:val="en-US" w:eastAsia="zh-CN"/>
              </w:rPr>
              <w:t>经</w:t>
            </w:r>
            <w:r>
              <w:rPr>
                <w:rFonts w:hint="eastAsia" w:ascii="Times New Roman" w:hAnsi="Times New Roman"/>
                <w:kern w:val="0"/>
                <w:sz w:val="24"/>
              </w:rPr>
              <w:t>评审合格的投标报价为有效投标报价，取有效投标报价的算术平均值</w:t>
            </w:r>
            <w:r>
              <w:rPr>
                <w:rFonts w:hint="eastAsia" w:ascii="Times New Roman" w:hAnsi="Times New Roman"/>
                <w:kern w:val="0"/>
                <w:sz w:val="24"/>
                <w:lang w:eastAsia="zh-CN"/>
              </w:rPr>
              <w:t>（</w:t>
            </w:r>
            <w:r>
              <w:rPr>
                <w:rFonts w:hint="eastAsia" w:ascii="Times New Roman" w:hAnsi="Times New Roman"/>
                <w:kern w:val="0"/>
                <w:sz w:val="24"/>
                <w:lang w:val="en-US" w:eastAsia="zh-CN"/>
              </w:rPr>
              <w:t>5家及以上去掉一个最高价和最低价</w:t>
            </w:r>
            <w:r>
              <w:rPr>
                <w:rFonts w:hint="eastAsia" w:ascii="Times New Roman" w:hAnsi="Times New Roman"/>
                <w:kern w:val="0"/>
                <w:sz w:val="24"/>
                <w:lang w:eastAsia="zh-CN"/>
              </w:rPr>
              <w:t>）</w:t>
            </w:r>
            <w:r>
              <w:rPr>
                <w:rFonts w:hint="eastAsia" w:ascii="Times New Roman" w:hAnsi="Times New Roman"/>
                <w:kern w:val="0"/>
                <w:sz w:val="24"/>
              </w:rPr>
              <w:t>作为评标基准价，各投标人的投标报价得分按以下公式计算：</w:t>
            </w:r>
          </w:p>
          <w:p>
            <w:pPr>
              <w:spacing w:line="440" w:lineRule="exact"/>
              <w:ind w:firstLine="480" w:firstLineChars="200"/>
              <w:rPr>
                <w:rFonts w:hint="eastAsia" w:ascii="Times New Roman" w:hAnsi="Times New Roman"/>
                <w:kern w:val="0"/>
                <w:sz w:val="24"/>
              </w:rPr>
            </w:pPr>
            <w:r>
              <w:rPr>
                <w:rFonts w:hint="eastAsia" w:ascii="Times New Roman" w:hAnsi="Times New Roman"/>
                <w:kern w:val="0"/>
                <w:sz w:val="24"/>
              </w:rPr>
              <w:t>（</w:t>
            </w:r>
            <w:r>
              <w:rPr>
                <w:rFonts w:hint="eastAsia" w:ascii="Times New Roman" w:hAnsi="Times New Roman"/>
                <w:kern w:val="0"/>
                <w:sz w:val="24"/>
                <w:lang w:val="en-US"/>
              </w:rPr>
              <w:t>1</w:t>
            </w:r>
            <w:r>
              <w:rPr>
                <w:rFonts w:hint="eastAsia" w:ascii="Times New Roman" w:hAnsi="Times New Roman"/>
                <w:kern w:val="0"/>
                <w:sz w:val="24"/>
              </w:rPr>
              <w:t xml:space="preserve">）投标人的投标报价等于评标基准价得 </w:t>
            </w:r>
            <w:r>
              <w:rPr>
                <w:rFonts w:hint="eastAsia" w:ascii="Times New Roman" w:hAnsi="Times New Roman"/>
                <w:kern w:val="0"/>
                <w:sz w:val="24"/>
                <w:lang w:val="en-US"/>
              </w:rPr>
              <w:t>50</w:t>
            </w:r>
            <w:r>
              <w:rPr>
                <w:rFonts w:hint="eastAsia" w:ascii="Times New Roman" w:hAnsi="Times New Roman"/>
                <w:kern w:val="0"/>
                <w:sz w:val="24"/>
              </w:rPr>
              <w:t>分；</w:t>
            </w:r>
          </w:p>
          <w:p>
            <w:pPr>
              <w:spacing w:line="440" w:lineRule="exact"/>
              <w:ind w:firstLine="480" w:firstLineChars="200"/>
              <w:rPr>
                <w:rFonts w:hint="eastAsia" w:ascii="Times New Roman" w:hAnsi="Times New Roman"/>
                <w:kern w:val="0"/>
                <w:sz w:val="24"/>
              </w:rPr>
            </w:pPr>
            <w:r>
              <w:rPr>
                <w:rFonts w:hint="eastAsia" w:ascii="Times New Roman" w:hAnsi="Times New Roman"/>
                <w:kern w:val="0"/>
                <w:sz w:val="24"/>
              </w:rPr>
              <w:t>（</w:t>
            </w:r>
            <w:r>
              <w:rPr>
                <w:rFonts w:hint="eastAsia" w:ascii="Times New Roman" w:hAnsi="Times New Roman"/>
                <w:kern w:val="0"/>
                <w:sz w:val="24"/>
                <w:lang w:val="en-US"/>
              </w:rPr>
              <w:t>2</w:t>
            </w:r>
            <w:r>
              <w:rPr>
                <w:rFonts w:hint="eastAsia" w:ascii="Times New Roman" w:hAnsi="Times New Roman"/>
                <w:kern w:val="0"/>
                <w:sz w:val="24"/>
              </w:rPr>
              <w:t>）投标人的投标报价高于评标基准价：</w:t>
            </w:r>
            <w:r>
              <w:rPr>
                <w:rFonts w:hint="eastAsia" w:ascii="Times New Roman" w:hAnsi="Times New Roman"/>
                <w:kern w:val="0"/>
                <w:sz w:val="24"/>
                <w:lang w:val="en-US"/>
              </w:rPr>
              <w:t>50</w:t>
            </w:r>
            <w:r>
              <w:rPr>
                <w:rFonts w:hint="eastAsia" w:ascii="Times New Roman" w:hAnsi="Times New Roman"/>
                <w:kern w:val="0"/>
                <w:sz w:val="24"/>
              </w:rPr>
              <w:t>-（投标人投标报价-评标基准价）/评标基准价*100*</w:t>
            </w:r>
            <w:r>
              <w:rPr>
                <w:rFonts w:hint="eastAsia" w:ascii="Times New Roman" w:hAnsi="Times New Roman"/>
                <w:kern w:val="0"/>
                <w:sz w:val="24"/>
                <w:lang w:val="en-US" w:eastAsia="zh-CN"/>
              </w:rPr>
              <w:t>0.5</w:t>
            </w:r>
            <w:r>
              <w:rPr>
                <w:rFonts w:hint="eastAsia" w:ascii="Times New Roman" w:hAnsi="Times New Roman"/>
                <w:kern w:val="0"/>
                <w:sz w:val="24"/>
              </w:rPr>
              <w:t>；</w:t>
            </w:r>
          </w:p>
          <w:p>
            <w:pPr>
              <w:spacing w:line="440" w:lineRule="exact"/>
              <w:ind w:firstLine="480" w:firstLineChars="200"/>
              <w:rPr>
                <w:rFonts w:hint="eastAsia" w:ascii="Times New Roman" w:hAnsi="Times New Roman"/>
                <w:kern w:val="0"/>
                <w:sz w:val="24"/>
              </w:rPr>
            </w:pPr>
            <w:r>
              <w:rPr>
                <w:rFonts w:hint="eastAsia" w:ascii="Times New Roman" w:hAnsi="Times New Roman"/>
                <w:kern w:val="0"/>
                <w:sz w:val="24"/>
              </w:rPr>
              <w:t>（</w:t>
            </w:r>
            <w:r>
              <w:rPr>
                <w:rFonts w:hint="eastAsia" w:ascii="Times New Roman" w:hAnsi="Times New Roman"/>
                <w:kern w:val="0"/>
                <w:sz w:val="24"/>
                <w:lang w:val="en-US"/>
              </w:rPr>
              <w:t>3</w:t>
            </w:r>
            <w:r>
              <w:rPr>
                <w:rFonts w:hint="eastAsia" w:ascii="Times New Roman" w:hAnsi="Times New Roman"/>
                <w:kern w:val="0"/>
                <w:sz w:val="24"/>
              </w:rPr>
              <w:t>）投标人的投标报价低于评标基准价：</w:t>
            </w:r>
            <w:r>
              <w:rPr>
                <w:rFonts w:hint="eastAsia" w:ascii="Times New Roman" w:hAnsi="Times New Roman"/>
                <w:kern w:val="0"/>
                <w:sz w:val="24"/>
                <w:lang w:val="en-US"/>
              </w:rPr>
              <w:t>50</w:t>
            </w:r>
            <w:r>
              <w:rPr>
                <w:rFonts w:hint="eastAsia" w:ascii="Times New Roman" w:hAnsi="Times New Roman"/>
                <w:kern w:val="0"/>
                <w:sz w:val="24"/>
              </w:rPr>
              <w:t>+（投标人投标报价-评标基准价）/评标基准价*100*0</w:t>
            </w:r>
            <w:r>
              <w:rPr>
                <w:rFonts w:hint="eastAsia" w:ascii="Times New Roman" w:hAnsi="Times New Roman"/>
                <w:kern w:val="0"/>
                <w:sz w:val="24"/>
                <w:lang w:val="en-US" w:eastAsia="zh-CN"/>
              </w:rPr>
              <w:t>.3</w:t>
            </w:r>
            <w:r>
              <w:rPr>
                <w:rFonts w:hint="eastAsia" w:ascii="Times New Roman" w:hAnsi="Times New Roman"/>
                <w:kern w:val="0"/>
                <w:sz w:val="24"/>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kern w:val="0"/>
                <w:sz w:val="24"/>
              </w:rPr>
              <w:t>最终计算结果四舍五入保留两位小数。</w:t>
            </w:r>
          </w:p>
        </w:tc>
      </w:tr>
      <w:permEnd w:id="76"/>
      <w:permEnd w:id="77"/>
      <w:permEnd w:id="7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7"/>
      <w:bookmarkStart w:id="381" w:name="_Toc247085748"/>
      <w:bookmarkStart w:id="382" w:name="_Toc152042367"/>
      <w:bookmarkStart w:id="383" w:name="_Toc246996233"/>
      <w:bookmarkStart w:id="384" w:name="_Toc246996976"/>
      <w:bookmarkStart w:id="385" w:name="_Toc179632608"/>
      <w:bookmarkStart w:id="386" w:name="_Toc296602478"/>
      <w:bookmarkStart w:id="387" w:name="_Toc152045590"/>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96602479"/>
      <w:bookmarkStart w:id="389" w:name="_Toc179632609"/>
      <w:bookmarkStart w:id="390" w:name="_Toc152045591"/>
      <w:bookmarkStart w:id="391" w:name="_Toc246996977"/>
      <w:bookmarkStart w:id="392" w:name="_Toc247085749"/>
      <w:bookmarkStart w:id="393" w:name="_Toc246996234"/>
      <w:bookmarkStart w:id="394" w:name="_Toc152042368"/>
      <w:bookmarkStart w:id="395"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2370"/>
      <w:bookmarkStart w:id="397" w:name="_Toc246996236"/>
      <w:bookmarkStart w:id="398" w:name="_Toc152045593"/>
      <w:bookmarkStart w:id="399" w:name="_Toc247085751"/>
      <w:bookmarkStart w:id="400" w:name="_Toc144974560"/>
      <w:bookmarkStart w:id="401" w:name="_Toc296602481"/>
      <w:bookmarkStart w:id="402" w:name="_Toc246996979"/>
      <w:bookmarkStart w:id="403"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9" w:edGrp="everyone"/>
      <w:r>
        <w:rPr>
          <w:rFonts w:hint="eastAsia" w:ascii="Times New Roman" w:hAnsi="Times New Roman" w:cs="Times New Roman"/>
          <w:kern w:val="0"/>
          <w:sz w:val="24"/>
          <w:szCs w:val="24"/>
          <w:highlight w:val="none"/>
          <w:lang w:val="en-US" w:eastAsia="zh-CN"/>
        </w:rPr>
        <w:t>企业荣誉</w:t>
      </w:r>
      <w:permEnd w:id="7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0" w:edGrp="everyone"/>
      <w:r>
        <w:rPr>
          <w:rFonts w:hint="eastAsia" w:ascii="Times New Roman" w:hAnsi="Times New Roman" w:cs="Times New Roman" w:eastAsiaTheme="minorEastAsia"/>
          <w:kern w:val="0"/>
          <w:sz w:val="24"/>
          <w:szCs w:val="24"/>
          <w:highlight w:val="none"/>
          <w:lang w:val="en-US" w:eastAsia="zh-CN"/>
        </w:rPr>
        <w:t>投标报价</w:t>
      </w:r>
      <w:permEnd w:id="8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980"/>
      <w:bookmarkStart w:id="405" w:name="_Toc152045594"/>
      <w:bookmarkStart w:id="406" w:name="_Toc247085752"/>
      <w:bookmarkStart w:id="407" w:name="_Toc144974561"/>
      <w:bookmarkStart w:id="408" w:name="_Toc179632612"/>
      <w:bookmarkStart w:id="409" w:name="_Toc152042371"/>
      <w:bookmarkStart w:id="410" w:name="_Toc296602482"/>
      <w:bookmarkStart w:id="411" w:name="_Toc246996237"/>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981"/>
      <w:bookmarkStart w:id="413" w:name="_Toc247085753"/>
      <w:bookmarkStart w:id="414" w:name="_Toc179632613"/>
      <w:bookmarkStart w:id="415" w:name="_Toc144974562"/>
      <w:bookmarkStart w:id="416" w:name="_Toc152042372"/>
      <w:bookmarkStart w:id="417" w:name="_Toc152045595"/>
      <w:bookmarkStart w:id="418" w:name="_Toc296602483"/>
      <w:bookmarkStart w:id="419" w:name="_Toc246996238"/>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7085754"/>
      <w:bookmarkStart w:id="422" w:name="_Toc296602484"/>
      <w:bookmarkStart w:id="423" w:name="_Toc152045596"/>
      <w:bookmarkStart w:id="424" w:name="_Toc179632614"/>
      <w:bookmarkStart w:id="425" w:name="_Toc246996982"/>
      <w:bookmarkStart w:id="426" w:name="_Toc246996239"/>
      <w:bookmarkStart w:id="427"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8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无预付款，工程竣工质量验收合格后付至完成工程量的85%，竣工备案完成、结算审</w:t>
            </w:r>
            <w:r>
              <w:rPr>
                <w:rFonts w:hint="eastAsia" w:ascii="Times New Roman" w:hAnsi="Times New Roman" w:cs="Times New Roman"/>
                <w:kern w:val="0"/>
                <w:sz w:val="24"/>
                <w:szCs w:val="24"/>
                <w:highlight w:val="none"/>
                <w:shd w:val="clear" w:color="auto" w:fill="auto"/>
                <w:vertAlign w:val="baseline"/>
                <w:lang w:val="en-US" w:eastAsia="zh-CN"/>
              </w:rPr>
              <w:t>核</w:t>
            </w:r>
            <w:r>
              <w:rPr>
                <w:rFonts w:hint="default" w:ascii="Times New Roman" w:hAnsi="Times New Roman" w:cs="Times New Roman"/>
                <w:kern w:val="0"/>
                <w:sz w:val="24"/>
                <w:szCs w:val="24"/>
                <w:highlight w:val="none"/>
                <w:shd w:val="clear" w:color="auto" w:fill="auto"/>
                <w:vertAlign w:val="baseline"/>
                <w:lang w:val="en-US" w:eastAsia="zh-CN"/>
              </w:rPr>
              <w:t>结果出具完毕30日内付至经双方认可的结算审</w:t>
            </w:r>
            <w:r>
              <w:rPr>
                <w:rFonts w:hint="eastAsia" w:ascii="Times New Roman" w:hAnsi="Times New Roman" w:cs="Times New Roman"/>
                <w:kern w:val="0"/>
                <w:sz w:val="24"/>
                <w:szCs w:val="24"/>
                <w:highlight w:val="none"/>
                <w:shd w:val="clear" w:color="auto" w:fill="auto"/>
                <w:vertAlign w:val="baseline"/>
                <w:lang w:val="en-US" w:eastAsia="zh-CN"/>
              </w:rPr>
              <w:t>定</w:t>
            </w:r>
            <w:r>
              <w:rPr>
                <w:rFonts w:hint="default" w:ascii="Times New Roman" w:hAnsi="Times New Roman" w:cs="Times New Roman"/>
                <w:kern w:val="0"/>
                <w:sz w:val="24"/>
                <w:szCs w:val="24"/>
                <w:highlight w:val="none"/>
                <w:shd w:val="clear" w:color="auto" w:fill="auto"/>
                <w:vertAlign w:val="baseline"/>
                <w:lang w:val="en-US" w:eastAsia="zh-CN"/>
              </w:rPr>
              <w:t>金额的97%，发票开至结算审</w:t>
            </w:r>
            <w:r>
              <w:rPr>
                <w:rFonts w:hint="eastAsia" w:ascii="Times New Roman" w:hAnsi="Times New Roman" w:cs="Times New Roman"/>
                <w:kern w:val="0"/>
                <w:sz w:val="24"/>
                <w:szCs w:val="24"/>
                <w:highlight w:val="none"/>
                <w:shd w:val="clear" w:color="auto" w:fill="auto"/>
                <w:vertAlign w:val="baseline"/>
                <w:lang w:val="en-US" w:eastAsia="zh-CN"/>
              </w:rPr>
              <w:t>定</w:t>
            </w:r>
            <w:r>
              <w:rPr>
                <w:rFonts w:hint="default" w:ascii="Times New Roman" w:hAnsi="Times New Roman" w:cs="Times New Roman"/>
                <w:kern w:val="0"/>
                <w:sz w:val="24"/>
                <w:szCs w:val="24"/>
                <w:highlight w:val="none"/>
                <w:shd w:val="clear" w:color="auto" w:fill="auto"/>
                <w:vertAlign w:val="baseline"/>
                <w:lang w:val="en-US" w:eastAsia="zh-CN"/>
              </w:rPr>
              <w:t>金额的100%；余3%作为质量保修金。待缺陷责任期（自竣工验收合格之日起2年）满后无质量问题无息退还。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注：招标人付款前，中标人应按照国家税收有关规定开具等额增值税专用发票，否则招标人有权暂停付款，由此对招标人产生的一切损失由中标人承担。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7"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87"/>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89" w:edGrp="everyone"/>
            <w:r>
              <w:rPr>
                <w:rFonts w:hint="eastAsia" w:ascii="Times New Roman" w:hAnsi="Times New Roman" w:cs="Times New Roman"/>
                <w:kern w:val="0"/>
                <w:sz w:val="24"/>
                <w:szCs w:val="24"/>
                <w:highlight w:val="none"/>
                <w:shd w:val="clear" w:color="auto" w:fill="auto"/>
                <w:vertAlign w:val="baseline"/>
                <w:lang w:val="en-US" w:eastAsia="zh-CN"/>
              </w:rPr>
              <w:t>1.中标人应按照投标文件拟派人员配备项目管理人员进行履约，每人每月驻场时间不少于22天，每周驻场时间不少于 5 天，在岗工作时间每天不少于8小时。如项目经理缺岗一天，按 5000元/（天·人）进行处罚，其他管理人员缺岗一天按2000元/（天·人）进行处罚。项目经理及管理人员未经批准且擅自离开施工现场所产生的一切违约责任，招标人有权对中标人按5000元/（天·次）进行处罚。如仍未整改，招标人有权责令其停工整改、直至解除合同。如中标人拒不支付罚金，招标人将暂停支付本期工程款项，由此产生的一切损失由中标人承担，罚金招标人有权从中标人当期工程款期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需严格遵循《保障农民工工资支付条例》，施工期间需要按照月度足额支付工人工资，不得以农民工工资问题或者工程款支付等问题为由向项目部进行索赔。中标人不得擅自采取停工、上访，延长工期等措施，否则由此造成招标人的一切损失（包括但不限于经济、社会形象、延误工期及所产生的一切法律责任等）均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4.工程进度款与质量挂钩，若所上报工程质量达不到验收规范、形象进度以及工程资料合格要求，招标人有权暂停支付该部分工程款，由此产生的一切损失由中标人承担。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中标人需按招标人要求建立健全劳资专管员制度，对施工人员进行实名制管理和登记，中标人每月上报本工程农民工工资清单。通过专户由银行打卡发放农民工工资并切实落实安全文明施工措施。中标人如违反上述规定或因拖欠工资导致发生农民工群体讨薪等事件，由此产生的一切损失由中标人承担。如有人员因农民工工资投诉到市清欠办公室，或最终到建设单位、总承包单位办公室地点进行讨薪等，中标单位需承担违约金20000元/次，同时按照招标人集团《保障农民工工资应急预案》等相关要求，招标人在为垫付资金按不低于2倍标准对当期工程款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中标人如不能在合同约定工期内结束工作(竣工或完工)，每延期一天，招标人有权向招标人处以30000元/天进行违约处罚。中标人如超过7天仍未完工的，招标人有权解除合同，且中标人需承担中标价款15%的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9.合同外发生的零星工程，中标人应积极配合施工，招标人按照大工290元每日每人、小工150元每日每人的标准，据实与中标人结算。  </w:t>
            </w:r>
            <w:permEnd w:id="8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90" w:edGrp="everyone"/>
      <w:r>
        <w:rPr>
          <w:rFonts w:hint="eastAsia" w:ascii="Times New Roman" w:hAnsi="Times New Roman" w:cs="Times New Roman"/>
          <w:kern w:val="0"/>
          <w:sz w:val="24"/>
          <w:szCs w:val="24"/>
          <w:highlight w:val="none"/>
          <w:u w:val="single"/>
          <w:lang w:val="en-US" w:eastAsia="zh-CN"/>
        </w:rPr>
        <w:t xml:space="preserve">     /      </w:t>
      </w:r>
      <w:permEnd w:id="90"/>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91" w:edGrp="everyone"/>
      <w:r>
        <w:rPr>
          <w:rFonts w:hint="eastAsia" w:ascii="Times New Roman" w:hAnsi="Times New Roman" w:cs="Times New Roman"/>
          <w:kern w:val="0"/>
          <w:sz w:val="24"/>
          <w:szCs w:val="24"/>
          <w:highlight w:val="none"/>
          <w:u w:val="single"/>
          <w:lang w:val="en-US" w:eastAsia="zh-CN"/>
        </w:rPr>
        <w:t xml:space="preserve">     /      </w:t>
      </w:r>
      <w:permEnd w:id="91"/>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92" w:edGrp="everyone"/>
      <w:r>
        <w:rPr>
          <w:rFonts w:hint="eastAsia" w:ascii="Times New Roman" w:hAnsi="Times New Roman" w:cs="Times New Roman"/>
          <w:kern w:val="0"/>
          <w:sz w:val="24"/>
          <w:szCs w:val="24"/>
          <w:highlight w:val="none"/>
          <w:lang w:val="en-US" w:eastAsia="zh-CN"/>
        </w:rPr>
        <w:t xml:space="preserve">     /      </w:t>
      </w:r>
      <w:permEnd w:id="92"/>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93" w:edGrp="everyone"/>
      <w:r>
        <w:rPr>
          <w:rFonts w:hint="eastAsia" w:ascii="Times New Roman" w:hAnsi="Times New Roman" w:cs="Times New Roman"/>
          <w:kern w:val="0"/>
          <w:sz w:val="24"/>
          <w:szCs w:val="24"/>
          <w:highlight w:val="none"/>
          <w:lang w:val="en-US" w:eastAsia="zh-CN"/>
        </w:rPr>
        <w:t>无</w:t>
      </w:r>
    </w:p>
    <w:permEnd w:id="9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94" w:edGrp="everyone" w:colFirst="0" w:colLast="0"/>
            <w:permStart w:id="95"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图纸为暂定，以后期建设单位提供的最终图纸为准。</w:t>
            </w:r>
          </w:p>
        </w:tc>
      </w:tr>
      <w:permEnd w:id="94"/>
      <w:perm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96" w:edGrp="everyone"/>
      <w:r>
        <w:rPr>
          <w:rFonts w:hint="eastAsia" w:ascii="Times New Roman" w:hAnsi="Times New Roman" w:cs="Times New Roman"/>
          <w:kern w:val="0"/>
          <w:sz w:val="24"/>
          <w:szCs w:val="24"/>
          <w:highlight w:val="none"/>
          <w:lang w:val="en-US" w:eastAsia="zh-CN"/>
        </w:rPr>
        <w:t>详见附件。</w:t>
      </w:r>
    </w:p>
    <w:permEnd w:id="96"/>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本项目专业分包采用包工包料包相关材料检测及资料、包工具、包工期、包质量、包安全、包文明施工、包管理、包环境保护、包劳保用品、包赶工费和误工费、包临时设施施工及办公水电、包成品保护、包脚手架支撑体系的搭设拆除、包作业人员意外伤害保险、包通过相关部门验收并出具验收合格意见书、包竣工验收及备案、包项目精保洁、项目整体移交、包自负盈亏，包税金、包风险等一切工程内容及相关工作内容，且不得转包。专业分包人须处理村民、政府、相关主管单位的关系，并承担所有费用，积极组织施工确保施工顺利进行；负责本工程的施工范围相关的施工组织方案及专项方案的编制等资料编制工作；安全质量资料的收集、编写、整理、上传、扫描等均由专业分包人负责，其费用综合考虑纳入报价。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其他主要人员要求</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中标人除项目负责人外，还需配备以下人员纳入项目部管理：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（1）技术负责人：具有建筑工程相关专业中级及以上职称；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（2）本工程拟派专职人员的具体资格和数量要求：施工员：2人；质量员：2人；安全员：2人；劳资员1人，资料员1人，取样员或试验员（可兼任）：1人。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由招标人提供施工区域位置、场内道路及材料运输路线，现场中标人使用的场地以建设单位及招标人和有关部门批准为界，凡需使用该区域外的场地，必须事先获得建设单位和有关管理部门的同意，不能随意搭建临时设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现场施工的用电、用水及道路具体位置需中标人自行勘踏现场，中标单位进场后应自装管线及计量表具，本工程施工期间用水、用电及所需材料设备（二级及三级配电箱、电线电缆、管道管线等）由均中标人提供，发生的水、电费由中标人自行承担。非实体临水、临电等配套施工费用均包含在投标报价内，结算时不再单独计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因建设单位原因出现停工、停建、变更等情况造成承包范围增减，招标人不承担任何责任。招标人有权对中标人施工范围做出调整。如因中标人原因出现履约能力差等情况，招标人有权对中标人施工范围做出调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中标人需负责所在施工区域的文明施工及安全保护措施，由招标人监督中标人安全文明施工费用列支投入情况，（施工范围内日常清理及相关管理部门的检查所进行的文明清理形象布置迎检工作，场内场外运输，所在施工区域内的文明施工及安全保护措施等都在招标范围之内，直至工程竣工验收移交前的所有文明施工。中标人必须按要求投入费用，达到招标人及其他管理方满意；若费用投入不足的，招标人有权自行列支投入，安排落实保障措施，费用从中标人安全文明施工费用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中标人应充分熟悉当地环保等相关政策，在施工中必须严格遵守有关市容、环境等规定，满足主管部门、建设单位以及招标人等其他安全相关管理制度。若发生因违反此类规定而造成的罚款事件，一切由中标人自行负责。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中标人在竣工验收合格二十日内提交结算资料，工程结算由建设单位委托具有相关资质的工程造价咨询单位进行审核，核减在5%以内，咨询费用由招标人承担；审减额超过5%，超出部分的咨询费用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中标人须按照合同要求进行各项施工准备工作（包括但不限于施工范围的施工专项方案、施工计划及其他各项工程施工有关的管理方案、措施的编制）。如需组织专家论证，则此部分费用中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8、中标人应完成的工作包括图纸和答疑（包含招标人及建设单位答疑）所包含的合同内所有内容，包括但不限于承包范围、工程规范、措施费报价说明等合同约定的所有工作内容。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招标人提供至楼层电源接入点，投标人须自备二级、三级配电箱，自行配备专职电工一名(需持特种工作业证、24小时驻场且纳入项目部管理）。施工过程中用电如无专人负责，招标人将自行安排人员，由此发生的一切费用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负责施工范围内资料的收集、编写、整理、报监、上传、扫描、备案等工作，达到招标人及其他管理方满意；若达不到满意要求，招标人有权自行列支投入，安排落实保障措施，费用从中标人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11、因场地有限，招标人不提供工人生活区，由中标人自行解决，中标人需自行配备满足项目建设施  工需求的交通车辆及其相关办公需求等。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中标人必须按相关规定办理人身意外伤害险，办理本款保险的一切费用均由投标人承担，不单独计量；中标人进场后一个月内需将该保险保单提交招标人核查与备案，否则招标人将为其代为办理保险，发生费用直接从中标人应得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13、中标人承包范围内的质量、进度、安全、文明、环保、防疫等费用均由中标人承担，如因上述相关工作受到监理、业主、主管部门等处罚，招标人将对中标人处以罚款金额两倍的罚金并追究其有关责任。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14、中标人负责通过相关部门验收并出具验收合格意见书等全部手续，相关费用均由中标人承担。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15、工程材料参考品牌详见附件，由中标人提供的材料需经建设单位、监理单位、总包单位三方共同认可，确认后方可采购进场，否则招标人有权将进场设备及材料清退出场，所有损失由中标人自行承担。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如果招标人及监理人、建设单位认为中标人呈报的样品不能满足合同约定的质量要求，中标人应在收后到相应批复后3天内按合同约定重新准备并向招标人、监理人、建设单位提交新的样品。在中标人再次提交的样品仍被招标人、监理人、建设单位认为不符合要求，在不解除承包人合同责任的前提下，招标人可向中标人推荐认为能满足要求的材料及材料供应商；招标人也可保留自行采购的权利，所发生的费用从中标人签约合同价中扣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17.为保证工程质量，实行样板工序验收制度，每道工序先行施工样板间，验收合格后按照样板标准进行施工；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18、电子智能化工程不在此次招标单位内，中标人要做好配合协调其他单位施工。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19、中标人需要负责创建安徽省建筑工程装饰奖，费用中标人综合考虑到综合报价中，不再独立计取，创建未完成的，将进行合同结算单项扣除10万元，中标人应无条件服从，不得以任何理由索赔。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20、所使用的主要工程材料价格，须经建设单位、监理单位、总包单位及分包单位共同询价认可后确定。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21、暖通工程如遇建设单位原因需其自行发包的情况，暖通工程相应工程量将进行扣除，不予计量。中标人应无条件服从，不得以任何理由索赔。</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四、主材推荐品牌要求</w:t>
      </w:r>
    </w:p>
    <w:tbl>
      <w:tblPr>
        <w:tblStyle w:val="15"/>
        <w:tblW w:w="0" w:type="auto"/>
        <w:tblInd w:w="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6"/>
        <w:gridCol w:w="1157"/>
        <w:gridCol w:w="1274"/>
        <w:gridCol w:w="52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4" w:hRule="atLeast"/>
        </w:trPr>
        <w:tc>
          <w:tcPr>
            <w:tcW w:w="8426" w:type="dxa"/>
            <w:gridSpan w:val="4"/>
            <w:tcBorders>
              <w:tl2br w:val="nil"/>
              <w:tr2bl w:val="nil"/>
            </w:tcBorders>
            <w:noWrap/>
            <w:vAlign w:val="center"/>
          </w:tcPr>
          <w:p>
            <w:pPr>
              <w:widowControl/>
              <w:jc w:val="center"/>
              <w:textAlignment w:val="center"/>
              <w:rPr>
                <w:rFonts w:hint="default" w:ascii="仿宋_GB2312" w:hAnsi="宋体" w:eastAsia="宋体" w:cs="仿宋_GB2312"/>
                <w:color w:val="000000"/>
                <w:sz w:val="56"/>
                <w:szCs w:val="56"/>
                <w:lang w:val="en-US" w:eastAsia="zh-CN"/>
              </w:rPr>
            </w:pPr>
            <w:r>
              <w:rPr>
                <w:rFonts w:hint="eastAsia" w:ascii="Times New Roman" w:hAnsi="Times New Roman"/>
                <w:b/>
                <w:bCs/>
                <w:sz w:val="32"/>
                <w:szCs w:val="32"/>
                <w:u w:val="single"/>
              </w:rPr>
              <w:t>主材推荐品牌</w:t>
            </w:r>
            <w:r>
              <w:rPr>
                <w:rFonts w:hint="eastAsia" w:ascii="Times New Roman" w:hAnsi="Times New Roman"/>
                <w:b/>
                <w:bCs/>
                <w:sz w:val="32"/>
                <w:szCs w:val="32"/>
                <w:u w:val="single"/>
                <w:lang w:eastAsia="zh-CN"/>
              </w:rPr>
              <w:t>要求</w:t>
            </w:r>
            <w:r>
              <w:rPr>
                <w:rFonts w:hint="eastAsia" w:ascii="Times New Roman" w:hAnsi="Times New Roman"/>
                <w:b/>
                <w:bCs/>
                <w:sz w:val="32"/>
                <w:szCs w:val="32"/>
                <w:u w:val="single"/>
                <w:lang w:val="en-US" w:eastAsia="zh-CN"/>
              </w:rPr>
              <w:t>(</w:t>
            </w:r>
            <w:r>
              <w:rPr>
                <w:rFonts w:hint="eastAsia" w:ascii="Times New Roman" w:hAnsi="Times New Roman"/>
                <w:b/>
                <w:bCs/>
                <w:sz w:val="24"/>
                <w:szCs w:val="24"/>
                <w:u w:val="single"/>
                <w:lang w:val="en-US" w:eastAsia="zh-CN"/>
              </w:rPr>
              <w:t>投标人可提供优于或相当于参考品牌的材料）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0" w:hRule="atLeast"/>
        </w:trPr>
        <w:tc>
          <w:tcPr>
            <w:tcW w:w="8426" w:type="dxa"/>
            <w:gridSpan w:val="4"/>
            <w:tcBorders>
              <w:tl2br w:val="nil"/>
              <w:tr2bl w:val="nil"/>
            </w:tcBorders>
            <w:noWrap w:val="0"/>
            <w:vAlign w:val="center"/>
          </w:tcPr>
          <w:p>
            <w:pPr>
              <w:widowControl/>
              <w:jc w:val="left"/>
              <w:textAlignment w:val="center"/>
              <w:rPr>
                <w:rFonts w:hint="eastAsia" w:asciiTheme="minorEastAsia" w:hAnsiTheme="minorEastAsia" w:eastAsiaTheme="minorEastAsia" w:cstheme="minorEastAsia"/>
                <w:b/>
                <w:bCs/>
                <w:color w:val="000000"/>
                <w:kern w:val="0"/>
                <w:sz w:val="24"/>
                <w:lang w:eastAsia="zh-CN" w:bidi="ar"/>
              </w:rPr>
            </w:pPr>
            <w:r>
              <w:rPr>
                <w:rFonts w:hint="eastAsia" w:asciiTheme="minorEastAsia" w:hAnsiTheme="minorEastAsia" w:eastAsiaTheme="minorEastAsia" w:cstheme="minorEastAsia"/>
                <w:b/>
                <w:bCs/>
                <w:color w:val="000000"/>
                <w:kern w:val="0"/>
                <w:sz w:val="24"/>
                <w:lang w:bidi="ar"/>
              </w:rPr>
              <w:t>1、主材推荐品牌是为了说明该产品的技术规格及质量要求，产品质量、性能、技术参数、品牌等方面优于或相当于推荐主材品牌的，经</w:t>
            </w:r>
            <w:r>
              <w:rPr>
                <w:rFonts w:hint="eastAsia" w:asciiTheme="minorEastAsia" w:hAnsiTheme="minorEastAsia" w:eastAsiaTheme="minorEastAsia" w:cstheme="minorEastAsia"/>
                <w:b/>
                <w:bCs/>
                <w:color w:val="000000"/>
                <w:kern w:val="0"/>
                <w:sz w:val="24"/>
                <w:lang w:eastAsia="zh-CN" w:bidi="ar"/>
              </w:rPr>
              <w:t>共同</w:t>
            </w:r>
            <w:r>
              <w:rPr>
                <w:rFonts w:hint="eastAsia" w:asciiTheme="minorEastAsia" w:hAnsiTheme="minorEastAsia" w:eastAsiaTheme="minorEastAsia" w:cstheme="minorEastAsia"/>
                <w:b/>
                <w:bCs/>
                <w:color w:val="000000"/>
                <w:kern w:val="0"/>
                <w:sz w:val="24"/>
                <w:lang w:bidi="ar"/>
              </w:rPr>
              <w:t>确认后</w:t>
            </w:r>
            <w:r>
              <w:rPr>
                <w:rFonts w:hint="eastAsia" w:asciiTheme="minorEastAsia" w:hAnsiTheme="minorEastAsia" w:eastAsiaTheme="minorEastAsia" w:cstheme="minorEastAsia"/>
                <w:b/>
                <w:bCs/>
                <w:color w:val="000000"/>
                <w:kern w:val="0"/>
                <w:sz w:val="24"/>
                <w:lang w:eastAsia="zh-CN" w:bidi="ar"/>
              </w:rPr>
              <w:t>方可</w:t>
            </w:r>
            <w:r>
              <w:rPr>
                <w:rFonts w:hint="eastAsia" w:asciiTheme="minorEastAsia" w:hAnsiTheme="minorEastAsia" w:eastAsiaTheme="minorEastAsia" w:cstheme="minorEastAsia"/>
                <w:b/>
                <w:bCs/>
                <w:color w:val="000000"/>
                <w:kern w:val="0"/>
                <w:sz w:val="24"/>
                <w:lang w:bidi="ar"/>
              </w:rPr>
              <w:t>使用到本工程。</w:t>
            </w:r>
          </w:p>
          <w:p>
            <w:pPr>
              <w:widowControl/>
              <w:jc w:val="left"/>
              <w:textAlignment w:val="center"/>
              <w:rPr>
                <w:rFonts w:hint="eastAsia" w:asciiTheme="minorEastAsia" w:hAnsiTheme="minorEastAsia" w:eastAsiaTheme="minorEastAsia" w:cstheme="minorEastAsia"/>
                <w:b/>
                <w:bCs/>
                <w:color w:val="000000"/>
                <w:kern w:val="0"/>
                <w:sz w:val="24"/>
                <w:lang w:eastAsia="zh-CN" w:bidi="ar"/>
              </w:rPr>
            </w:pPr>
            <w:r>
              <w:rPr>
                <w:rFonts w:hint="eastAsia" w:asciiTheme="minorEastAsia" w:hAnsiTheme="minorEastAsia" w:eastAsiaTheme="minorEastAsia" w:cstheme="minorEastAsia"/>
                <w:b/>
                <w:bCs/>
                <w:color w:val="000000"/>
                <w:kern w:val="0"/>
                <w:sz w:val="24"/>
                <w:lang w:bidi="ar"/>
              </w:rPr>
              <w:t>2、用于本工程的材料需经建设单位、监理单位、总包单位三方共同认可，确认后方可采购进场，否则招标人有权将进场设备及材料清退出场，所有损失由中标人自行承担。</w:t>
            </w:r>
          </w:p>
          <w:p>
            <w:pPr>
              <w:widowControl/>
              <w:jc w:val="left"/>
              <w:textAlignment w:val="center"/>
              <w:rPr>
                <w:rFonts w:hint="eastAsia" w:ascii="仿宋_GB2312" w:hAnsi="宋体" w:eastAsia="仿宋_GB2312" w:cs="仿宋_GB2312"/>
                <w:b/>
                <w:bCs/>
                <w:color w:val="000000"/>
                <w:sz w:val="24"/>
              </w:rPr>
            </w:pPr>
            <w:r>
              <w:rPr>
                <w:rFonts w:hint="eastAsia" w:asciiTheme="minorEastAsia" w:hAnsiTheme="minorEastAsia" w:eastAsiaTheme="minorEastAsia" w:cstheme="minorEastAsia"/>
                <w:b/>
                <w:bCs/>
                <w:color w:val="000000"/>
                <w:kern w:val="0"/>
                <w:sz w:val="24"/>
                <w:lang w:bidi="ar"/>
              </w:rPr>
              <w:t>3、如果</w:t>
            </w:r>
            <w:r>
              <w:rPr>
                <w:rFonts w:hint="eastAsia" w:asciiTheme="minorEastAsia" w:hAnsiTheme="minorEastAsia" w:eastAsiaTheme="minorEastAsia" w:cstheme="minorEastAsia"/>
                <w:b/>
                <w:bCs/>
                <w:color w:val="000000"/>
                <w:kern w:val="0"/>
                <w:sz w:val="24"/>
                <w:lang w:eastAsia="zh-CN" w:bidi="ar"/>
              </w:rPr>
              <w:t>招标人</w:t>
            </w:r>
            <w:r>
              <w:rPr>
                <w:rFonts w:hint="eastAsia" w:asciiTheme="minorEastAsia" w:hAnsiTheme="minorEastAsia" w:eastAsiaTheme="minorEastAsia" w:cstheme="minorEastAsia"/>
                <w:b/>
                <w:bCs/>
                <w:color w:val="000000"/>
                <w:kern w:val="0"/>
                <w:sz w:val="24"/>
                <w:lang w:bidi="ar"/>
              </w:rPr>
              <w:t>及监理人、建设单位认为中标人呈报的样品不能满足要求，中标人应在3日内按要求重新准备并向</w:t>
            </w:r>
            <w:r>
              <w:rPr>
                <w:rFonts w:hint="eastAsia" w:asciiTheme="minorEastAsia" w:hAnsiTheme="minorEastAsia" w:eastAsiaTheme="minorEastAsia" w:cstheme="minorEastAsia"/>
                <w:b/>
                <w:bCs/>
                <w:color w:val="000000"/>
                <w:kern w:val="0"/>
                <w:sz w:val="24"/>
                <w:lang w:eastAsia="zh-CN" w:bidi="ar"/>
              </w:rPr>
              <w:t>招标人</w:t>
            </w:r>
            <w:r>
              <w:rPr>
                <w:rFonts w:hint="eastAsia" w:asciiTheme="minorEastAsia" w:hAnsiTheme="minorEastAsia" w:eastAsiaTheme="minorEastAsia" w:cstheme="minorEastAsia"/>
                <w:b/>
                <w:bCs/>
                <w:color w:val="000000"/>
                <w:kern w:val="0"/>
                <w:sz w:val="24"/>
                <w:lang w:bidi="ar"/>
              </w:rPr>
              <w:t>、监理人、建设单位提交新的样品。在中标人再次提交的样品仍被</w:t>
            </w:r>
            <w:r>
              <w:rPr>
                <w:rFonts w:hint="eastAsia" w:asciiTheme="minorEastAsia" w:hAnsiTheme="minorEastAsia" w:eastAsiaTheme="minorEastAsia" w:cstheme="minorEastAsia"/>
                <w:b/>
                <w:bCs/>
                <w:color w:val="000000"/>
                <w:kern w:val="0"/>
                <w:sz w:val="24"/>
                <w:lang w:eastAsia="zh-CN" w:bidi="ar"/>
              </w:rPr>
              <w:t>招标人</w:t>
            </w:r>
            <w:r>
              <w:rPr>
                <w:rFonts w:hint="eastAsia" w:asciiTheme="minorEastAsia" w:hAnsiTheme="minorEastAsia" w:eastAsiaTheme="minorEastAsia" w:cstheme="minorEastAsia"/>
                <w:b/>
                <w:bCs/>
                <w:color w:val="000000"/>
                <w:kern w:val="0"/>
                <w:sz w:val="24"/>
                <w:lang w:bidi="ar"/>
              </w:rPr>
              <w:t>、监理人、建设单位认为不符合合同约定的要求，在不解除承包人合同责任的前提下，</w:t>
            </w:r>
            <w:r>
              <w:rPr>
                <w:rFonts w:hint="eastAsia" w:asciiTheme="minorEastAsia" w:hAnsiTheme="minorEastAsia" w:eastAsiaTheme="minorEastAsia" w:cstheme="minorEastAsia"/>
                <w:b/>
                <w:bCs/>
                <w:color w:val="000000"/>
                <w:kern w:val="0"/>
                <w:sz w:val="24"/>
                <w:lang w:eastAsia="zh-CN" w:bidi="ar"/>
              </w:rPr>
              <w:t>招标人</w:t>
            </w:r>
            <w:r>
              <w:rPr>
                <w:rFonts w:hint="eastAsia" w:asciiTheme="minorEastAsia" w:hAnsiTheme="minorEastAsia" w:eastAsiaTheme="minorEastAsia" w:cstheme="minorEastAsia"/>
                <w:b/>
                <w:bCs/>
                <w:color w:val="000000"/>
                <w:kern w:val="0"/>
                <w:sz w:val="24"/>
                <w:lang w:bidi="ar"/>
              </w:rPr>
              <w:t>可向中标人推荐认为能满足要求的材料及材料供应商；</w:t>
            </w:r>
            <w:r>
              <w:rPr>
                <w:rFonts w:hint="eastAsia" w:asciiTheme="minorEastAsia" w:hAnsiTheme="minorEastAsia" w:eastAsiaTheme="minorEastAsia" w:cstheme="minorEastAsia"/>
                <w:b/>
                <w:bCs/>
                <w:color w:val="000000"/>
                <w:kern w:val="0"/>
                <w:sz w:val="24"/>
                <w:lang w:eastAsia="zh-CN" w:bidi="ar"/>
              </w:rPr>
              <w:t>招标人</w:t>
            </w:r>
            <w:r>
              <w:rPr>
                <w:rFonts w:hint="eastAsia" w:asciiTheme="minorEastAsia" w:hAnsiTheme="minorEastAsia" w:eastAsiaTheme="minorEastAsia" w:cstheme="minorEastAsia"/>
                <w:b/>
                <w:bCs/>
                <w:color w:val="000000"/>
                <w:kern w:val="0"/>
                <w:sz w:val="24"/>
                <w:lang w:bidi="ar"/>
              </w:rPr>
              <w:t>也可保留自行采购的权利，所发生的费用从中标人签约合同价中扣减。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46" w:type="dxa"/>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序号</w:t>
            </w:r>
          </w:p>
        </w:tc>
        <w:tc>
          <w:tcPr>
            <w:tcW w:w="1157"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工程类别</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类别</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推荐品牌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装修工程</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集成吊顶</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友邦、品格、楚楚、欧宝；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墙体饰面板</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帝龙、博大、威森亚；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轻钢龙骨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龙牌、港星、泰山、可耐福；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木地板</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圣象、德尔、大自然。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墙、地砖</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马克波罗、唯美L&amp;D陶瓷、诺贝尔、东鹏、冠珠、蒙娜丽莎；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地毯</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英特菲斯、开利、华腾、哲高；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石膏板</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龙牌、拜尔、泰山、可耐福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kern w:val="0"/>
                <w:sz w:val="24"/>
                <w:lang w:eastAsia="zh-CN" w:bidi="ar"/>
              </w:rPr>
            </w:pPr>
          </w:p>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门窗工程</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塑钢门窗主材</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海螺型材、中财型材、大连实德、北新建材；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铝合金门窗主材</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中铝铝材、坚美铝材、凤铝铝材、忠旺铝材、南山铝材、海螺型材、山东华建铝业型材；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门窗玻璃</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信义、洛玻CLFG、台玻、耀皮、南玻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成品木门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美心、孟氏、TATA、梦天；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防火门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步阳、新多、王力、盼盼、浙江金大；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防盗门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步阳、新多、王力、盼盼、浙江金大；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智能锁</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海贝斯、亚太天能、樱花、立林、大华、耶鲁、多玛凯拔、飞利浦、德斯曼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五金</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GMT、顶固、汇泰龙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灯具</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吊灯</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华艺、胜球、欧普、文联；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普通灯具</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飞利浦、欧普、三雄、雷士；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6"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开关、插座</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飞雕、西蒙、公牛、CL罗格朗、西门子、飞利浦；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746" w:type="dxa"/>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w:t>
            </w:r>
          </w:p>
        </w:tc>
        <w:tc>
          <w:tcPr>
            <w:tcW w:w="1157"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楼体亮化工程</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楼体亮化灯具及控制器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三雄极光、雷士、深圳爱克莱特、乐雷光电（上海）、广州真本照明、上海大峡谷光电；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5</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强电工程</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室内电线</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宝胜、绿宝、安徽胜唐、上上电缆；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电缆</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绿宝、杭州电缆、沪安、安徽胜唐、安徽特力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配电箱内塑壳开关</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常熟开关制造有限公司、上海电器股份有限公司人民电器厂（上联牌）、中国人民电器集团、上海良信电器股份有限公司、南京帝森南自电气有限公司；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PT消弧消谐</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上海合凯、安徽一天、赛普电气、芜湖科越、安徽京卓电气有限公司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互感器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大连一互、大连二互、北互（大连北方互感器）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变压器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山东达驰、江苏华鹏、北二变、科林、吴江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高压开关</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常熟开关制造有限公司、上海电器股份有限公司人民电器厂（上联牌）、中国人民电器集团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电容器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西安西容自愈式电容器有限公司、桂林电力电容器有限责任公司、陕西合容电气集团有限公司、苏州工业园区苏容电气有限公司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低压开关</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常熟开关制造有限公司、上海电器股份有限公司人民电器厂（上联牌）、中国人民电器集团、上海良信电器股份有限公司、南京帝森南自电气有限公司；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6</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会议室及多媒体系统</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视频监控</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大华、英飞拓、海康、宇视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液晶拼接屏</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中达电通、JQY、大华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公共广播系统</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ITC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扩声、发言、控制：</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ITC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灯光</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珠江、雅江、夜太阳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投影机</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DP、松下、NEC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7</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空调、电梯工程</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多联机空调</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格力、海尔、美的；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新风系统</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中央空调溴化锂直燃机</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远大、开利；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电梯</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蒂森、迅达（苏州）、通力（昆山）、奥的斯（天津）、三菱（上海）、日立（广州）；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8</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综合管线</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线管</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国通、联塑、金牛、公元、金德、中财；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综合布线</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亨通、卫星、大唐；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桥架</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合肥天祥，扬中，合肥东亚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9</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给排水</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给排水管</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国通、联塑、金牛、公元、金德、中财；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2"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水表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浪花、宁波、三川、东海；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水泵</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格兰富、熊猫、南方泵业、东方、凯泉；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阀门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白湖、铜都、红星、冠龙；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HDPE双壁波纹管</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国通、联塑、金牛、公元、中财；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2"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球磨铸铁井盖、井座</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格林、江皖、诚德；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无负压供水设备</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熊猫、三利、威派格、上海艺迈、上海上源、江西三川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2" w:hRule="atLeast"/>
        </w:trPr>
        <w:tc>
          <w:tcPr>
            <w:tcW w:w="746" w:type="dxa"/>
            <w:vMerge w:val="restart"/>
            <w:tcBorders>
              <w:tl2br w:val="nil"/>
              <w:tr2bl w:val="nil"/>
            </w:tcBorders>
            <w:noWrap/>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10</w:t>
            </w:r>
          </w:p>
        </w:tc>
        <w:tc>
          <w:tcPr>
            <w:tcW w:w="1157" w:type="dxa"/>
            <w:vMerge w:val="restart"/>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其他</w:t>
            </w: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防水材料（卷材及涂料）</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东方雨虹、盘锦禹王、凯伦、大禹、三棵树；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洁具</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箭牌（ARROW）、TOTO、科勒、美标；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内外墙油漆</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嘉宝莉、华润、立邦、多乐士、三棵树；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真石漆</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嘉宝莉、华润、立邦、多乐士、三棵树、红顶、好思家；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排烟防火阀</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武汉高新鼓风机、湖南鑫永生、浙江金盾、浙江越舜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湿式报警阀</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萃联（中国）、南京消防器材、上海金盾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室外消火栓</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国泰消防、上海冠龙、萃联（中国）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746" w:type="dxa"/>
            <w:vMerge w:val="continue"/>
            <w:tcBorders>
              <w:tl2br w:val="nil"/>
              <w:tr2bl w:val="nil"/>
            </w:tcBorders>
            <w:noWrap/>
            <w:vAlign w:val="center"/>
          </w:tcPr>
          <w:p>
            <w:pPr>
              <w:jc w:val="center"/>
              <w:rPr>
                <w:rFonts w:hint="eastAsia" w:ascii="仿宋_GB2312" w:hAnsi="宋体" w:eastAsia="仿宋_GB2312" w:cs="仿宋_GB2312"/>
                <w:color w:val="000000"/>
                <w:sz w:val="24"/>
              </w:rPr>
            </w:pPr>
          </w:p>
        </w:tc>
        <w:tc>
          <w:tcPr>
            <w:tcW w:w="1157" w:type="dxa"/>
            <w:vMerge w:val="continue"/>
            <w:tcBorders>
              <w:tl2br w:val="nil"/>
              <w:tr2bl w:val="nil"/>
            </w:tcBorders>
            <w:noWrap w:val="0"/>
            <w:vAlign w:val="center"/>
          </w:tcPr>
          <w:p>
            <w:pPr>
              <w:jc w:val="center"/>
              <w:rPr>
                <w:rFonts w:hint="eastAsia" w:ascii="仿宋_GB2312" w:hAnsi="宋体" w:eastAsia="仿宋_GB2312" w:cs="仿宋_GB2312"/>
                <w:color w:val="000000"/>
                <w:sz w:val="24"/>
              </w:rPr>
            </w:pPr>
          </w:p>
        </w:tc>
        <w:tc>
          <w:tcPr>
            <w:tcW w:w="1274"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灭火器</w:t>
            </w:r>
          </w:p>
        </w:tc>
        <w:tc>
          <w:tcPr>
            <w:tcW w:w="5249" w:type="dxa"/>
            <w:tcBorders>
              <w:tl2br w:val="nil"/>
              <w:tr2bl w:val="nil"/>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国泰消防、安徽玉龙、浙江浙安</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numPr>
          <w:ilvl w:val="0"/>
          <w:numId w:val="0"/>
        </w:numPr>
        <w:spacing w:line="520" w:lineRule="exact"/>
        <w:ind w:firstLine="640" w:firstLineChars="200"/>
        <w:rPr>
          <w:rFonts w:hint="eastAsia" w:ascii="Times New Roman" w:hAnsi="Times New Roman"/>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亳州高铁南站金融商务中心项目装饰装修工程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300835209"/>
      <w:bookmarkStart w:id="429" w:name="_Toc144974856"/>
      <w:bookmarkStart w:id="430" w:name="_Toc152042576"/>
      <w:bookmarkStart w:id="431" w:name="_Toc247527827"/>
      <w:bookmarkStart w:id="432" w:name="_Toc152045787"/>
      <w:bookmarkStart w:id="433" w:name="_Toc24751424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300835210"/>
      <w:bookmarkStart w:id="435" w:name="_Toc144974857"/>
      <w:bookmarkStart w:id="436" w:name="_Toc247527828"/>
      <w:bookmarkStart w:id="437" w:name="_Toc152042577"/>
      <w:bookmarkStart w:id="438" w:name="_Toc152045788"/>
      <w:bookmarkStart w:id="439" w:name="_Toc24751424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52045789"/>
      <w:bookmarkStart w:id="441" w:name="_Toc247527829"/>
      <w:bookmarkStart w:id="442" w:name="_Toc247514248"/>
      <w:bookmarkStart w:id="443" w:name="_Toc300835211"/>
      <w:bookmarkStart w:id="444" w:name="_Toc152042578"/>
      <w:bookmarkStart w:id="445" w:name="_Toc14497485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亳州高铁南站金融商务中心项目装饰装修工程专业分包采购</w:t>
      </w:r>
      <w:r>
        <w:rPr>
          <w:rFonts w:hint="default" w:ascii="Times New Roman" w:hAnsi="Times New Roman" w:cs="Times New Roman"/>
          <w:szCs w:val="21"/>
        </w:rPr>
        <w:t>招标文件的全部内容，愿意以</w:t>
      </w:r>
      <w:permStart w:id="97" w:edGrp="everyone"/>
      <w:r>
        <w:rPr>
          <w:rFonts w:hint="default" w:ascii="Times New Roman" w:hAnsi="Times New Roman" w:cs="Times New Roman"/>
          <w:szCs w:val="21"/>
          <w:lang w:val="en-US" w:eastAsia="zh-CN"/>
        </w:rPr>
        <w:t>以建设单位提供的清单控制价</w:t>
      </w:r>
      <w:r>
        <w:rPr>
          <w:rFonts w:hint="default" w:ascii="Times New Roman" w:hAnsi="Times New Roman" w:cs="Times New Roman"/>
          <w:szCs w:val="21"/>
        </w:rPr>
        <w:t>装饰装修工程专业</w:t>
      </w:r>
      <w:r>
        <w:rPr>
          <w:rFonts w:hint="default" w:ascii="Times New Roman" w:hAnsi="Times New Roman" w:cs="Times New Roman"/>
          <w:szCs w:val="21"/>
          <w:lang w:val="en-US" w:eastAsia="zh-CN"/>
        </w:rPr>
        <w:t>部分为基数</w:t>
      </w:r>
      <w:r>
        <w:rPr>
          <w:rFonts w:hint="eastAsia" w:ascii="Times New Roman" w:hAnsi="Times New Roman" w:cs="Times New Roman"/>
          <w:szCs w:val="21"/>
          <w:lang w:val="en-US" w:eastAsia="zh-CN"/>
        </w:rPr>
        <w:t>，基数的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为投标总报价（其中增值税税率：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97"/>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150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w:t>
      </w:r>
      <w:permStart w:id="98" w:edGrp="everyone"/>
      <w:r>
        <w:rPr>
          <w:rFonts w:hint="eastAsia" w:ascii="Times New Roman" w:hAnsi="Times New Roman" w:cs="Times New Roman"/>
          <w:szCs w:val="21"/>
          <w:u w:val="single"/>
          <w:lang w:val="en-US" w:eastAsia="zh-CN"/>
        </w:rPr>
        <w:t>符合国家、地方、行业现行相关规范合格标准</w:t>
      </w:r>
      <w:r>
        <w:rPr>
          <w:rFonts w:hint="eastAsia" w:ascii="Times New Roman" w:hAnsi="Times New Roman" w:cs="Times New Roman"/>
          <w:szCs w:val="21"/>
          <w:u w:val="none"/>
          <w:lang w:val="en-US" w:eastAsia="zh-CN"/>
        </w:rPr>
        <w:t>。</w:t>
      </w:r>
      <w:permEnd w:id="98"/>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247527830"/>
      <w:bookmarkStart w:id="447" w:name="_Toc144974859"/>
      <w:bookmarkStart w:id="448" w:name="_Toc152042579"/>
      <w:bookmarkStart w:id="449" w:name="_Toc152045790"/>
      <w:bookmarkStart w:id="450" w:name="_Toc300835212"/>
      <w:bookmarkStart w:id="451"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天数：自合同签订之日起</w:t>
            </w:r>
            <w:r>
              <w:rPr>
                <w:rFonts w:hint="default" w:ascii="Times New Roman" w:hAnsi="Times New Roman" w:cs="Times New Roman"/>
                <w:szCs w:val="21"/>
                <w:u w:val="single"/>
              </w:rPr>
              <w:t>150</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w:t>
            </w:r>
            <w:r>
              <w:rPr>
                <w:rFonts w:hint="default" w:ascii="Times New Roman" w:hAnsi="Times New Roman" w:cs="Times New Roman"/>
                <w:szCs w:val="21"/>
                <w:u w:val="single"/>
                <w:lang w:val="en-US" w:eastAsia="zh-CN"/>
              </w:rPr>
              <w:t>2</w:t>
            </w:r>
            <w:r>
              <w:rPr>
                <w:rFonts w:hint="default" w:ascii="Times New Roman" w:hAnsi="Times New Roman" w:cs="Times New Roman"/>
                <w:szCs w:val="21"/>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152042580"/>
      <w:bookmarkStart w:id="453" w:name="_Toc247527831"/>
      <w:bookmarkStart w:id="454" w:name="_Toc152045791"/>
      <w:bookmarkStart w:id="455" w:name="_Toc144974860"/>
      <w:bookmarkStart w:id="456" w:name="_Toc247514283"/>
      <w:bookmarkStart w:id="457" w:name="_Toc30083521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27832"/>
      <w:bookmarkStart w:id="459" w:name="_Toc247514284"/>
      <w:bookmarkStart w:id="460" w:name="_Toc144974861"/>
      <w:bookmarkStart w:id="461" w:name="_Toc152045792"/>
      <w:bookmarkStart w:id="462" w:name="_Toc300835214"/>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4</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5794"/>
      <w:bookmarkStart w:id="465" w:name="_Toc300835216"/>
      <w:bookmarkStart w:id="466" w:name="_Toc247514286"/>
      <w:bookmarkStart w:id="467" w:name="_Toc152042583"/>
      <w:bookmarkStart w:id="468" w:name="_Toc144974862"/>
      <w:bookmarkStart w:id="469"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27835"/>
      <w:bookmarkStart w:id="472" w:name="_Toc144974863"/>
      <w:bookmarkStart w:id="473" w:name="_Toc247514287"/>
      <w:bookmarkStart w:id="474" w:name="_Toc152045795"/>
      <w:bookmarkStart w:id="475" w:name="_Toc152042584"/>
      <w:bookmarkStart w:id="476"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eastAsiaTheme="minorEastAsia"/>
          <w:lang w:val="en-US" w:eastAsia="zh-CN"/>
        </w:rPr>
      </w:pPr>
      <w:bookmarkStart w:id="477" w:name="_Toc247514288"/>
      <w:bookmarkStart w:id="478" w:name="_Toc152042585"/>
      <w:bookmarkStart w:id="479" w:name="_Toc144974864"/>
      <w:bookmarkStart w:id="480" w:name="_Toc247527836"/>
      <w:bookmarkStart w:id="481" w:name="_Toc300835221"/>
      <w:bookmarkStart w:id="482" w:name="_Toc152045796"/>
      <w:r>
        <w:rPr>
          <w:rFonts w:hint="eastAsia" w:ascii="Times New Roman" w:hAnsi="Times New Roman" w:cs="Times New Roman"/>
          <w:lang w:val="en-US" w:eastAsia="zh-CN"/>
        </w:rPr>
        <w:t>注：本次无需提供</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246996365"/>
      <w:bookmarkStart w:id="485" w:name="_Toc152045797"/>
      <w:bookmarkStart w:id="486" w:name="_Toc144974865"/>
      <w:bookmarkStart w:id="487" w:name="_Toc179632817"/>
      <w:bookmarkStart w:id="488" w:name="_Toc296602610"/>
      <w:bookmarkStart w:id="489" w:name="_Toc246997108"/>
      <w:bookmarkStart w:id="490" w:name="_Toc152042586"/>
      <w:bookmarkStart w:id="491" w:name="_Toc247085883"/>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152042588"/>
      <w:bookmarkStart w:id="493" w:name="_Toc152045799"/>
      <w:bookmarkStart w:id="494" w:name="_Toc246996366"/>
      <w:bookmarkStart w:id="495" w:name="_Toc296602611"/>
      <w:bookmarkStart w:id="496" w:name="_Toc247085884"/>
      <w:bookmarkStart w:id="497" w:name="_Toc246997109"/>
      <w:bookmarkStart w:id="498" w:name="_Toc144974867"/>
      <w:bookmarkStart w:id="499" w:name="_Toc17963281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52045800"/>
      <w:bookmarkStart w:id="501" w:name="_Toc179632820"/>
      <w:bookmarkStart w:id="502" w:name="_Toc152042589"/>
      <w:bookmarkStart w:id="503" w:name="_Toc246997110"/>
      <w:bookmarkStart w:id="504" w:name="_Toc144974868"/>
      <w:bookmarkStart w:id="505"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47085885"/>
      <w:bookmarkStart w:id="507" w:name="_Toc296602612"/>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246997112"/>
      <w:bookmarkStart w:id="509" w:name="_Toc179632823"/>
      <w:bookmarkStart w:id="510" w:name="_Toc152042592"/>
      <w:bookmarkStart w:id="511" w:name="_Toc247085887"/>
      <w:bookmarkStart w:id="512" w:name="_Toc152045803"/>
      <w:bookmarkStart w:id="513" w:name="_Toc246996369"/>
      <w:bookmarkStart w:id="514" w:name="_Toc144974871"/>
      <w:bookmarkStart w:id="515" w:name="_Toc296602614"/>
      <w:bookmarkStart w:id="516" w:name="_Toc247527848"/>
      <w:bookmarkStart w:id="517" w:name="_Toc144974876"/>
      <w:bookmarkStart w:id="518" w:name="_Toc247514300"/>
      <w:bookmarkStart w:id="519" w:name="_Toc300835224"/>
      <w:bookmarkStart w:id="520" w:name="_Toc152042597"/>
      <w:bookmarkStart w:id="521" w:name="_Toc152045808"/>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6370"/>
      <w:bookmarkStart w:id="523" w:name="_Toc246997113"/>
      <w:bookmarkStart w:id="524" w:name="_Toc296602615"/>
      <w:bookmarkStart w:id="525" w:name="_Toc247085888"/>
      <w:r>
        <w:t>（一）项目管理机构组成表</w:t>
      </w:r>
      <w:bookmarkEnd w:id="522"/>
      <w:bookmarkEnd w:id="523"/>
      <w:bookmarkEnd w:id="524"/>
      <w:bookmarkEnd w:id="525"/>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6371"/>
      <w:bookmarkStart w:id="527" w:name="_Toc247085889"/>
      <w:bookmarkStart w:id="528" w:name="_Toc246997114"/>
      <w:bookmarkStart w:id="529" w:name="_Toc296602616"/>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lang w:val="en-US" w:eastAsia="zh-CN"/>
        </w:rPr>
        <w:t>应附身份证、执业资格证（或注册证书）、有效的安全考核B证及缴纳养老保险的复印件</w:t>
      </w:r>
      <w:r>
        <w:rPr>
          <w:rFonts w:hint="eastAsia"/>
        </w:rPr>
        <w:t>，管理过的项目业绩须附合同协议书复印件</w:t>
      </w:r>
      <w:r>
        <w:rPr>
          <w:rFonts w:hint="eastAsia"/>
          <w:lang w:eastAsia="zh-CN"/>
        </w:rPr>
        <w:t>（</w:t>
      </w:r>
      <w:r>
        <w:rPr>
          <w:rFonts w:hint="eastAsia"/>
          <w:lang w:val="en-US" w:eastAsia="zh-CN"/>
        </w:rPr>
        <w:t>如有）</w:t>
      </w:r>
      <w:r>
        <w:rPr>
          <w:rFonts w:hint="eastAsia"/>
        </w:rPr>
        <w:t>。</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52042596"/>
      <w:bookmarkStart w:id="531" w:name="_Toc144974875"/>
      <w:bookmarkStart w:id="532" w:name="_Toc246997115"/>
      <w:bookmarkStart w:id="533" w:name="_Toc296602617"/>
      <w:bookmarkStart w:id="534" w:name="_Toc247085890"/>
      <w:bookmarkStart w:id="535" w:name="_Toc152045807"/>
      <w:bookmarkStart w:id="536" w:name="_Toc246996372"/>
      <w:bookmarkStart w:id="537" w:name="_Toc179632827"/>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46997116"/>
      <w:bookmarkStart w:id="539" w:name="_Toc247085891"/>
      <w:bookmarkStart w:id="540" w:name="_Toc246996373"/>
      <w:bookmarkStart w:id="541" w:name="_Toc296602618"/>
      <w:bookmarkStart w:id="542" w:name="_Toc179632828"/>
      <w:r>
        <w:t>（一）投标人基本情况表</w:t>
      </w:r>
      <w:bookmarkEnd w:id="538"/>
      <w:bookmarkEnd w:id="539"/>
      <w:bookmarkEnd w:id="540"/>
      <w:bookmarkEnd w:id="541"/>
      <w:bookmarkEnd w:id="54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247514301"/>
      <w:bookmarkStart w:id="544" w:name="_Toc247527849"/>
      <w:bookmarkStart w:id="545" w:name="_Toc144974877"/>
      <w:bookmarkStart w:id="546" w:name="_Toc152045809"/>
      <w:bookmarkStart w:id="547" w:name="_Toc152042598"/>
      <w:bookmarkStart w:id="548" w:name="_Toc300835225"/>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300835226"/>
      <w:bookmarkStart w:id="550" w:name="_Toc152042599"/>
      <w:bookmarkStart w:id="551" w:name="_Toc144974878"/>
      <w:bookmarkStart w:id="552" w:name="_Toc247527850"/>
      <w:bookmarkStart w:id="553" w:name="_Toc152045810"/>
      <w:bookmarkStart w:id="554" w:name="_Toc247514302"/>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152045811"/>
      <w:bookmarkStart w:id="557" w:name="_Toc144974879"/>
      <w:bookmarkStart w:id="558" w:name="_Toc247514303"/>
      <w:bookmarkStart w:id="559"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152045812"/>
      <w:bookmarkStart w:id="563" w:name="_Toc247527852"/>
      <w:bookmarkStart w:id="564" w:name="_Toc152042601"/>
      <w:bookmarkStart w:id="565" w:name="_Toc144974880"/>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99" w:edGrp="everyone"/>
      <w:r>
        <w:rPr>
          <w:rFonts w:ascii="Times New Roman" w:hAnsi="Times New Roman"/>
        </w:rPr>
        <w:t>注：</w:t>
      </w:r>
      <w:r>
        <w:rPr>
          <w:rFonts w:hint="eastAsia" w:ascii="Times New Roman" w:hAnsi="Times New Roman"/>
          <w:lang w:val="en-US" w:eastAsia="zh-CN"/>
        </w:rPr>
        <w:t>如有，按招标文件要求提供。</w:t>
      </w:r>
    </w:p>
    <w:permEnd w:id="99"/>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2602"/>
      <w:bookmarkStart w:id="567" w:name="_Toc144974881"/>
      <w:bookmarkStart w:id="568" w:name="_Toc247514305"/>
      <w:bookmarkStart w:id="569" w:name="_Toc247527853"/>
      <w:bookmarkStart w:id="570" w:name="_Toc152045813"/>
      <w:bookmarkStart w:id="571" w:name="_Toc247530162"/>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00"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00"/>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02144"/>
    <w:multiLevelType w:val="singleLevel"/>
    <w:tmpl w:val="3EB0214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C53809"/>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C71E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084476"/>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AD35BF"/>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7B6362"/>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126ED7"/>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5FC406F"/>
    <w:rsid w:val="360530D8"/>
    <w:rsid w:val="3605698A"/>
    <w:rsid w:val="36162F1C"/>
    <w:rsid w:val="363277D2"/>
    <w:rsid w:val="366244D5"/>
    <w:rsid w:val="36A82C1D"/>
    <w:rsid w:val="36B34449"/>
    <w:rsid w:val="36C342D9"/>
    <w:rsid w:val="370F2E93"/>
    <w:rsid w:val="370F32ED"/>
    <w:rsid w:val="374E35E0"/>
    <w:rsid w:val="37560CC6"/>
    <w:rsid w:val="376E6351"/>
    <w:rsid w:val="378D0CEB"/>
    <w:rsid w:val="379A026D"/>
    <w:rsid w:val="37A2207E"/>
    <w:rsid w:val="37A2434F"/>
    <w:rsid w:val="37ED6D6E"/>
    <w:rsid w:val="37F45271"/>
    <w:rsid w:val="380C3B20"/>
    <w:rsid w:val="381039F4"/>
    <w:rsid w:val="38422CE2"/>
    <w:rsid w:val="38464281"/>
    <w:rsid w:val="386E21B0"/>
    <w:rsid w:val="389E5C1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90D4F"/>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3264DF"/>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86386C"/>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C466B0"/>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5F745C"/>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07839"/>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34198"/>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450394"/>
    <w:rsid w:val="795C411F"/>
    <w:rsid w:val="796834B3"/>
    <w:rsid w:val="797B3C8A"/>
    <w:rsid w:val="797F45FC"/>
    <w:rsid w:val="79970647"/>
    <w:rsid w:val="79D9682C"/>
    <w:rsid w:val="79DB75C0"/>
    <w:rsid w:val="79E37881"/>
    <w:rsid w:val="79E4486C"/>
    <w:rsid w:val="79EA2E0E"/>
    <w:rsid w:val="79ED08FA"/>
    <w:rsid w:val="7A0348C4"/>
    <w:rsid w:val="7A0360C6"/>
    <w:rsid w:val="7A067AFA"/>
    <w:rsid w:val="7A0C585A"/>
    <w:rsid w:val="7A2C7450"/>
    <w:rsid w:val="7A326B5A"/>
    <w:rsid w:val="7A553725"/>
    <w:rsid w:val="7A616D0A"/>
    <w:rsid w:val="7A7F2C76"/>
    <w:rsid w:val="7AAC462A"/>
    <w:rsid w:val="7AF84FA0"/>
    <w:rsid w:val="7AF909C6"/>
    <w:rsid w:val="7B4F319C"/>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23840</Words>
  <Characters>26062</Characters>
  <Lines>0</Lines>
  <Paragraphs>0</Paragraphs>
  <TotalTime>20</TotalTime>
  <ScaleCrop>false</ScaleCrop>
  <LinksUpToDate>false</LinksUpToDate>
  <CharactersWithSpaces>27378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2024-07-12T02:34:00Z</cp:lastPrinted>
  <dcterms:modified xsi:type="dcterms:W3CDTF">2024-07-12T02:43:22Z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3DC1C1C5EC6741F69426F536341F9981</vt:lpwstr>
  </property>
</Properties>
</file>