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水安凤栖上院34号地块工程项目门窗工程专业分包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044</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2024年7</w:t>
      </w:r>
      <w:r>
        <w:rPr>
          <w:rFonts w:hint="eastAsia" w:ascii="Times New Roman" w:hAnsi="Times New Roman" w:eastAsia="楷体" w:cs="Times New Roman"/>
          <w:kern w:val="0"/>
          <w:sz w:val="32"/>
          <w:szCs w:val="32"/>
          <w:highlight w:val="none"/>
          <w:u w:val="none"/>
          <w:shd w:val="clear" w:color="auto" w:fill="auto"/>
          <w:lang w:val="en-US" w:eastAsia="zh-CN"/>
        </w:rPr>
        <w:t>月9日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水安凤栖上院34号地块工程项目门窗工程专业分包招标公告</w:t>
      </w:r>
      <w:bookmarkStart w:id="0" w:name="_Toc247085680"/>
      <w:bookmarkStart w:id="1" w:name="_Toc144974487"/>
      <w:bookmarkStart w:id="2" w:name="_Toc246996909"/>
      <w:bookmarkStart w:id="3" w:name="_Toc152045519"/>
      <w:bookmarkStart w:id="4" w:name="_Toc152042295"/>
      <w:bookmarkStart w:id="5" w:name="_Toc296602410"/>
      <w:bookmarkStart w:id="6" w:name="_Toc246996166"/>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152045520"/>
      <w:bookmarkStart w:id="9" w:name="_Toc247085681"/>
      <w:bookmarkStart w:id="10" w:name="_Toc152042296"/>
      <w:bookmarkStart w:id="11" w:name="_Toc179632537"/>
      <w:bookmarkStart w:id="12" w:name="_Toc246996910"/>
      <w:bookmarkStart w:id="13" w:name="_Toc296602411"/>
      <w:bookmarkStart w:id="14" w:name="_Toc246996167"/>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水安凤栖上院34号地块工程项目门窗工程专业分包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BZJK-2024-044号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eastAsiaTheme="minorEastAsia" w:cstheme="minorEastAsia"/>
          <w:sz w:val="28"/>
          <w:szCs w:val="28"/>
          <w:highlight w:val="none"/>
          <w:lang w:val="en-US" w:eastAsia="zh-CN"/>
        </w:rPr>
        <w:t>企业自筹</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项目位于亳州市高新区曹霸路与旋花路交口，总用地面积35274.60平方米（约52.91亩），总建筑面积91084平方米，地上建筑面积70642平方米，地下建筑面积20442平方米，高层为24层，共2栋，洋房为7-11层，共10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水安凤栖上院34号地块工程项目图纸和工程量清单范围内的入户门、单元门、钢质防火门、防火卷帘门、门联窗、金属窗、金属百页窗、金属扶手、栏杆、栏板等全部内容。包括图纸优化、材料采购、加工、运输、装卸、安装、成套、防水、密封、收口打胶（内外）、成品保护、施工垃圾清理、施工方案、试验检测、验收、保修、售后服务、验收和验收前的保洁等内容。具体详见施工图纸、工程量清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7"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8" w:edGrp="everyone"/>
      <w:r>
        <w:rPr>
          <w:rFonts w:hint="eastAsia" w:asciiTheme="minorEastAsia" w:hAnsiTheme="minorEastAsia" w:cstheme="minorEastAsia"/>
          <w:sz w:val="28"/>
          <w:szCs w:val="28"/>
          <w:highlight w:val="none"/>
          <w:lang w:val="en-US" w:eastAsia="zh-CN"/>
        </w:rPr>
        <w:t>自合同签订日期起</w:t>
      </w:r>
      <w:r>
        <w:rPr>
          <w:rFonts w:hint="eastAsia" w:asciiTheme="minorEastAsia" w:hAnsiTheme="minorEastAsia" w:cstheme="minorEastAsia"/>
          <w:sz w:val="28"/>
          <w:szCs w:val="28"/>
          <w:highlight w:val="none"/>
          <w:u w:val="single"/>
          <w:lang w:val="en-US" w:eastAsia="zh-CN"/>
        </w:rPr>
        <w:t>180</w:t>
      </w:r>
      <w:r>
        <w:rPr>
          <w:rFonts w:hint="eastAsia" w:asciiTheme="minorEastAsia" w:hAnsiTheme="minorEastAsia" w:eastAsiaTheme="minorEastAsia" w:cstheme="minorEastAsia"/>
          <w:sz w:val="28"/>
          <w:szCs w:val="28"/>
          <w:highlight w:val="none"/>
          <w:lang w:val="en-US" w:eastAsia="zh-CN"/>
        </w:rPr>
        <w:t>日历天</w:t>
      </w:r>
      <w:r>
        <w:rPr>
          <w:rFonts w:hint="eastAsia" w:asciiTheme="minorEastAsia" w:hAnsiTheme="minorEastAsia" w:cstheme="minorEastAsia"/>
          <w:sz w:val="28"/>
          <w:szCs w:val="28"/>
          <w:highlight w:val="none"/>
          <w:lang w:val="en-US" w:eastAsia="zh-CN"/>
        </w:rPr>
        <w:t>（暂定）</w:t>
      </w:r>
      <w:permEnd w:id="8"/>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eastAsiaTheme="minorEastAsia" w:cstheme="minorEastAsia"/>
          <w:sz w:val="28"/>
          <w:szCs w:val="28"/>
          <w:highlight w:val="none"/>
          <w:lang w:val="en-US" w:eastAsia="zh-CN"/>
        </w:rPr>
        <w:t>（含税：9%）</w:t>
      </w:r>
      <w:permEnd w:id="9"/>
      <w:r>
        <w:rPr>
          <w:rFonts w:hint="eastAsia" w:asciiTheme="minorEastAsia" w:hAnsiTheme="minorEastAsia" w:eastAsiaTheme="minorEastAsia" w:cstheme="minorEastAsia"/>
          <w:sz w:val="28"/>
          <w:szCs w:val="28"/>
          <w:highlight w:val="none"/>
          <w:lang w:val="en-US" w:eastAsia="zh-CN"/>
        </w:rPr>
        <w:t>：12892734元，按</w:t>
      </w:r>
      <w:permStart w:id="10" w:edGrp="everyone"/>
      <w:r>
        <w:rPr>
          <w:rFonts w:hint="eastAsia" w:asciiTheme="minorEastAsia" w:hAnsiTheme="minorEastAsia" w:eastAsiaTheme="minorEastAsia" w:cstheme="minorEastAsia"/>
          <w:sz w:val="28"/>
          <w:szCs w:val="28"/>
          <w:highlight w:val="none"/>
          <w:lang w:val="en-US" w:eastAsia="zh-CN"/>
        </w:rPr>
        <w:t>固定单价</w:t>
      </w:r>
      <w:permEnd w:id="10"/>
      <w:r>
        <w:rPr>
          <w:rFonts w:hint="eastAsia" w:asciiTheme="minorEastAsia" w:hAnsiTheme="minorEastAsia" w:eastAsiaTheme="minorEastAsia" w:cstheme="minorEastAsia"/>
          <w:sz w:val="28"/>
          <w:szCs w:val="28"/>
          <w:highlight w:val="none"/>
          <w:lang w:val="en-US" w:eastAsia="zh-CN"/>
        </w:rPr>
        <w:t>报价，详见附件工程量清单。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（一）具有</w:t>
      </w:r>
      <w:permStart w:id="11" w:edGrp="everyone"/>
      <w:r>
        <w:rPr>
          <w:rFonts w:hint="eastAsia" w:asciiTheme="minorEastAsia" w:hAnsiTheme="minorEastAsia" w:eastAsiaTheme="minorEastAsia" w:cstheme="minorEastAsia"/>
          <w:sz w:val="28"/>
          <w:szCs w:val="28"/>
          <w:highlight w:val="none"/>
          <w:lang w:val="en-US" w:eastAsia="zh-CN"/>
        </w:rPr>
        <w:t>独立法人资格</w:t>
      </w:r>
      <w:permEnd w:id="11"/>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（二）具有</w:t>
      </w:r>
      <w:r>
        <w:rPr>
          <w:rFonts w:hint="eastAsia" w:asciiTheme="minorEastAsia" w:hAnsiTheme="minorEastAsia" w:cstheme="minorEastAsia"/>
          <w:sz w:val="28"/>
          <w:szCs w:val="28"/>
          <w:highlight w:val="none"/>
          <w:lang w:val="en-US" w:eastAsia="zh-CN"/>
        </w:rPr>
        <w:t>有效的</w:t>
      </w:r>
      <w:r>
        <w:rPr>
          <w:rFonts w:hint="eastAsia" w:asciiTheme="minorEastAsia" w:hAnsiTheme="minorEastAsia" w:eastAsiaTheme="minorEastAsia" w:cstheme="minorEastAsia"/>
          <w:sz w:val="28"/>
          <w:szCs w:val="28"/>
          <w:highlight w:val="none"/>
          <w:lang w:val="en-US" w:eastAsia="zh-CN"/>
        </w:rPr>
        <w:t>建筑装修装饰工程专业承包二级及以上资质和安全生产许可证；</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（三）项目负责人具备</w:t>
      </w:r>
      <w:permStart w:id="12" w:edGrp="everyone"/>
      <w:r>
        <w:rPr>
          <w:rFonts w:hint="eastAsia" w:asciiTheme="minorEastAsia" w:hAnsiTheme="minorEastAsia" w:eastAsiaTheme="minorEastAsia" w:cstheme="minorEastAsia"/>
          <w:sz w:val="28"/>
          <w:szCs w:val="28"/>
          <w:highlight w:val="none"/>
          <w:lang w:val="en-US" w:eastAsia="zh-CN"/>
        </w:rPr>
        <w:t>建筑工程专业二级建造师及以上执业资格。</w:t>
      </w:r>
    </w:p>
    <w:permEnd w:id="12"/>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项目负责人应附身份证、执业资格证（或注册证书）、有效的安全考核B证及缴纳养老保险的复印件。养老保险须提供2023年6月以来在投标单位已缴纳的任意3个月的养老保险证明（指养老保险管理单位出具的养老保险证明，加盖养老保险管理单位的公章或电子章；投标时将原件、复印件或扫描件制作在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（四）提供</w:t>
      </w:r>
      <w:r>
        <w:rPr>
          <w:rFonts w:hint="eastAsia" w:asciiTheme="minorEastAsia" w:hAnsiTheme="minorEastAsia" w:cstheme="minorEastAsia"/>
          <w:sz w:val="28"/>
          <w:szCs w:val="28"/>
          <w:highlight w:val="none"/>
          <w:lang w:val="en-US" w:eastAsia="zh-CN"/>
        </w:rPr>
        <w:t>2019</w:t>
      </w:r>
      <w:r>
        <w:rPr>
          <w:rFonts w:hint="eastAsia" w:asciiTheme="minorEastAsia" w:hAnsiTheme="minorEastAsia" w:eastAsiaTheme="minorEastAsia" w:cstheme="minorEastAsia"/>
          <w:sz w:val="28"/>
          <w:szCs w:val="28"/>
          <w:highlight w:val="none"/>
          <w:lang w:val="en-US" w:eastAsia="zh-CN"/>
        </w:rPr>
        <w:t>年至今企业类似项目业绩1个，以合同签订时间为准。类似项目业绩指：</w:t>
      </w:r>
      <w:permStart w:id="13" w:edGrp="everyone"/>
      <w:r>
        <w:rPr>
          <w:rFonts w:hint="eastAsia" w:asciiTheme="minorEastAsia" w:hAnsiTheme="minorEastAsia" w:eastAsiaTheme="minorEastAsia" w:cstheme="minorEastAsia"/>
          <w:sz w:val="28"/>
          <w:szCs w:val="28"/>
          <w:highlight w:val="none"/>
          <w:u w:val="single"/>
          <w:lang w:val="en-US" w:eastAsia="zh-CN"/>
        </w:rPr>
        <w:t>单项合同金额不低于1000万元的门窗工程专业分包业绩</w:t>
      </w:r>
      <w:permEnd w:id="13"/>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permStart w:id="14" w:edGrp="everyone"/>
      <w:r>
        <w:rPr>
          <w:rFonts w:hint="eastAsia" w:asciiTheme="minorEastAsia" w:hAnsiTheme="minorEastAsia" w:eastAsiaTheme="minorEastAsia" w:cstheme="minorEastAsia"/>
          <w:sz w:val="28"/>
          <w:szCs w:val="28"/>
          <w:highlight w:val="none"/>
          <w:lang w:val="en-US" w:eastAsia="zh-CN"/>
        </w:rPr>
        <w:t>提供业绩合同及合同任意节点增值税专用发票的复印件或扫描件装订入投标文件中</w:t>
      </w:r>
      <w:r>
        <w:rPr>
          <w:rFonts w:hint="eastAsia" w:asciiTheme="minorEastAsia" w:hAnsiTheme="minorEastAsia" w:cstheme="minorEastAsia"/>
          <w:sz w:val="28"/>
          <w:szCs w:val="28"/>
          <w:highlight w:val="none"/>
          <w:lang w:val="en-US" w:eastAsia="zh-CN"/>
        </w:rPr>
        <w:t>，总承包业绩参与投标不予认可</w:t>
      </w:r>
      <w:permEnd w:id="14"/>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（五）投标人（含分公司，不含子公司）存在以下不良信用记录情形之一的，不得推荐为中标候选人，不得确定为中标人。</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（六）投标人如在以往承接交控集团及下属企业项目过程中被记入“黑名单”，不得参加本次招标投标活动；</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（七）本次招标</w:t>
      </w:r>
      <w:permStart w:id="15" w:edGrp="everyone"/>
      <w:r>
        <w:rPr>
          <w:rFonts w:hint="eastAsia" w:asciiTheme="minorEastAsia" w:hAnsiTheme="minorEastAsia" w:eastAsiaTheme="minorEastAsia" w:cstheme="minorEastAsia"/>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联合体投标。联合体投标的，应满足下列要求：</w:t>
      </w:r>
      <w:permStart w:id="16" w:edGrp="everyone"/>
      <w:r>
        <w:rPr>
          <w:rFonts w:hint="eastAsia" w:asciiTheme="minorEastAsia" w:hAnsiTheme="minorEastAsia" w:eastAsiaTheme="minorEastAsia" w:cstheme="minorEastAsia"/>
          <w:sz w:val="28"/>
          <w:szCs w:val="28"/>
          <w:highlight w:val="none"/>
          <w:lang w:val="en-US" w:eastAsia="zh-CN"/>
        </w:rPr>
        <w:t xml:space="preserve">   /   </w:t>
      </w:r>
      <w:permEnd w:id="16"/>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（八）本项目委托代理人必须是投标单位正式人员，须提供投标单位公司为其缴纳的</w:t>
      </w:r>
      <w:permStart w:id="17" w:edGrp="everyone"/>
      <w:r>
        <w:rPr>
          <w:rFonts w:hint="eastAsia" w:asciiTheme="minorEastAsia" w:hAnsiTheme="minorEastAsia" w:eastAsiaTheme="minorEastAsia" w:cstheme="minorEastAsia"/>
          <w:sz w:val="28"/>
          <w:szCs w:val="28"/>
          <w:highlight w:val="none"/>
          <w:lang w:val="en-US" w:eastAsia="zh-CN"/>
        </w:rPr>
        <w:t>2023年6月</w:t>
      </w:r>
      <w:permEnd w:id="17"/>
      <w:r>
        <w:rPr>
          <w:rFonts w:hint="eastAsia" w:asciiTheme="minorEastAsia" w:hAnsiTheme="minorEastAsia" w:eastAsiaTheme="minorEastAsia" w:cstheme="minorEastAsia"/>
          <w:sz w:val="28"/>
          <w:szCs w:val="28"/>
          <w:highlight w:val="none"/>
          <w:lang w:val="en-US" w:eastAsia="zh-CN"/>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lang w:val="en-US" w:eastAsia="zh-CN"/>
        </w:rPr>
        <w:t>不允许</w:t>
      </w:r>
      <w:permEnd w:id="1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eastAsia" w:asciiTheme="minorEastAsia" w:hAnsiTheme="minorEastAsia" w:cstheme="minorEastAsia"/>
          <w:sz w:val="28"/>
          <w:szCs w:val="28"/>
          <w:highlight w:val="none"/>
          <w:u w:val="single"/>
          <w:lang w:val="en-US" w:eastAsia="zh-CN"/>
        </w:rPr>
        <w:t>220000元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default" w:asciiTheme="minorEastAsia" w:hAnsiTheme="minorEastAsia" w:eastAsiaTheme="minorEastAsia" w:cstheme="minorEastAsia"/>
          <w:sz w:val="28"/>
          <w:szCs w:val="28"/>
          <w:highlight w:val="none"/>
          <w:lang w:val="en-US" w:eastAsia="zh-CN"/>
        </w:rPr>
        <w:t>安徽通康建设工程有限公司</w:t>
      </w:r>
    </w:p>
    <w:permEnd w:id="2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2" w:edGrp="everyone"/>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 xml:space="preserve">二楼法务部 </w:t>
      </w:r>
      <w:permEnd w:id="2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杜经理  </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4" w:edGrp="everyone"/>
      <w:r>
        <w:rPr>
          <w:rFonts w:hint="eastAsia" w:asciiTheme="minorEastAsia" w:hAnsiTheme="minorEastAsia" w:cstheme="minorEastAsia"/>
          <w:sz w:val="28"/>
          <w:szCs w:val="28"/>
          <w:highlight w:val="none"/>
          <w:lang w:val="en-US" w:eastAsia="zh-CN"/>
        </w:rPr>
        <w:t xml:space="preserve">19155250522 </w:t>
      </w:r>
      <w:permEnd w:id="2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2024年7月 9 日</w:t>
      </w:r>
      <w:permEnd w:id="2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6"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6"/>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0" w:edGrp="everyone"/>
            <w:r>
              <w:rPr>
                <w:rFonts w:hint="eastAsia" w:ascii="Times New Roman" w:hAnsi="Times New Roman" w:cs="Times New Roman"/>
                <w:color w:val="auto"/>
                <w:szCs w:val="21"/>
                <w:highlight w:val="none"/>
                <w:u w:val="single"/>
                <w:lang w:val="en-US" w:eastAsia="zh-CN"/>
              </w:rPr>
              <w:t xml:space="preserve">220000元 </w:t>
            </w:r>
            <w:permEnd w:id="3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color w:val="FF0000"/>
                <w:szCs w:val="21"/>
                <w:highlight w:val="none"/>
                <w:lang w:val="en-US" w:eastAsia="zh-CN"/>
              </w:rPr>
              <w:t>BZJK-2024-044号保证金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2" w:edGrp="everyone"/>
            <w:permEnd w:id="32"/>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3"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水安凤栖上院34号地块工程项目门窗工程专业分包</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w:t>
            </w:r>
            <w:r>
              <w:rPr>
                <w:rFonts w:hint="eastAsia" w:ascii="Times New Roman" w:hAnsi="Times New Roman" w:cs="Times New Roman"/>
                <w:color w:val="FF0000"/>
                <w:szCs w:val="21"/>
                <w:lang w:val="en-US" w:eastAsia="zh-CN"/>
              </w:rPr>
              <w:t>4</w:t>
            </w:r>
            <w:r>
              <w:rPr>
                <w:rFonts w:hint="eastAsia" w:ascii="Times New Roman" w:hAnsi="Times New Roman" w:cs="Times New Roman"/>
                <w:color w:val="FF0000"/>
                <w:szCs w:val="21"/>
              </w:rPr>
              <w:t>-</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2024</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7</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6" w:edGrp="everyone"/>
            <w:r>
              <w:rPr>
                <w:rFonts w:hint="eastAsia" w:ascii="Times New Roman" w:hAnsi="Times New Roman" w:cs="Times New Roman"/>
                <w:b/>
                <w:bCs/>
                <w:color w:val="FF0000"/>
                <w:szCs w:val="21"/>
                <w:highlight w:val="none"/>
                <w:lang w:val="en-US" w:eastAsia="zh-CN"/>
              </w:rPr>
              <w:t>中标价款的10%</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497"/>
      <w:bookmarkStart w:id="17" w:name="_Toc179632546"/>
      <w:bookmarkStart w:id="18" w:name="_Toc152045529"/>
      <w:bookmarkStart w:id="19" w:name="_Toc246996175"/>
      <w:bookmarkStart w:id="20" w:name="_Toc152042305"/>
      <w:bookmarkStart w:id="21" w:name="_Toc247085689"/>
      <w:bookmarkStart w:id="22" w:name="_Toc296602420"/>
      <w:bookmarkStart w:id="23" w:name="_Toc246996918"/>
      <w:r>
        <w:rPr>
          <w:rFonts w:hint="eastAsia"/>
        </w:rPr>
        <w:t>1. 总则</w:t>
      </w:r>
      <w:bookmarkEnd w:id="16"/>
      <w:bookmarkEnd w:id="17"/>
      <w:bookmarkEnd w:id="18"/>
      <w:bookmarkEnd w:id="19"/>
      <w:bookmarkEnd w:id="20"/>
      <w:bookmarkEnd w:id="21"/>
      <w:bookmarkEnd w:id="22"/>
      <w:bookmarkEnd w:id="23"/>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47"/>
      <w:bookmarkStart w:id="25" w:name="_Toc152042306"/>
      <w:bookmarkStart w:id="26" w:name="_Toc296602421"/>
      <w:bookmarkStart w:id="27" w:name="_Toc246996919"/>
      <w:bookmarkStart w:id="28" w:name="_Toc247085690"/>
      <w:bookmarkStart w:id="29" w:name="_Toc152045530"/>
      <w:bookmarkStart w:id="30" w:name="_Toc246996176"/>
      <w:bookmarkStart w:id="31" w:name="_Toc144974498"/>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144974499"/>
      <w:bookmarkStart w:id="34" w:name="_Toc247085691"/>
      <w:bookmarkStart w:id="35" w:name="_Toc246996177"/>
      <w:bookmarkStart w:id="36" w:name="_Toc152045531"/>
      <w:bookmarkStart w:id="37" w:name="_Toc296602422"/>
      <w:bookmarkStart w:id="38" w:name="_Toc179632548"/>
      <w:bookmarkStart w:id="39" w:name="_Toc152042307"/>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152042308"/>
      <w:bookmarkStart w:id="42" w:name="_Toc247085692"/>
      <w:bookmarkStart w:id="43" w:name="_Toc246996921"/>
      <w:bookmarkStart w:id="44" w:name="_Toc179632549"/>
      <w:bookmarkStart w:id="45" w:name="_Toc144974500"/>
      <w:bookmarkStart w:id="46" w:name="_Toc246996178"/>
      <w:bookmarkStart w:id="47" w:name="_Toc152045532"/>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5534"/>
      <w:bookmarkStart w:id="49" w:name="_Toc144974502"/>
      <w:bookmarkStart w:id="50" w:name="_Toc246996922"/>
      <w:bookmarkStart w:id="51" w:name="_Toc247085693"/>
      <w:bookmarkStart w:id="52" w:name="_Toc296602424"/>
      <w:bookmarkStart w:id="53" w:name="_Toc246996179"/>
      <w:bookmarkStart w:id="54" w:name="_Toc179632551"/>
      <w:bookmarkStart w:id="55" w:name="_Toc152042310"/>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8"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8"/>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7085694"/>
      <w:bookmarkStart w:id="57" w:name="_Toc296602425"/>
      <w:bookmarkStart w:id="58" w:name="_Toc144974503"/>
      <w:bookmarkStart w:id="59" w:name="_Toc152045535"/>
      <w:bookmarkStart w:id="60" w:name="_Toc246996923"/>
      <w:bookmarkStart w:id="61" w:name="_Toc246996180"/>
      <w:bookmarkStart w:id="62" w:name="_Toc179632552"/>
      <w:bookmarkStart w:id="63" w:name="_Toc152042311"/>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96602426"/>
      <w:bookmarkStart w:id="65" w:name="_Toc179632553"/>
      <w:bookmarkStart w:id="66" w:name="_Toc246996924"/>
      <w:bookmarkStart w:id="67" w:name="_Toc247085695"/>
      <w:bookmarkStart w:id="68" w:name="_Toc152042312"/>
      <w:bookmarkStart w:id="69" w:name="_Toc152045536"/>
      <w:bookmarkStart w:id="70" w:name="_Toc144974504"/>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925"/>
      <w:bookmarkStart w:id="74" w:name="_Toc179632554"/>
      <w:bookmarkStart w:id="75" w:name="_Toc152045537"/>
      <w:bookmarkStart w:id="76" w:name="_Toc247085696"/>
      <w:bookmarkStart w:id="77" w:name="_Toc296602427"/>
      <w:bookmarkStart w:id="78" w:name="_Toc152042313"/>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79632555"/>
      <w:bookmarkStart w:id="82" w:name="_Toc152045538"/>
      <w:bookmarkStart w:id="83" w:name="_Toc144974506"/>
      <w:bookmarkStart w:id="84" w:name="_Toc247085697"/>
      <w:bookmarkStart w:id="85" w:name="_Toc152042314"/>
      <w:bookmarkStart w:id="86" w:name="_Toc246996926"/>
      <w:r>
        <w:rPr>
          <w:rFonts w:hint="eastAsia"/>
        </w:rPr>
        <w:t>招标投标文件使用的语言文字为中文。专用术语使用外文的，应附有中文注释。</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247513962"/>
      <w:bookmarkStart w:id="90" w:name="_Toc152042315"/>
      <w:bookmarkStart w:id="91" w:name="_Toc296602429"/>
      <w:bookmarkStart w:id="92" w:name="_Toc152045539"/>
      <w:bookmarkStart w:id="93" w:name="_Toc247592876"/>
      <w:bookmarkStart w:id="94" w:name="_Toc247527563"/>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27564"/>
      <w:bookmarkStart w:id="96" w:name="_Toc152045540"/>
      <w:bookmarkStart w:id="97" w:name="_Toc247592877"/>
      <w:bookmarkStart w:id="98" w:name="_Toc247513963"/>
      <w:bookmarkStart w:id="99" w:name="_Toc296602430"/>
      <w:bookmarkStart w:id="100" w:name="_Toc152042316"/>
      <w:bookmarkStart w:id="101" w:name="_Toc144974508"/>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01"/>
      <w:bookmarkStart w:id="104" w:name="_Toc152042318"/>
      <w:bookmarkStart w:id="105" w:name="_Toc152045542"/>
      <w:bookmarkStart w:id="106" w:name="_Toc144974510"/>
      <w:bookmarkStart w:id="107" w:name="_Toc179632560"/>
      <w:bookmarkStart w:id="108" w:name="_Toc246996930"/>
      <w:bookmarkStart w:id="109" w:name="_Toc296602432"/>
      <w:bookmarkStart w:id="110" w:name="_Toc246996187"/>
      <w:r>
        <w:rPr>
          <w:rFonts w:hint="eastAsia"/>
        </w:rPr>
        <w:t>2. 招标文件</w:t>
      </w:r>
      <w:bookmarkEnd w:id="103"/>
      <w:bookmarkEnd w:id="104"/>
      <w:bookmarkEnd w:id="105"/>
      <w:bookmarkEnd w:id="106"/>
      <w:bookmarkEnd w:id="107"/>
      <w:bookmarkEnd w:id="108"/>
      <w:bookmarkEnd w:id="109"/>
      <w:bookmarkEnd w:id="11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33"/>
      <w:bookmarkStart w:id="112" w:name="_Toc144974511"/>
      <w:bookmarkStart w:id="113" w:name="_Toc152045543"/>
      <w:bookmarkStart w:id="114" w:name="_Toc152042319"/>
      <w:bookmarkStart w:id="115" w:name="_Toc179632561"/>
      <w:bookmarkStart w:id="116" w:name="_Toc246996188"/>
      <w:bookmarkStart w:id="117" w:name="_Toc246996931"/>
      <w:bookmarkStart w:id="118" w:name="_Toc247085702"/>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03"/>
      <w:bookmarkStart w:id="120" w:name="_Toc144974512"/>
      <w:bookmarkStart w:id="121" w:name="_Toc246996932"/>
      <w:bookmarkStart w:id="122" w:name="_Toc152042320"/>
      <w:bookmarkStart w:id="123" w:name="_Toc296602434"/>
      <w:bookmarkStart w:id="124" w:name="_Toc246996189"/>
      <w:bookmarkStart w:id="125" w:name="_Toc152045544"/>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152045545"/>
      <w:bookmarkStart w:id="129" w:name="_Toc152042321"/>
      <w:bookmarkStart w:id="130" w:name="_Toc246996190"/>
      <w:bookmarkStart w:id="131" w:name="_Toc144974513"/>
      <w:bookmarkStart w:id="132" w:name="_Toc246996933"/>
      <w:bookmarkStart w:id="133" w:name="_Toc179632563"/>
      <w:bookmarkStart w:id="134" w:name="_Toc247085704"/>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47085705"/>
      <w:bookmarkStart w:id="137" w:name="_Toc296602436"/>
      <w:bookmarkStart w:id="138" w:name="_Toc179632564"/>
      <w:bookmarkStart w:id="139" w:name="_Toc152042322"/>
      <w:bookmarkStart w:id="140" w:name="_Toc152045546"/>
      <w:bookmarkStart w:id="141" w:name="_Toc246996934"/>
      <w:bookmarkStart w:id="142" w:name="_Toc246996191"/>
      <w:r>
        <w:rPr>
          <w:rFonts w:hint="eastAsia"/>
        </w:rPr>
        <w:t>3. 投标文件</w:t>
      </w:r>
      <w:bookmarkEnd w:id="135"/>
      <w:bookmarkEnd w:id="136"/>
      <w:bookmarkEnd w:id="137"/>
      <w:bookmarkEnd w:id="138"/>
      <w:bookmarkEnd w:id="139"/>
      <w:bookmarkEnd w:id="140"/>
      <w:bookmarkEnd w:id="141"/>
      <w:bookmarkEnd w:id="142"/>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247085706"/>
      <w:bookmarkStart w:id="145" w:name="_Toc152042323"/>
      <w:bookmarkStart w:id="146" w:name="_Toc296602437"/>
      <w:bookmarkStart w:id="147" w:name="_Toc152045547"/>
      <w:bookmarkStart w:id="148" w:name="_Toc179632565"/>
      <w:bookmarkStart w:id="149" w:name="_Toc144974515"/>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5548"/>
      <w:bookmarkStart w:id="152" w:name="_Toc144974516"/>
      <w:bookmarkStart w:id="153" w:name="_Toc152042324"/>
      <w:bookmarkStart w:id="154" w:name="_Toc179632566"/>
      <w:bookmarkStart w:id="155" w:name="_Toc247085707"/>
      <w:bookmarkStart w:id="156" w:name="_Toc246996936"/>
      <w:bookmarkStart w:id="157" w:name="_Toc246996193"/>
      <w:bookmarkStart w:id="158" w:name="_Toc29660243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79632567"/>
      <w:bookmarkStart w:id="160" w:name="_Toc152045549"/>
      <w:bookmarkStart w:id="161" w:name="_Toc144974517"/>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96602439"/>
      <w:bookmarkStart w:id="165" w:name="_Toc247085708"/>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247085709"/>
      <w:bookmarkStart w:id="169" w:name="_Toc246996195"/>
      <w:bookmarkStart w:id="170" w:name="_Toc296602440"/>
      <w:bookmarkStart w:id="171" w:name="_Toc246996938"/>
      <w:bookmarkStart w:id="172" w:name="_Toc152045550"/>
      <w:bookmarkStart w:id="173" w:name="_Toc144974518"/>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196"/>
      <w:bookmarkStart w:id="176" w:name="_Toc296602441"/>
      <w:bookmarkStart w:id="177" w:name="_Toc246996939"/>
      <w:bookmarkStart w:id="178" w:name="_Toc152045552"/>
      <w:bookmarkStart w:id="179" w:name="_Toc247085710"/>
      <w:bookmarkStart w:id="180" w:name="_Toc144974520"/>
      <w:bookmarkStart w:id="181" w:name="_Toc179632570"/>
      <w:bookmarkStart w:id="182" w:name="_Toc152042328"/>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152042329"/>
      <w:bookmarkStart w:id="186" w:name="_Toc246996197"/>
      <w:bookmarkStart w:id="187" w:name="_Toc179632571"/>
      <w:bookmarkStart w:id="188" w:name="_Toc246996940"/>
      <w:bookmarkStart w:id="189" w:name="_Toc144974521"/>
      <w:bookmarkStart w:id="190" w:name="_Toc152045553"/>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199"/>
      <w:bookmarkStart w:id="192" w:name="_Toc179632573"/>
      <w:bookmarkStart w:id="193" w:name="_Toc144974523"/>
      <w:bookmarkStart w:id="194" w:name="_Toc247085713"/>
      <w:bookmarkStart w:id="195" w:name="_Toc152045555"/>
      <w:bookmarkStart w:id="196" w:name="_Toc152042331"/>
      <w:bookmarkStart w:id="197" w:name="_Toc246996942"/>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144974524"/>
      <w:bookmarkStart w:id="201" w:name="_Toc152042332"/>
      <w:bookmarkStart w:id="202" w:name="_Toc247085714"/>
      <w:bookmarkStart w:id="203" w:name="_Toc296602444"/>
      <w:bookmarkStart w:id="204" w:name="_Toc246996200"/>
      <w:bookmarkStart w:id="205" w:name="_Toc179632574"/>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152042333"/>
      <w:bookmarkStart w:id="208" w:name="_Toc144974525"/>
      <w:bookmarkStart w:id="209" w:name="_Toc246996944"/>
      <w:bookmarkStart w:id="210" w:name="_Toc247085715"/>
      <w:bookmarkStart w:id="211" w:name="_Toc179632575"/>
      <w:bookmarkStart w:id="212" w:name="_Toc246996201"/>
      <w:bookmarkStart w:id="213" w:name="_Toc152045557"/>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246996945"/>
      <w:bookmarkStart w:id="217" w:name="_Toc144974526"/>
      <w:bookmarkStart w:id="218" w:name="_Toc246996202"/>
      <w:bookmarkStart w:id="219" w:name="_Toc152045558"/>
      <w:bookmarkStart w:id="220" w:name="_Toc296602446"/>
      <w:bookmarkStart w:id="221" w:name="_Toc247085716"/>
      <w:bookmarkStart w:id="222" w:name="_Toc17963257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96602447"/>
      <w:bookmarkStart w:id="225" w:name="_Toc246996203"/>
      <w:bookmarkStart w:id="226" w:name="_Toc246996946"/>
      <w:bookmarkStart w:id="227" w:name="_Toc152045559"/>
      <w:bookmarkStart w:id="228" w:name="_Toc144974527"/>
      <w:bookmarkStart w:id="229" w:name="_Toc247085717"/>
      <w:bookmarkStart w:id="230" w:name="_Toc152042335"/>
      <w:r>
        <w:rPr>
          <w:rFonts w:hint="eastAsia"/>
        </w:rPr>
        <w:t>5. 开标</w:t>
      </w:r>
      <w:bookmarkEnd w:id="223"/>
      <w:bookmarkEnd w:id="224"/>
      <w:bookmarkEnd w:id="225"/>
      <w:bookmarkEnd w:id="226"/>
      <w:bookmarkEnd w:id="227"/>
      <w:bookmarkEnd w:id="228"/>
      <w:bookmarkEnd w:id="229"/>
      <w:bookmarkEnd w:id="23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47085718"/>
      <w:bookmarkStart w:id="233" w:name="_Toc246996947"/>
      <w:bookmarkStart w:id="234" w:name="_Toc144974528"/>
      <w:bookmarkStart w:id="235" w:name="_Toc296602448"/>
      <w:bookmarkStart w:id="236" w:name="_Toc152045560"/>
      <w:bookmarkStart w:id="237" w:name="_Toc246996204"/>
      <w:bookmarkStart w:id="238" w:name="_Toc152042336"/>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2337"/>
      <w:bookmarkStart w:id="240" w:name="_Toc152045561"/>
      <w:bookmarkStart w:id="241" w:name="_Toc247085719"/>
      <w:bookmarkStart w:id="242" w:name="_Toc246996948"/>
      <w:bookmarkStart w:id="243" w:name="_Toc246996205"/>
      <w:bookmarkStart w:id="244" w:name="_Toc144974529"/>
      <w:bookmarkStart w:id="245" w:name="_Toc296602449"/>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247085720"/>
      <w:bookmarkStart w:id="250" w:name="_Toc152045562"/>
      <w:bookmarkStart w:id="251" w:name="_Toc179632580"/>
      <w:bookmarkStart w:id="252" w:name="_Toc246996949"/>
      <w:bookmarkStart w:id="253" w:name="_Toc246996206"/>
      <w:bookmarkStart w:id="254" w:name="_Toc152042338"/>
      <w:bookmarkStart w:id="255" w:name="_Toc296602451"/>
      <w:r>
        <w:rPr>
          <w:rFonts w:hint="eastAsia"/>
        </w:rPr>
        <w:t>6. 评标</w:t>
      </w:r>
      <w:bookmarkEnd w:id="248"/>
      <w:bookmarkEnd w:id="249"/>
      <w:bookmarkEnd w:id="250"/>
      <w:bookmarkEnd w:id="251"/>
      <w:bookmarkEnd w:id="252"/>
      <w:bookmarkEnd w:id="253"/>
      <w:bookmarkEnd w:id="254"/>
      <w:bookmarkEnd w:id="2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246996950"/>
      <w:bookmarkStart w:id="258" w:name="_Toc247085721"/>
      <w:bookmarkStart w:id="259" w:name="_Toc246996207"/>
      <w:bookmarkStart w:id="260" w:name="_Toc144974531"/>
      <w:bookmarkStart w:id="261" w:name="_Toc152042339"/>
      <w:bookmarkStart w:id="262" w:name="_Toc296602452"/>
      <w:bookmarkStart w:id="263" w:name="_Toc152045563"/>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296602453"/>
      <w:bookmarkStart w:id="266" w:name="_Toc144974532"/>
      <w:bookmarkStart w:id="267" w:name="_Toc152042340"/>
      <w:bookmarkStart w:id="268" w:name="_Toc152045564"/>
      <w:bookmarkStart w:id="269" w:name="_Toc246996951"/>
      <w:bookmarkStart w:id="270" w:name="_Toc246996208"/>
      <w:bookmarkStart w:id="271" w:name="_Toc24708572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1"/>
      <w:bookmarkStart w:id="273" w:name="_Toc246996952"/>
      <w:bookmarkStart w:id="274" w:name="_Toc296602454"/>
      <w:bookmarkStart w:id="275" w:name="_Toc179632583"/>
      <w:bookmarkStart w:id="276" w:name="_Toc246996209"/>
      <w:bookmarkStart w:id="277" w:name="_Toc247085723"/>
      <w:bookmarkStart w:id="278" w:name="_Toc152045565"/>
      <w:bookmarkStart w:id="279" w:name="_Toc14497453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96602455"/>
      <w:bookmarkStart w:id="282" w:name="_Toc247085724"/>
      <w:bookmarkStart w:id="283" w:name="_Toc246996953"/>
      <w:bookmarkStart w:id="284" w:name="_Toc246996210"/>
      <w:bookmarkStart w:id="285" w:name="_Toc152042342"/>
      <w:bookmarkStart w:id="286" w:name="_Toc152045566"/>
      <w:bookmarkStart w:id="287" w:name="_Toc179632584"/>
      <w:r>
        <w:rPr>
          <w:rFonts w:hint="eastAsia"/>
        </w:rPr>
        <w:t>7. 合同授予</w:t>
      </w:r>
      <w:bookmarkEnd w:id="280"/>
      <w:bookmarkEnd w:id="281"/>
      <w:bookmarkEnd w:id="282"/>
      <w:bookmarkEnd w:id="283"/>
      <w:bookmarkEnd w:id="284"/>
      <w:bookmarkEnd w:id="285"/>
      <w:bookmarkEnd w:id="286"/>
      <w:bookmarkEnd w:id="287"/>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5567"/>
      <w:bookmarkStart w:id="289" w:name="_Toc179632585"/>
      <w:bookmarkStart w:id="290" w:name="_Toc247085725"/>
      <w:bookmarkStart w:id="291" w:name="_Toc152042343"/>
      <w:bookmarkStart w:id="292" w:name="_Toc246996211"/>
      <w:bookmarkStart w:id="293" w:name="_Toc246996954"/>
      <w:bookmarkStart w:id="294" w:name="_Toc296602456"/>
      <w:bookmarkStart w:id="295" w:name="_Toc14497453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96602458"/>
      <w:bookmarkStart w:id="298" w:name="_Toc144974536"/>
      <w:bookmarkStart w:id="299" w:name="_Toc246996955"/>
      <w:bookmarkStart w:id="300" w:name="_Toc179632586"/>
      <w:bookmarkStart w:id="301" w:name="_Toc152045568"/>
      <w:bookmarkStart w:id="302" w:name="_Toc247085726"/>
      <w:bookmarkStart w:id="303" w:name="_Toc152042344"/>
      <w:bookmarkStart w:id="304" w:name="_Toc246996212"/>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7085727"/>
      <w:bookmarkStart w:id="306" w:name="_Toc144974537"/>
      <w:bookmarkStart w:id="307" w:name="_Toc246996213"/>
      <w:bookmarkStart w:id="308" w:name="_Toc296602459"/>
      <w:bookmarkStart w:id="309" w:name="_Toc246996956"/>
      <w:bookmarkStart w:id="310" w:name="_Toc179632587"/>
      <w:bookmarkStart w:id="311" w:name="_Toc152045569"/>
      <w:bookmarkStart w:id="312" w:name="_Toc152042345"/>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7085728"/>
      <w:bookmarkStart w:id="314" w:name="_Toc296602460"/>
      <w:bookmarkStart w:id="315" w:name="_Toc179632588"/>
      <w:bookmarkStart w:id="316" w:name="_Toc246996214"/>
      <w:bookmarkStart w:id="317" w:name="_Toc246996957"/>
      <w:bookmarkStart w:id="318" w:name="_Toc152045570"/>
      <w:bookmarkStart w:id="319" w:name="_Toc144974538"/>
      <w:bookmarkStart w:id="320" w:name="_Toc152042346"/>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144974543"/>
      <w:bookmarkStart w:id="324" w:name="_Toc247085733"/>
      <w:bookmarkStart w:id="325" w:name="_Toc246996219"/>
      <w:bookmarkStart w:id="326" w:name="_Toc296602462"/>
      <w:bookmarkStart w:id="327" w:name="_Toc152042351"/>
      <w:bookmarkStart w:id="328" w:name="_Toc152045575"/>
      <w:bookmarkStart w:id="329" w:name="_Toc179632593"/>
      <w:bookmarkStart w:id="330" w:name="_Toc246996962"/>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6"/>
        <w:bidi w:val="0"/>
        <w:rPr>
          <w:rFonts w:hint="eastAsia"/>
        </w:rPr>
      </w:pPr>
      <w:bookmarkStart w:id="331" w:name="_Toc152042352"/>
      <w:bookmarkStart w:id="332" w:name="_Toc246996963"/>
      <w:bookmarkStart w:id="333" w:name="_Toc246996220"/>
      <w:bookmarkStart w:id="334" w:name="_Toc179632594"/>
      <w:bookmarkStart w:id="335" w:name="_Toc296602463"/>
      <w:bookmarkStart w:id="336" w:name="_Toc247085734"/>
      <w:bookmarkStart w:id="337" w:name="_Toc152045576"/>
      <w:bookmarkStart w:id="338" w:name="_Toc144974544"/>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79632595"/>
      <w:bookmarkStart w:id="340" w:name="_Toc152042353"/>
      <w:bookmarkStart w:id="341" w:name="_Toc246996964"/>
      <w:bookmarkStart w:id="342" w:name="_Toc152045577"/>
      <w:bookmarkStart w:id="343" w:name="_Toc246996221"/>
      <w:bookmarkStart w:id="344" w:name="_Toc144974545"/>
      <w:bookmarkStart w:id="345" w:name="_Toc247085735"/>
      <w:bookmarkStart w:id="346" w:name="_Toc2966024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247085736"/>
      <w:bookmarkStart w:id="349" w:name="_Toc179632596"/>
      <w:bookmarkStart w:id="350" w:name="_Toc152045578"/>
      <w:bookmarkStart w:id="351" w:name="_Toc246996965"/>
      <w:bookmarkStart w:id="352" w:name="_Toc246996222"/>
      <w:bookmarkStart w:id="353" w:name="_Toc152042354"/>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223"/>
      <w:bookmarkStart w:id="357" w:name="_Toc152042356"/>
      <w:bookmarkStart w:id="358" w:name="_Toc246996966"/>
      <w:bookmarkStart w:id="359" w:name="_Toc179632597"/>
      <w:bookmarkStart w:id="360" w:name="_Toc296602466"/>
      <w:bookmarkStart w:id="361" w:name="_Toc152045579"/>
      <w:bookmarkStart w:id="362" w:name="_Toc24708573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96602467"/>
      <w:bookmarkStart w:id="364" w:name="_Toc246996967"/>
      <w:bookmarkStart w:id="365" w:name="_Toc179632598"/>
      <w:bookmarkStart w:id="366" w:name="_Toc152045580"/>
      <w:bookmarkStart w:id="367" w:name="_Toc144974547"/>
      <w:bookmarkStart w:id="368" w:name="_Toc246996224"/>
      <w:bookmarkStart w:id="369" w:name="_Toc152042357"/>
      <w:bookmarkStart w:id="370" w:name="_Toc24708573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5"/>
        <w:gridCol w:w="115"/>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9"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6"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gridSpan w:val="2"/>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144974556"/>
            <w:bookmarkStart w:id="373" w:name="_Toc246996232"/>
            <w:bookmarkStart w:id="374" w:name="_Toc152042366"/>
            <w:bookmarkStart w:id="375" w:name="_Toc247085747"/>
            <w:bookmarkStart w:id="376" w:name="_Toc152045589"/>
            <w:bookmarkStart w:id="377" w:name="_Toc179632607"/>
            <w:bookmarkStart w:id="378" w:name="_Toc296602477"/>
            <w:bookmarkStart w:id="379" w:name="_Toc246996975"/>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5"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企业业绩：</w:t>
            </w:r>
            <w:r>
              <w:rPr>
                <w:rFonts w:hint="eastAsia" w:ascii="Times New Roman" w:hAnsi="Times New Roman" w:cs="Times New Roman"/>
                <w:i w:val="0"/>
                <w:iCs w:val="0"/>
                <w:kern w:val="0"/>
                <w:sz w:val="24"/>
                <w:szCs w:val="24"/>
                <w:highlight w:val="yellow"/>
                <w:u w:val="single"/>
                <w:lang w:val="en-US" w:eastAsia="zh-CN"/>
              </w:rPr>
              <w:t>2</w:t>
            </w:r>
            <w:r>
              <w:rPr>
                <w:rFonts w:hint="default" w:ascii="Times New Roman" w:hAnsi="Times New Roman" w:cs="Times New Roman" w:eastAsiaTheme="minorEastAsia"/>
                <w:i w:val="0"/>
                <w:iCs w:val="0"/>
                <w:kern w:val="0"/>
                <w:sz w:val="24"/>
                <w:szCs w:val="24"/>
                <w:highlight w:val="yellow"/>
                <w:u w:val="single"/>
                <w:lang w:val="en-US" w:eastAsia="zh-CN"/>
              </w:rPr>
              <w:t>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default" w:ascii="Times New Roman" w:hAnsi="Times New Roman" w:cs="Times New Roman" w:eastAsiaTheme="minorEastAsia"/>
                <w:i w:val="0"/>
                <w:iCs w:val="0"/>
                <w:kern w:val="0"/>
                <w:sz w:val="24"/>
                <w:szCs w:val="24"/>
                <w:highlight w:val="yellow"/>
                <w:lang w:val="en-US" w:eastAsia="zh-CN"/>
              </w:rPr>
              <w:t>施工方案：</w:t>
            </w:r>
            <w:r>
              <w:rPr>
                <w:rFonts w:hint="default" w:ascii="Times New Roman" w:hAnsi="Times New Roman" w:cs="Times New Roman" w:eastAsiaTheme="minorEastAsia"/>
                <w:i w:val="0"/>
                <w:iCs w:val="0"/>
                <w:kern w:val="0"/>
                <w:sz w:val="24"/>
                <w:szCs w:val="24"/>
                <w:highlight w:val="yellow"/>
                <w:u w:val="single"/>
                <w:lang w:val="en-US" w:eastAsia="zh-CN"/>
              </w:rPr>
              <w:t>40</w:t>
            </w:r>
            <w:r>
              <w:rPr>
                <w:rFonts w:hint="default" w:ascii="Times New Roman" w:hAnsi="Times New Roman" w:cs="Times New Roman" w:eastAsiaTheme="minorEastAsia"/>
                <w:i w:val="0"/>
                <w:iCs w:val="0"/>
                <w:kern w:val="0"/>
                <w:sz w:val="24"/>
                <w:szCs w:val="24"/>
                <w:highlight w:val="yellow"/>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default" w:ascii="Times New Roman" w:hAnsi="Times New Roman" w:cs="Times New Roman" w:eastAsiaTheme="minorEastAsia"/>
                <w:i w:val="0"/>
                <w:iCs w:val="0"/>
                <w:kern w:val="0"/>
                <w:sz w:val="24"/>
                <w:szCs w:val="24"/>
                <w:highlight w:val="yellow"/>
                <w:lang w:val="en-US" w:eastAsia="zh-CN"/>
              </w:rPr>
              <w:t>投标报价：</w:t>
            </w:r>
            <w:r>
              <w:rPr>
                <w:rFonts w:hint="default" w:ascii="Times New Roman" w:hAnsi="Times New Roman" w:cs="Times New Roman" w:eastAsiaTheme="minorEastAsia"/>
                <w:i w:val="0"/>
                <w:iCs w:val="0"/>
                <w:kern w:val="0"/>
                <w:sz w:val="24"/>
                <w:szCs w:val="24"/>
                <w:highlight w:val="yellow"/>
                <w:u w:val="single"/>
                <w:lang w:val="en-US" w:eastAsia="zh-CN"/>
              </w:rPr>
              <w:t>40</w:t>
            </w:r>
            <w:r>
              <w:rPr>
                <w:rFonts w:hint="default" w:ascii="Times New Roman" w:hAnsi="Times New Roman" w:cs="Times New Roman" w:eastAsiaTheme="minorEastAsia"/>
                <w:i w:val="0"/>
                <w:iCs w:val="0"/>
                <w:kern w:val="0"/>
                <w:sz w:val="24"/>
                <w:szCs w:val="24"/>
                <w:highlight w:val="yellow"/>
                <w:lang w:val="en-US" w:eastAsia="zh-CN"/>
              </w:rPr>
              <w:t>分</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3"/>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35"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2.2.2（1）</w:t>
            </w: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u w:val="none"/>
                <w:lang w:val="en-US" w:eastAsia="zh-CN"/>
              </w:rPr>
            </w:pPr>
            <w:r>
              <w:rPr>
                <w:rFonts w:hint="default" w:ascii="Times New Roman" w:hAnsi="Times New Roman" w:cs="Times New Roman"/>
                <w:color w:val="auto"/>
                <w:kern w:val="0"/>
                <w:sz w:val="24"/>
                <w:szCs w:val="24"/>
                <w:highlight w:val="none"/>
                <w:u w:val="none"/>
                <w:lang w:val="en-US" w:eastAsia="zh-CN"/>
              </w:rPr>
              <w:t>在符合招标公告投标人资格要求的基础上，投标人</w:t>
            </w:r>
            <w:r>
              <w:rPr>
                <w:rFonts w:hint="eastAsia" w:ascii="Times New Roman" w:hAnsi="Times New Roman" w:cs="Times New Roman"/>
                <w:color w:val="auto"/>
                <w:kern w:val="0"/>
                <w:sz w:val="24"/>
                <w:szCs w:val="24"/>
                <w:highlight w:val="none"/>
                <w:u w:val="none"/>
                <w:lang w:val="en-US" w:eastAsia="zh-CN"/>
              </w:rPr>
              <w:t>额外</w:t>
            </w:r>
            <w:r>
              <w:rPr>
                <w:rFonts w:hint="default" w:ascii="Times New Roman" w:hAnsi="Times New Roman" w:cs="Times New Roman"/>
                <w:color w:val="auto"/>
                <w:kern w:val="0"/>
                <w:sz w:val="24"/>
                <w:szCs w:val="24"/>
                <w:highlight w:val="none"/>
                <w:u w:val="none"/>
                <w:lang w:val="en-US" w:eastAsia="zh-CN"/>
              </w:rPr>
              <w:t>提供1个</w:t>
            </w:r>
            <w:permStart w:id="56" w:edGrp="everyone"/>
            <w:r>
              <w:rPr>
                <w:rFonts w:hint="default" w:ascii="Times New Roman" w:hAnsi="Times New Roman" w:cs="Times New Roman"/>
                <w:color w:val="auto"/>
                <w:kern w:val="0"/>
                <w:sz w:val="24"/>
                <w:szCs w:val="24"/>
                <w:highlight w:val="none"/>
                <w:u w:val="none"/>
                <w:lang w:val="en-US" w:eastAsia="zh-CN"/>
              </w:rPr>
              <w:t xml:space="preserve"> </w:t>
            </w:r>
            <w:r>
              <w:rPr>
                <w:rFonts w:hint="eastAsia" w:ascii="Times New Roman" w:hAnsi="Times New Roman" w:cs="Times New Roman"/>
                <w:color w:val="auto"/>
                <w:kern w:val="0"/>
                <w:sz w:val="24"/>
                <w:szCs w:val="24"/>
                <w:highlight w:val="none"/>
                <w:u w:val="none"/>
                <w:lang w:val="en-US" w:eastAsia="zh-CN"/>
              </w:rPr>
              <w:t>2019</w:t>
            </w:r>
            <w:r>
              <w:rPr>
                <w:rFonts w:hint="default" w:ascii="Times New Roman" w:hAnsi="Times New Roman" w:cs="Times New Roman"/>
                <w:color w:val="auto"/>
                <w:kern w:val="0"/>
                <w:sz w:val="24"/>
                <w:szCs w:val="24"/>
                <w:highlight w:val="none"/>
                <w:u w:val="none"/>
                <w:lang w:val="en-US" w:eastAsia="zh-CN"/>
              </w:rPr>
              <w:t xml:space="preserve"> </w:t>
            </w:r>
            <w:permEnd w:id="56"/>
            <w:r>
              <w:rPr>
                <w:rFonts w:hint="default" w:ascii="Times New Roman" w:hAnsi="Times New Roman" w:cs="Times New Roman"/>
                <w:color w:val="auto"/>
                <w:kern w:val="0"/>
                <w:sz w:val="24"/>
                <w:szCs w:val="24"/>
                <w:highlight w:val="none"/>
                <w:u w:val="none"/>
                <w:lang w:val="en-US" w:eastAsia="zh-CN"/>
              </w:rPr>
              <w:t>年至今</w:t>
            </w:r>
            <w:permStart w:id="57" w:edGrp="everyone"/>
            <w:r>
              <w:rPr>
                <w:rFonts w:hint="default" w:ascii="Times New Roman" w:hAnsi="Times New Roman" w:cs="Times New Roman"/>
                <w:color w:val="auto"/>
                <w:kern w:val="0"/>
                <w:sz w:val="24"/>
                <w:szCs w:val="24"/>
                <w:highlight w:val="none"/>
                <w:u w:val="none"/>
                <w:lang w:val="en-US" w:eastAsia="zh-CN"/>
              </w:rPr>
              <w:t>单项合同金额不低于1000万元的门窗工程专业分包业绩</w:t>
            </w:r>
            <w:permEnd w:id="57"/>
            <w:r>
              <w:rPr>
                <w:rFonts w:hint="default" w:ascii="Times New Roman" w:hAnsi="Times New Roman" w:cs="Times New Roman"/>
                <w:color w:val="auto"/>
                <w:kern w:val="0"/>
                <w:sz w:val="24"/>
                <w:szCs w:val="24"/>
                <w:highlight w:val="none"/>
                <w:u w:val="none"/>
                <w:lang w:val="en-US" w:eastAsia="zh-CN"/>
              </w:rPr>
              <w:t>，</w:t>
            </w:r>
            <w:r>
              <w:rPr>
                <w:rFonts w:hint="eastAsia" w:ascii="Times New Roman" w:hAnsi="Times New Roman" w:cs="Times New Roman"/>
                <w:color w:val="auto"/>
                <w:kern w:val="0"/>
                <w:sz w:val="24"/>
                <w:szCs w:val="24"/>
                <w:highlight w:val="none"/>
                <w:u w:val="none"/>
                <w:lang w:val="en-US" w:eastAsia="zh-CN"/>
              </w:rPr>
              <w:t>每个业绩</w:t>
            </w:r>
            <w:r>
              <w:rPr>
                <w:rFonts w:hint="default" w:ascii="Times New Roman" w:hAnsi="Times New Roman" w:cs="Times New Roman"/>
                <w:color w:val="auto"/>
                <w:kern w:val="0"/>
                <w:sz w:val="24"/>
                <w:szCs w:val="24"/>
                <w:highlight w:val="none"/>
                <w:u w:val="none"/>
                <w:lang w:val="en-US" w:eastAsia="zh-CN"/>
              </w:rPr>
              <w:t>得5分</w:t>
            </w:r>
            <w:r>
              <w:rPr>
                <w:rFonts w:hint="eastAsia" w:ascii="Times New Roman" w:hAnsi="Times New Roman" w:cs="Times New Roman"/>
                <w:color w:val="auto"/>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u w:val="none"/>
                <w:lang w:val="en-US" w:eastAsia="zh-CN"/>
              </w:rPr>
            </w:pPr>
            <w:r>
              <w:rPr>
                <w:rFonts w:hint="default" w:ascii="Times New Roman" w:hAnsi="Times New Roman" w:cs="Times New Roman"/>
                <w:color w:val="auto"/>
                <w:kern w:val="0"/>
                <w:sz w:val="24"/>
                <w:szCs w:val="24"/>
                <w:highlight w:val="none"/>
                <w:u w:val="none"/>
                <w:lang w:val="en-US" w:eastAsia="zh-CN"/>
              </w:rPr>
              <w:t>本项满分</w:t>
            </w:r>
            <w:r>
              <w:rPr>
                <w:rFonts w:hint="eastAsia" w:ascii="Times New Roman" w:hAnsi="Times New Roman" w:cs="Times New Roman"/>
                <w:color w:val="auto"/>
                <w:kern w:val="0"/>
                <w:sz w:val="24"/>
                <w:szCs w:val="24"/>
                <w:highlight w:val="none"/>
                <w:u w:val="none"/>
                <w:lang w:val="en-US" w:eastAsia="zh-CN"/>
              </w:rPr>
              <w:t>2</w:t>
            </w:r>
            <w:r>
              <w:rPr>
                <w:rFonts w:hint="default" w:ascii="Times New Roman" w:hAnsi="Times New Roman" w:cs="Times New Roman"/>
                <w:color w:val="auto"/>
                <w:kern w:val="0"/>
                <w:sz w:val="24"/>
                <w:szCs w:val="24"/>
                <w:highlight w:val="none"/>
                <w:u w:val="none"/>
                <w:lang w:val="en-US" w:eastAsia="zh-CN"/>
              </w:rPr>
              <w:t>0分</w:t>
            </w:r>
            <w:r>
              <w:rPr>
                <w:rFonts w:hint="eastAsia" w:ascii="Times New Roman" w:hAnsi="Times New Roman" w:cs="Times New Roman"/>
                <w:color w:val="auto"/>
                <w:kern w:val="0"/>
                <w:sz w:val="24"/>
                <w:szCs w:val="24"/>
                <w:highlight w:val="none"/>
                <w:u w:val="none"/>
                <w:lang w:val="en-US" w:eastAsia="zh-CN"/>
              </w:rPr>
              <w:t>，</w:t>
            </w:r>
            <w:r>
              <w:rPr>
                <w:rFonts w:hint="default" w:ascii="Times New Roman" w:hAnsi="Times New Roman" w:cs="Times New Roman"/>
                <w:color w:val="auto"/>
                <w:kern w:val="0"/>
                <w:sz w:val="24"/>
                <w:szCs w:val="24"/>
                <w:highlight w:val="none"/>
                <w:u w:val="none"/>
                <w:lang w:val="en-US" w:eastAsia="zh-CN"/>
              </w:rPr>
              <w:t>多分不计</w:t>
            </w:r>
            <w:r>
              <w:rPr>
                <w:rFonts w:hint="eastAsia" w:ascii="Times New Roman" w:hAnsi="Times New Roman" w:cs="Times New Roman"/>
                <w:color w:val="auto"/>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w:t>
            </w:r>
            <w:permStart w:id="58" w:edGrp="everyone"/>
            <w:r>
              <w:rPr>
                <w:rFonts w:hint="eastAsia" w:ascii="Times New Roman" w:hAnsi="Times New Roman" w:cs="Times New Roman"/>
                <w:color w:val="auto"/>
                <w:kern w:val="0"/>
                <w:sz w:val="24"/>
                <w:szCs w:val="24"/>
                <w:highlight w:val="none"/>
                <w:lang w:val="en-US" w:eastAsia="zh-CN"/>
              </w:rPr>
              <w:t>提供业绩合同和合同任意节点税务发票复印件或扫描件加盖单位公章装订入投标文件中，</w:t>
            </w:r>
            <w:r>
              <w:rPr>
                <w:rFonts w:hint="eastAsia" w:ascii="Times New Roman" w:hAnsi="Times New Roman" w:cs="Times New Roman"/>
                <w:color w:val="FF0000"/>
                <w:kern w:val="0"/>
                <w:sz w:val="24"/>
                <w:szCs w:val="24"/>
                <w:highlight w:val="none"/>
                <w:lang w:val="en-US" w:eastAsia="zh-CN"/>
              </w:rPr>
              <w:t>总承包业绩参与投标本项不予加分</w:t>
            </w:r>
            <w:permEnd w:id="58"/>
            <w:r>
              <w:rPr>
                <w:rFonts w:hint="eastAsia" w:ascii="Times New Roman" w:hAnsi="Times New Roman" w:cs="Times New Roman"/>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2.2.2（2）</w:t>
            </w:r>
          </w:p>
        </w:tc>
        <w:tc>
          <w:tcPr>
            <w:tcW w:w="965"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施工方案（40分）</w:t>
            </w: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总体实施内容描述（满分 5 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u w:val="none"/>
                <w:lang w:val="en-US" w:eastAsia="zh-CN"/>
              </w:rPr>
              <w:t>针对本工程实际情况，有总体实施内容描述，表述清晰、完整、严谨、合理，措施具体、有效、成熟，施工段划分呼应总体表述，划分清晰、合理、符合规范要求，工期、质量、安全、文明的标准与目标合理；对本工程特殊工艺和或关键工序设想合理。</w:t>
            </w:r>
            <w:r>
              <w:rPr>
                <w:rFonts w:hint="eastAsia" w:ascii="Times New Roman" w:hAnsi="Times New Roman" w:cs="Times New Roman"/>
                <w:color w:val="auto"/>
                <w:kern w:val="0"/>
                <w:sz w:val="24"/>
                <w:szCs w:val="24"/>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34"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施工方案与技术措施（满分5 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各主要分部施工方法符合项目实际，有详尽的、切实可行的施工技术方案，工艺先进、方法科学合理、可行，能指导具体施工并确保安全。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90"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质量管理体系与措施（满分 5分）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施工工程质量技术管理制度健全，主要工序有质量技术保证措施和手段，自控体系完整，能有效保证技术质量，达到承诺的质量标准。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 xml:space="preserve">优：4.0-5.0分，良：3.0-4.0分，一般：2.0-3.0分，差：0-2.0分。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3"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安全管理体系与措施（满分 5分）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施工工程应有专门的安全管理人员和制度，且人员配备合理，制度健全，各道工序安全技术措施符合要求，有安全保证承诺。现场防火、社会治安安全措施得力、有基本的安全管理体系与措施。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19"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（满分5 分）</w:t>
            </w: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针对本工程项目特点，有具体的环境保护措施，各项措施周全、具体、有效。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（满分 5 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在施工工艺、施工方法、材料选用、劳动力安排、技术等方面有保证工期的具体措施且措施得当，有控制工期的施工进度计划，有施工网络图、横道图，各项计划图表编制完善、安排科学合理，符合本项目施工实际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34" w:hRule="atLeast"/>
        </w:trPr>
        <w:tc>
          <w:tcPr>
            <w:tcW w:w="735" w:type="dxa"/>
            <w:vMerge w:val="continue"/>
            <w:tcBorders>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文明施工措施（满分 5 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 xml:space="preserve">针对本工程实际情况，有具体、完整、可行、科学的文明施工计划和实施措施。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35" w:type="dxa"/>
            <w:vMerge w:val="continue"/>
            <w:tcBorders>
              <w:bottom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965" w:type="dxa"/>
            <w:gridSpan w:val="2"/>
            <w:vMerge w:val="continue"/>
            <w:tcBorders>
              <w:left w:val="single" w:color="auto" w:sz="4" w:space="0"/>
              <w:bottom w:val="single" w:color="auto" w:sz="4" w:space="0"/>
              <w:right w:val="single" w:color="auto" w:sz="4" w:space="0"/>
            </w:tcBorders>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p>
        </w:tc>
        <w:tc>
          <w:tcPr>
            <w:tcW w:w="0" w:type="auto"/>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资源配备计划（满分5分）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p>
        </w:tc>
        <w:tc>
          <w:tcPr>
            <w:tcW w:w="0" w:type="auto"/>
            <w:tcBorders>
              <w:top w:val="single" w:color="auto" w:sz="4" w:space="0"/>
              <w:left w:val="single" w:color="auto" w:sz="4" w:space="0"/>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优：4.0-5.0分，良：3.0-4.0分，一般：2.0-3.0分，差：0-2.0分。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0" w:type="auto"/>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2.2.2（3）</w:t>
            </w:r>
          </w:p>
        </w:tc>
        <w:tc>
          <w:tcPr>
            <w:tcW w:w="0" w:type="auto"/>
            <w:gridSpan w:val="2"/>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（40分）</w:t>
            </w:r>
          </w:p>
        </w:tc>
        <w:tc>
          <w:tcPr>
            <w:tcW w:w="0" w:type="auto"/>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投标报价评审</w:t>
            </w:r>
          </w:p>
        </w:tc>
        <w:tc>
          <w:tcPr>
            <w:tcW w:w="0" w:type="auto"/>
            <w:tcBorders>
              <w:top w:val="single" w:color="auto" w:sz="4" w:space="0"/>
              <w:left w:val="single" w:color="auto" w:sz="4" w:space="0"/>
            </w:tcBorders>
            <w:vAlign w:val="center"/>
          </w:tcPr>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r>
              <w:rPr>
                <w:rFonts w:hint="eastAsia" w:ascii="Times New Roman" w:hAnsi="Times New Roman" w:cs="Times New Roman" w:eastAsiaTheme="minorEastAsia"/>
                <w:i w:val="0"/>
                <w:iCs w:val="0"/>
                <w:color w:val="auto"/>
                <w:kern w:val="0"/>
                <w:sz w:val="24"/>
                <w:szCs w:val="24"/>
                <w:highlight w:val="none"/>
                <w:u w:val="none"/>
              </w:rPr>
              <w:t>有效报价</w:t>
            </w:r>
            <w:r>
              <w:rPr>
                <w:rFonts w:hint="eastAsia" w:ascii="Times New Roman" w:hAnsi="Times New Roman" w:cs="Times New Roman"/>
                <w:b w:val="0"/>
                <w:bCs w:val="0"/>
                <w:color w:val="auto"/>
                <w:kern w:val="0"/>
                <w:sz w:val="24"/>
                <w:highlight w:val="none"/>
                <w:lang w:val="en-US" w:eastAsia="zh-CN"/>
              </w:rPr>
              <w:t>。有效投标报价少于或等于5家，则取全部有效投标报价</w:t>
            </w:r>
            <w:r>
              <w:rPr>
                <w:rFonts w:hint="eastAsia" w:ascii="Times New Roman" w:hAnsi="Times New Roman" w:cs="Times New Roman" w:eastAsiaTheme="minorEastAsia"/>
                <w:b w:val="0"/>
                <w:bCs w:val="0"/>
                <w:color w:val="auto"/>
                <w:kern w:val="0"/>
                <w:sz w:val="24"/>
                <w:highlight w:val="none"/>
                <w:lang w:val="en-US" w:eastAsia="zh-CN"/>
              </w:rPr>
              <w:t>的算术平均值作为评标基准价；有效投标报价在</w:t>
            </w:r>
            <w:r>
              <w:rPr>
                <w:rFonts w:hint="eastAsia" w:ascii="Times New Roman" w:hAnsi="Times New Roman" w:cs="Times New Roman"/>
                <w:b w:val="0"/>
                <w:bCs w:val="0"/>
                <w:color w:val="auto"/>
                <w:kern w:val="0"/>
                <w:sz w:val="24"/>
                <w:highlight w:val="none"/>
                <w:lang w:val="en-US" w:eastAsia="zh-CN"/>
              </w:rPr>
              <w:t>6家及</w:t>
            </w:r>
            <w:r>
              <w:rPr>
                <w:rFonts w:hint="eastAsia" w:ascii="Times New Roman" w:hAnsi="Times New Roman" w:cs="Times New Roman" w:eastAsiaTheme="minorEastAsia"/>
                <w:b w:val="0"/>
                <w:bCs w:val="0"/>
                <w:color w:val="auto"/>
                <w:kern w:val="0"/>
                <w:sz w:val="24"/>
                <w:highlight w:val="none"/>
                <w:lang w:val="en-US" w:eastAsia="zh-CN"/>
              </w:rPr>
              <w:t>以上</w:t>
            </w:r>
            <w:r>
              <w:rPr>
                <w:rFonts w:hint="eastAsia" w:ascii="Times New Roman" w:hAnsi="Times New Roman" w:cs="Times New Roman"/>
                <w:b w:val="0"/>
                <w:bCs w:val="0"/>
                <w:color w:val="auto"/>
                <w:kern w:val="0"/>
                <w:sz w:val="24"/>
                <w:highlight w:val="none"/>
                <w:lang w:val="en-US" w:eastAsia="zh-CN"/>
              </w:rPr>
              <w:t>时，</w:t>
            </w:r>
            <w:r>
              <w:rPr>
                <w:rFonts w:hint="eastAsia" w:ascii="Times New Roman" w:hAnsi="Times New Roman" w:cs="Times New Roman" w:eastAsiaTheme="minorEastAsia"/>
                <w:b w:val="0"/>
                <w:bCs w:val="0"/>
                <w:color w:val="auto"/>
                <w:kern w:val="0"/>
                <w:sz w:val="24"/>
                <w:highlight w:val="none"/>
                <w:lang w:val="en-US" w:eastAsia="zh-CN"/>
              </w:rPr>
              <w:t>去掉一个最高价和最低价，取剩余有效投标报价的算术平均值作为评标基准价，</w:t>
            </w:r>
            <w:r>
              <w:rPr>
                <w:rFonts w:hint="eastAsia" w:ascii="Times New Roman" w:hAnsi="Times New Roman" w:cs="Times New Roman" w:eastAsiaTheme="minorEastAsia"/>
                <w:color w:val="auto"/>
                <w:kern w:val="0"/>
                <w:sz w:val="24"/>
                <w:highlight w:val="none"/>
                <w:lang w:val="en-US" w:eastAsia="zh-CN"/>
              </w:rPr>
              <w:t>各投标人的投标报价得分按以下公式计算：</w:t>
            </w:r>
          </w:p>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（1）投标人的投标报价等于评标基准价得</w:t>
            </w:r>
            <w:r>
              <w:rPr>
                <w:rFonts w:hint="eastAsia" w:ascii="Times New Roman" w:hAnsi="Times New Roman" w:cs="Times New Roman"/>
                <w:color w:val="auto"/>
                <w:kern w:val="0"/>
                <w:sz w:val="24"/>
                <w:highlight w:val="none"/>
                <w:lang w:val="en-US" w:eastAsia="zh-CN"/>
              </w:rPr>
              <w:t>40</w:t>
            </w:r>
            <w:r>
              <w:rPr>
                <w:rFonts w:hint="eastAsia" w:ascii="Times New Roman" w:hAnsi="Times New Roman" w:cs="Times New Roman" w:eastAsiaTheme="minorEastAsia"/>
                <w:color w:val="auto"/>
                <w:kern w:val="0"/>
                <w:sz w:val="24"/>
                <w:highlight w:val="none"/>
                <w:lang w:val="en-US" w:eastAsia="zh-CN"/>
              </w:rPr>
              <w:t>分；</w:t>
            </w:r>
          </w:p>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（2）投标人的投标报价高于评标基准价：</w:t>
            </w:r>
            <w:r>
              <w:rPr>
                <w:rFonts w:hint="eastAsia" w:ascii="Times New Roman" w:hAnsi="Times New Roman" w:cs="Times New Roman"/>
                <w:color w:val="auto"/>
                <w:kern w:val="0"/>
                <w:sz w:val="24"/>
                <w:highlight w:val="none"/>
                <w:lang w:val="en-US" w:eastAsia="zh-CN"/>
              </w:rPr>
              <w:t>40</w:t>
            </w:r>
            <w:r>
              <w:rPr>
                <w:rFonts w:hint="eastAsia" w:ascii="Times New Roman" w:hAnsi="Times New Roman" w:cs="Times New Roman" w:eastAsiaTheme="minorEastAsia"/>
                <w:color w:val="auto"/>
                <w:kern w:val="0"/>
                <w:sz w:val="24"/>
                <w:highlight w:val="none"/>
                <w:lang w:val="en-US" w:eastAsia="zh-CN"/>
              </w:rPr>
              <w:t>-（投标人投标报价-评标基准价）/评标基准价*100*0.</w:t>
            </w:r>
            <w:r>
              <w:rPr>
                <w:rFonts w:hint="eastAsia" w:ascii="Times New Roman" w:hAnsi="Times New Roman" w:cs="Times New Roman"/>
                <w:color w:val="auto"/>
                <w:kern w:val="0"/>
                <w:sz w:val="24"/>
                <w:highlight w:val="none"/>
                <w:lang w:val="en-US" w:eastAsia="zh-CN"/>
              </w:rPr>
              <w:t>5</w:t>
            </w:r>
            <w:r>
              <w:rPr>
                <w:rFonts w:hint="eastAsia" w:ascii="Times New Roman" w:hAnsi="Times New Roman" w:cs="Times New Roman" w:eastAsiaTheme="minorEastAsia"/>
                <w:color w:val="auto"/>
                <w:kern w:val="0"/>
                <w:sz w:val="24"/>
                <w:highlight w:val="none"/>
                <w:lang w:val="en-US" w:eastAsia="zh-CN"/>
              </w:rPr>
              <w:t>；</w:t>
            </w:r>
          </w:p>
          <w:p>
            <w:pPr>
              <w:wordWrap w:val="0"/>
              <w:bidi w:val="0"/>
              <w:spacing w:line="440" w:lineRule="exact"/>
              <w:ind w:firstLine="480" w:firstLineChars="200"/>
              <w:rPr>
                <w:rFonts w:hint="eastAsia" w:ascii="Times New Roman" w:hAnsi="Times New Roman" w:cs="Times New Roman" w:eastAsiaTheme="minorEastAsia"/>
                <w:color w:val="auto"/>
                <w:kern w:val="0"/>
                <w:sz w:val="24"/>
                <w:highlight w:val="none"/>
                <w:lang w:val="en-US" w:eastAsia="zh-CN"/>
              </w:rPr>
            </w:pPr>
            <w:r>
              <w:rPr>
                <w:rFonts w:hint="eastAsia" w:ascii="Times New Roman" w:hAnsi="Times New Roman" w:cs="Times New Roman" w:eastAsiaTheme="minorEastAsia"/>
                <w:color w:val="auto"/>
                <w:kern w:val="0"/>
                <w:sz w:val="24"/>
                <w:highlight w:val="none"/>
                <w:lang w:val="en-US" w:eastAsia="zh-CN"/>
              </w:rPr>
              <w:t>（3）投标人的投标报价低于评标基准价：</w:t>
            </w:r>
            <w:r>
              <w:rPr>
                <w:rFonts w:hint="eastAsia" w:ascii="Times New Roman" w:hAnsi="Times New Roman" w:cs="Times New Roman"/>
                <w:color w:val="auto"/>
                <w:kern w:val="0"/>
                <w:sz w:val="24"/>
                <w:highlight w:val="none"/>
                <w:lang w:val="en-US" w:eastAsia="zh-CN"/>
              </w:rPr>
              <w:t>40</w:t>
            </w:r>
            <w:r>
              <w:rPr>
                <w:rFonts w:hint="eastAsia" w:ascii="Times New Roman" w:hAnsi="Times New Roman" w:cs="Times New Roman" w:eastAsiaTheme="minorEastAsia"/>
                <w:color w:val="auto"/>
                <w:kern w:val="0"/>
                <w:sz w:val="24"/>
                <w:highlight w:val="none"/>
                <w:lang w:val="en-US" w:eastAsia="zh-CN"/>
              </w:rPr>
              <w:t>+（投标人投标报价-评标基准价）/评标基准价*100*0.</w:t>
            </w:r>
            <w:r>
              <w:rPr>
                <w:rFonts w:hint="eastAsia" w:ascii="Times New Roman" w:hAnsi="Times New Roman" w:cs="Times New Roman"/>
                <w:color w:val="auto"/>
                <w:kern w:val="0"/>
                <w:sz w:val="24"/>
                <w:highlight w:val="none"/>
                <w:lang w:val="en-US" w:eastAsia="zh-CN"/>
              </w:rPr>
              <w:t>3</w:t>
            </w:r>
            <w:r>
              <w:rPr>
                <w:rFonts w:hint="eastAsia" w:ascii="Times New Roman" w:hAnsi="Times New Roman" w:cs="Times New Roman" w:eastAsiaTheme="minorEastAsia"/>
                <w:color w:val="auto"/>
                <w:kern w:val="0"/>
                <w:sz w:val="24"/>
                <w:highlight w:val="none"/>
                <w:lang w:val="en-US" w:eastAsia="zh-CN"/>
              </w:rPr>
              <w:t>；</w:t>
            </w:r>
          </w:p>
          <w:p>
            <w:pPr>
              <w:keepNext w:val="0"/>
              <w:keepLines w:val="0"/>
              <w:pageBreakBefore w:val="0"/>
              <w:widowControl/>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eastAsiaTheme="minorEastAsia"/>
                <w:b w:val="0"/>
                <w:bCs w:val="0"/>
                <w:color w:val="auto"/>
                <w:kern w:val="0"/>
                <w:sz w:val="24"/>
                <w:highlight w:val="none"/>
                <w:lang w:val="en-US" w:eastAsia="zh-CN"/>
              </w:rPr>
              <w:t>最多扣 5 分，</w:t>
            </w:r>
            <w:r>
              <w:rPr>
                <w:rFonts w:hint="eastAsia" w:ascii="Times New Roman" w:hAnsi="Times New Roman" w:cs="Times New Roman" w:eastAsiaTheme="minorEastAsia"/>
                <w:color w:val="auto"/>
                <w:kern w:val="0"/>
                <w:sz w:val="24"/>
                <w:highlight w:val="none"/>
                <w:lang w:val="en-US" w:eastAsia="zh-CN"/>
              </w:rPr>
              <w:t>最终计算结果四舍五入保留两位小数。</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52042367"/>
      <w:bookmarkStart w:id="381" w:name="_Toc246996233"/>
      <w:bookmarkStart w:id="382" w:name="_Toc152045590"/>
      <w:bookmarkStart w:id="383" w:name="_Toc246996976"/>
      <w:bookmarkStart w:id="384" w:name="_Toc296602478"/>
      <w:bookmarkStart w:id="385" w:name="_Toc179632608"/>
      <w:bookmarkStart w:id="386" w:name="_Toc247085748"/>
      <w:bookmarkStart w:id="387" w:name="_Toc144974557"/>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46996977"/>
      <w:bookmarkStart w:id="389" w:name="_Toc152045591"/>
      <w:bookmarkStart w:id="390" w:name="_Toc246996234"/>
      <w:bookmarkStart w:id="391" w:name="_Toc296602479"/>
      <w:bookmarkStart w:id="392" w:name="_Toc179632609"/>
      <w:bookmarkStart w:id="393" w:name="_Toc152042368"/>
      <w:bookmarkStart w:id="394" w:name="_Toc144974558"/>
      <w:bookmarkStart w:id="395"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296602481"/>
      <w:bookmarkStart w:id="397" w:name="_Toc247085751"/>
      <w:bookmarkStart w:id="398" w:name="_Toc152042370"/>
      <w:bookmarkStart w:id="399" w:name="_Toc152045593"/>
      <w:bookmarkStart w:id="400" w:name="_Toc144974560"/>
      <w:bookmarkStart w:id="401" w:name="_Toc246996236"/>
      <w:bookmarkStart w:id="402" w:name="_Toc179632611"/>
      <w:bookmarkStart w:id="403"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企业业绩</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59" w:edGrp="everyone"/>
      <w:r>
        <w:rPr>
          <w:rFonts w:hint="eastAsia" w:ascii="Times New Roman" w:hAnsi="Times New Roman" w:cs="Times New Roman"/>
          <w:kern w:val="0"/>
          <w:sz w:val="24"/>
          <w:szCs w:val="24"/>
          <w:highlight w:val="none"/>
          <w:lang w:val="en-US" w:eastAsia="zh-CN"/>
        </w:rPr>
        <w:t>企业荣誉</w:t>
      </w:r>
      <w:permEnd w:id="5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6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permEnd w:id="6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61" w:edGrp="everyone"/>
      <w:r>
        <w:rPr>
          <w:rFonts w:hint="eastAsia" w:ascii="Times New Roman" w:hAnsi="Times New Roman" w:cs="Times New Roman" w:eastAsiaTheme="minorEastAsia"/>
          <w:kern w:val="0"/>
          <w:sz w:val="24"/>
          <w:szCs w:val="24"/>
          <w:highlight w:val="none"/>
          <w:lang w:val="en-US" w:eastAsia="zh-CN"/>
        </w:rPr>
        <w:t>投标报价</w:t>
      </w:r>
      <w:permEnd w:id="61"/>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6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6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6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65" w:edGrp="everyone"/>
      <w:r>
        <w:rPr>
          <w:rFonts w:hint="eastAsia" w:ascii="Times New Roman" w:hAnsi="Times New Roman" w:cs="Times New Roman" w:eastAsiaTheme="minorEastAsia"/>
          <w:kern w:val="0"/>
          <w:sz w:val="24"/>
          <w:szCs w:val="24"/>
          <w:highlight w:val="none"/>
          <w:lang w:val="en-US" w:eastAsia="zh-CN"/>
        </w:rPr>
        <w:t>投标报价</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46996980"/>
      <w:bookmarkStart w:id="405" w:name="_Toc144974561"/>
      <w:bookmarkStart w:id="406" w:name="_Toc246996237"/>
      <w:bookmarkStart w:id="407" w:name="_Toc152042371"/>
      <w:bookmarkStart w:id="408" w:name="_Toc247085752"/>
      <w:bookmarkStart w:id="409" w:name="_Toc296602482"/>
      <w:bookmarkStart w:id="410" w:name="_Toc152045594"/>
      <w:bookmarkStart w:id="411" w:name="_Toc179632612"/>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246996981"/>
      <w:bookmarkStart w:id="413" w:name="_Toc296602483"/>
      <w:bookmarkStart w:id="414" w:name="_Toc152045595"/>
      <w:bookmarkStart w:id="415" w:name="_Toc144974562"/>
      <w:bookmarkStart w:id="416" w:name="_Toc179632613"/>
      <w:bookmarkStart w:id="417" w:name="_Toc152042372"/>
      <w:bookmarkStart w:id="418" w:name="_Toc246996238"/>
      <w:bookmarkStart w:id="419" w:name="_Toc247085753"/>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152042373"/>
      <w:bookmarkStart w:id="422" w:name="_Toc247085754"/>
      <w:bookmarkStart w:id="423" w:name="_Toc179632614"/>
      <w:bookmarkStart w:id="424" w:name="_Toc152045596"/>
      <w:bookmarkStart w:id="425" w:name="_Toc246996239"/>
      <w:bookmarkStart w:id="426" w:name="_Toc246996982"/>
      <w:bookmarkStart w:id="427"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企业业绩</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6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66"/>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6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permEnd w:id="67"/>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68" w:edGrp="everyone"/>
      <w:r>
        <w:rPr>
          <w:rFonts w:hint="eastAsia" w:ascii="Times New Roman" w:hAnsi="Times New Roman" w:cs="Times New Roman" w:eastAsiaTheme="minorEastAsia"/>
          <w:kern w:val="0"/>
          <w:sz w:val="24"/>
          <w:szCs w:val="24"/>
          <w:highlight w:val="none"/>
          <w:lang w:val="en-US" w:eastAsia="zh-CN"/>
        </w:rPr>
        <w:t>投标报价</w:t>
      </w:r>
      <w:permEnd w:id="68"/>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9"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当月进度完成时，支付当期已完工合格工程量价款的80%；竣工验收通过后（五方责任主体验收通过），工程款付至累计产值合格价款的85%。工程结算审核完成后付至最终结算价款的97%；余款3%待质保期满后</w:t>
            </w:r>
            <w:r>
              <w:rPr>
                <w:rFonts w:hint="eastAsia" w:ascii="Times New Roman" w:hAnsi="Times New Roman" w:cs="Times New Roman"/>
                <w:kern w:val="0"/>
                <w:sz w:val="24"/>
                <w:szCs w:val="24"/>
                <w:highlight w:val="none"/>
                <w:shd w:val="clear" w:color="auto" w:fill="auto"/>
                <w:vertAlign w:val="baseline"/>
                <w:lang w:val="en-US" w:eastAsia="zh-CN"/>
              </w:rPr>
              <w:t>工程无质量问题或质量问题解决后</w:t>
            </w:r>
            <w:r>
              <w:rPr>
                <w:rFonts w:hint="default" w:ascii="Times New Roman" w:hAnsi="Times New Roman" w:cs="Times New Roman"/>
                <w:kern w:val="0"/>
                <w:sz w:val="24"/>
                <w:szCs w:val="24"/>
                <w:highlight w:val="none"/>
                <w:shd w:val="clear" w:color="auto" w:fill="auto"/>
                <w:vertAlign w:val="baseline"/>
                <w:lang w:val="en-US" w:eastAsia="zh-CN"/>
              </w:rPr>
              <w:t>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0"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70"/>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1"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w:t>
            </w:r>
            <w:r>
              <w:rPr>
                <w:rFonts w:hint="default" w:ascii="Times New Roman" w:hAnsi="Times New Roman" w:cs="Times New Roman"/>
                <w:kern w:val="0"/>
                <w:sz w:val="24"/>
                <w:szCs w:val="24"/>
                <w:highlight w:val="none"/>
                <w:shd w:val="clear" w:color="auto" w:fill="auto"/>
                <w:vertAlign w:val="baseline"/>
                <w:lang w:val="en-US" w:eastAsia="zh-CN"/>
              </w:rPr>
              <w:t>备案</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2"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72"/>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73" w:edGrp="everyone"/>
      <w:r>
        <w:rPr>
          <w:rFonts w:hint="eastAsia" w:ascii="Times New Roman" w:hAnsi="Times New Roman" w:cs="Times New Roman"/>
          <w:kern w:val="0"/>
          <w:sz w:val="24"/>
          <w:szCs w:val="24"/>
          <w:highlight w:val="none"/>
          <w:u w:val="single"/>
          <w:lang w:val="en-US" w:eastAsia="zh-CN"/>
        </w:rPr>
        <w:t xml:space="preserve">      /     </w:t>
      </w:r>
      <w:permEnd w:id="73"/>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74" w:edGrp="everyone"/>
      <w:r>
        <w:rPr>
          <w:rFonts w:hint="eastAsia" w:ascii="Times New Roman" w:hAnsi="Times New Roman" w:cs="Times New Roman"/>
          <w:kern w:val="0"/>
          <w:sz w:val="24"/>
          <w:szCs w:val="24"/>
          <w:highlight w:val="none"/>
          <w:u w:val="single"/>
          <w:lang w:val="en-US" w:eastAsia="zh-CN"/>
        </w:rPr>
        <w:t xml:space="preserve">     /      </w:t>
      </w:r>
      <w:permEnd w:id="74"/>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75" w:edGrp="everyone"/>
      <w:r>
        <w:rPr>
          <w:rFonts w:hint="eastAsia" w:ascii="Times New Roman" w:hAnsi="Times New Roman" w:cs="Times New Roman"/>
          <w:kern w:val="0"/>
          <w:sz w:val="24"/>
          <w:szCs w:val="24"/>
          <w:highlight w:val="none"/>
          <w:lang w:val="en-US" w:eastAsia="zh-CN"/>
        </w:rPr>
        <w:t xml:space="preserve">    /       </w:t>
      </w:r>
      <w:permEnd w:id="75"/>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76" w:edGrp="everyone"/>
      <w:r>
        <w:rPr>
          <w:rFonts w:hint="eastAsia" w:ascii="Times New Roman" w:hAnsi="Times New Roman" w:cs="Times New Roman"/>
          <w:kern w:val="0"/>
          <w:sz w:val="24"/>
          <w:szCs w:val="24"/>
          <w:highlight w:val="none"/>
          <w:lang w:val="en-US" w:eastAsia="zh-CN"/>
        </w:rPr>
        <w:t>详见附件。</w:t>
      </w:r>
    </w:p>
    <w:permEnd w:id="76"/>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77" w:edGrp="everyone" w:colFirst="0" w:colLast="0"/>
            <w:permStart w:id="78"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77"/>
      <w:permEnd w:id="7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79" w:edGrp="everyone"/>
      <w:r>
        <w:rPr>
          <w:rFonts w:hint="eastAsia" w:ascii="Times New Roman" w:hAnsi="Times New Roman" w:cs="Times New Roman"/>
          <w:kern w:val="0"/>
          <w:sz w:val="24"/>
          <w:szCs w:val="24"/>
          <w:highlight w:val="none"/>
          <w:lang w:val="en-US" w:eastAsia="zh-CN"/>
        </w:rPr>
        <w:t>详见附件。</w:t>
      </w:r>
    </w:p>
    <w:permEnd w:id="79"/>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分包方式：</w:t>
      </w:r>
    </w:p>
    <w:p>
      <w:pPr>
        <w:wordWrap w:val="0"/>
        <w:spacing w:line="440" w:lineRule="exact"/>
        <w:ind w:firstLine="560" w:firstLineChars="200"/>
        <w:rPr>
          <w:rFonts w:hint="eastAsia" w:ascii="宋体" w:hAnsi="宋体" w:cs="宋体"/>
          <w:color w:val="FF0000"/>
          <w:sz w:val="28"/>
          <w:szCs w:val="28"/>
          <w:lang w:val="en-US" w:eastAsia="zh-CN"/>
        </w:rPr>
      </w:pPr>
      <w:r>
        <w:rPr>
          <w:rFonts w:hint="eastAsia" w:ascii="宋体" w:hAnsi="宋体" w:cs="宋体"/>
          <w:color w:val="FF0000"/>
          <w:sz w:val="28"/>
          <w:szCs w:val="28"/>
          <w:lang w:val="en-US" w:eastAsia="zh-CN"/>
        </w:rPr>
        <w:t>1、本项目专业分包采用包工包料包相关材料检测及资料、包工具、包工期、包质量、包安全、包文明施工、包税金、包风险、包通过相关部门验收并出具验收合格意见书等一切工程内容及相关工作内容。</w:t>
      </w:r>
    </w:p>
    <w:p>
      <w:pPr>
        <w:wordWrap w:val="0"/>
        <w:spacing w:line="440" w:lineRule="exact"/>
        <w:ind w:firstLine="560" w:firstLineChars="200"/>
        <w:rPr>
          <w:rFonts w:hint="eastAsia" w:ascii="宋体" w:hAnsi="宋体" w:cs="宋体"/>
          <w:color w:val="FF0000"/>
          <w:sz w:val="28"/>
          <w:szCs w:val="28"/>
          <w:lang w:val="en-US" w:eastAsia="zh-CN"/>
        </w:rPr>
      </w:pPr>
      <w:r>
        <w:rPr>
          <w:rFonts w:hint="eastAsia" w:ascii="宋体" w:hAnsi="宋体" w:cs="宋体"/>
          <w:color w:val="FF0000"/>
          <w:sz w:val="28"/>
          <w:szCs w:val="28"/>
          <w:lang w:val="en-US" w:eastAsia="zh-CN"/>
        </w:rPr>
        <w:t>2、准备工作：包括相关资料、人员、主材、机械准备等。</w:t>
      </w:r>
    </w:p>
    <w:p>
      <w:pPr>
        <w:wordWrap w:val="0"/>
        <w:spacing w:line="440" w:lineRule="exact"/>
        <w:ind w:firstLine="560" w:firstLineChars="200"/>
        <w:rPr>
          <w:rFonts w:hint="eastAsia" w:ascii="宋体" w:hAnsi="宋体" w:cs="宋体"/>
          <w:color w:val="FF0000"/>
          <w:sz w:val="28"/>
          <w:szCs w:val="28"/>
          <w:lang w:val="en-US" w:eastAsia="zh-CN"/>
        </w:rPr>
      </w:pPr>
      <w:r>
        <w:rPr>
          <w:rFonts w:hint="eastAsia" w:ascii="宋体" w:hAnsi="宋体" w:cs="宋体"/>
          <w:color w:val="FF0000"/>
          <w:sz w:val="28"/>
          <w:szCs w:val="28"/>
          <w:lang w:val="en-US" w:eastAsia="zh-CN"/>
        </w:rPr>
        <w:t>3、人员要求：中标人需提供安全员、质量员、施工员各一名纳入项目部管理并设置考勤（每月不少于22天）。</w:t>
      </w:r>
    </w:p>
    <w:p>
      <w:pPr>
        <w:wordWrap w:val="0"/>
        <w:spacing w:line="440" w:lineRule="exact"/>
        <w:ind w:firstLine="560" w:firstLineChars="200"/>
        <w:rPr>
          <w:rFonts w:hint="eastAsia" w:ascii="宋体" w:hAnsi="宋体" w:cs="宋体"/>
          <w:color w:val="FF0000"/>
          <w:sz w:val="28"/>
          <w:szCs w:val="28"/>
          <w:lang w:val="en-US" w:eastAsia="zh-CN"/>
        </w:rPr>
      </w:pPr>
      <w:r>
        <w:rPr>
          <w:rFonts w:hint="eastAsia" w:ascii="宋体" w:hAnsi="宋体" w:cs="宋体"/>
          <w:color w:val="FF0000"/>
          <w:sz w:val="28"/>
          <w:szCs w:val="28"/>
          <w:lang w:val="en-US" w:eastAsia="zh-CN"/>
        </w:rPr>
        <w:t>4、推荐品牌要求</w:t>
      </w:r>
    </w:p>
    <w:p>
      <w:pPr>
        <w:wordWrap w:val="0"/>
        <w:spacing w:line="440" w:lineRule="exact"/>
        <w:ind w:firstLine="560" w:firstLineChars="200"/>
        <w:rPr>
          <w:rFonts w:hint="eastAsia" w:ascii="宋体" w:hAnsi="宋体" w:cs="宋体"/>
          <w:color w:val="FF0000"/>
          <w:sz w:val="28"/>
          <w:szCs w:val="28"/>
        </w:rPr>
      </w:pPr>
      <w:r>
        <w:rPr>
          <w:rFonts w:hint="eastAsia" w:ascii="宋体" w:hAnsi="宋体" w:cs="宋体"/>
          <w:color w:val="FF0000"/>
          <w:sz w:val="28"/>
          <w:szCs w:val="28"/>
          <w:lang w:val="en-US" w:eastAsia="zh-CN"/>
        </w:rPr>
        <w:t>所有进场主要材料必须经建设单位及招标人认可，否则招标人有权将进场主要材料清退出场，所有损失由中标人自行承担。</w:t>
      </w:r>
    </w:p>
    <w:p>
      <w:pPr>
        <w:wordWrap w:val="0"/>
        <w:spacing w:line="440" w:lineRule="exact"/>
        <w:ind w:firstLine="560" w:firstLineChars="200"/>
        <w:rPr>
          <w:rFonts w:hint="eastAsia" w:ascii="宋体" w:hAnsi="宋体" w:cs="宋体"/>
          <w:color w:val="FF0000"/>
          <w:sz w:val="28"/>
          <w:szCs w:val="28"/>
        </w:rPr>
      </w:pPr>
      <w:r>
        <w:rPr>
          <w:rFonts w:hint="eastAsia" w:ascii="宋体" w:hAnsi="宋体" w:cs="宋体"/>
          <w:color w:val="FF0000"/>
          <w:sz w:val="28"/>
          <w:szCs w:val="28"/>
        </w:rPr>
        <w:t>材料品牌：见下表，具体以承包方与建设单位合同约定为准，若建设单位更换品牌，</w:t>
      </w:r>
      <w:r>
        <w:rPr>
          <w:rFonts w:hint="eastAsia" w:ascii="宋体" w:hAnsi="宋体" w:cs="宋体"/>
          <w:color w:val="FF0000"/>
          <w:sz w:val="28"/>
          <w:szCs w:val="28"/>
          <w:lang w:val="en-US" w:eastAsia="zh-CN"/>
        </w:rPr>
        <w:t>中标人</w:t>
      </w:r>
      <w:r>
        <w:rPr>
          <w:rFonts w:hint="eastAsia" w:ascii="宋体" w:hAnsi="宋体" w:cs="宋体"/>
          <w:color w:val="FF0000"/>
          <w:sz w:val="28"/>
          <w:szCs w:val="28"/>
        </w:rPr>
        <w:t>必须执行。</w:t>
      </w:r>
    </w:p>
    <w:tbl>
      <w:tblPr>
        <w:tblStyle w:val="17"/>
        <w:tblW w:w="87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746"/>
        <w:gridCol w:w="5074"/>
        <w:gridCol w:w="22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材料名称</w:t>
            </w:r>
          </w:p>
        </w:tc>
        <w:tc>
          <w:tcPr>
            <w:tcW w:w="50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推荐品牌要求 </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备注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门窗工程</w:t>
            </w:r>
          </w:p>
        </w:tc>
        <w:tc>
          <w:tcPr>
            <w:tcW w:w="50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铝合金：“亚铝”、“坚美”“实德”“南山”“安徽海螺”；（2）塑钢：“安徽海螺”“中财”“华之杰”“雄峰”“国风”；（3）玻璃原片：“耀皮”“南玻”“信义”；（4）五金：“春光”“立兴”“国强”；（5）毛条：“佳得利”“合和”“瑞得”“新安东”；（6）密封胶：“安泰”“硅宝”“白云”。</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所选产品施工前必须提供三个及以上样品，建设方根据质量选择品牌；所选品牌必须有厂家的授权委托书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入户门</w:t>
            </w:r>
          </w:p>
        </w:tc>
        <w:tc>
          <w:tcPr>
            <w:tcW w:w="50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步阳、王力、盼盼、美心</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（必须提供厂家授权证）且该标段所有入户门统一品牌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3</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木质防火门</w:t>
            </w:r>
          </w:p>
        </w:tc>
        <w:tc>
          <w:tcPr>
            <w:tcW w:w="50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符合设计要求及行业标准，安全耐用，绿色环保，质地 坚硬，使用寿命长。</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木质门品质及颜色应经招标人看样选用确定后方可使用。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4</w:t>
            </w:r>
          </w:p>
        </w:tc>
        <w:tc>
          <w:tcPr>
            <w:tcW w:w="74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钢制防火门</w:t>
            </w:r>
          </w:p>
        </w:tc>
        <w:tc>
          <w:tcPr>
            <w:tcW w:w="50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安徽通晓、合肥警盾、合肥祈明、长春铸诚、群升、浙江千秋、中建五洲</w:t>
            </w:r>
          </w:p>
        </w:tc>
        <w:tc>
          <w:tcPr>
            <w:tcW w:w="225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必须是在公安消防主管部门官网备案的产品，确保通过消防验收。采用在工厂涂刷 UV 漆。成品门。</w:t>
            </w:r>
          </w:p>
        </w:tc>
      </w:tr>
    </w:tbl>
    <w:p>
      <w:pPr>
        <w:wordWrap w:val="0"/>
        <w:spacing w:line="440" w:lineRule="exact"/>
        <w:ind w:firstLine="560" w:firstLineChars="200"/>
        <w:rPr>
          <w:rFonts w:hint="eastAsia" w:ascii="宋体" w:hAnsi="宋体" w:cs="宋体"/>
          <w:color w:val="FF0000"/>
          <w:sz w:val="28"/>
          <w:szCs w:val="28"/>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水安凤栖上院34号地块工程项目门窗工程专业分包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BZJK-2024-044号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6"/>
        <w:jc w:val="center"/>
        <w:rPr>
          <w:rFonts w:hint="default" w:ascii="Times New Roman" w:hAnsi="Times New Roman" w:cs="Times New Roman"/>
        </w:rPr>
      </w:pPr>
      <w:bookmarkStart w:id="428" w:name="_Toc300835209"/>
      <w:bookmarkStart w:id="429" w:name="_Toc152042576"/>
      <w:bookmarkStart w:id="430" w:name="_Toc247514246"/>
      <w:bookmarkStart w:id="431" w:name="_Toc144974856"/>
      <w:bookmarkStart w:id="432" w:name="_Toc247527827"/>
      <w:bookmarkStart w:id="433" w:name="_Toc152045787"/>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6"/>
        <w:jc w:val="center"/>
        <w:rPr>
          <w:rFonts w:hint="default" w:ascii="Times New Roman" w:hAnsi="Times New Roman" w:cs="Times New Roman"/>
        </w:rPr>
      </w:pPr>
      <w:bookmarkStart w:id="434" w:name="_Toc247527828"/>
      <w:bookmarkStart w:id="435" w:name="_Toc144974857"/>
      <w:bookmarkStart w:id="436" w:name="_Toc152045788"/>
      <w:bookmarkStart w:id="437" w:name="_Toc247514247"/>
      <w:bookmarkStart w:id="438" w:name="_Toc300835210"/>
      <w:bookmarkStart w:id="439" w:name="_Toc152042577"/>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7"/>
        <w:rPr>
          <w:rFonts w:hint="default" w:ascii="Times New Roman" w:hAnsi="Times New Roman" w:cs="Times New Roman"/>
        </w:rPr>
      </w:pPr>
      <w:bookmarkStart w:id="440" w:name="_Toc144974858"/>
      <w:bookmarkStart w:id="441" w:name="_Toc152045789"/>
      <w:bookmarkStart w:id="442" w:name="_Toc300835211"/>
      <w:bookmarkStart w:id="443" w:name="_Toc152042578"/>
      <w:bookmarkStart w:id="444" w:name="_Toc247514248"/>
      <w:bookmarkStart w:id="445" w:name="_Toc247527829"/>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水安凤栖上院34号地块工程项目门窗工程专业分包</w:t>
      </w:r>
      <w:r>
        <w:rPr>
          <w:rFonts w:hint="default" w:ascii="Times New Roman" w:hAnsi="Times New Roman" w:cs="Times New Roman"/>
          <w:szCs w:val="21"/>
        </w:rPr>
        <w:t>招标文件的全部内容，愿意以</w:t>
      </w:r>
      <w:permStart w:id="8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80"/>
      <w:r>
        <w:rPr>
          <w:rFonts w:hint="eastAsia" w:ascii="Times New Roman" w:hAnsi="Times New Roman" w:cs="Times New Roman"/>
          <w:szCs w:val="21"/>
          <w:lang w:val="en-US" w:eastAsia="zh-CN"/>
        </w:rPr>
        <w:t>，</w:t>
      </w:r>
      <w:permStart w:id="81" w:edGrp="everyone"/>
      <w:r>
        <w:rPr>
          <w:rFonts w:hint="eastAsia" w:ascii="Times New Roman" w:hAnsi="Times New Roman" w:cs="Times New Roman"/>
          <w:szCs w:val="21"/>
          <w:lang w:val="en-US" w:eastAsia="zh-CN"/>
        </w:rPr>
        <w:t>服务期限：自合同签订日期起</w:t>
      </w:r>
      <w:r>
        <w:rPr>
          <w:rFonts w:hint="eastAsia" w:ascii="Times New Roman" w:hAnsi="Times New Roman" w:cs="Times New Roman"/>
          <w:szCs w:val="21"/>
          <w:u w:val="single"/>
          <w:lang w:val="en-US" w:eastAsia="zh-CN"/>
        </w:rPr>
        <w:t>180</w:t>
      </w:r>
      <w:r>
        <w:rPr>
          <w:rFonts w:hint="eastAsia" w:ascii="Times New Roman" w:hAnsi="Times New Roman" w:cs="Times New Roman"/>
          <w:szCs w:val="21"/>
          <w:lang w:val="en-US" w:eastAsia="zh-CN"/>
        </w:rPr>
        <w:t>日历天（暂定）</w:t>
      </w:r>
      <w:permEnd w:id="81"/>
      <w:r>
        <w:rPr>
          <w:rFonts w:hint="eastAsia" w:ascii="Times New Roman" w:hAnsi="Times New Roman" w:cs="Times New Roman"/>
          <w:szCs w:val="21"/>
          <w:u w:val="none"/>
          <w:lang w:val="en-US" w:eastAsia="zh-CN"/>
        </w:rPr>
        <w:t>，按合同约定实施和完成承包工程，修补工程中的任何缺陷，工程质量</w:t>
      </w:r>
      <w:r>
        <w:rPr>
          <w:rFonts w:hint="eastAsia" w:ascii="Times New Roman" w:hAnsi="Times New Roman" w:cs="Times New Roman"/>
          <w:szCs w:val="21"/>
          <w:u w:val="single"/>
          <w:lang w:val="en-US" w:eastAsia="zh-CN"/>
        </w:rPr>
        <w:t>符合国家、行业及地方现行相关规范合格标准</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7"/>
        <w:rPr>
          <w:rFonts w:hint="default" w:ascii="Times New Roman" w:hAnsi="Times New Roman" w:cs="Times New Roman"/>
        </w:rPr>
      </w:pPr>
      <w:bookmarkStart w:id="446" w:name="_Toc152042579"/>
      <w:bookmarkStart w:id="447" w:name="_Toc152045790"/>
      <w:bookmarkStart w:id="448" w:name="_Toc300835212"/>
      <w:bookmarkStart w:id="449" w:name="_Toc144974859"/>
      <w:bookmarkStart w:id="450" w:name="_Toc247527830"/>
      <w:bookmarkStart w:id="451" w:name="_Toc247514249"/>
    </w:p>
    <w:p>
      <w:pPr>
        <w:pStyle w:val="7"/>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服务期限</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eastAsia" w:ascii="Times New Roman" w:hAnsi="Times New Roman" w:cs="Times New Roman"/>
                <w:szCs w:val="21"/>
                <w:lang w:val="en-US" w:eastAsia="zh-CN"/>
              </w:rPr>
              <w:t>自合同签订日期起</w:t>
            </w:r>
            <w:r>
              <w:rPr>
                <w:rFonts w:hint="eastAsia" w:ascii="Times New Roman" w:hAnsi="Times New Roman" w:cs="Times New Roman"/>
                <w:szCs w:val="21"/>
                <w:u w:val="single"/>
                <w:lang w:val="en-US" w:eastAsia="zh-CN"/>
              </w:rPr>
              <w:t>180</w:t>
            </w:r>
            <w:r>
              <w:rPr>
                <w:rFonts w:hint="eastAsia" w:ascii="Times New Roman" w:hAnsi="Times New Roman" w:cs="Times New Roman"/>
                <w:szCs w:val="21"/>
                <w:lang w:val="en-US" w:eastAsia="zh-CN"/>
              </w:rPr>
              <w:t>日历天（暂定）</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ermStart w:id="82" w:edGrp="everyone"/>
            <w:r>
              <w:rPr>
                <w:rFonts w:hint="default" w:ascii="Times New Roman" w:hAnsi="Times New Roman" w:cs="Times New Roman"/>
                <w:szCs w:val="21"/>
                <w:lang w:val="en-US" w:eastAsia="zh-CN"/>
              </w:rPr>
              <w:t>自竣工备案之日起</w:t>
            </w:r>
            <w:r>
              <w:rPr>
                <w:rFonts w:hint="default" w:ascii="Times New Roman" w:hAnsi="Times New Roman" w:cs="Times New Roman"/>
                <w:szCs w:val="21"/>
                <w:u w:val="single"/>
                <w:lang w:val="en-US" w:eastAsia="zh-CN"/>
              </w:rPr>
              <w:t xml:space="preserve">  2  </w:t>
            </w:r>
            <w:r>
              <w:rPr>
                <w:rFonts w:hint="default" w:ascii="Times New Roman" w:hAnsi="Times New Roman" w:cs="Times New Roman"/>
                <w:szCs w:val="21"/>
                <w:lang w:val="en-US" w:eastAsia="zh-CN"/>
              </w:rPr>
              <w:t>年。</w:t>
            </w:r>
            <w:permEnd w:id="82"/>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6"/>
        <w:jc w:val="center"/>
        <w:rPr>
          <w:rFonts w:hint="default" w:ascii="Times New Roman" w:hAnsi="Times New Roman" w:cs="Times New Roman"/>
        </w:rPr>
      </w:pPr>
      <w:bookmarkStart w:id="452" w:name="_Toc300835213"/>
      <w:bookmarkStart w:id="453" w:name="_Toc247514283"/>
      <w:bookmarkStart w:id="454" w:name="_Toc152045791"/>
      <w:bookmarkStart w:id="455" w:name="_Toc247527831"/>
      <w:bookmarkStart w:id="456" w:name="_Toc144974860"/>
      <w:bookmarkStart w:id="457" w:name="_Toc152042580"/>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458" w:name="_Toc152045792"/>
      <w:bookmarkStart w:id="459" w:name="_Toc152042581"/>
      <w:bookmarkStart w:id="460" w:name="_Toc300835214"/>
      <w:bookmarkStart w:id="461" w:name="_Toc247527832"/>
      <w:bookmarkStart w:id="462" w:name="_Toc247514284"/>
      <w:bookmarkStart w:id="463" w:name="_Toc144974861"/>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464" w:name="_Toc152042583"/>
      <w:bookmarkStart w:id="465" w:name="_Toc152045794"/>
      <w:bookmarkStart w:id="466" w:name="_Toc247527834"/>
      <w:bookmarkStart w:id="467" w:name="_Toc300835216"/>
      <w:bookmarkStart w:id="468" w:name="_Toc247514286"/>
      <w:bookmarkStart w:id="469" w:name="_Toc144974862"/>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247514287"/>
      <w:bookmarkStart w:id="472" w:name="_Toc152042584"/>
      <w:bookmarkStart w:id="473" w:name="_Toc144974863"/>
      <w:bookmarkStart w:id="474" w:name="_Toc152045795"/>
      <w:bookmarkStart w:id="475" w:name="_Toc247527835"/>
      <w:bookmarkStart w:id="476" w:name="_Toc300835218"/>
      <w:r>
        <w:rPr>
          <w:rFonts w:hint="default" w:ascii="Times New Roman" w:hAnsi="Times New Roman" w:cs="Times New Roman"/>
        </w:rPr>
        <w:br w:type="page"/>
      </w:r>
    </w:p>
    <w:p>
      <w:pPr>
        <w:pStyle w:val="6"/>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300835221"/>
      <w:bookmarkStart w:id="478" w:name="_Toc247514288"/>
      <w:bookmarkStart w:id="479" w:name="_Toc247527836"/>
      <w:bookmarkStart w:id="480" w:name="_Toc152045796"/>
      <w:bookmarkStart w:id="481" w:name="_Toc144974864"/>
      <w:bookmarkStart w:id="482" w:name="_Toc152042585"/>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7"/>
        <w:rPr>
          <w:rFonts w:hint="default" w:ascii="Times New Roman" w:hAnsi="Times New Roman" w:cs="Times New Roman"/>
        </w:rPr>
      </w:pPr>
      <w:bookmarkStart w:id="484" w:name="_Toc246997108"/>
      <w:bookmarkStart w:id="485" w:name="_Toc247085883"/>
      <w:bookmarkStart w:id="486" w:name="_Toc144974865"/>
      <w:bookmarkStart w:id="487" w:name="_Toc179632817"/>
      <w:bookmarkStart w:id="488" w:name="_Toc296602610"/>
      <w:bookmarkStart w:id="489" w:name="_Toc152045797"/>
      <w:bookmarkStart w:id="490" w:name="_Toc152042586"/>
      <w:bookmarkStart w:id="491" w:name="_Toc246996365"/>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7"/>
        <w:rPr>
          <w:rFonts w:hint="default" w:ascii="Times New Roman" w:hAnsi="Times New Roman" w:cs="Times New Roman"/>
        </w:rPr>
      </w:pPr>
      <w:bookmarkStart w:id="492" w:name="_Toc152045799"/>
      <w:bookmarkStart w:id="493" w:name="_Toc247085884"/>
      <w:bookmarkStart w:id="494" w:name="_Toc246997109"/>
      <w:bookmarkStart w:id="495" w:name="_Toc152042588"/>
      <w:bookmarkStart w:id="496" w:name="_Toc246996366"/>
      <w:bookmarkStart w:id="497" w:name="_Toc296602611"/>
      <w:bookmarkStart w:id="498" w:name="_Toc144974867"/>
      <w:bookmarkStart w:id="499" w:name="_Toc179632819"/>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1"/>
        <w:rPr>
          <w:rFonts w:hint="default" w:ascii="Times New Roman" w:hAnsi="Times New Roman" w:cs="Times New Roman"/>
        </w:rPr>
      </w:pPr>
      <w:bookmarkStart w:id="500" w:name="_Toc179632820"/>
      <w:bookmarkStart w:id="501" w:name="_Toc152042589"/>
      <w:bookmarkStart w:id="502" w:name="_Toc246997110"/>
      <w:bookmarkStart w:id="503" w:name="_Toc246996367"/>
      <w:bookmarkStart w:id="504" w:name="_Toc144974868"/>
      <w:bookmarkStart w:id="505" w:name="_Toc152045800"/>
    </w:p>
    <w:p>
      <w:pPr>
        <w:pStyle w:val="11"/>
        <w:rPr>
          <w:rFonts w:hint="default" w:ascii="Times New Roman" w:hAnsi="Times New Roman" w:cs="Times New Roman"/>
        </w:rPr>
      </w:pPr>
      <w:r>
        <w:rPr>
          <w:rFonts w:hint="default" w:ascii="Times New Roman" w:hAnsi="Times New Roman" w:cs="Times New Roman"/>
        </w:rPr>
        <w:br w:type="page"/>
      </w:r>
    </w:p>
    <w:p>
      <w:pPr>
        <w:pStyle w:val="7"/>
        <w:rPr>
          <w:rFonts w:hint="default" w:ascii="Times New Roman" w:hAnsi="Times New Roman" w:cs="Times New Roman"/>
        </w:rPr>
      </w:pPr>
      <w:bookmarkStart w:id="506" w:name="_Toc296602612"/>
      <w:bookmarkStart w:id="507" w:name="_Toc247085885"/>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6"/>
        <w:jc w:val="center"/>
        <w:rPr>
          <w:szCs w:val="21"/>
        </w:rPr>
      </w:pPr>
      <w:bookmarkStart w:id="508" w:name="_Toc246997112"/>
      <w:bookmarkStart w:id="509" w:name="_Toc144974871"/>
      <w:bookmarkStart w:id="510" w:name="_Toc296602614"/>
      <w:bookmarkStart w:id="511" w:name="_Toc246996369"/>
      <w:bookmarkStart w:id="512" w:name="_Toc152045803"/>
      <w:bookmarkStart w:id="513" w:name="_Toc152042592"/>
      <w:bookmarkStart w:id="514" w:name="_Toc247085887"/>
      <w:bookmarkStart w:id="515" w:name="_Toc179632823"/>
      <w:bookmarkStart w:id="516" w:name="_Toc152042597"/>
      <w:bookmarkStart w:id="517" w:name="_Toc300835224"/>
      <w:bookmarkStart w:id="518" w:name="_Toc144974876"/>
      <w:bookmarkStart w:id="519" w:name="_Toc152045808"/>
      <w:bookmarkStart w:id="520" w:name="_Toc247527848"/>
      <w:bookmarkStart w:id="521" w:name="_Toc247514300"/>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7"/>
        <w:jc w:val="both"/>
      </w:pPr>
      <w:bookmarkStart w:id="522" w:name="_Toc246996370"/>
      <w:bookmarkStart w:id="523" w:name="_Toc247085888"/>
      <w:bookmarkStart w:id="524" w:name="_Toc296602615"/>
      <w:bookmarkStart w:id="525" w:name="_Toc246997113"/>
      <w:r>
        <w:t>（一）项目管理机构组成表</w:t>
      </w:r>
      <w:bookmarkEnd w:id="522"/>
      <w:bookmarkEnd w:id="523"/>
      <w:bookmarkEnd w:id="524"/>
      <w:bookmarkEnd w:id="525"/>
    </w:p>
    <w:p>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7"/>
        <w:jc w:val="both"/>
      </w:pPr>
      <w:bookmarkStart w:id="526" w:name="_Toc296602616"/>
      <w:bookmarkStart w:id="527" w:name="_Toc247085889"/>
      <w:bookmarkStart w:id="528" w:name="_Toc246997114"/>
      <w:bookmarkStart w:id="529" w:name="_Toc246996371"/>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lang w:val="en-US" w:eastAsia="zh-CN"/>
        </w:rPr>
        <w:t>应附身份证、执业资格证（或注册证书）、有效的安全考核B证及缴纳养老保险的复印件</w:t>
      </w:r>
      <w:r>
        <w:rPr>
          <w:rFonts w:hint="eastAsia"/>
        </w:rPr>
        <w:t>，管理过的项目业绩须附合同协议书复印件</w:t>
      </w:r>
      <w:r>
        <w:rPr>
          <w:rFonts w:hint="eastAsia"/>
          <w:lang w:eastAsia="zh-CN"/>
        </w:rPr>
        <w:t>（</w:t>
      </w:r>
      <w:r>
        <w:rPr>
          <w:rFonts w:hint="eastAsia"/>
          <w:lang w:val="en-US" w:eastAsia="zh-CN"/>
        </w:rPr>
        <w:t>如有）</w:t>
      </w:r>
      <w:r>
        <w:rPr>
          <w:rFonts w:hint="eastAsia"/>
        </w:rPr>
        <w:t>。</w:t>
      </w:r>
    </w:p>
    <w:p>
      <w:pPr>
        <w:topLinePunct/>
        <w:spacing w:line="440" w:lineRule="exact"/>
        <w:jc w:val="center"/>
        <w:rPr>
          <w:rFonts w:eastAsia="黑体"/>
          <w:sz w:val="23"/>
          <w:szCs w:val="23"/>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6"/>
        <w:jc w:val="center"/>
        <w:rPr>
          <w:rFonts w:hint="eastAsia"/>
        </w:rPr>
      </w:pPr>
      <w:bookmarkStart w:id="530" w:name="_Toc247085890"/>
      <w:bookmarkStart w:id="531" w:name="_Toc144974875"/>
      <w:bookmarkStart w:id="532" w:name="_Toc152045807"/>
      <w:bookmarkStart w:id="533" w:name="_Toc296602617"/>
      <w:bookmarkStart w:id="534" w:name="_Toc246996372"/>
      <w:bookmarkStart w:id="535" w:name="_Toc152042596"/>
      <w:bookmarkStart w:id="536" w:name="_Toc246997115"/>
      <w:bookmarkStart w:id="537" w:name="_Toc179632827"/>
      <w:r>
        <w:rPr>
          <w:rFonts w:hint="eastAsia"/>
        </w:rPr>
        <w:t>七</w:t>
      </w:r>
      <w:r>
        <w:t>、资格审查资料</w:t>
      </w:r>
      <w:bookmarkEnd w:id="530"/>
      <w:bookmarkEnd w:id="531"/>
      <w:bookmarkEnd w:id="532"/>
      <w:bookmarkEnd w:id="533"/>
      <w:bookmarkEnd w:id="534"/>
      <w:bookmarkEnd w:id="535"/>
      <w:bookmarkEnd w:id="536"/>
      <w:bookmarkEnd w:id="537"/>
    </w:p>
    <w:p>
      <w:pPr>
        <w:pStyle w:val="7"/>
        <w:jc w:val="both"/>
        <w:rPr>
          <w:rFonts w:hint="eastAsia"/>
        </w:rPr>
      </w:pPr>
      <w:bookmarkStart w:id="538" w:name="_Toc247085891"/>
      <w:bookmarkStart w:id="539" w:name="_Toc296602618"/>
      <w:bookmarkStart w:id="540" w:name="_Toc246996373"/>
      <w:bookmarkStart w:id="541" w:name="_Toc179632828"/>
      <w:bookmarkStart w:id="542" w:name="_Toc246997116"/>
      <w:r>
        <w:t>（一）投标人基本情况表</w:t>
      </w:r>
      <w:bookmarkEnd w:id="538"/>
      <w:bookmarkEnd w:id="539"/>
      <w:bookmarkEnd w:id="540"/>
      <w:bookmarkEnd w:id="541"/>
      <w:bookmarkEnd w:id="542"/>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7"/>
        <w:rPr>
          <w:rFonts w:hint="default" w:ascii="Times New Roman" w:hAnsi="Times New Roman" w:cs="Times New Roman"/>
        </w:rPr>
      </w:pPr>
      <w:bookmarkStart w:id="543" w:name="_Toc144974877"/>
      <w:bookmarkStart w:id="544" w:name="_Toc152045809"/>
      <w:bookmarkStart w:id="545" w:name="_Toc152042598"/>
      <w:bookmarkStart w:id="546" w:name="_Toc247514301"/>
      <w:bookmarkStart w:id="547" w:name="_Toc300835225"/>
      <w:bookmarkStart w:id="548" w:name="_Toc247527849"/>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7"/>
        <w:rPr>
          <w:rFonts w:hint="default" w:ascii="Times New Roman" w:hAnsi="Times New Roman" w:cs="Times New Roman"/>
        </w:rPr>
      </w:pPr>
      <w:bookmarkStart w:id="549" w:name="_Toc247514302"/>
      <w:bookmarkStart w:id="550" w:name="_Toc152045810"/>
      <w:bookmarkStart w:id="551" w:name="_Toc152042599"/>
      <w:bookmarkStart w:id="552" w:name="_Toc144974878"/>
      <w:bookmarkStart w:id="553" w:name="_Toc247527850"/>
      <w:bookmarkStart w:id="554" w:name="_Toc300835226"/>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247514303"/>
      <w:bookmarkStart w:id="556" w:name="_Toc152045811"/>
      <w:bookmarkStart w:id="557" w:name="_Toc152042600"/>
      <w:bookmarkStart w:id="558" w:name="_Toc247527851"/>
      <w:bookmarkStart w:id="559" w:name="_Toc144974879"/>
    </w:p>
    <w:p>
      <w:pPr>
        <w:spacing w:line="440" w:lineRule="exact"/>
        <w:rPr>
          <w:rFonts w:hint="default" w:ascii="Times New Roman" w:hAnsi="Times New Roman" w:cs="Times New Roman"/>
        </w:rPr>
      </w:pPr>
    </w:p>
    <w:p>
      <w:pPr>
        <w:pStyle w:val="7"/>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247514304"/>
      <w:bookmarkStart w:id="562" w:name="_Toc247527852"/>
      <w:bookmarkStart w:id="563" w:name="_Toc152045812"/>
      <w:bookmarkStart w:id="564" w:name="_Toc144974880"/>
      <w:bookmarkStart w:id="565" w:name="_Toc152042601"/>
    </w:p>
    <w:p>
      <w:pPr>
        <w:spacing w:line="440" w:lineRule="exact"/>
        <w:rPr>
          <w:rFonts w:hint="default" w:ascii="Times New Roman" w:hAnsi="Times New Roman" w:cs="Times New Roman"/>
        </w:rPr>
      </w:pPr>
    </w:p>
    <w:bookmarkEnd w:id="561"/>
    <w:bookmarkEnd w:id="562"/>
    <w:bookmarkEnd w:id="563"/>
    <w:bookmarkEnd w:id="564"/>
    <w:bookmarkEnd w:id="565"/>
    <w:p>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83" w:edGrp="everyone"/>
      <w:r>
        <w:rPr>
          <w:rFonts w:ascii="Times New Roman" w:hAnsi="Times New Roman"/>
        </w:rPr>
        <w:t>注：</w:t>
      </w:r>
      <w:r>
        <w:rPr>
          <w:rFonts w:hint="eastAsia" w:ascii="Times New Roman" w:hAnsi="Times New Roman"/>
          <w:lang w:val="en-US" w:eastAsia="zh-CN"/>
        </w:rPr>
        <w:t>如有，按招标文件要求提供。</w:t>
      </w:r>
    </w:p>
    <w:permEnd w:id="83"/>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152045813"/>
      <w:bookmarkStart w:id="567" w:name="_Toc144974881"/>
      <w:bookmarkStart w:id="568" w:name="_Toc247514305"/>
      <w:bookmarkStart w:id="569" w:name="_Toc247527853"/>
      <w:bookmarkStart w:id="570" w:name="_Toc152042602"/>
      <w:bookmarkStart w:id="571" w:name="_Toc247530162"/>
    </w:p>
    <w:bookmarkEnd w:id="566"/>
    <w:bookmarkEnd w:id="567"/>
    <w:bookmarkEnd w:id="568"/>
    <w:bookmarkEnd w:id="569"/>
    <w:bookmarkEnd w:id="570"/>
    <w:bookmarkEnd w:id="571"/>
    <w:p>
      <w:pPr>
        <w:pStyle w:val="6"/>
        <w:jc w:val="center"/>
        <w:rPr>
          <w:rFonts w:hint="default" w:ascii="Times New Roman" w:hAnsi="Times New Roman" w:cs="Times New Roman"/>
        </w:rPr>
      </w:pPr>
      <w:bookmarkStart w:id="572" w:name="_Toc300835233"/>
      <w:bookmarkStart w:id="573"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84"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84"/>
    <w:p>
      <w:pPr>
        <w:spacing w:line="400" w:lineRule="exact"/>
        <w:rPr>
          <w:rFonts w:hint="default" w:ascii="Times New Roman" w:hAnsi="Times New Roman" w:cs="Times New Roman"/>
        </w:rPr>
      </w:pPr>
    </w:p>
    <w:p>
      <w:pPr>
        <w:pStyle w:val="8"/>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3304E"/>
    <w:rsid w:val="0145105E"/>
    <w:rsid w:val="019846E3"/>
    <w:rsid w:val="01A00C4B"/>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CB5C3E"/>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372051"/>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B956C6"/>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3384C"/>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442AF"/>
    <w:rsid w:val="0DC57869"/>
    <w:rsid w:val="0DD331D8"/>
    <w:rsid w:val="0DDB677F"/>
    <w:rsid w:val="0E093A81"/>
    <w:rsid w:val="0E1201C4"/>
    <w:rsid w:val="0E3746E5"/>
    <w:rsid w:val="0E3C08A3"/>
    <w:rsid w:val="0E43752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274DE4"/>
    <w:rsid w:val="10446D2F"/>
    <w:rsid w:val="104957CA"/>
    <w:rsid w:val="104D6EF3"/>
    <w:rsid w:val="105C0433"/>
    <w:rsid w:val="1069417C"/>
    <w:rsid w:val="106C1E4B"/>
    <w:rsid w:val="107F07F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0A1FFD"/>
    <w:rsid w:val="124A59BB"/>
    <w:rsid w:val="124D3BAD"/>
    <w:rsid w:val="125A52C4"/>
    <w:rsid w:val="12655D96"/>
    <w:rsid w:val="12767B33"/>
    <w:rsid w:val="127E6D8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72E20"/>
    <w:rsid w:val="14F926F4"/>
    <w:rsid w:val="15021B62"/>
    <w:rsid w:val="150A21BA"/>
    <w:rsid w:val="151779D1"/>
    <w:rsid w:val="1522437E"/>
    <w:rsid w:val="15283931"/>
    <w:rsid w:val="15382F40"/>
    <w:rsid w:val="158374C1"/>
    <w:rsid w:val="15901D56"/>
    <w:rsid w:val="15A62ECC"/>
    <w:rsid w:val="15B14179"/>
    <w:rsid w:val="15C516BD"/>
    <w:rsid w:val="15CE63F3"/>
    <w:rsid w:val="15FD4466"/>
    <w:rsid w:val="166266B1"/>
    <w:rsid w:val="1675224E"/>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3053F"/>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743A2"/>
    <w:rsid w:val="1A1C623A"/>
    <w:rsid w:val="1A270D5F"/>
    <w:rsid w:val="1A4D4CED"/>
    <w:rsid w:val="1A797469"/>
    <w:rsid w:val="1A8850B8"/>
    <w:rsid w:val="1A9B5FFB"/>
    <w:rsid w:val="1AA066C8"/>
    <w:rsid w:val="1AAD645B"/>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15845"/>
    <w:rsid w:val="1C9755BD"/>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84144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05AE3"/>
    <w:rsid w:val="232E56FD"/>
    <w:rsid w:val="233F5F96"/>
    <w:rsid w:val="235F4D23"/>
    <w:rsid w:val="236D4028"/>
    <w:rsid w:val="238A4DFC"/>
    <w:rsid w:val="24226CC5"/>
    <w:rsid w:val="24312A4A"/>
    <w:rsid w:val="244A5E9A"/>
    <w:rsid w:val="244C4BB8"/>
    <w:rsid w:val="24691193"/>
    <w:rsid w:val="246C3A46"/>
    <w:rsid w:val="247152E7"/>
    <w:rsid w:val="247B0DCD"/>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74A2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481571"/>
    <w:rsid w:val="285F5293"/>
    <w:rsid w:val="28622D71"/>
    <w:rsid w:val="286E69FD"/>
    <w:rsid w:val="28C56178"/>
    <w:rsid w:val="28FA546B"/>
    <w:rsid w:val="28FE025E"/>
    <w:rsid w:val="29245F1A"/>
    <w:rsid w:val="29366359"/>
    <w:rsid w:val="29586D7A"/>
    <w:rsid w:val="29772B51"/>
    <w:rsid w:val="29791894"/>
    <w:rsid w:val="297F5466"/>
    <w:rsid w:val="2984235F"/>
    <w:rsid w:val="29967FD2"/>
    <w:rsid w:val="29A52D8F"/>
    <w:rsid w:val="29C56C3A"/>
    <w:rsid w:val="29D85278"/>
    <w:rsid w:val="29E1380C"/>
    <w:rsid w:val="29E85046"/>
    <w:rsid w:val="2A017BFD"/>
    <w:rsid w:val="2A0A71F8"/>
    <w:rsid w:val="2A4913A2"/>
    <w:rsid w:val="2A693A20"/>
    <w:rsid w:val="2A9154D8"/>
    <w:rsid w:val="2A961700"/>
    <w:rsid w:val="2AA04C57"/>
    <w:rsid w:val="2AD750C3"/>
    <w:rsid w:val="2AE77D08"/>
    <w:rsid w:val="2AEA3011"/>
    <w:rsid w:val="2B06476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7B5F4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593240"/>
    <w:rsid w:val="2F6F3C93"/>
    <w:rsid w:val="2F754A2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5E0057"/>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761214"/>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0C24AB"/>
    <w:rsid w:val="36162F1C"/>
    <w:rsid w:val="363277D2"/>
    <w:rsid w:val="366244D5"/>
    <w:rsid w:val="36A82C1D"/>
    <w:rsid w:val="36B34449"/>
    <w:rsid w:val="36C342D9"/>
    <w:rsid w:val="36D93CDC"/>
    <w:rsid w:val="370F2E93"/>
    <w:rsid w:val="370F32ED"/>
    <w:rsid w:val="374E35E0"/>
    <w:rsid w:val="37560CC6"/>
    <w:rsid w:val="378D0CEB"/>
    <w:rsid w:val="379A026D"/>
    <w:rsid w:val="37A2207E"/>
    <w:rsid w:val="37A2434F"/>
    <w:rsid w:val="37A8202C"/>
    <w:rsid w:val="37ED6D6E"/>
    <w:rsid w:val="37F45271"/>
    <w:rsid w:val="380C3B20"/>
    <w:rsid w:val="381039F4"/>
    <w:rsid w:val="38422CE2"/>
    <w:rsid w:val="38464281"/>
    <w:rsid w:val="386E21B0"/>
    <w:rsid w:val="38AE496C"/>
    <w:rsid w:val="38B54D45"/>
    <w:rsid w:val="38D242CD"/>
    <w:rsid w:val="39290F4A"/>
    <w:rsid w:val="393E0C7A"/>
    <w:rsid w:val="39470BCD"/>
    <w:rsid w:val="39821F75"/>
    <w:rsid w:val="398B5520"/>
    <w:rsid w:val="398C3DB7"/>
    <w:rsid w:val="39AB6275"/>
    <w:rsid w:val="39E17621"/>
    <w:rsid w:val="39F227B1"/>
    <w:rsid w:val="3A151290"/>
    <w:rsid w:val="3A157721"/>
    <w:rsid w:val="3A201663"/>
    <w:rsid w:val="3A257964"/>
    <w:rsid w:val="3A292038"/>
    <w:rsid w:val="3A4A1178"/>
    <w:rsid w:val="3A524E6B"/>
    <w:rsid w:val="3A762A49"/>
    <w:rsid w:val="3A826354"/>
    <w:rsid w:val="3A9D28F5"/>
    <w:rsid w:val="3ACD43C9"/>
    <w:rsid w:val="3AFF2C64"/>
    <w:rsid w:val="3B2F69DB"/>
    <w:rsid w:val="3B742225"/>
    <w:rsid w:val="3B79226F"/>
    <w:rsid w:val="3B8F1138"/>
    <w:rsid w:val="3B904834"/>
    <w:rsid w:val="3B932344"/>
    <w:rsid w:val="3B9D20F5"/>
    <w:rsid w:val="3BB33F88"/>
    <w:rsid w:val="3BD93153"/>
    <w:rsid w:val="3BDA6996"/>
    <w:rsid w:val="3C0A3047"/>
    <w:rsid w:val="3C2E50FB"/>
    <w:rsid w:val="3C37637A"/>
    <w:rsid w:val="3C4A12AD"/>
    <w:rsid w:val="3C5125FC"/>
    <w:rsid w:val="3C690ECB"/>
    <w:rsid w:val="3C6A7ACF"/>
    <w:rsid w:val="3C860AC6"/>
    <w:rsid w:val="3C8967A4"/>
    <w:rsid w:val="3C960BC8"/>
    <w:rsid w:val="3C9848A1"/>
    <w:rsid w:val="3CA509B7"/>
    <w:rsid w:val="3CA509D1"/>
    <w:rsid w:val="3CA80712"/>
    <w:rsid w:val="3CD537E6"/>
    <w:rsid w:val="3CD93879"/>
    <w:rsid w:val="3D2571D3"/>
    <w:rsid w:val="3D651965"/>
    <w:rsid w:val="3D7A2818"/>
    <w:rsid w:val="3D8106EA"/>
    <w:rsid w:val="3D834DF8"/>
    <w:rsid w:val="3D8C7CFA"/>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C81F16"/>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297335"/>
    <w:rsid w:val="41335FC7"/>
    <w:rsid w:val="415978C8"/>
    <w:rsid w:val="415C1B4D"/>
    <w:rsid w:val="417843F2"/>
    <w:rsid w:val="41807B75"/>
    <w:rsid w:val="418A1799"/>
    <w:rsid w:val="41A61C3F"/>
    <w:rsid w:val="41B17185"/>
    <w:rsid w:val="41F05895"/>
    <w:rsid w:val="420B38E3"/>
    <w:rsid w:val="420C70DA"/>
    <w:rsid w:val="4226611D"/>
    <w:rsid w:val="425402BB"/>
    <w:rsid w:val="42564ADA"/>
    <w:rsid w:val="426F07B9"/>
    <w:rsid w:val="42747A95"/>
    <w:rsid w:val="427E52C8"/>
    <w:rsid w:val="429D02B3"/>
    <w:rsid w:val="42C27BE5"/>
    <w:rsid w:val="42FA6BD0"/>
    <w:rsid w:val="42FB4E01"/>
    <w:rsid w:val="4301585B"/>
    <w:rsid w:val="431B31A4"/>
    <w:rsid w:val="43325808"/>
    <w:rsid w:val="433E1CAF"/>
    <w:rsid w:val="43412297"/>
    <w:rsid w:val="43413ED4"/>
    <w:rsid w:val="43594499"/>
    <w:rsid w:val="43636C3F"/>
    <w:rsid w:val="436E5353"/>
    <w:rsid w:val="438073DF"/>
    <w:rsid w:val="4396068B"/>
    <w:rsid w:val="439D6340"/>
    <w:rsid w:val="43FD7280"/>
    <w:rsid w:val="440975ED"/>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531B2C"/>
    <w:rsid w:val="457C4AF8"/>
    <w:rsid w:val="45A100BA"/>
    <w:rsid w:val="45A31600"/>
    <w:rsid w:val="45E526C2"/>
    <w:rsid w:val="45EF5694"/>
    <w:rsid w:val="45F32D75"/>
    <w:rsid w:val="45FE4441"/>
    <w:rsid w:val="460934CE"/>
    <w:rsid w:val="461F685B"/>
    <w:rsid w:val="463A35BA"/>
    <w:rsid w:val="464478D6"/>
    <w:rsid w:val="46594972"/>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CC18F2"/>
    <w:rsid w:val="48F556EA"/>
    <w:rsid w:val="48F94ED4"/>
    <w:rsid w:val="4911002D"/>
    <w:rsid w:val="49160811"/>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8A37D8"/>
    <w:rsid w:val="4A8B4AB2"/>
    <w:rsid w:val="4AD9595B"/>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B90697"/>
    <w:rsid w:val="4DC515BB"/>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5F3ED1"/>
    <w:rsid w:val="4F6E725F"/>
    <w:rsid w:val="4F804E7C"/>
    <w:rsid w:val="4F85516A"/>
    <w:rsid w:val="4F944D8F"/>
    <w:rsid w:val="4FC47A57"/>
    <w:rsid w:val="4FCA5221"/>
    <w:rsid w:val="4FED0FB9"/>
    <w:rsid w:val="507410D2"/>
    <w:rsid w:val="50A4392E"/>
    <w:rsid w:val="50A97681"/>
    <w:rsid w:val="50AE3B94"/>
    <w:rsid w:val="50AF7418"/>
    <w:rsid w:val="50E93575"/>
    <w:rsid w:val="50EE4AFC"/>
    <w:rsid w:val="50F04D4E"/>
    <w:rsid w:val="50F102ED"/>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2BC6"/>
    <w:rsid w:val="53BD6F30"/>
    <w:rsid w:val="540540F5"/>
    <w:rsid w:val="542913B3"/>
    <w:rsid w:val="543F18BA"/>
    <w:rsid w:val="54883400"/>
    <w:rsid w:val="54932F58"/>
    <w:rsid w:val="54A81CB5"/>
    <w:rsid w:val="54C076CF"/>
    <w:rsid w:val="54C41B11"/>
    <w:rsid w:val="54EE1E00"/>
    <w:rsid w:val="550E49C6"/>
    <w:rsid w:val="552609CE"/>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44214A"/>
    <w:rsid w:val="574B480A"/>
    <w:rsid w:val="57543081"/>
    <w:rsid w:val="57656FC6"/>
    <w:rsid w:val="5789649C"/>
    <w:rsid w:val="5792629F"/>
    <w:rsid w:val="57A373F0"/>
    <w:rsid w:val="57C83C57"/>
    <w:rsid w:val="57F14ED1"/>
    <w:rsid w:val="57FB2FB4"/>
    <w:rsid w:val="582028C2"/>
    <w:rsid w:val="582908A2"/>
    <w:rsid w:val="583C0128"/>
    <w:rsid w:val="583D07DD"/>
    <w:rsid w:val="585F1862"/>
    <w:rsid w:val="58620D26"/>
    <w:rsid w:val="58706FB1"/>
    <w:rsid w:val="587C5983"/>
    <w:rsid w:val="58E135DE"/>
    <w:rsid w:val="58E8415E"/>
    <w:rsid w:val="58E86238"/>
    <w:rsid w:val="58FF1A45"/>
    <w:rsid w:val="591C580B"/>
    <w:rsid w:val="5926497A"/>
    <w:rsid w:val="592A1893"/>
    <w:rsid w:val="595D3E12"/>
    <w:rsid w:val="59961EFB"/>
    <w:rsid w:val="59A11353"/>
    <w:rsid w:val="59B40569"/>
    <w:rsid w:val="5A0336C4"/>
    <w:rsid w:val="5A1D0D82"/>
    <w:rsid w:val="5A20315B"/>
    <w:rsid w:val="5A4A7B64"/>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621FE"/>
    <w:rsid w:val="5BA762EC"/>
    <w:rsid w:val="5BD32897"/>
    <w:rsid w:val="5BF50A44"/>
    <w:rsid w:val="5C295CCC"/>
    <w:rsid w:val="5C381A3A"/>
    <w:rsid w:val="5C5C135C"/>
    <w:rsid w:val="5C872DAA"/>
    <w:rsid w:val="5C974816"/>
    <w:rsid w:val="5CA97228"/>
    <w:rsid w:val="5CBA57BD"/>
    <w:rsid w:val="5CC5471C"/>
    <w:rsid w:val="5CDC5386"/>
    <w:rsid w:val="5CEE7B85"/>
    <w:rsid w:val="5CF73D69"/>
    <w:rsid w:val="5D0E2726"/>
    <w:rsid w:val="5D155A24"/>
    <w:rsid w:val="5D202057"/>
    <w:rsid w:val="5D447851"/>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01A3F"/>
    <w:rsid w:val="5EF83794"/>
    <w:rsid w:val="5F0173CC"/>
    <w:rsid w:val="5F1A1A93"/>
    <w:rsid w:val="5F287F7E"/>
    <w:rsid w:val="5F475677"/>
    <w:rsid w:val="5F484198"/>
    <w:rsid w:val="5F567498"/>
    <w:rsid w:val="5F75229B"/>
    <w:rsid w:val="5F7D71F9"/>
    <w:rsid w:val="5F8420E2"/>
    <w:rsid w:val="5F887220"/>
    <w:rsid w:val="5F9022AB"/>
    <w:rsid w:val="5FB81E56"/>
    <w:rsid w:val="5FBF1411"/>
    <w:rsid w:val="5FD85FDC"/>
    <w:rsid w:val="5FEB78D3"/>
    <w:rsid w:val="5FEC00EE"/>
    <w:rsid w:val="600951D4"/>
    <w:rsid w:val="6010358A"/>
    <w:rsid w:val="601A25EF"/>
    <w:rsid w:val="60250EC1"/>
    <w:rsid w:val="603E7832"/>
    <w:rsid w:val="6044067F"/>
    <w:rsid w:val="60793AF7"/>
    <w:rsid w:val="608763D3"/>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CD5D4B"/>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7EC6D70"/>
    <w:rsid w:val="6821192D"/>
    <w:rsid w:val="68337E89"/>
    <w:rsid w:val="68337EE8"/>
    <w:rsid w:val="683A6C76"/>
    <w:rsid w:val="685C5B46"/>
    <w:rsid w:val="688C0656"/>
    <w:rsid w:val="68AE1735"/>
    <w:rsid w:val="68B72950"/>
    <w:rsid w:val="68D128E1"/>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05A87"/>
    <w:rsid w:val="6A5517EC"/>
    <w:rsid w:val="6A694BA1"/>
    <w:rsid w:val="6A734205"/>
    <w:rsid w:val="6ABC3292"/>
    <w:rsid w:val="6AC04F0B"/>
    <w:rsid w:val="6AD34458"/>
    <w:rsid w:val="6ADC4801"/>
    <w:rsid w:val="6ADF25FC"/>
    <w:rsid w:val="6B020CD0"/>
    <w:rsid w:val="6B1148AC"/>
    <w:rsid w:val="6B3E0351"/>
    <w:rsid w:val="6B42449D"/>
    <w:rsid w:val="6B4A5562"/>
    <w:rsid w:val="6B4A697B"/>
    <w:rsid w:val="6B565807"/>
    <w:rsid w:val="6B7A369F"/>
    <w:rsid w:val="6B804C2E"/>
    <w:rsid w:val="6BAC2823"/>
    <w:rsid w:val="6BAE7310"/>
    <w:rsid w:val="6BBD5024"/>
    <w:rsid w:val="6BF37DF1"/>
    <w:rsid w:val="6C247443"/>
    <w:rsid w:val="6C5B63EC"/>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9F0D8B"/>
    <w:rsid w:val="6EC4761A"/>
    <w:rsid w:val="6ED26905"/>
    <w:rsid w:val="6ED924EF"/>
    <w:rsid w:val="6EE20566"/>
    <w:rsid w:val="6EEB6DD8"/>
    <w:rsid w:val="6EF513F6"/>
    <w:rsid w:val="6F0230C8"/>
    <w:rsid w:val="6F1F0771"/>
    <w:rsid w:val="6F3669E2"/>
    <w:rsid w:val="6F3A0437"/>
    <w:rsid w:val="6F452492"/>
    <w:rsid w:val="6F4E1ABB"/>
    <w:rsid w:val="6F65489B"/>
    <w:rsid w:val="6F7E0543"/>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416E76"/>
    <w:rsid w:val="765661D4"/>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150154"/>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B400F8"/>
    <w:rsid w:val="7CCE4D69"/>
    <w:rsid w:val="7D0A0BA4"/>
    <w:rsid w:val="7D107AF3"/>
    <w:rsid w:val="7D4253C7"/>
    <w:rsid w:val="7D4C5341"/>
    <w:rsid w:val="7D4E5EE6"/>
    <w:rsid w:val="7D8901AD"/>
    <w:rsid w:val="7D8E577D"/>
    <w:rsid w:val="7D9A426A"/>
    <w:rsid w:val="7E006F08"/>
    <w:rsid w:val="7E333E03"/>
    <w:rsid w:val="7E391FE6"/>
    <w:rsid w:val="7E916762"/>
    <w:rsid w:val="7EA916FD"/>
    <w:rsid w:val="7EAB552B"/>
    <w:rsid w:val="7ED97EF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sz w:val="24"/>
    </w:rPr>
  </w:style>
  <w:style w:type="paragraph" w:styleId="3">
    <w:name w:val="Body Text Indent"/>
    <w:basedOn w:val="1"/>
    <w:next w:val="4"/>
    <w:autoRedefine/>
    <w:qFormat/>
    <w:uiPriority w:val="0"/>
    <w:pPr>
      <w:spacing w:after="120" w:afterLines="0"/>
      <w:ind w:left="420" w:leftChars="200"/>
    </w:pPr>
  </w:style>
  <w:style w:type="paragraph" w:styleId="4">
    <w:name w:val="envelope return"/>
    <w:basedOn w:val="1"/>
    <w:qFormat/>
    <w:uiPriority w:val="0"/>
    <w:rPr>
      <w:rFonts w:ascii="Arial" w:hAnsi="Arial"/>
    </w:rPr>
  </w:style>
  <w:style w:type="paragraph" w:styleId="8">
    <w:name w:val="annotation text"/>
    <w:basedOn w:val="1"/>
    <w:autoRedefine/>
    <w:qFormat/>
    <w:uiPriority w:val="0"/>
    <w:pPr>
      <w:jc w:val="left"/>
    </w:pPr>
    <w:rPr>
      <w:rFonts w:eastAsia="宋体"/>
      <w:kern w:val="2"/>
      <w:sz w:val="21"/>
      <w:szCs w:val="24"/>
      <w:lang w:val="en-US" w:eastAsia="zh-CN" w:bidi="ar-SA"/>
    </w:rPr>
  </w:style>
  <w:style w:type="paragraph" w:styleId="9">
    <w:name w:val="Body Text 3"/>
    <w:basedOn w:val="1"/>
    <w:autoRedefine/>
    <w:qFormat/>
    <w:uiPriority w:val="0"/>
    <w:rPr>
      <w:rFonts w:ascii="宋体"/>
      <w:sz w:val="24"/>
      <w:szCs w:val="20"/>
    </w:rPr>
  </w:style>
  <w:style w:type="paragraph" w:styleId="10">
    <w:name w:val="Body Text"/>
    <w:basedOn w:val="1"/>
    <w:autoRedefine/>
    <w:qFormat/>
    <w:uiPriority w:val="0"/>
    <w:pPr>
      <w:spacing w:after="120"/>
    </w:pPr>
  </w:style>
  <w:style w:type="paragraph" w:styleId="11">
    <w:name w:val="Plain Text"/>
    <w:basedOn w:val="1"/>
    <w:autoRedefine/>
    <w:qFormat/>
    <w:uiPriority w:val="0"/>
    <w:rPr>
      <w:rFonts w:ascii="宋体" w:hAnsi="Courier New"/>
      <w:szCs w:val="20"/>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10"/>
    <w:autoRedefine/>
    <w:qFormat/>
    <w:uiPriority w:val="0"/>
    <w:pPr>
      <w:ind w:firstLine="420" w:firstLineChars="1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6"/>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7"/>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41"/>
    <w:basedOn w:val="19"/>
    <w:autoRedefine/>
    <w:qFormat/>
    <w:uiPriority w:val="0"/>
    <w:rPr>
      <w:rFonts w:hint="eastAsia" w:ascii="宋体" w:hAnsi="宋体" w:eastAsia="宋体" w:cs="宋体"/>
      <w:color w:val="000000"/>
      <w:sz w:val="21"/>
      <w:szCs w:val="21"/>
      <w:u w:val="none"/>
    </w:rPr>
  </w:style>
  <w:style w:type="character" w:customStyle="1" w:styleId="31">
    <w:name w:val="font51"/>
    <w:basedOn w:val="19"/>
    <w:autoRedefine/>
    <w:qFormat/>
    <w:uiPriority w:val="0"/>
    <w:rPr>
      <w:rFonts w:hint="default" w:ascii="Times New Roman" w:hAnsi="Times New Roman" w:cs="Times New Roman"/>
      <w:color w:val="000000"/>
      <w:sz w:val="21"/>
      <w:szCs w:val="21"/>
      <w:u w:val="none"/>
    </w:rPr>
  </w:style>
  <w:style w:type="character" w:customStyle="1" w:styleId="32">
    <w:name w:val="font61"/>
    <w:basedOn w:val="19"/>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19245</Words>
  <Characters>21402</Characters>
  <Lines>0</Lines>
  <Paragraphs>0</Paragraphs>
  <TotalTime>1</TotalTime>
  <ScaleCrop>false</ScaleCrop>
  <LinksUpToDate>false</LinksUpToDate>
  <CharactersWithSpaces>22743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2024-05-21T03:43:00Z</cp:lastPrinted>
  <dcterms:modified xsi:type="dcterms:W3CDTF">2024-07-09T07:05:02Z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9047F56F0139467791D1AF6CF1CA0396_13</vt:lpwstr>
  </property>
</Properties>
</file>