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亳州逸合府一期施工总承包项目免拆模系统材料采购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地址：亳州交通投资控股集团有限公司9楼法务部（药都路与希夷大道交叉口东北角9楼）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亳州逸合府一期施工总承包项目免拆模系统材料采购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项目编号：BZJK-2024-   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2024年7月   日   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300835216"/>
      <w:bookmarkStart w:id="2" w:name="_Toc247514286"/>
      <w:bookmarkStart w:id="3" w:name="_Toc152045794"/>
      <w:bookmarkStart w:id="4" w:name="_Toc144974862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0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亳州逸合府一期施工总承包项目免拆模系统材料采购（项目编号：BZJK-2024-   号）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亳州逸合府一期施工总承包项目免拆模系统材料采购（项目编号：BZJK-2024-   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，供货期限：自合同签订日期起1年，交货期：自采购人下达供货指令之日起3日历天，质量标准：符合国家、地方、行业现行相关规范合格标准。</w:t>
      </w:r>
      <w:permEnd w:id="2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5"/>
        <w:tblW w:w="14080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679"/>
        <w:gridCol w:w="5310"/>
        <w:gridCol w:w="2490"/>
        <w:gridCol w:w="1515"/>
        <w:gridCol w:w="1335"/>
        <w:gridCol w:w="1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08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亳州逸合府一期施工总承包项目免拆模系统材料采购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568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材料编号</w:t>
            </w:r>
          </w:p>
        </w:tc>
        <w:tc>
          <w:tcPr>
            <w:tcW w:w="167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531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规格型号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暂估材料用量（m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元/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总价（元）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5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免拆模系统材料</w:t>
            </w:r>
          </w:p>
        </w:tc>
        <w:tc>
          <w:tcPr>
            <w:tcW w:w="53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保温免拆模板燃烧性能为 A级,免拆模板 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厚且保温芯材的导热系数不大于0.05W/m·K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1569.13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8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含税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single"/>
                <w:lang w:val="en-US" w:eastAsia="zh-CN" w:bidi="ar-SA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5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免拆模系统材料</w:t>
            </w:r>
          </w:p>
        </w:tc>
        <w:tc>
          <w:tcPr>
            <w:tcW w:w="53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 xml:space="preserve">保温免拆模板燃烧性能为 A级,免拆模板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厚且保温芯材的导热系数不大于0.05W/m·K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3343.36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335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jc w:val="left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5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免拆模系统材料</w:t>
            </w:r>
          </w:p>
        </w:tc>
        <w:tc>
          <w:tcPr>
            <w:tcW w:w="53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 xml:space="preserve">保温免拆模板燃烧性能为 A级,免拆模板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厚且保温芯材的导热系数不大于0.05W/m·K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2.免拆模板60厚(30厚保温芯材+30 厚不燃材</w:t>
            </w:r>
            <w:bookmarkStart w:id="6" w:name="_GoBack"/>
            <w:bookmarkEnd w:id="6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料)且保温芯材的导热系数不大于 0.05W/m·K，且须满足《建筑设计防火规范(2018版)》GB50016-2014中第6.7.3条,具体厚度需设计符合确认。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62316.93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335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jc w:val="left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562" w:type="dxa"/>
            <w:gridSpan w:val="5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合计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noWrap/>
            <w:vAlign w:val="bottom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183" w:type="dxa"/>
            <w:tcBorders>
              <w:tl2br w:val="nil"/>
              <w:tr2bl w:val="nil"/>
            </w:tcBorders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ind w:firstLine="42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</w:t>
      </w:r>
    </w:p>
    <w:p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2.提供供应商业绩合同、合同任意节点税务发票的复印件或扫描件，加盖供应商单位公章；</w:t>
      </w:r>
    </w:p>
    <w:p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3.提供供应商信用中国查询证明复印件或扫描件，加盖供应商单位公章。</w:t>
      </w:r>
      <w:permEnd w:id="3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4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YjQ0YjE2OTExYWFiNjE1ZmNiYzY0N2Y3ODIz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C430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641A3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D43B0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4E2132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2015</Words>
  <Characters>2145</Characters>
  <Lines>0</Lines>
  <Paragraphs>0</Paragraphs>
  <TotalTime>1</TotalTime>
  <ScaleCrop>false</ScaleCrop>
  <LinksUpToDate>false</LinksUpToDate>
  <CharactersWithSpaces>2934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2024-06-27T01:00:57Z</cp:lastPrinted>
  <dcterms:modified xsi:type="dcterms:W3CDTF">2024-06-27T01:01:10Z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E2CB090A92CA4F34AC5824E49CC36B1F</vt:lpwstr>
  </property>
</Properties>
</file>