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Y084杜仲路延伸段升级改造工程劳务分包项目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u w:val="single"/>
          <w:shd w:val="clear" w:color="auto" w:fill="auto"/>
          <w:lang w:val="en-US" w:eastAsia="zh-CN"/>
        </w:rPr>
        <w:t>45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地址：安徽省</w:t>
            </w:r>
            <w:bookmarkStart w:id="6" w:name="_GoBack"/>
            <w:bookmarkEnd w:id="6"/>
            <w:r>
              <w:rPr>
                <w:rFonts w:hint="eastAsia" w:ascii="Times New Roman" w:hAnsi="Times New Roman" w:cs="Times New Roman"/>
                <w:szCs w:val="21"/>
                <w:highlight w:val="none"/>
                <w:lang w:val="en-US" w:eastAsia="zh-CN"/>
              </w:rPr>
              <w:t>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Y084杜仲路延伸段升级改造工程劳务分包项目</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AHTKJS-2024-45号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年7月2日15时00分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14286"/>
      <w:bookmarkStart w:id="1" w:name="_Toc144974862"/>
      <w:bookmarkStart w:id="2" w:name="_Toc152042583"/>
      <w:bookmarkStart w:id="3" w:name="_Toc247527834"/>
      <w:bookmarkStart w:id="4" w:name="_Toc300835216"/>
      <w:bookmarkStart w:id="5"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default" w:ascii="Times New Roman" w:hAnsi="Times New Roman" w:cs="Times New Roman"/>
          <w:szCs w:val="21"/>
          <w:u w:val="single"/>
          <w:lang w:val="en-US" w:eastAsia="zh-CN"/>
        </w:rPr>
        <w:t>Y084杜仲路延伸段升级改造工程劳务分包项目（项目编号：AHTKJS-2024-</w:t>
      </w:r>
      <w:r>
        <w:rPr>
          <w:rFonts w:hint="eastAsia" w:ascii="Times New Roman" w:hAnsi="Times New Roman" w:cs="Times New Roman"/>
          <w:szCs w:val="21"/>
          <w:u w:val="single"/>
          <w:lang w:val="en-US" w:eastAsia="zh-CN"/>
        </w:rPr>
        <w:t>45</w:t>
      </w:r>
      <w:r>
        <w:rPr>
          <w:rFonts w:hint="default" w:ascii="Times New Roman" w:hAnsi="Times New Roman" w:cs="Times New Roman"/>
          <w:szCs w:val="21"/>
          <w:u w:val="single"/>
          <w:lang w:val="en-US" w:eastAsia="zh-CN"/>
        </w:rPr>
        <w:t>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default" w:ascii="Times New Roman" w:hAnsi="Times New Roman" w:cs="Times New Roman"/>
          <w:szCs w:val="21"/>
          <w:u w:val="single"/>
          <w:lang w:val="en-US" w:eastAsia="zh-CN"/>
        </w:rPr>
        <w:t>Y084杜仲路延伸段升级改造工程劳务分包项目（项目编号：AHTKJS-2024-</w:t>
      </w:r>
      <w:r>
        <w:rPr>
          <w:rFonts w:hint="eastAsia" w:ascii="Times New Roman" w:hAnsi="Times New Roman" w:cs="Times New Roman"/>
          <w:szCs w:val="21"/>
          <w:u w:val="single"/>
          <w:lang w:val="en-US" w:eastAsia="zh-CN"/>
        </w:rPr>
        <w:t>45</w:t>
      </w:r>
      <w:r>
        <w:rPr>
          <w:rFonts w:hint="default" w:ascii="Times New Roman" w:hAnsi="Times New Roman" w:cs="Times New Roman"/>
          <w:szCs w:val="21"/>
          <w:u w:val="single"/>
          <w:lang w:val="en-US" w:eastAsia="zh-CN"/>
        </w:rPr>
        <w:t>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3%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，计划工期：自合同签订之日起50日历天</w:t>
      </w:r>
      <w:r>
        <w:rPr>
          <w:rFonts w:hint="eastAsia" w:ascii="Times New Roman" w:hAnsi="Times New Roman" w:cs="Times New Roman"/>
          <w:szCs w:val="21"/>
          <w:u w:val="none"/>
          <w:lang w:val="en-US" w:eastAsia="zh-CN"/>
        </w:rPr>
        <w:t>，具体以招标人要求为准</w:t>
      </w:r>
      <w:r>
        <w:rPr>
          <w:rFonts w:hint="eastAsia" w:ascii="Times New Roman" w:hAnsi="Times New Roman" w:cs="Times New Roman"/>
          <w:szCs w:val="21"/>
          <w:lang w:val="en-US" w:eastAsia="zh-CN"/>
        </w:rPr>
        <w:t>，质量标准：符合国家、地方、行业现行相关规范合格标准。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r>
        <w:rPr>
          <w:rFonts w:hint="eastAsia" w:ascii="Times New Roman" w:hAnsi="Times New Roman" w:cs="Times New Roman"/>
          <w:lang w:eastAsia="zh-CN"/>
        </w:rPr>
        <w:t>（本项目不需要）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8"/>
        <w:tblW w:w="9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37"/>
        <w:gridCol w:w="1252"/>
        <w:gridCol w:w="1557"/>
        <w:gridCol w:w="1032"/>
        <w:gridCol w:w="1357"/>
        <w:gridCol w:w="1280"/>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308" w:type="dxa"/>
            <w:gridSpan w:val="8"/>
          </w:tcPr>
          <w:p>
            <w:pPr>
              <w:jc w:val="center"/>
              <w:rPr>
                <w:vertAlign w:val="baseline"/>
              </w:rPr>
            </w:pPr>
            <w:r>
              <w:rPr>
                <w:rFonts w:ascii="宋体" w:hAnsi="宋体" w:eastAsia="宋体" w:cs="宋体"/>
                <w:b/>
                <w:bCs/>
                <w:i w:val="0"/>
                <w:iCs w:val="0"/>
                <w:color w:val="000000"/>
                <w:kern w:val="0"/>
                <w:sz w:val="32"/>
                <w:szCs w:val="32"/>
                <w:u w:val="none"/>
                <w:lang w:val="en-US" w:eastAsia="zh-CN" w:bidi="ar"/>
              </w:rPr>
              <w:t>工程量清单-劳务分包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8" w:type="dxa"/>
            <w:gridSpan w:val="8"/>
          </w:tcPr>
          <w:p>
            <w:pPr>
              <w:rPr>
                <w:vertAlign w:val="baseline"/>
              </w:rPr>
            </w:pPr>
            <w:r>
              <w:rPr>
                <w:rFonts w:ascii="宋体" w:hAnsi="宋体" w:eastAsia="宋体" w:cs="宋体"/>
                <w:i w:val="0"/>
                <w:iCs w:val="0"/>
                <w:color w:val="000000"/>
                <w:kern w:val="0"/>
                <w:sz w:val="18"/>
                <w:szCs w:val="18"/>
                <w:u w:val="none"/>
                <w:lang w:val="en-US" w:eastAsia="zh-CN" w:bidi="ar"/>
              </w:rPr>
              <w:t>项目名称：</w:t>
            </w:r>
            <w:r>
              <w:rPr>
                <w:rFonts w:ascii="宋体" w:hAnsi="宋体" w:eastAsia="宋体" w:cs="宋体"/>
                <w:b/>
                <w:bCs/>
                <w:i w:val="0"/>
                <w:iCs w:val="0"/>
                <w:color w:val="000000"/>
                <w:kern w:val="0"/>
                <w:sz w:val="18"/>
                <w:szCs w:val="18"/>
                <w:u w:val="none"/>
                <w:lang w:val="en-US" w:eastAsia="zh-CN" w:bidi="ar"/>
              </w:rPr>
              <w:t>Y084</w:t>
            </w:r>
            <w:r>
              <w:rPr>
                <w:rFonts w:ascii="宋体" w:hAnsi="宋体" w:eastAsia="宋体" w:cs="宋体"/>
                <w:i w:val="0"/>
                <w:iCs w:val="0"/>
                <w:color w:val="000000"/>
                <w:kern w:val="0"/>
                <w:sz w:val="18"/>
                <w:szCs w:val="18"/>
                <w:u w:val="none"/>
                <w:lang w:val="en-US" w:eastAsia="zh-CN" w:bidi="ar"/>
              </w:rPr>
              <w:t>杜仲路延伸段升级改造工程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vertAlign w:val="baseline"/>
                <w:lang w:val="en-US" w:eastAsia="zh-CN"/>
              </w:rPr>
            </w:pPr>
            <w:r>
              <w:rPr>
                <w:rFonts w:hint="eastAsia"/>
                <w:vertAlign w:val="baseline"/>
                <w:lang w:val="en-US" w:eastAsia="zh-CN"/>
              </w:rPr>
              <w:t>序号</w:t>
            </w:r>
          </w:p>
        </w:tc>
        <w:tc>
          <w:tcPr>
            <w:tcW w:w="1137" w:type="dxa"/>
            <w:vAlign w:val="center"/>
          </w:tcPr>
          <w:p>
            <w:pPr>
              <w:jc w:val="center"/>
              <w:rPr>
                <w:rFonts w:hint="default" w:eastAsiaTheme="minorEastAsia"/>
                <w:vertAlign w:val="baseline"/>
                <w:lang w:val="en-US" w:eastAsia="zh-CN"/>
              </w:rPr>
            </w:pPr>
            <w:r>
              <w:rPr>
                <w:rFonts w:hint="eastAsia"/>
                <w:vertAlign w:val="baseline"/>
                <w:lang w:val="en-US" w:eastAsia="zh-CN"/>
              </w:rPr>
              <w:t>名称</w:t>
            </w:r>
          </w:p>
        </w:tc>
        <w:tc>
          <w:tcPr>
            <w:tcW w:w="2809" w:type="dxa"/>
            <w:gridSpan w:val="2"/>
            <w:vAlign w:val="center"/>
          </w:tcPr>
          <w:p>
            <w:pPr>
              <w:jc w:val="center"/>
              <w:rPr>
                <w:rFonts w:hint="default" w:eastAsiaTheme="minorEastAsia"/>
                <w:vertAlign w:val="baseline"/>
                <w:lang w:val="en-US" w:eastAsia="zh-CN"/>
              </w:rPr>
            </w:pPr>
            <w:r>
              <w:rPr>
                <w:rFonts w:hint="eastAsia"/>
                <w:vertAlign w:val="baseline"/>
                <w:lang w:val="en-US" w:eastAsia="zh-CN"/>
              </w:rPr>
              <w:t>分项名称</w:t>
            </w:r>
          </w:p>
        </w:tc>
        <w:tc>
          <w:tcPr>
            <w:tcW w:w="1032" w:type="dxa"/>
            <w:vAlign w:val="center"/>
          </w:tcPr>
          <w:p>
            <w:pPr>
              <w:jc w:val="center"/>
              <w:rPr>
                <w:rFonts w:hint="eastAsia" w:eastAsiaTheme="minorEastAsia"/>
                <w:vertAlign w:val="baseline"/>
                <w:lang w:val="en-US" w:eastAsia="zh-CN"/>
              </w:rPr>
            </w:pPr>
            <w:r>
              <w:rPr>
                <w:rFonts w:hint="eastAsia"/>
                <w:vertAlign w:val="baseline"/>
                <w:lang w:val="en-US" w:eastAsia="zh-CN"/>
              </w:rPr>
              <w:t>数量</w:t>
            </w:r>
          </w:p>
        </w:tc>
        <w:tc>
          <w:tcPr>
            <w:tcW w:w="1357" w:type="dxa"/>
            <w:vAlign w:val="center"/>
          </w:tcPr>
          <w:p>
            <w:pPr>
              <w:jc w:val="center"/>
              <w:rPr>
                <w:rFonts w:hint="eastAsia"/>
                <w:vertAlign w:val="baseline"/>
                <w:lang w:val="en-US" w:eastAsia="zh-CN"/>
              </w:rPr>
            </w:pPr>
            <w:r>
              <w:rPr>
                <w:rFonts w:hint="eastAsia"/>
                <w:vertAlign w:val="baseline"/>
                <w:lang w:val="en-US" w:eastAsia="zh-CN"/>
              </w:rPr>
              <w:t>含税</w:t>
            </w:r>
          </w:p>
          <w:p>
            <w:pPr>
              <w:jc w:val="center"/>
              <w:rPr>
                <w:rFonts w:hint="default" w:eastAsiaTheme="minorEastAsia"/>
                <w:vertAlign w:val="baseline"/>
                <w:lang w:val="en-US" w:eastAsia="zh-CN"/>
              </w:rPr>
            </w:pPr>
            <w:r>
              <w:rPr>
                <w:rFonts w:hint="eastAsia"/>
                <w:vertAlign w:val="baseline"/>
                <w:lang w:val="en-US" w:eastAsia="zh-CN"/>
              </w:rPr>
              <w:t>单价</w:t>
            </w:r>
          </w:p>
        </w:tc>
        <w:tc>
          <w:tcPr>
            <w:tcW w:w="1280" w:type="dxa"/>
            <w:vAlign w:val="center"/>
          </w:tcPr>
          <w:p>
            <w:pPr>
              <w:jc w:val="center"/>
              <w:rPr>
                <w:rFonts w:hint="eastAsia"/>
                <w:vertAlign w:val="baseline"/>
                <w:lang w:val="en-US" w:eastAsia="zh-CN"/>
              </w:rPr>
            </w:pPr>
            <w:r>
              <w:rPr>
                <w:rFonts w:hint="eastAsia"/>
                <w:vertAlign w:val="baseline"/>
                <w:lang w:val="en-US" w:eastAsia="zh-CN"/>
              </w:rPr>
              <w:t>含税</w:t>
            </w:r>
          </w:p>
          <w:p>
            <w:pPr>
              <w:jc w:val="center"/>
              <w:rPr>
                <w:rFonts w:hint="eastAsia" w:eastAsiaTheme="minorEastAsia"/>
                <w:vertAlign w:val="baseline"/>
                <w:lang w:val="en-US" w:eastAsia="zh-CN"/>
              </w:rPr>
            </w:pPr>
            <w:r>
              <w:rPr>
                <w:rFonts w:hint="eastAsia"/>
                <w:vertAlign w:val="baseline"/>
                <w:lang w:val="en-US" w:eastAsia="zh-CN"/>
              </w:rPr>
              <w:t>总计</w:t>
            </w:r>
          </w:p>
        </w:tc>
        <w:tc>
          <w:tcPr>
            <w:tcW w:w="965" w:type="dxa"/>
            <w:vAlign w:val="center"/>
          </w:tcPr>
          <w:p>
            <w:pPr>
              <w:jc w:val="center"/>
              <w:rPr>
                <w:rFonts w:hint="eastAsia" w:eastAsiaTheme="minorEastAsia"/>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restart"/>
            <w:vAlign w:val="center"/>
          </w:tcPr>
          <w:p>
            <w:pPr>
              <w:jc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w:t>
            </w:r>
          </w:p>
        </w:tc>
        <w:tc>
          <w:tcPr>
            <w:tcW w:w="1137"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（101）</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路基工程</w:t>
            </w:r>
          </w:p>
        </w:tc>
        <w:tc>
          <w:tcPr>
            <w:tcW w:w="2809" w:type="dxa"/>
            <w:gridSpan w:val="2"/>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（LJ01）</w:t>
            </w:r>
            <w:r>
              <w:rPr>
                <w:rFonts w:hint="eastAsia" w:ascii="宋体" w:hAnsi="宋体" w:eastAsia="宋体" w:cs="宋体"/>
                <w:i w:val="0"/>
                <w:iCs w:val="0"/>
                <w:color w:val="000000"/>
                <w:kern w:val="0"/>
                <w:sz w:val="20"/>
                <w:szCs w:val="20"/>
                <w:u w:val="none"/>
                <w:lang w:val="en-US" w:eastAsia="zh-CN" w:bidi="ar"/>
              </w:rPr>
              <w:t>场地清理</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2.455</w:t>
            </w:r>
            <w:r>
              <w:rPr>
                <w:rFonts w:hint="eastAsia" w:ascii="宋体" w:hAnsi="宋体" w:eastAsia="宋体" w:cs="宋体"/>
                <w:b/>
                <w:bCs/>
                <w:i w:val="0"/>
                <w:iCs w:val="0"/>
                <w:color w:val="000000"/>
                <w:kern w:val="0"/>
                <w:sz w:val="20"/>
                <w:szCs w:val="20"/>
                <w:u w:val="none"/>
                <w:lang w:val="en-US" w:eastAsia="zh-CN" w:bidi="ar"/>
              </w:rPr>
              <w:t>km</w:t>
            </w:r>
          </w:p>
        </w:tc>
        <w:tc>
          <w:tcPr>
            <w:tcW w:w="1357" w:type="dxa"/>
            <w:vAlign w:val="center"/>
          </w:tcPr>
          <w:p>
            <w:pPr>
              <w:jc w:val="center"/>
              <w:rPr>
                <w:rFonts w:hint="eastAsia"/>
                <w:vertAlign w:val="baseline"/>
                <w:lang w:val="en-US" w:eastAsia="zh-CN"/>
              </w:rPr>
            </w:pPr>
          </w:p>
        </w:tc>
        <w:tc>
          <w:tcPr>
            <w:tcW w:w="1280" w:type="dxa"/>
            <w:vMerge w:val="restart"/>
            <w:vAlign w:val="center"/>
          </w:tcPr>
          <w:p>
            <w:pPr>
              <w:jc w:val="center"/>
              <w:rPr>
                <w:rFonts w:hint="default"/>
                <w:vertAlign w:val="baseline"/>
                <w:lang w:val="en-US" w:eastAsia="zh-CN"/>
              </w:rPr>
            </w:pPr>
            <w:r>
              <w:rPr>
                <w:rFonts w:hint="eastAsia"/>
                <w:vertAlign w:val="baseline"/>
                <w:lang w:val="en-US" w:eastAsia="zh-CN"/>
              </w:rPr>
              <w:t>235000.00元</w:t>
            </w: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清理与掘除</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清除表土</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736.4</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含所有施工劳务、辅材、小型机械等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（LJ010102）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伐树、挖根</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900棵</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路基挖方</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（LJ0201）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挖土方</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2920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路基挖方</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（LJ0302）</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借土方填筑</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3432.5</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含土方协调、外运、周转、存放等一切费用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（LJ0307）</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水泥土回填</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957</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rFonts w:hint="eastAsia" w:ascii="宋体" w:hAnsi="宋体" w:eastAsia="宋体" w:cs="宋体"/>
                <w:i w:val="0"/>
                <w:iCs w:val="0"/>
                <w:color w:val="000000"/>
                <w:kern w:val="0"/>
                <w:sz w:val="16"/>
                <w:szCs w:val="16"/>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（LJ04）</w:t>
            </w:r>
            <w:r>
              <w:rPr>
                <w:rFonts w:hint="eastAsia" w:ascii="宋体" w:hAnsi="宋体" w:eastAsia="宋体" w:cs="宋体"/>
                <w:i w:val="0"/>
                <w:iCs w:val="0"/>
                <w:color w:val="000000"/>
                <w:kern w:val="0"/>
                <w:sz w:val="20"/>
                <w:szCs w:val="20"/>
                <w:u w:val="none"/>
                <w:lang w:val="en-US" w:eastAsia="zh-CN" w:bidi="ar"/>
              </w:rPr>
              <w:t>废方</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2920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sz w:val="18"/>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restart"/>
            <w:vAlign w:val="center"/>
          </w:tcPr>
          <w:p>
            <w:pPr>
              <w:jc w:val="center"/>
              <w:rPr>
                <w:rFonts w:hint="eastAsia" w:eastAsiaTheme="minorEastAsia"/>
                <w:vertAlign w:val="baseline"/>
                <w:lang w:val="en-US" w:eastAsia="zh-CN"/>
              </w:rPr>
            </w:pPr>
            <w:r>
              <w:rPr>
                <w:rFonts w:hint="eastAsia"/>
                <w:vertAlign w:val="baseline"/>
                <w:lang w:val="en-US" w:eastAsia="zh-CN"/>
              </w:rPr>
              <w:t>2</w:t>
            </w:r>
          </w:p>
        </w:tc>
        <w:tc>
          <w:tcPr>
            <w:tcW w:w="1137"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（103）</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路面工程</w:t>
            </w:r>
          </w:p>
        </w:tc>
        <w:tc>
          <w:tcPr>
            <w:tcW w:w="1252"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路面底基层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（LM010202）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路面底基层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3510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restart"/>
            <w:vAlign w:val="center"/>
          </w:tcPr>
          <w:p>
            <w:pPr>
              <w:jc w:val="center"/>
              <w:rPr>
                <w:rFonts w:hint="default"/>
                <w:vertAlign w:val="baseline"/>
                <w:lang w:val="en-US" w:eastAsia="zh-CN"/>
              </w:rPr>
            </w:pPr>
            <w:r>
              <w:rPr>
                <w:rFonts w:hint="eastAsia"/>
                <w:vertAlign w:val="baseline"/>
                <w:lang w:val="en-US" w:eastAsia="zh-CN"/>
              </w:rPr>
              <w:t>298000.00元</w:t>
            </w:r>
          </w:p>
        </w:tc>
        <w:tc>
          <w:tcPr>
            <w:tcW w:w="965" w:type="dxa"/>
            <w:vAlign w:val="center"/>
          </w:tcPr>
          <w:p>
            <w:pPr>
              <w:jc w:val="left"/>
              <w:rPr>
                <w:sz w:val="18"/>
                <w:szCs w:val="21"/>
                <w:vertAlign w:val="baseline"/>
              </w:rPr>
            </w:pPr>
            <w:r>
              <w:rPr>
                <w:rFonts w:hint="eastAsia" w:ascii="宋体" w:hAnsi="宋体" w:eastAsia="宋体" w:cs="宋体"/>
                <w:i w:val="0"/>
                <w:iCs w:val="0"/>
                <w:color w:val="000000"/>
                <w:kern w:val="0"/>
                <w:sz w:val="16"/>
                <w:szCs w:val="16"/>
                <w:u w:val="none"/>
                <w:lang w:val="en-US" w:eastAsia="zh-CN" w:bidi="ar"/>
              </w:rPr>
              <w:t>含碎石及装运卸、整平、压实、降尘等一切费用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rPr>
                <w:vertAlign w:val="baseline"/>
              </w:rPr>
            </w:pPr>
          </w:p>
        </w:tc>
        <w:tc>
          <w:tcPr>
            <w:tcW w:w="1137" w:type="dxa"/>
            <w:vMerge w:val="continue"/>
            <w:vAlign w:val="center"/>
          </w:tcPr>
          <w:p>
            <w:pPr>
              <w:jc w:val="center"/>
              <w:rPr>
                <w:rFonts w:hint="eastAsia" w:ascii="宋体" w:hAnsi="宋体" w:eastAsia="宋体" w:cs="宋体"/>
                <w:b/>
                <w:bCs/>
                <w:i w:val="0"/>
                <w:iCs w:val="0"/>
                <w:color w:val="000000"/>
                <w:kern w:val="0"/>
                <w:sz w:val="20"/>
                <w:szCs w:val="20"/>
                <w:u w:val="none"/>
                <w:lang w:val="en-US" w:eastAsia="zh-CN" w:bidi="ar"/>
              </w:rPr>
            </w:pPr>
          </w:p>
        </w:tc>
        <w:tc>
          <w:tcPr>
            <w:tcW w:w="1252" w:type="dxa"/>
            <w:vMerge w:val="restart"/>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w:t>
            </w:r>
          </w:p>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路面基层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绑宽段</w:t>
            </w:r>
            <w:r>
              <w:rPr>
                <w:rFonts w:hint="eastAsia" w:ascii="宋体" w:hAnsi="宋体" w:eastAsia="宋体" w:cs="宋体"/>
                <w:b/>
                <w:bCs/>
                <w:i w:val="0"/>
                <w:iCs w:val="0"/>
                <w:color w:val="000000"/>
                <w:kern w:val="0"/>
                <w:sz w:val="20"/>
                <w:szCs w:val="20"/>
                <w:u w:val="none"/>
                <w:lang w:val="en-US" w:eastAsia="zh-CN" w:bidi="ar"/>
              </w:rPr>
              <w:t>)</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（LM010301）</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20cmC20</w:t>
            </w:r>
            <w:r>
              <w:rPr>
                <w:rFonts w:hint="eastAsia" w:ascii="宋体" w:hAnsi="宋体" w:eastAsia="宋体" w:cs="宋体"/>
                <w:i w:val="0"/>
                <w:iCs w:val="0"/>
                <w:color w:val="000000"/>
                <w:kern w:val="0"/>
                <w:sz w:val="20"/>
                <w:szCs w:val="20"/>
                <w:u w:val="none"/>
                <w:lang w:val="en-US" w:eastAsia="zh-CN" w:bidi="ar"/>
              </w:rPr>
              <w:t>水泥砼基层</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1250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r>
              <w:rPr>
                <w:rFonts w:hint="eastAsia" w:ascii="宋体" w:hAnsi="宋体" w:eastAsia="宋体" w:cs="宋体"/>
                <w:i w:val="0"/>
                <w:iCs w:val="0"/>
                <w:color w:val="000000"/>
                <w:kern w:val="0"/>
                <w:sz w:val="16"/>
                <w:szCs w:val="16"/>
                <w:u w:val="none"/>
                <w:lang w:val="en-US" w:eastAsia="zh-CN" w:bidi="ar"/>
              </w:rPr>
              <w:t>除混凝土材料外所有施工劳务、拉杆、传力杆、、防裂贴、辅材、小型机械等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（LM010302）</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24cmC35</w:t>
            </w:r>
            <w:r>
              <w:rPr>
                <w:rFonts w:hint="eastAsia" w:ascii="宋体" w:hAnsi="宋体" w:eastAsia="宋体" w:cs="宋体"/>
                <w:i w:val="0"/>
                <w:iCs w:val="0"/>
                <w:color w:val="000000"/>
                <w:kern w:val="0"/>
                <w:sz w:val="20"/>
                <w:szCs w:val="20"/>
                <w:u w:val="none"/>
                <w:lang w:val="en-US" w:eastAsia="zh-CN" w:bidi="ar"/>
              </w:rPr>
              <w:t>水泥砼基层</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2980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（LM0104）</w:t>
            </w:r>
            <w:r>
              <w:rPr>
                <w:rFonts w:hint="eastAsia" w:ascii="宋体" w:hAnsi="宋体" w:eastAsia="宋体" w:cs="宋体"/>
                <w:i w:val="0"/>
                <w:iCs w:val="0"/>
                <w:color w:val="000000"/>
                <w:kern w:val="0"/>
                <w:sz w:val="20"/>
                <w:szCs w:val="20"/>
                <w:u w:val="none"/>
                <w:lang w:val="en-US" w:eastAsia="zh-CN" w:bidi="ar"/>
              </w:rPr>
              <w:t>自粘型</w:t>
            </w:r>
            <w:r>
              <w:rPr>
                <w:rFonts w:hint="eastAsia" w:ascii="宋体" w:hAnsi="宋体" w:eastAsia="宋体" w:cs="宋体"/>
                <w:b/>
                <w:bCs/>
                <w:i w:val="0"/>
                <w:iCs w:val="0"/>
                <w:color w:val="000000"/>
                <w:kern w:val="0"/>
                <w:sz w:val="20"/>
                <w:szCs w:val="20"/>
                <w:u w:val="none"/>
                <w:lang w:val="en-US" w:eastAsia="zh-CN" w:bidi="ar"/>
              </w:rPr>
              <w:t>SBS</w:t>
            </w:r>
            <w:r>
              <w:rPr>
                <w:rFonts w:hint="eastAsia" w:ascii="宋体" w:hAnsi="宋体" w:eastAsia="宋体" w:cs="宋体"/>
                <w:i w:val="0"/>
                <w:iCs w:val="0"/>
                <w:color w:val="000000"/>
                <w:kern w:val="0"/>
                <w:sz w:val="20"/>
                <w:szCs w:val="20"/>
                <w:u w:val="none"/>
                <w:lang w:val="en-US" w:eastAsia="zh-CN" w:bidi="ar"/>
              </w:rPr>
              <w:t>防裂贴、密封胶灌缝</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（LM010405）</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自粘型</w:t>
            </w:r>
            <w:r>
              <w:rPr>
                <w:rFonts w:hint="eastAsia" w:ascii="宋体" w:hAnsi="宋体" w:eastAsia="宋体" w:cs="宋体"/>
                <w:b/>
                <w:bCs/>
                <w:i w:val="0"/>
                <w:iCs w:val="0"/>
                <w:color w:val="000000"/>
                <w:kern w:val="0"/>
                <w:sz w:val="20"/>
                <w:szCs w:val="20"/>
                <w:u w:val="none"/>
                <w:lang w:val="en-US" w:eastAsia="zh-CN" w:bidi="ar"/>
              </w:rPr>
              <w:t>SBS</w:t>
            </w:r>
            <w:r>
              <w:rPr>
                <w:rFonts w:hint="eastAsia" w:ascii="宋体" w:hAnsi="宋体" w:eastAsia="宋体" w:cs="宋体"/>
                <w:i w:val="0"/>
                <w:iCs w:val="0"/>
                <w:color w:val="000000"/>
                <w:kern w:val="0"/>
                <w:sz w:val="20"/>
                <w:szCs w:val="20"/>
                <w:u w:val="none"/>
                <w:lang w:val="en-US" w:eastAsia="zh-CN" w:bidi="ar"/>
              </w:rPr>
              <w:t>防裂贴</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2810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（LM010406）</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密封胶灌缝</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5620</w:t>
            </w:r>
            <w:r>
              <w:rPr>
                <w:rFonts w:hint="eastAsia" w:ascii="宋体" w:hAnsi="宋体" w:eastAsia="宋体" w:cs="宋体"/>
                <w:b/>
                <w:bCs/>
                <w:i w:val="0"/>
                <w:iCs w:val="0"/>
                <w:color w:val="000000"/>
                <w:kern w:val="0"/>
                <w:sz w:val="20"/>
                <w:szCs w:val="20"/>
                <w:u w:val="none"/>
                <w:lang w:val="en-US" w:eastAsia="zh-CN" w:bidi="ar"/>
              </w:rPr>
              <w:t>m</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restart"/>
            <w:vAlign w:val="center"/>
          </w:tcPr>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（LM0402）</w:t>
            </w:r>
            <w:r>
              <w:rPr>
                <w:rFonts w:hint="eastAsia" w:ascii="宋体" w:hAnsi="宋体" w:eastAsia="宋体" w:cs="宋体"/>
                <w:i w:val="0"/>
                <w:iCs w:val="0"/>
                <w:color w:val="000000"/>
                <w:kern w:val="0"/>
                <w:sz w:val="20"/>
                <w:szCs w:val="20"/>
                <w:u w:val="none"/>
                <w:lang w:val="en-US" w:eastAsia="zh-CN" w:bidi="ar"/>
              </w:rPr>
              <w:t>路肩</w:t>
            </w: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培路肩</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1116.8</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restart"/>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pPr>
          </w:p>
        </w:tc>
        <w:tc>
          <w:tcPr>
            <w:tcW w:w="1137" w:type="dxa"/>
            <w:vMerge w:val="continue"/>
            <w:vAlign w:val="center"/>
          </w:tcPr>
          <w:p>
            <w:pPr>
              <w:jc w:val="center"/>
            </w:pPr>
          </w:p>
        </w:tc>
        <w:tc>
          <w:tcPr>
            <w:tcW w:w="1252" w:type="dxa"/>
            <w:vMerge w:val="continue"/>
            <w:vAlign w:val="center"/>
          </w:tcPr>
          <w:p>
            <w:pPr>
              <w:jc w:val="cente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（LM040202）</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15cmC25</w:t>
            </w:r>
            <w:r>
              <w:rPr>
                <w:rFonts w:hint="eastAsia" w:ascii="宋体" w:hAnsi="宋体" w:eastAsia="宋体" w:cs="宋体"/>
                <w:i w:val="0"/>
                <w:iCs w:val="0"/>
                <w:color w:val="000000"/>
                <w:kern w:val="0"/>
                <w:sz w:val="20"/>
                <w:szCs w:val="20"/>
                <w:u w:val="none"/>
                <w:lang w:val="en-US" w:eastAsia="zh-CN" w:bidi="ar"/>
              </w:rPr>
              <w:t>水泥混凝土路肩硬化</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136</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1252" w:type="dxa"/>
            <w:vMerge w:val="continue"/>
            <w:vAlign w:val="center"/>
          </w:tcPr>
          <w:p>
            <w:pPr>
              <w:jc w:val="center"/>
              <w:rPr>
                <w:vertAlign w:val="baseline"/>
              </w:rPr>
            </w:pPr>
          </w:p>
        </w:tc>
        <w:tc>
          <w:tcPr>
            <w:tcW w:w="155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（LM040203）</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10cm</w:t>
            </w:r>
            <w:r>
              <w:rPr>
                <w:rFonts w:hint="eastAsia" w:ascii="宋体" w:hAnsi="宋体" w:eastAsia="宋体" w:cs="宋体"/>
                <w:i w:val="0"/>
                <w:iCs w:val="0"/>
                <w:color w:val="000000"/>
                <w:kern w:val="0"/>
                <w:sz w:val="20"/>
                <w:szCs w:val="20"/>
                <w:u w:val="none"/>
                <w:lang w:val="en-US" w:eastAsia="zh-CN" w:bidi="ar"/>
              </w:rPr>
              <w:t>碎石找平路肩硬化</w:t>
            </w:r>
          </w:p>
        </w:tc>
        <w:tc>
          <w:tcPr>
            <w:tcW w:w="103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65</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3</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Merge w:val="continue"/>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（LM11）</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地坪恢复</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850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728" w:type="dxa"/>
            <w:vMerge w:val="continue"/>
            <w:vAlign w:val="center"/>
          </w:tcPr>
          <w:p>
            <w:pPr>
              <w:jc w:val="center"/>
              <w:rPr>
                <w:vertAlign w:val="baseline"/>
              </w:rPr>
            </w:pPr>
          </w:p>
        </w:tc>
        <w:tc>
          <w:tcPr>
            <w:tcW w:w="1137" w:type="dxa"/>
            <w:vMerge w:val="continue"/>
            <w:vAlign w:val="center"/>
          </w:tcPr>
          <w:p>
            <w:pPr>
              <w:jc w:val="center"/>
              <w:rPr>
                <w:vertAlign w:val="baseline"/>
              </w:rPr>
            </w:pP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（LM12）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老路面裂缝处理</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200</w:t>
            </w:r>
            <w:r>
              <w:rPr>
                <w:rFonts w:hint="eastAsia" w:ascii="宋体" w:hAnsi="宋体" w:eastAsia="宋体" w:cs="宋体"/>
                <w:b/>
                <w:bCs/>
                <w:i w:val="0"/>
                <w:iCs w:val="0"/>
                <w:color w:val="000000"/>
                <w:kern w:val="0"/>
                <w:sz w:val="20"/>
                <w:szCs w:val="20"/>
                <w:u w:val="none"/>
                <w:lang w:val="en-US" w:eastAsia="zh-CN" w:bidi="ar"/>
              </w:rPr>
              <w:t>m</w:t>
            </w:r>
            <w:r>
              <w:rPr>
                <w:rFonts w:hint="eastAsia" w:ascii="宋体" w:hAnsi="宋体" w:eastAsia="宋体" w:cs="宋体"/>
                <w:b/>
                <w:bCs/>
                <w:i w:val="0"/>
                <w:iCs w:val="0"/>
                <w:color w:val="000000"/>
                <w:kern w:val="0"/>
                <w:sz w:val="20"/>
                <w:szCs w:val="20"/>
                <w:u w:val="none"/>
                <w:vertAlign w:val="superscript"/>
                <w:lang w:val="en-US" w:eastAsia="zh-CN" w:bidi="ar"/>
              </w:rPr>
              <w:t>2</w:t>
            </w:r>
          </w:p>
        </w:tc>
        <w:tc>
          <w:tcPr>
            <w:tcW w:w="1357" w:type="dxa"/>
            <w:vAlign w:val="center"/>
          </w:tcPr>
          <w:p>
            <w:pPr>
              <w:jc w:val="center"/>
              <w:rPr>
                <w:rFonts w:hint="eastAsia"/>
                <w:vertAlign w:val="baseline"/>
                <w:lang w:val="en-US" w:eastAsia="zh-CN"/>
              </w:rPr>
            </w:pPr>
          </w:p>
        </w:tc>
        <w:tc>
          <w:tcPr>
            <w:tcW w:w="1280" w:type="dxa"/>
            <w:vMerge w:val="continue"/>
            <w:vAlign w:val="center"/>
          </w:tcPr>
          <w:p>
            <w:pPr>
              <w:jc w:val="center"/>
              <w:rPr>
                <w:rFonts w:hint="eastAsia"/>
                <w:vertAlign w:val="baseline"/>
                <w:lang w:val="en-US" w:eastAsia="zh-CN"/>
              </w:rPr>
            </w:pPr>
          </w:p>
        </w:tc>
        <w:tc>
          <w:tcPr>
            <w:tcW w:w="965" w:type="dxa"/>
            <w:vAlign w:val="center"/>
          </w:tcPr>
          <w:p>
            <w:pPr>
              <w:jc w:val="left"/>
              <w:rPr>
                <w:vertAlign w:val="baseline"/>
              </w:rPr>
            </w:pPr>
            <w:r>
              <w:rPr>
                <w:rFonts w:hint="eastAsia" w:ascii="宋体" w:hAnsi="宋体" w:eastAsia="宋体" w:cs="宋体"/>
                <w:i w:val="0"/>
                <w:iCs w:val="0"/>
                <w:color w:val="000000"/>
                <w:kern w:val="0"/>
                <w:sz w:val="16"/>
                <w:szCs w:val="16"/>
                <w:u w:val="none"/>
                <w:lang w:val="en-US" w:eastAsia="zh-CN" w:bidi="ar"/>
              </w:rPr>
              <w:t>含所有开挖、破除、清运、浇筑混凝土、植筋、防裂贴等劳务、辅材、小型机械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eastAsiaTheme="minorEastAsia"/>
                <w:vertAlign w:val="baseline"/>
                <w:lang w:val="en-US" w:eastAsia="zh-CN"/>
              </w:rPr>
            </w:pPr>
            <w:r>
              <w:rPr>
                <w:rFonts w:hint="eastAsia"/>
                <w:vertAlign w:val="baseline"/>
                <w:lang w:val="en-US" w:eastAsia="zh-CN"/>
              </w:rPr>
              <w:t>3</w:t>
            </w:r>
          </w:p>
        </w:tc>
        <w:tc>
          <w:tcPr>
            <w:tcW w:w="113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（106）</w:t>
            </w:r>
          </w:p>
          <w:p>
            <w:pPr>
              <w:jc w:val="center"/>
              <w:rPr>
                <w:vertAlign w:val="baseline"/>
              </w:rPr>
            </w:pPr>
            <w:r>
              <w:rPr>
                <w:rFonts w:hint="eastAsia" w:ascii="宋体" w:hAnsi="宋体" w:eastAsia="宋体" w:cs="宋体"/>
                <w:b/>
                <w:bCs/>
                <w:i w:val="0"/>
                <w:iCs w:val="0"/>
                <w:color w:val="000000"/>
                <w:kern w:val="0"/>
                <w:sz w:val="20"/>
                <w:szCs w:val="20"/>
                <w:u w:val="none"/>
                <w:lang w:val="en-US" w:eastAsia="zh-CN" w:bidi="ar"/>
              </w:rPr>
              <w:t>交叉工程</w:t>
            </w: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（1060102）</w:t>
            </w:r>
          </w:p>
          <w:p>
            <w:pPr>
              <w:jc w:val="center"/>
              <w:rPr>
                <w:vertAlign w:val="baseline"/>
              </w:rPr>
            </w:pPr>
            <w:r>
              <w:rPr>
                <w:rFonts w:hint="eastAsia" w:ascii="宋体" w:hAnsi="宋体" w:eastAsia="宋体" w:cs="宋体"/>
                <w:i w:val="0"/>
                <w:iCs w:val="0"/>
                <w:color w:val="000000"/>
                <w:kern w:val="0"/>
                <w:sz w:val="20"/>
                <w:szCs w:val="20"/>
                <w:u w:val="none"/>
                <w:lang w:val="en-US" w:eastAsia="zh-CN" w:bidi="ar"/>
              </w:rPr>
              <w:t>一般公路与公路平面交叉</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6处</w:t>
            </w:r>
          </w:p>
        </w:tc>
        <w:tc>
          <w:tcPr>
            <w:tcW w:w="1357" w:type="dxa"/>
            <w:vAlign w:val="center"/>
          </w:tcPr>
          <w:p>
            <w:pPr>
              <w:jc w:val="center"/>
              <w:rPr>
                <w:rFonts w:hint="eastAsia"/>
                <w:vertAlign w:val="baseline"/>
                <w:lang w:val="en-US" w:eastAsia="zh-CN"/>
              </w:rPr>
            </w:pPr>
          </w:p>
        </w:tc>
        <w:tc>
          <w:tcPr>
            <w:tcW w:w="1280" w:type="dxa"/>
            <w:vAlign w:val="center"/>
          </w:tcPr>
          <w:p>
            <w:pPr>
              <w:jc w:val="center"/>
              <w:rPr>
                <w:rFonts w:hint="default"/>
                <w:vertAlign w:val="baseline"/>
                <w:lang w:val="en-US" w:eastAsia="zh-CN"/>
              </w:rPr>
            </w:pPr>
            <w:r>
              <w:rPr>
                <w:rFonts w:hint="eastAsia"/>
                <w:vertAlign w:val="baseline"/>
                <w:lang w:val="en-US" w:eastAsia="zh-CN"/>
              </w:rPr>
              <w:t>15000.00元</w:t>
            </w:r>
          </w:p>
        </w:tc>
        <w:tc>
          <w:tcPr>
            <w:tcW w:w="965" w:type="dxa"/>
            <w:vAlign w:val="center"/>
          </w:tcPr>
          <w:p>
            <w:pPr>
              <w:jc w:val="left"/>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含破除、垃圾清运、浇筑混凝土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8" w:type="dxa"/>
            <w:vAlign w:val="center"/>
          </w:tcPr>
          <w:p>
            <w:pPr>
              <w:jc w:val="center"/>
              <w:rPr>
                <w:rFonts w:hint="eastAsia" w:eastAsiaTheme="minorEastAsia"/>
                <w:vertAlign w:val="baseline"/>
                <w:lang w:val="en-US" w:eastAsia="zh-CN"/>
              </w:rPr>
            </w:pPr>
            <w:r>
              <w:rPr>
                <w:rFonts w:hint="eastAsia"/>
                <w:vertAlign w:val="baseline"/>
                <w:lang w:val="en-US" w:eastAsia="zh-CN"/>
              </w:rPr>
              <w:t>4</w:t>
            </w:r>
          </w:p>
        </w:tc>
        <w:tc>
          <w:tcPr>
            <w:tcW w:w="1137" w:type="dxa"/>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（107）</w:t>
            </w:r>
          </w:p>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交叉工程</w:t>
            </w:r>
          </w:p>
        </w:tc>
        <w:tc>
          <w:tcPr>
            <w:tcW w:w="2809" w:type="dxa"/>
            <w:gridSpan w:val="2"/>
            <w:vAlign w:val="center"/>
          </w:tcPr>
          <w:p>
            <w:pPr>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032" w:type="dxa"/>
            <w:vAlign w:val="center"/>
          </w:tcPr>
          <w:p>
            <w:pPr>
              <w:jc w:val="center"/>
              <w:rPr>
                <w:vertAlign w:val="baseline"/>
              </w:rPr>
            </w:pPr>
            <w:r>
              <w:rPr>
                <w:rFonts w:hint="eastAsia" w:ascii="宋体" w:hAnsi="宋体" w:eastAsia="宋体" w:cs="宋体"/>
                <w:i w:val="0"/>
                <w:iCs w:val="0"/>
                <w:color w:val="000000"/>
                <w:kern w:val="0"/>
                <w:sz w:val="20"/>
                <w:szCs w:val="20"/>
                <w:u w:val="none"/>
                <w:lang w:val="en-US" w:eastAsia="zh-CN" w:bidi="ar"/>
              </w:rPr>
              <w:t>1项</w:t>
            </w:r>
          </w:p>
        </w:tc>
        <w:tc>
          <w:tcPr>
            <w:tcW w:w="1357" w:type="dxa"/>
            <w:vAlign w:val="center"/>
          </w:tcPr>
          <w:p>
            <w:pPr>
              <w:jc w:val="center"/>
              <w:rPr>
                <w:rFonts w:hint="eastAsia"/>
                <w:vertAlign w:val="baseline"/>
                <w:lang w:val="en-US" w:eastAsia="zh-CN"/>
              </w:rPr>
            </w:pPr>
            <w:r>
              <w:rPr>
                <w:rFonts w:hint="eastAsia"/>
                <w:vertAlign w:val="baseline"/>
                <w:lang w:val="en-US" w:eastAsia="zh-CN"/>
              </w:rPr>
              <w:t>10000.00</w:t>
            </w:r>
          </w:p>
          <w:p>
            <w:pPr>
              <w:jc w:val="center"/>
              <w:rPr>
                <w:rFonts w:hint="default"/>
                <w:vertAlign w:val="baseline"/>
                <w:lang w:val="en-US" w:eastAsia="zh-CN"/>
              </w:rPr>
            </w:pPr>
            <w:r>
              <w:rPr>
                <w:rFonts w:hint="eastAsia"/>
                <w:vertAlign w:val="baseline"/>
                <w:lang w:val="en-US" w:eastAsia="zh-CN"/>
              </w:rPr>
              <w:t>元/项</w:t>
            </w:r>
          </w:p>
        </w:tc>
        <w:tc>
          <w:tcPr>
            <w:tcW w:w="1280" w:type="dxa"/>
            <w:vAlign w:val="center"/>
          </w:tcPr>
          <w:p>
            <w:pPr>
              <w:jc w:val="center"/>
              <w:rPr>
                <w:rFonts w:hint="default"/>
                <w:vertAlign w:val="baseline"/>
                <w:lang w:val="en-US" w:eastAsia="zh-CN"/>
              </w:rPr>
            </w:pPr>
            <w:r>
              <w:rPr>
                <w:rFonts w:hint="eastAsia"/>
                <w:vertAlign w:val="baseline"/>
                <w:lang w:val="en-US" w:eastAsia="zh-CN"/>
              </w:rPr>
              <w:t>10000.00元</w:t>
            </w:r>
          </w:p>
        </w:tc>
        <w:tc>
          <w:tcPr>
            <w:tcW w:w="965" w:type="dxa"/>
            <w:vAlign w:val="center"/>
          </w:tcPr>
          <w:p>
            <w:pPr>
              <w:jc w:val="left"/>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如若成交人不服从管理，将按洒水车100元/天，工人150元/天/人进行扣除。此项费用作为不可竞争费用单独计列（本项费用不可更改），纳入总价。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063" w:type="dxa"/>
            <w:gridSpan w:val="6"/>
            <w:vAlign w:val="center"/>
          </w:tcPr>
          <w:p>
            <w:pPr>
              <w:jc w:val="center"/>
              <w:rPr>
                <w:rFonts w:hint="eastAsia" w:eastAsiaTheme="minorEastAsia"/>
                <w:vertAlign w:val="baseline"/>
                <w:lang w:val="en-US" w:eastAsia="zh-CN"/>
              </w:rPr>
            </w:pPr>
            <w:r>
              <w:rPr>
                <w:rFonts w:hint="eastAsia"/>
                <w:vertAlign w:val="baseline"/>
                <w:lang w:val="en-US" w:eastAsia="zh-CN"/>
              </w:rPr>
              <w:t>合计</w:t>
            </w:r>
          </w:p>
        </w:tc>
        <w:tc>
          <w:tcPr>
            <w:tcW w:w="1280" w:type="dxa"/>
            <w:vAlign w:val="center"/>
          </w:tcPr>
          <w:p>
            <w:pPr>
              <w:jc w:val="center"/>
              <w:rPr>
                <w:vertAlign w:val="baseline"/>
              </w:rPr>
            </w:pPr>
          </w:p>
        </w:tc>
        <w:tc>
          <w:tcPr>
            <w:tcW w:w="965" w:type="dxa"/>
            <w:vAlign w:val="center"/>
          </w:tcPr>
          <w:p>
            <w:pPr>
              <w:jc w:val="left"/>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8" w:type="dxa"/>
            <w:gridSpan w:val="8"/>
            <w:vAlign w:val="center"/>
          </w:tcPr>
          <w:p>
            <w:pPr>
              <w:jc w:val="left"/>
              <w:rPr>
                <w:vertAlign w:val="baseline"/>
              </w:rPr>
            </w:pPr>
            <w:r>
              <w:rPr>
                <w:rFonts w:hint="eastAsia" w:ascii="宋体" w:hAnsi="宋体" w:eastAsia="宋体" w:cs="宋体"/>
                <w:i w:val="0"/>
                <w:iCs w:val="0"/>
                <w:color w:val="000000"/>
                <w:kern w:val="0"/>
                <w:sz w:val="20"/>
                <w:szCs w:val="20"/>
                <w:u w:val="none"/>
                <w:lang w:val="en-US" w:eastAsia="zh-CN" w:bidi="ar"/>
              </w:rPr>
              <w:t>注：1.</w:t>
            </w:r>
            <w:r>
              <w:rPr>
                <w:rFonts w:hint="eastAsia" w:ascii="宋体" w:hAnsi="宋体" w:eastAsia="宋体" w:cs="宋体"/>
                <w:i w:val="0"/>
                <w:iCs w:val="0"/>
                <w:color w:val="000000"/>
                <w:kern w:val="0"/>
                <w:sz w:val="22"/>
                <w:szCs w:val="22"/>
                <w:u w:val="none"/>
                <w:lang w:val="en-US" w:eastAsia="zh-CN" w:bidi="ar"/>
              </w:rPr>
              <w:t>上述工程量清单内容均指满足设计图纸要求技术标准和图纸工程数量表所列所有的施工项目；2.结算时根据完成实际验收合格工作量进行结算；3.上述子项指导价格仅为参考，超出101、103、106、107每项总价的按无效标处理。（</w:t>
            </w:r>
            <w:r>
              <w:rPr>
                <w:rFonts w:hint="eastAsia" w:ascii="宋体" w:hAnsi="宋体" w:eastAsia="宋体" w:cs="宋体"/>
                <w:i w:val="0"/>
                <w:iCs w:val="0"/>
                <w:color w:val="FF0000"/>
                <w:kern w:val="0"/>
                <w:sz w:val="22"/>
                <w:szCs w:val="22"/>
                <w:u w:val="single"/>
                <w:lang w:val="en-US" w:eastAsia="zh-CN" w:bidi="ar"/>
              </w:rPr>
              <w:t>以上报价均含税3%</w:t>
            </w:r>
            <w:r>
              <w:rPr>
                <w:rFonts w:hint="eastAsia" w:ascii="宋体" w:hAnsi="宋体" w:eastAsia="宋体" w:cs="宋体"/>
                <w:i w:val="0"/>
                <w:iCs w:val="0"/>
                <w:color w:val="000000"/>
                <w:kern w:val="0"/>
                <w:sz w:val="22"/>
                <w:szCs w:val="22"/>
                <w:u w:val="none"/>
                <w:lang w:val="en-US" w:eastAsia="zh-CN" w:bidi="ar"/>
              </w:rPr>
              <w:t>）</w:t>
            </w:r>
          </w:p>
        </w:tc>
      </w:tr>
    </w:tbl>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2、提供供应商资质证书和安全生产许可证的复印件或扫描件，加盖供应商单位公章；</w:t>
      </w:r>
    </w:p>
    <w:p>
      <w:pPr>
        <w:numPr>
          <w:ilvl w:val="0"/>
          <w:numId w:val="0"/>
        </w:numPr>
        <w:topLinePunct/>
        <w:spacing w:line="440" w:lineRule="exact"/>
        <w:ind w:firstLine="840" w:firstLineChars="400"/>
        <w:rPr>
          <w:rFonts w:hint="eastAsia"/>
          <w:lang w:val="en-US" w:eastAsia="zh-CN"/>
        </w:rPr>
      </w:pPr>
      <w:r>
        <w:rPr>
          <w:rFonts w:hint="eastAsia" w:ascii="Times New Roman" w:hAnsi="Times New Roman" w:cs="Times New Roman"/>
          <w:szCs w:val="21"/>
          <w:lang w:val="en-US" w:eastAsia="zh-CN"/>
        </w:rPr>
        <w:t>3、提供供应商信用中国查询证明材料的复印件或扫描件，加盖供应商单位公章。</w:t>
      </w:r>
    </w:p>
    <w:permEnd w:id="4"/>
    <w:p>
      <w:pPr>
        <w:topLinePunct/>
        <w:spacing w:line="440" w:lineRule="exact"/>
        <w:rPr>
          <w:rFonts w:hint="eastAsia" w:ascii="Times New Roman" w:hAnsi="Times New Roman" w:cs="Times New Roman"/>
          <w:szCs w:val="21"/>
          <w:lang w:val="en-US" w:eastAsia="zh-CN"/>
        </w:rPr>
      </w:pPr>
    </w:p>
    <w:p>
      <w:pPr>
        <w:pStyle w:val="16"/>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16"/>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16"/>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16"/>
        <w:rPr>
          <w:rFonts w:hint="eastAsia" w:ascii="Times New Roman" w:hAnsi="Times New Roman" w:cs="Times New Roman"/>
          <w:szCs w:val="21"/>
          <w:lang w:val="en-US" w:eastAsia="zh-CN"/>
        </w:rPr>
      </w:pPr>
    </w:p>
    <w:p>
      <w:pPr>
        <w:rPr>
          <w:rFonts w:hint="eastAsia" w:ascii="Times New Roman" w:hAnsi="Times New Roman" w:cs="Times New Roman"/>
          <w:szCs w:val="21"/>
          <w:lang w:val="en-US" w:eastAsia="zh-CN"/>
        </w:rPr>
      </w:pPr>
    </w:p>
    <w:p>
      <w:pPr>
        <w:pStyle w:val="16"/>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56E4A"/>
    <w:rsid w:val="07A85930"/>
    <w:rsid w:val="07EC3844"/>
    <w:rsid w:val="07EE56D8"/>
    <w:rsid w:val="08135F8A"/>
    <w:rsid w:val="081A64E8"/>
    <w:rsid w:val="08281CD9"/>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21F63"/>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17766E"/>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837D5"/>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7B5B5A"/>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D72F6F"/>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040B"/>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1FFD4841"/>
    <w:rsid w:val="200E38F2"/>
    <w:rsid w:val="201E585F"/>
    <w:rsid w:val="20207229"/>
    <w:rsid w:val="2038743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095F54"/>
    <w:rsid w:val="272C11C0"/>
    <w:rsid w:val="27301EDB"/>
    <w:rsid w:val="27453115"/>
    <w:rsid w:val="27535D1C"/>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948D7"/>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D6B3D"/>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077BF"/>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03F45"/>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0C59EA"/>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2569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A81132"/>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2E02E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84477"/>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646A4"/>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0C3AB9"/>
    <w:rsid w:val="581B487A"/>
    <w:rsid w:val="581C6534"/>
    <w:rsid w:val="581E0D2C"/>
    <w:rsid w:val="581F1A3E"/>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5C3074"/>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52683"/>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DA38AA"/>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57AB5"/>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EA7C8A"/>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1E5CBC"/>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4373B"/>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51"/>
    <w:basedOn w:val="19"/>
    <w:qFormat/>
    <w:uiPriority w:val="0"/>
    <w:rPr>
      <w:rFonts w:hint="eastAsia" w:ascii="宋体" w:hAnsi="宋体" w:eastAsia="宋体" w:cs="宋体"/>
      <w:color w:val="000000"/>
      <w:sz w:val="22"/>
      <w:szCs w:val="22"/>
      <w:u w:val="none"/>
    </w:rPr>
  </w:style>
  <w:style w:type="character" w:customStyle="1" w:styleId="31">
    <w:name w:val="font91"/>
    <w:basedOn w:val="19"/>
    <w:qFormat/>
    <w:uiPriority w:val="0"/>
    <w:rPr>
      <w:rFonts w:hint="default" w:ascii="Times New Roman" w:hAnsi="Times New Roman" w:cs="Times New Roman"/>
      <w:color w:val="000000"/>
      <w:sz w:val="22"/>
      <w:szCs w:val="22"/>
      <w:u w:val="none"/>
    </w:rPr>
  </w:style>
  <w:style w:type="character" w:customStyle="1" w:styleId="32">
    <w:name w:val="font71"/>
    <w:basedOn w:val="19"/>
    <w:qFormat/>
    <w:uiPriority w:val="0"/>
    <w:rPr>
      <w:rFonts w:hint="default" w:ascii="Times New Roman" w:hAnsi="Times New Roman" w:cs="Times New Roman"/>
      <w:color w:val="000000"/>
      <w:sz w:val="22"/>
      <w:szCs w:val="22"/>
      <w:u w:val="none"/>
    </w:rPr>
  </w:style>
  <w:style w:type="character" w:customStyle="1" w:styleId="33">
    <w:name w:val="font81"/>
    <w:basedOn w:val="19"/>
    <w:qFormat/>
    <w:uiPriority w:val="0"/>
    <w:rPr>
      <w:rFonts w:hint="eastAsia" w:ascii="宋体" w:hAnsi="宋体" w:eastAsia="宋体" w:cs="宋体"/>
      <w:color w:val="000000"/>
      <w:sz w:val="22"/>
      <w:szCs w:val="22"/>
      <w:u w:val="none"/>
    </w:rPr>
  </w:style>
  <w:style w:type="character" w:customStyle="1" w:styleId="34">
    <w:name w:val="font61"/>
    <w:basedOn w:val="19"/>
    <w:qFormat/>
    <w:uiPriority w:val="0"/>
    <w:rPr>
      <w:rFonts w:hint="default" w:ascii="Times New Roman" w:hAnsi="Times New Roman" w:cs="Times New Roman"/>
      <w:color w:val="000000"/>
      <w:sz w:val="22"/>
      <w:szCs w:val="22"/>
      <w:u w:val="none"/>
    </w:rPr>
  </w:style>
  <w:style w:type="character" w:customStyle="1" w:styleId="35">
    <w:name w:val="font111"/>
    <w:basedOn w:val="19"/>
    <w:qFormat/>
    <w:uiPriority w:val="0"/>
    <w:rPr>
      <w:rFonts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2389</Words>
  <Characters>2770</Characters>
  <Lines>0</Lines>
  <Paragraphs>0</Paragraphs>
  <TotalTime>0</TotalTime>
  <ScaleCrop>false</ScaleCrop>
  <LinksUpToDate>false</LinksUpToDate>
  <CharactersWithSpaces>3526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2024-06-25T07:26:34Z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427BC7C530C94AE68EF2B86A17EE6049_13</vt:lpwstr>
  </property>
</Properties>
</file>