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b w:val="0"/>
          <w:bCs w:val="0"/>
          <w:color w:val="auto"/>
          <w:u w:val="none"/>
        </w:rPr>
      </w:pPr>
      <w:r>
        <w:rPr>
          <w:rFonts w:hint="eastAsia" w:ascii="方正小标宋简体" w:hAnsi="方正小标宋简体" w:eastAsia="方正小标宋简体" w:cs="方正小标宋简体"/>
          <w:b w:val="0"/>
          <w:bCs w:val="0"/>
          <w:color w:val="auto"/>
          <w:sz w:val="44"/>
          <w:szCs w:val="44"/>
          <w:u w:val="none"/>
        </w:rPr>
        <w:t>采购需求</w:t>
      </w:r>
    </w:p>
    <w:p>
      <w:pPr>
        <w:pStyle w:val="2"/>
        <w:numPr>
          <w:ilvl w:val="0"/>
          <w:numId w:val="1"/>
        </w:numPr>
        <w:spacing w:before="0" w:beforeLines="0" w:after="0" w:afterLines="0" w:line="240" w:lineRule="auto"/>
        <w:ind w:firstLine="640" w:firstLineChars="200"/>
        <w:jc w:val="left"/>
        <w:rPr>
          <w:rFonts w:hint="eastAsia" w:ascii="黑体" w:hAnsi="黑体" w:eastAsia="黑体" w:cs="黑体"/>
          <w:b w:val="0"/>
          <w:bCs w:val="0"/>
          <w:color w:val="auto"/>
          <w:sz w:val="32"/>
          <w:szCs w:val="32"/>
          <w:u w:val="none"/>
        </w:rPr>
      </w:pPr>
      <w:r>
        <w:rPr>
          <w:rFonts w:hint="eastAsia" w:ascii="黑体" w:hAnsi="黑体" w:eastAsia="黑体" w:cs="黑体"/>
          <w:b w:val="0"/>
          <w:bCs w:val="0"/>
          <w:color w:val="auto"/>
          <w:sz w:val="32"/>
          <w:szCs w:val="32"/>
          <w:u w:val="none"/>
        </w:rPr>
        <w:t>驾驶证自助批量制证机业务功能要求</w:t>
      </w:r>
    </w:p>
    <w:p>
      <w:pPr>
        <w:numPr>
          <w:ilvl w:val="0"/>
          <w:numId w:val="0"/>
        </w:numPr>
        <w:rPr>
          <w:rFonts w:hint="eastAsia" w:ascii="仿宋" w:hAnsi="仿宋" w:eastAsia="仿宋" w:cs="仿宋"/>
          <w:sz w:val="32"/>
          <w:szCs w:val="32"/>
          <w:lang w:val="en-US" w:eastAsia="zh-CN"/>
        </w:rPr>
      </w:pPr>
      <w:r>
        <w:rPr>
          <w:rFonts w:hint="eastAsia"/>
          <w:lang w:val="en-US" w:eastAsia="zh-CN"/>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b/>
          <w:bCs/>
          <w:sz w:val="32"/>
          <w:szCs w:val="32"/>
          <w:lang w:val="en-US" w:eastAsia="zh-CN"/>
        </w:rPr>
        <w:t>说明：</w:t>
      </w:r>
      <w:r>
        <w:rPr>
          <w:rFonts w:hint="eastAsia" w:ascii="仿宋" w:hAnsi="仿宋" w:eastAsia="仿宋" w:cs="仿宋"/>
          <w:sz w:val="32"/>
          <w:szCs w:val="32"/>
          <w:lang w:val="en-US" w:eastAsia="zh-CN"/>
        </w:rPr>
        <w:t>参考产品品牌，是为了说明该产品的技术规格及质量要求，投标产品质量、性能、技术参数等方面优于或相当于参考产品品牌的，均可以参加投标。投标方需在响应文件中详细列举响应品牌主机及配件的具体型号和参数。</w:t>
      </w:r>
    </w:p>
    <w:tbl>
      <w:tblPr>
        <w:tblStyle w:val="9"/>
        <w:tblW w:w="89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1"/>
        <w:gridCol w:w="1545"/>
        <w:gridCol w:w="1710"/>
        <w:gridCol w:w="2025"/>
        <w:gridCol w:w="870"/>
        <w:gridCol w:w="990"/>
        <w:gridCol w:w="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tcPr>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序号</w:t>
            </w:r>
          </w:p>
        </w:tc>
        <w:tc>
          <w:tcPr>
            <w:tcW w:w="1545" w:type="dxa"/>
          </w:tcPr>
          <w:p>
            <w:pPr>
              <w:numPr>
                <w:ilvl w:val="0"/>
                <w:numId w:val="0"/>
              </w:numPr>
              <w:jc w:val="both"/>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产品名称</w:t>
            </w:r>
          </w:p>
        </w:tc>
        <w:tc>
          <w:tcPr>
            <w:tcW w:w="1710" w:type="dxa"/>
          </w:tcPr>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参考品牌</w:t>
            </w:r>
          </w:p>
        </w:tc>
        <w:tc>
          <w:tcPr>
            <w:tcW w:w="2025" w:type="dxa"/>
          </w:tcPr>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参考型号</w:t>
            </w:r>
          </w:p>
        </w:tc>
        <w:tc>
          <w:tcPr>
            <w:tcW w:w="870" w:type="dxa"/>
          </w:tcPr>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单位</w:t>
            </w:r>
          </w:p>
        </w:tc>
        <w:tc>
          <w:tcPr>
            <w:tcW w:w="990" w:type="dxa"/>
          </w:tcPr>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数量</w:t>
            </w:r>
          </w:p>
        </w:tc>
        <w:tc>
          <w:tcPr>
            <w:tcW w:w="885" w:type="dxa"/>
          </w:tcPr>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1" w:type="dxa"/>
          </w:tcPr>
          <w:p>
            <w:pPr>
              <w:numPr>
                <w:ilvl w:val="0"/>
                <w:numId w:val="0"/>
              </w:numPr>
              <w:jc w:val="center"/>
              <w:rPr>
                <w:rFonts w:hint="eastAsia" w:ascii="仿宋" w:hAnsi="仿宋" w:eastAsia="仿宋" w:cs="仿宋"/>
                <w:sz w:val="32"/>
                <w:szCs w:val="32"/>
                <w:vertAlign w:val="baseline"/>
                <w:lang w:val="en-US" w:eastAsia="zh-CN"/>
              </w:rPr>
            </w:pPr>
          </w:p>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1545" w:type="dxa"/>
          </w:tcPr>
          <w:p>
            <w:pPr>
              <w:numPr>
                <w:ilvl w:val="0"/>
                <w:numId w:val="0"/>
              </w:numPr>
              <w:jc w:val="both"/>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驾驶证批量制证机</w:t>
            </w:r>
          </w:p>
        </w:tc>
        <w:tc>
          <w:tcPr>
            <w:tcW w:w="1710" w:type="dxa"/>
          </w:tcPr>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杭州诚道/青岛通产/广州卓腾</w:t>
            </w:r>
          </w:p>
        </w:tc>
        <w:tc>
          <w:tcPr>
            <w:tcW w:w="2025" w:type="dxa"/>
          </w:tcPr>
          <w:p>
            <w:pPr>
              <w:numPr>
                <w:ilvl w:val="0"/>
                <w:numId w:val="0"/>
              </w:num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CDT-J002/</w:t>
            </w:r>
          </w:p>
          <w:p>
            <w:pPr>
              <w:numPr>
                <w:ilvl w:val="0"/>
                <w:numId w:val="0"/>
              </w:numPr>
              <w:jc w:val="cente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TC-ZZPL-01/</w:t>
            </w:r>
          </w:p>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BON-80</w:t>
            </w:r>
          </w:p>
        </w:tc>
        <w:tc>
          <w:tcPr>
            <w:tcW w:w="870" w:type="dxa"/>
          </w:tcPr>
          <w:p>
            <w:pPr>
              <w:numPr>
                <w:ilvl w:val="0"/>
                <w:numId w:val="0"/>
              </w:numPr>
              <w:jc w:val="center"/>
              <w:rPr>
                <w:rFonts w:hint="default" w:ascii="仿宋" w:hAnsi="仿宋" w:eastAsia="仿宋" w:cs="仿宋"/>
                <w:sz w:val="32"/>
                <w:szCs w:val="32"/>
                <w:vertAlign w:val="baseline"/>
                <w:lang w:val="en-US" w:eastAsia="zh-CN"/>
              </w:rPr>
            </w:pPr>
          </w:p>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台</w:t>
            </w:r>
          </w:p>
        </w:tc>
        <w:tc>
          <w:tcPr>
            <w:tcW w:w="990" w:type="dxa"/>
          </w:tcPr>
          <w:p>
            <w:pPr>
              <w:numPr>
                <w:ilvl w:val="0"/>
                <w:numId w:val="0"/>
              </w:numPr>
              <w:jc w:val="center"/>
              <w:rPr>
                <w:rFonts w:hint="default" w:ascii="仿宋" w:hAnsi="仿宋" w:eastAsia="仿宋" w:cs="仿宋"/>
                <w:sz w:val="32"/>
                <w:szCs w:val="32"/>
                <w:vertAlign w:val="baseline"/>
                <w:lang w:val="en-US" w:eastAsia="zh-CN"/>
              </w:rPr>
            </w:pPr>
          </w:p>
          <w:p>
            <w:pPr>
              <w:numPr>
                <w:ilvl w:val="0"/>
                <w:numId w:val="0"/>
              </w:numPr>
              <w:jc w:val="cente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w:t>
            </w:r>
          </w:p>
        </w:tc>
        <w:tc>
          <w:tcPr>
            <w:tcW w:w="885" w:type="dxa"/>
          </w:tcPr>
          <w:p>
            <w:pPr>
              <w:numPr>
                <w:ilvl w:val="0"/>
                <w:numId w:val="0"/>
              </w:numPr>
              <w:jc w:val="center"/>
              <w:rPr>
                <w:rFonts w:hint="default" w:ascii="仿宋" w:hAnsi="仿宋" w:eastAsia="仿宋" w:cs="仿宋"/>
                <w:sz w:val="32"/>
                <w:szCs w:val="32"/>
                <w:vertAlign w:val="baseline"/>
                <w:lang w:val="en-US" w:eastAsia="zh-CN"/>
              </w:rPr>
            </w:pPr>
          </w:p>
        </w:tc>
      </w:tr>
    </w:tbl>
    <w:p>
      <w:pPr>
        <w:spacing w:line="360" w:lineRule="auto"/>
        <w:ind w:firstLine="643" w:firstLineChars="200"/>
        <w:textAlignment w:val="baseline"/>
        <w:outlineLvl w:val="9"/>
        <w:rPr>
          <w:rFonts w:hint="eastAsia" w:ascii="仿宋" w:hAnsi="仿宋" w:eastAsia="仿宋" w:cs="仿宋"/>
          <w:color w:val="auto"/>
          <w:sz w:val="32"/>
          <w:szCs w:val="32"/>
          <w:u w:val="none"/>
        </w:rPr>
      </w:pPr>
      <w:r>
        <w:rPr>
          <w:rFonts w:hint="eastAsia" w:ascii="仿宋" w:hAnsi="仿宋" w:eastAsia="仿宋" w:cs="仿宋"/>
          <w:b/>
          <w:bCs/>
          <w:color w:val="auto"/>
          <w:sz w:val="32"/>
          <w:szCs w:val="32"/>
          <w:u w:val="none"/>
        </w:rPr>
        <w:t>1</w:t>
      </w:r>
      <w:r>
        <w:rPr>
          <w:rFonts w:hint="eastAsia" w:ascii="仿宋" w:hAnsi="仿宋" w:eastAsia="仿宋" w:cs="仿宋"/>
          <w:b/>
          <w:bCs/>
          <w:color w:val="auto"/>
          <w:sz w:val="32"/>
          <w:szCs w:val="32"/>
          <w:u w:val="none"/>
          <w:lang w:val="en-US" w:eastAsia="zh-CN"/>
        </w:rPr>
        <w:t>.</w:t>
      </w:r>
      <w:r>
        <w:rPr>
          <w:rFonts w:hint="eastAsia" w:ascii="仿宋" w:hAnsi="仿宋" w:eastAsia="仿宋" w:cs="仿宋"/>
          <w:b/>
          <w:bCs/>
          <w:color w:val="auto"/>
          <w:sz w:val="32"/>
          <w:szCs w:val="32"/>
          <w:u w:val="none"/>
        </w:rPr>
        <w:t>期满换证：</w:t>
      </w:r>
      <w:r>
        <w:rPr>
          <w:rFonts w:hint="eastAsia" w:ascii="仿宋" w:hAnsi="仿宋" w:eastAsia="仿宋" w:cs="仿宋"/>
          <w:color w:val="auto"/>
          <w:sz w:val="32"/>
          <w:szCs w:val="32"/>
          <w:u w:val="none"/>
        </w:rPr>
        <w:t>可联网核验驾驶人近六个月的体检信息以及近六个月的电子驾驶证证件照片，将符合条件的期满补证流水写入亳州市公安交通管理综合应用平台，并通过安徽省统一支付平台自动创建驾驶证工本费电子订单，群众可通过微信或支付宝现场支付，现场制证，立等可取。</w:t>
      </w:r>
    </w:p>
    <w:p>
      <w:pPr>
        <w:spacing w:line="360" w:lineRule="auto"/>
        <w:ind w:firstLine="643" w:firstLineChars="200"/>
        <w:textAlignment w:val="baseline"/>
        <w:outlineLvl w:val="9"/>
        <w:rPr>
          <w:rFonts w:hint="eastAsia" w:ascii="仿宋" w:hAnsi="仿宋" w:eastAsia="仿宋" w:cs="仿宋"/>
          <w:color w:val="auto"/>
          <w:sz w:val="32"/>
          <w:szCs w:val="32"/>
          <w:u w:val="none"/>
        </w:rPr>
      </w:pPr>
      <w:r>
        <w:rPr>
          <w:rFonts w:hint="eastAsia" w:ascii="仿宋" w:hAnsi="仿宋" w:eastAsia="仿宋" w:cs="仿宋"/>
          <w:b/>
          <w:bCs/>
          <w:color w:val="auto"/>
          <w:sz w:val="32"/>
          <w:szCs w:val="32"/>
          <w:u w:val="none"/>
        </w:rPr>
        <w:t>2</w:t>
      </w:r>
      <w:r>
        <w:rPr>
          <w:rFonts w:hint="eastAsia" w:ascii="仿宋" w:hAnsi="仿宋" w:eastAsia="仿宋" w:cs="仿宋"/>
          <w:b/>
          <w:bCs/>
          <w:color w:val="auto"/>
          <w:sz w:val="32"/>
          <w:szCs w:val="32"/>
          <w:u w:val="none"/>
          <w:lang w:val="en-US" w:eastAsia="zh-CN"/>
        </w:rPr>
        <w:t>.</w:t>
      </w:r>
      <w:r>
        <w:rPr>
          <w:rFonts w:hint="eastAsia" w:ascii="仿宋" w:hAnsi="仿宋" w:eastAsia="仿宋" w:cs="仿宋"/>
          <w:b/>
          <w:bCs/>
          <w:color w:val="auto"/>
          <w:sz w:val="32"/>
          <w:szCs w:val="32"/>
          <w:u w:val="none"/>
        </w:rPr>
        <w:t>遗失补证：</w:t>
      </w:r>
      <w:r>
        <w:rPr>
          <w:rFonts w:hint="eastAsia" w:ascii="仿宋" w:hAnsi="仿宋" w:eastAsia="仿宋" w:cs="仿宋"/>
          <w:color w:val="auto"/>
          <w:sz w:val="32"/>
          <w:szCs w:val="32"/>
          <w:u w:val="none"/>
        </w:rPr>
        <w:t>可联网核验驾驶人近六个月的电子驾驶证证件照片，将符合条件的遗失补证流水写入亳州市公安交通管理综合应用平台，并通过安徽省统一支付平台自动创建驾驶证工本费电子订单，群众可通过微信或支付宝现场支付，现场制证，立等可取。</w:t>
      </w:r>
    </w:p>
    <w:p>
      <w:pPr>
        <w:spacing w:line="360" w:lineRule="auto"/>
        <w:ind w:firstLine="643" w:firstLineChars="200"/>
        <w:textAlignment w:val="baseline"/>
        <w:outlineLvl w:val="9"/>
        <w:rPr>
          <w:rFonts w:hint="eastAsia" w:ascii="仿宋" w:hAnsi="仿宋" w:eastAsia="仿宋" w:cs="仿宋"/>
          <w:color w:val="auto"/>
          <w:sz w:val="32"/>
          <w:szCs w:val="32"/>
          <w:u w:val="none"/>
        </w:rPr>
      </w:pPr>
      <w:r>
        <w:rPr>
          <w:rFonts w:hint="eastAsia" w:ascii="仿宋" w:hAnsi="仿宋" w:eastAsia="仿宋" w:cs="仿宋"/>
          <w:b/>
          <w:bCs/>
          <w:color w:val="auto"/>
          <w:sz w:val="32"/>
          <w:szCs w:val="32"/>
          <w:u w:val="none"/>
        </w:rPr>
        <w:t>3</w:t>
      </w:r>
      <w:r>
        <w:rPr>
          <w:rFonts w:hint="eastAsia" w:ascii="仿宋" w:hAnsi="仿宋" w:eastAsia="仿宋" w:cs="仿宋"/>
          <w:b/>
          <w:bCs/>
          <w:color w:val="auto"/>
          <w:sz w:val="32"/>
          <w:szCs w:val="32"/>
          <w:u w:val="none"/>
          <w:lang w:val="en-US" w:eastAsia="zh-CN"/>
        </w:rPr>
        <w:t>.</w:t>
      </w:r>
      <w:r>
        <w:rPr>
          <w:rFonts w:hint="eastAsia" w:ascii="仿宋" w:hAnsi="仿宋" w:eastAsia="仿宋" w:cs="仿宋"/>
          <w:b/>
          <w:bCs/>
          <w:color w:val="auto"/>
          <w:sz w:val="32"/>
          <w:szCs w:val="32"/>
          <w:u w:val="none"/>
        </w:rPr>
        <w:t>损毁换证：</w:t>
      </w:r>
      <w:r>
        <w:rPr>
          <w:rFonts w:hint="eastAsia" w:ascii="仿宋" w:hAnsi="仿宋" w:eastAsia="仿宋" w:cs="仿宋"/>
          <w:color w:val="auto"/>
          <w:sz w:val="32"/>
          <w:szCs w:val="32"/>
          <w:u w:val="none"/>
        </w:rPr>
        <w:t>可联网核验驾驶人近六个月的电子驾驶证证件照片，将符合条件的损坏换证流水写入亳州市公安交通管理综合应用平台，并通过安徽省统一支付平台自动创建驾驶证工本费电子订单，群众可通过微信或支付宝现场支付，现场制证，立等可取。</w:t>
      </w:r>
    </w:p>
    <w:p>
      <w:pPr>
        <w:keepNext w:val="0"/>
        <w:keepLines w:val="0"/>
        <w:pageBreakBefore w:val="0"/>
        <w:widowControl/>
        <w:kinsoku/>
        <w:wordWrap/>
        <w:overflowPunct/>
        <w:topLinePunct w:val="0"/>
        <w:autoSpaceDE/>
        <w:autoSpaceDN/>
        <w:bidi w:val="0"/>
        <w:adjustRightInd/>
        <w:snapToGrid/>
        <w:ind w:left="638" w:leftChars="304" w:firstLine="0" w:firstLineChars="0"/>
        <w:jc w:val="left"/>
        <w:textAlignment w:val="auto"/>
        <w:rPr>
          <w:rFonts w:hint="eastAsia" w:ascii="仿宋" w:hAnsi="仿宋" w:eastAsia="仿宋" w:cs="仿宋"/>
          <w:color w:val="auto"/>
          <w:kern w:val="0"/>
          <w:sz w:val="32"/>
          <w:szCs w:val="32"/>
          <w:u w:val="none"/>
        </w:rPr>
      </w:pPr>
      <w:r>
        <w:rPr>
          <w:rFonts w:hint="eastAsia" w:ascii="黑体" w:hAnsi="黑体" w:eastAsia="黑体" w:cs="黑体"/>
          <w:color w:val="auto"/>
          <w:sz w:val="32"/>
          <w:szCs w:val="32"/>
          <w:u w:val="none"/>
        </w:rPr>
        <w:t>二、驾驶证自助批量制证机技术参数要求</w:t>
      </w:r>
      <w:r>
        <w:rPr>
          <w:rFonts w:ascii="宋体" w:hAnsi="宋体"/>
          <w:color w:val="auto"/>
          <w:kern w:val="0"/>
          <w:sz w:val="24"/>
          <w:u w:val="none"/>
        </w:rPr>
        <w:br w:type="textWrapping"/>
      </w:r>
      <w:r>
        <w:rPr>
          <w:rFonts w:hint="eastAsia" w:ascii="仿宋" w:hAnsi="仿宋" w:eastAsia="仿宋" w:cs="仿宋"/>
          <w:b/>
          <w:bCs/>
          <w:color w:val="auto"/>
          <w:kern w:val="0"/>
          <w:sz w:val="32"/>
          <w:szCs w:val="32"/>
          <w:u w:val="none"/>
        </w:rPr>
        <w:t>1</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制证时间:</w:t>
      </w:r>
      <w:r>
        <w:rPr>
          <w:rFonts w:hint="eastAsia" w:ascii="仿宋" w:hAnsi="仿宋" w:eastAsia="仿宋" w:cs="仿宋"/>
          <w:color w:val="auto"/>
          <w:kern w:val="0"/>
          <w:sz w:val="32"/>
          <w:szCs w:val="32"/>
          <w:u w:val="none"/>
        </w:rPr>
        <w:tab/>
      </w:r>
      <w:r>
        <w:rPr>
          <w:rFonts w:hint="eastAsia" w:ascii="仿宋" w:hAnsi="仿宋" w:eastAsia="仿宋" w:cs="仿宋"/>
          <w:color w:val="auto"/>
          <w:kern w:val="0"/>
          <w:sz w:val="32"/>
          <w:szCs w:val="32"/>
          <w:u w:val="none"/>
        </w:rPr>
        <w:t>≤95秒/套。</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2</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证芯容量:</w:t>
      </w:r>
      <w:r>
        <w:rPr>
          <w:rFonts w:hint="eastAsia" w:ascii="仿宋" w:hAnsi="仿宋" w:eastAsia="仿宋" w:cs="仿宋"/>
          <w:color w:val="auto"/>
          <w:kern w:val="0"/>
          <w:sz w:val="32"/>
          <w:szCs w:val="32"/>
          <w:u w:val="none"/>
        </w:rPr>
        <w:tab/>
      </w:r>
      <w:r>
        <w:rPr>
          <w:rFonts w:hint="eastAsia" w:ascii="仿宋" w:hAnsi="仿宋" w:eastAsia="仿宋" w:cs="仿宋"/>
          <w:color w:val="auto"/>
          <w:kern w:val="0"/>
          <w:sz w:val="32"/>
          <w:szCs w:val="32"/>
          <w:u w:val="none"/>
        </w:rPr>
        <w:t>≥100张。</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3</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壳体及操作台:</w:t>
      </w:r>
      <w:r>
        <w:rPr>
          <w:rFonts w:hint="eastAsia" w:ascii="仿宋" w:hAnsi="仿宋" w:eastAsia="仿宋" w:cs="仿宋"/>
          <w:color w:val="auto"/>
          <w:kern w:val="0"/>
          <w:sz w:val="32"/>
          <w:szCs w:val="32"/>
          <w:u w:val="none"/>
        </w:rPr>
        <w:tab/>
      </w:r>
      <w:r>
        <w:rPr>
          <w:rFonts w:hint="eastAsia" w:ascii="仿宋" w:hAnsi="仿宋" w:eastAsia="仿宋" w:cs="仿宋"/>
          <w:color w:val="auto"/>
          <w:kern w:val="0"/>
          <w:sz w:val="32"/>
          <w:szCs w:val="32"/>
          <w:u w:val="none"/>
        </w:rPr>
        <w:t>需为模块化、人体工学设计。</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4</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工控机</w:t>
      </w:r>
      <w:r>
        <w:rPr>
          <w:rFonts w:hint="eastAsia" w:ascii="仿宋" w:hAnsi="仿宋" w:eastAsia="仿宋" w:cs="仿宋"/>
          <w:b/>
          <w:bCs/>
          <w:color w:val="auto"/>
          <w:kern w:val="0"/>
          <w:sz w:val="32"/>
          <w:szCs w:val="32"/>
          <w:u w:val="none"/>
        </w:rPr>
        <w:tab/>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color w:val="auto"/>
          <w:kern w:val="0"/>
          <w:sz w:val="32"/>
          <w:szCs w:val="32"/>
          <w:u w:val="none"/>
        </w:rPr>
        <w:t>处理器：≥四核四线程；内存≥8G；硬盘≥256G固态硬盘；USB接口≥13个；串口≥4个；HDMI接口≥3个；VGA接口≥1个；工作温度 :-10℃ ～+ 50℃。</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5</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显示模块</w:t>
      </w:r>
      <w:r>
        <w:rPr>
          <w:rFonts w:hint="eastAsia" w:ascii="仿宋" w:hAnsi="仿宋" w:eastAsia="仿宋" w:cs="仿宋"/>
          <w:b/>
          <w:bCs/>
          <w:color w:val="auto"/>
          <w:kern w:val="0"/>
          <w:sz w:val="32"/>
          <w:szCs w:val="32"/>
          <w:u w:val="none"/>
        </w:rPr>
        <w:tab/>
      </w:r>
      <w:r>
        <w:rPr>
          <w:rFonts w:hint="eastAsia" w:ascii="仿宋" w:hAnsi="仿宋" w:eastAsia="仿宋" w:cs="仿宋"/>
          <w:b/>
          <w:bCs/>
          <w:color w:val="auto"/>
          <w:kern w:val="0"/>
          <w:sz w:val="32"/>
          <w:szCs w:val="32"/>
          <w:u w:val="none"/>
        </w:rPr>
        <w:t>触摸屏：</w:t>
      </w:r>
      <w:r>
        <w:rPr>
          <w:rFonts w:hint="eastAsia" w:ascii="仿宋" w:hAnsi="仿宋" w:eastAsia="仿宋" w:cs="仿宋"/>
          <w:color w:val="auto"/>
          <w:kern w:val="0"/>
          <w:sz w:val="32"/>
          <w:szCs w:val="32"/>
          <w:u w:val="none"/>
        </w:rPr>
        <w:t>液晶屏尺寸≥23.8英寸；最佳分辨率≥1920×1080；需支持电容触摸；亮度≥350Cd/m²；显示色彩≥16.7M；工作温度：-20℃-+70℃；触摸精度≤3mm；响应时间≤2.5ms。</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6</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身份信息采集模块</w:t>
      </w:r>
      <w:r>
        <w:rPr>
          <w:rFonts w:hint="eastAsia" w:ascii="仿宋" w:hAnsi="仿宋" w:eastAsia="仿宋" w:cs="仿宋"/>
          <w:b/>
          <w:bCs/>
          <w:color w:val="auto"/>
          <w:kern w:val="0"/>
          <w:sz w:val="32"/>
          <w:szCs w:val="32"/>
          <w:u w:val="none"/>
        </w:rPr>
        <w:tab/>
      </w:r>
      <w:r>
        <w:rPr>
          <w:rFonts w:hint="eastAsia" w:ascii="仿宋" w:hAnsi="仿宋" w:eastAsia="仿宋" w:cs="仿宋"/>
          <w:b/>
          <w:bCs/>
          <w:color w:val="auto"/>
          <w:kern w:val="0"/>
          <w:sz w:val="32"/>
          <w:szCs w:val="32"/>
          <w:u w:val="none"/>
        </w:rPr>
        <w:t>二代证阅读器：</w:t>
      </w:r>
      <w:r>
        <w:rPr>
          <w:rFonts w:hint="eastAsia" w:ascii="仿宋" w:hAnsi="仿宋" w:eastAsia="仿宋" w:cs="仿宋"/>
          <w:color w:val="auto"/>
          <w:kern w:val="0"/>
          <w:sz w:val="32"/>
          <w:szCs w:val="32"/>
          <w:u w:val="none"/>
        </w:rPr>
        <w:t>需符合GA450-2013《台式居民身份证阅读器通用技术要求》；需符合GA467-2013《居民身份证验证安全控制模块接口技术规范》；需符合ISO/IEC 14443 Type B国际标准；需符合《2017外国人永久居留身份证芯片机读信息规则（试行）》；</w:t>
      </w:r>
    </w:p>
    <w:p>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阅读时间：＜1s；读卡距离：0～3cm；平均无故障工作时间（MTBF）：≥5000h；供电方式：需支持USB供电。</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7</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身份信息采集模块 双目摄像头：</w:t>
      </w:r>
      <w:r>
        <w:rPr>
          <w:rFonts w:hint="eastAsia" w:ascii="仿宋" w:hAnsi="仿宋" w:eastAsia="仿宋" w:cs="仿宋"/>
          <w:color w:val="auto"/>
          <w:kern w:val="0"/>
          <w:sz w:val="32"/>
          <w:szCs w:val="32"/>
          <w:u w:val="none"/>
        </w:rPr>
        <w:t>需支持人脸识别、活体检测；像素≥ 120万；网络连接方式需支持有线连接。</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8</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信息采集</w:t>
      </w:r>
      <w:r>
        <w:rPr>
          <w:rFonts w:hint="eastAsia" w:ascii="仿宋" w:hAnsi="仿宋" w:eastAsia="仿宋" w:cs="仿宋"/>
          <w:b/>
          <w:bCs/>
          <w:color w:val="auto"/>
          <w:kern w:val="0"/>
          <w:sz w:val="32"/>
          <w:szCs w:val="32"/>
          <w:u w:val="none"/>
        </w:rPr>
        <w:tab/>
      </w:r>
      <w:r>
        <w:rPr>
          <w:rFonts w:hint="eastAsia" w:ascii="仿宋" w:hAnsi="仿宋" w:eastAsia="仿宋" w:cs="仿宋"/>
          <w:b/>
          <w:bCs/>
          <w:color w:val="auto"/>
          <w:kern w:val="0"/>
          <w:sz w:val="32"/>
          <w:szCs w:val="32"/>
          <w:u w:val="none"/>
        </w:rPr>
        <w:t>条形码扫描器：</w:t>
      </w:r>
      <w:r>
        <w:rPr>
          <w:rFonts w:hint="eastAsia" w:ascii="仿宋" w:hAnsi="仿宋" w:eastAsia="仿宋" w:cs="仿宋"/>
          <w:color w:val="auto"/>
          <w:kern w:val="0"/>
          <w:sz w:val="32"/>
          <w:szCs w:val="32"/>
          <w:u w:val="none"/>
        </w:rPr>
        <w:t>读取距离：0-10cm；读取速度≤70ms/次；指示灯≥3盏；扫码反馈需支持蜂鸣提示；需支持自动扫码；图像传感器≥</w:t>
      </w:r>
      <w:r>
        <w:rPr>
          <w:rFonts w:hint="eastAsia" w:ascii="仿宋" w:hAnsi="仿宋" w:eastAsia="仿宋" w:cs="仿宋"/>
          <w:color w:val="auto"/>
          <w:sz w:val="32"/>
          <w:szCs w:val="32"/>
          <w:u w:val="none"/>
          <w:lang w:bidi="ar"/>
        </w:rPr>
        <w:t>960*640</w:t>
      </w:r>
      <w:r>
        <w:rPr>
          <w:rFonts w:hint="eastAsia" w:ascii="仿宋" w:hAnsi="仿宋" w:eastAsia="仿宋" w:cs="仿宋"/>
          <w:color w:val="auto"/>
          <w:kern w:val="0"/>
          <w:sz w:val="32"/>
          <w:szCs w:val="32"/>
          <w:u w:val="none"/>
        </w:rPr>
        <w:t>；支持码制大小：5-100mm。</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9</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证芯控制模块</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ab/>
      </w:r>
      <w:r>
        <w:rPr>
          <w:rFonts w:hint="eastAsia" w:ascii="仿宋" w:hAnsi="仿宋" w:eastAsia="仿宋" w:cs="仿宋"/>
          <w:color w:val="auto"/>
          <w:kern w:val="0"/>
          <w:sz w:val="32"/>
          <w:szCs w:val="32"/>
          <w:u w:val="none"/>
        </w:rPr>
        <w:t>证芯存放模块：需支持轮式传动，证芯容量≥100张。</w:t>
      </w:r>
    </w:p>
    <w:p>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证芯传送模块：需支持皮带复合传动。</w:t>
      </w:r>
    </w:p>
    <w:p>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证芯裁断模块：需具备裁断模块，支持证芯正副本裁断。</w:t>
      </w:r>
    </w:p>
    <w:p>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证芯发放模块：需支持皮带传动。</w:t>
      </w:r>
    </w:p>
    <w:p>
      <w:pPr>
        <w:keepNext w:val="0"/>
        <w:keepLines w:val="0"/>
        <w:pageBreakBefore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color w:val="auto"/>
          <w:kern w:val="0"/>
          <w:sz w:val="32"/>
          <w:szCs w:val="32"/>
          <w:u w:val="none"/>
        </w:rPr>
        <w:t>证芯翻转模块：需支持自动定位,需为伺服电机，需具备翻转模块。</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10</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证件塑封模块</w:t>
      </w:r>
      <w:r>
        <w:rPr>
          <w:rFonts w:hint="eastAsia" w:ascii="仿宋" w:hAnsi="仿宋" w:eastAsia="仿宋" w:cs="仿宋"/>
          <w:b/>
          <w:bCs/>
          <w:color w:val="auto"/>
          <w:kern w:val="0"/>
          <w:sz w:val="32"/>
          <w:szCs w:val="32"/>
          <w:u w:val="none"/>
        </w:rPr>
        <w:tab/>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color w:val="auto"/>
          <w:kern w:val="0"/>
          <w:sz w:val="32"/>
          <w:szCs w:val="32"/>
          <w:u w:val="none"/>
        </w:rPr>
        <w:t>胶辊数量：≥4根；过胶宽度：需支持 0-320（mm）；过胶厚度：需支持 0.1-1（mm）；过胶速度 ≥550mm/min。</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11</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真空泵</w:t>
      </w:r>
      <w:r>
        <w:rPr>
          <w:rFonts w:hint="eastAsia" w:ascii="仿宋" w:hAnsi="仿宋" w:eastAsia="仿宋" w:cs="仿宋"/>
          <w:b/>
          <w:bCs/>
          <w:color w:val="auto"/>
          <w:kern w:val="0"/>
          <w:sz w:val="32"/>
          <w:szCs w:val="32"/>
          <w:u w:val="none"/>
        </w:rPr>
        <w:tab/>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color w:val="auto"/>
          <w:kern w:val="0"/>
          <w:sz w:val="32"/>
          <w:szCs w:val="32"/>
          <w:u w:val="none"/>
        </w:rPr>
        <w:t>流量≥15L/min。</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12</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驾驶证照片打印</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ab/>
      </w:r>
      <w:r>
        <w:rPr>
          <w:rFonts w:hint="eastAsia" w:ascii="仿宋" w:hAnsi="仿宋" w:eastAsia="仿宋" w:cs="仿宋"/>
          <w:color w:val="auto"/>
          <w:kern w:val="0"/>
          <w:sz w:val="32"/>
          <w:szCs w:val="32"/>
          <w:u w:val="none"/>
        </w:rPr>
        <w:t>打印速度：黑白≥37ppm彩色≥38ppm；最高分辨率：≥5760×1440dpi；最大打印幅面需支持A4；接口类型需支持USB2.0；墨水打印量：黑色≥3000页，彩色≥5400页；进纸容量：≥120页 ；出纸容量：≥50页；打印方向需支持双向逻辑查找；打印方式需支持按需喷墨。</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13</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驾驶人信息打印</w:t>
      </w:r>
      <w:r>
        <w:rPr>
          <w:rFonts w:hint="eastAsia" w:ascii="仿宋" w:hAnsi="仿宋" w:eastAsia="仿宋" w:cs="仿宋"/>
          <w:b/>
          <w:bCs/>
          <w:color w:val="auto"/>
          <w:kern w:val="0"/>
          <w:sz w:val="32"/>
          <w:szCs w:val="32"/>
          <w:u w:val="none"/>
        </w:rPr>
        <w:tab/>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color w:val="auto"/>
          <w:kern w:val="0"/>
          <w:sz w:val="32"/>
          <w:szCs w:val="32"/>
          <w:u w:val="none"/>
        </w:rPr>
        <w:t>车管所专用针式打印机</w:t>
      </w:r>
      <w:r>
        <w:rPr>
          <w:rFonts w:hint="eastAsia" w:ascii="仿宋" w:hAnsi="仿宋" w:eastAsia="仿宋" w:cs="仿宋"/>
          <w:color w:val="auto"/>
          <w:kern w:val="0"/>
          <w:sz w:val="32"/>
          <w:szCs w:val="32"/>
          <w:u w:val="none"/>
          <w:lang w:val="en-US" w:eastAsia="zh-CN"/>
        </w:rPr>
        <w:t>;</w:t>
      </w:r>
      <w:r>
        <w:rPr>
          <w:rFonts w:hint="eastAsia" w:ascii="仿宋" w:hAnsi="仿宋" w:eastAsia="仿宋" w:cs="仿宋"/>
          <w:color w:val="auto"/>
          <w:kern w:val="0"/>
          <w:sz w:val="32"/>
          <w:szCs w:val="32"/>
          <w:u w:val="none"/>
        </w:rPr>
        <w:t>打印方式需支持针点阵式；打印方向需支持双向（自动判断最短距离双向打印）打印宽度：汉字≥80CPL；平均无故障时间≥5000小时；电源电压：AC 220V±10%；工作湿度：20%-80%RH；存储温度：-15-60℃；存储湿度：5%-95%RH。</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14</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皮套发放模块</w:t>
      </w:r>
      <w:r>
        <w:rPr>
          <w:rFonts w:hint="eastAsia" w:ascii="仿宋" w:hAnsi="仿宋" w:eastAsia="仿宋" w:cs="仿宋"/>
          <w:b/>
          <w:bCs/>
          <w:color w:val="auto"/>
          <w:kern w:val="0"/>
          <w:sz w:val="32"/>
          <w:szCs w:val="32"/>
          <w:u w:val="none"/>
        </w:rPr>
        <w:tab/>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color w:val="auto"/>
          <w:kern w:val="0"/>
          <w:sz w:val="32"/>
          <w:szCs w:val="32"/>
          <w:u w:val="none"/>
        </w:rPr>
        <w:t>需配备皮套发放模块；存储容量≥100张。</w:t>
      </w:r>
    </w:p>
    <w:p>
      <w:pPr>
        <w:keepNext w:val="0"/>
        <w:keepLines w:val="0"/>
        <w:pageBreakBefore w:val="0"/>
        <w:kinsoku/>
        <w:wordWrap/>
        <w:overflowPunct/>
        <w:topLinePunct w:val="0"/>
        <w:autoSpaceDE/>
        <w:autoSpaceDN/>
        <w:bidi w:val="0"/>
        <w:adjustRightInd/>
        <w:snapToGrid/>
        <w:spacing w:line="360" w:lineRule="auto"/>
        <w:ind w:firstLine="643" w:firstLineChars="200"/>
        <w:jc w:val="left"/>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15</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UPS电源</w:t>
      </w:r>
      <w:r>
        <w:rPr>
          <w:rFonts w:hint="eastAsia" w:ascii="仿宋" w:hAnsi="仿宋" w:eastAsia="仿宋" w:cs="仿宋"/>
          <w:b/>
          <w:bCs/>
          <w:color w:val="auto"/>
          <w:kern w:val="0"/>
          <w:sz w:val="32"/>
          <w:szCs w:val="32"/>
          <w:u w:val="none"/>
        </w:rPr>
        <w:tab/>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color w:val="auto"/>
          <w:kern w:val="0"/>
          <w:sz w:val="32"/>
          <w:szCs w:val="32"/>
          <w:u w:val="none"/>
        </w:rPr>
        <w:t>备用时间支持：≥15分钟 ；转换时间支持：≤10ms；短路保护需支持：市电时输入保险丝,逆变时限流输出。</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16</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驾驶证自助制证系统软件</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ab/>
      </w:r>
      <w:r>
        <w:rPr>
          <w:rFonts w:hint="eastAsia" w:ascii="仿宋" w:hAnsi="仿宋" w:eastAsia="仿宋" w:cs="仿宋"/>
          <w:color w:val="auto"/>
          <w:kern w:val="0"/>
          <w:sz w:val="32"/>
          <w:szCs w:val="32"/>
          <w:u w:val="none"/>
        </w:rPr>
        <w:t>需支持驾驶证制证相关业务：驾驶证遗失补证、损毁补证、期满换证；可实现证芯条形码扫描、证芯切割、照片打印、证件信息打印、证芯塑封、制证信息核对功能。</w:t>
      </w:r>
    </w:p>
    <w:p>
      <w:pPr>
        <w:keepNext w:val="0"/>
        <w:keepLines w:val="0"/>
        <w:pageBreakBefore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color w:val="auto"/>
          <w:kern w:val="0"/>
          <w:sz w:val="32"/>
          <w:szCs w:val="32"/>
          <w:u w:val="none"/>
        </w:rPr>
      </w:pPr>
      <w:r>
        <w:rPr>
          <w:rFonts w:hint="eastAsia" w:ascii="仿宋" w:hAnsi="仿宋" w:eastAsia="仿宋" w:cs="仿宋"/>
          <w:b/>
          <w:bCs/>
          <w:color w:val="auto"/>
          <w:kern w:val="0"/>
          <w:sz w:val="32"/>
          <w:szCs w:val="32"/>
          <w:u w:val="none"/>
        </w:rPr>
        <w:t>17</w:t>
      </w:r>
      <w:r>
        <w:rPr>
          <w:rFonts w:hint="eastAsia" w:ascii="仿宋" w:hAnsi="仿宋" w:eastAsia="仿宋" w:cs="仿宋"/>
          <w:b/>
          <w:bCs/>
          <w:color w:val="auto"/>
          <w:kern w:val="0"/>
          <w:sz w:val="32"/>
          <w:szCs w:val="32"/>
          <w:u w:val="none"/>
          <w:lang w:val="en-US" w:eastAsia="zh-CN"/>
        </w:rPr>
        <w:t>.</w:t>
      </w:r>
      <w:r>
        <w:rPr>
          <w:rFonts w:hint="eastAsia" w:ascii="仿宋" w:hAnsi="仿宋" w:eastAsia="仿宋" w:cs="仿宋"/>
          <w:b/>
          <w:bCs/>
          <w:color w:val="auto"/>
          <w:kern w:val="0"/>
          <w:sz w:val="32"/>
          <w:szCs w:val="32"/>
          <w:u w:val="none"/>
        </w:rPr>
        <w:t>电气参数:</w:t>
      </w:r>
      <w:r>
        <w:rPr>
          <w:rFonts w:hint="eastAsia" w:ascii="仿宋" w:hAnsi="仿宋" w:eastAsia="仿宋" w:cs="仿宋"/>
          <w:color w:val="auto"/>
          <w:kern w:val="0"/>
          <w:sz w:val="32"/>
          <w:szCs w:val="32"/>
          <w:u w:val="none"/>
        </w:rPr>
        <w:tab/>
      </w:r>
      <w:r>
        <w:rPr>
          <w:rFonts w:hint="eastAsia" w:ascii="仿宋" w:hAnsi="仿宋" w:eastAsia="仿宋" w:cs="仿宋"/>
          <w:color w:val="auto"/>
          <w:kern w:val="0"/>
          <w:sz w:val="32"/>
          <w:szCs w:val="32"/>
          <w:u w:val="none"/>
        </w:rPr>
        <w:t>功耗：≤450W。</w:t>
      </w:r>
    </w:p>
    <w:p>
      <w:pPr>
        <w:widowControl/>
        <w:spacing w:line="360" w:lineRule="auto"/>
        <w:ind w:firstLine="640" w:firstLineChars="200"/>
        <w:jc w:val="left"/>
        <w:rPr>
          <w:rFonts w:hint="eastAsia" w:ascii="黑体" w:hAnsi="黑体" w:eastAsia="黑体" w:cs="黑体"/>
          <w:b w:val="0"/>
          <w:bCs w:val="0"/>
          <w:color w:val="auto"/>
          <w:kern w:val="0"/>
          <w:sz w:val="32"/>
          <w:szCs w:val="32"/>
          <w:u w:val="none"/>
        </w:rPr>
      </w:pPr>
      <w:r>
        <w:rPr>
          <w:rFonts w:hint="eastAsia" w:ascii="黑体" w:hAnsi="黑体" w:eastAsia="黑体" w:cs="黑体"/>
          <w:color w:val="auto"/>
          <w:sz w:val="32"/>
          <w:szCs w:val="32"/>
          <w:u w:val="none"/>
        </w:rPr>
        <w:t>三、其他相关要求</w:t>
      </w:r>
    </w:p>
    <w:p>
      <w:pPr>
        <w:spacing w:line="360" w:lineRule="auto"/>
        <w:ind w:firstLine="643" w:firstLineChars="200"/>
        <w:textAlignment w:val="baseline"/>
        <w:rPr>
          <w:rFonts w:hint="eastAsia" w:ascii="仿宋" w:hAnsi="仿宋" w:eastAsia="仿宋" w:cs="仿宋"/>
          <w:color w:val="auto"/>
          <w:sz w:val="32"/>
          <w:szCs w:val="32"/>
          <w:u w:val="none"/>
        </w:rPr>
      </w:pPr>
      <w:r>
        <w:rPr>
          <w:rFonts w:hint="eastAsia" w:ascii="仿宋" w:hAnsi="仿宋" w:eastAsia="仿宋" w:cs="仿宋"/>
          <w:b/>
          <w:bCs/>
          <w:color w:val="auto"/>
          <w:sz w:val="32"/>
          <w:szCs w:val="32"/>
          <w:u w:val="none"/>
          <w:lang w:val="en-US" w:eastAsia="zh-CN"/>
        </w:rPr>
        <w:t>1.</w:t>
      </w:r>
      <w:r>
        <w:rPr>
          <w:rFonts w:hint="eastAsia" w:ascii="仿宋" w:hAnsi="仿宋" w:eastAsia="仿宋" w:cs="仿宋"/>
          <w:color w:val="auto"/>
          <w:sz w:val="32"/>
          <w:szCs w:val="32"/>
          <w:u w:val="none"/>
        </w:rPr>
        <w:t>在合同期内，由</w:t>
      </w:r>
      <w:r>
        <w:rPr>
          <w:rFonts w:hint="eastAsia" w:ascii="仿宋" w:hAnsi="仿宋" w:eastAsia="仿宋" w:cs="仿宋"/>
          <w:bCs w:val="0"/>
          <w:color w:val="auto"/>
          <w:sz w:val="32"/>
          <w:szCs w:val="32"/>
          <w:u w:val="none"/>
          <w:lang w:val="en-US" w:eastAsia="zh-CN"/>
        </w:rPr>
        <w:t>车管所</w:t>
      </w:r>
      <w:r>
        <w:rPr>
          <w:rFonts w:hint="eastAsia" w:ascii="仿宋" w:hAnsi="仿宋" w:eastAsia="仿宋" w:cs="仿宋"/>
          <w:color w:val="auto"/>
          <w:sz w:val="32"/>
          <w:szCs w:val="32"/>
          <w:u w:val="none"/>
        </w:rPr>
        <w:t>免费提供场地、网络、电源；供应商承担投放场所的人员导办、日常设备维护、非人为损坏的机件更换的所有费用，并保障设备后台正常运行、优化升级、维护保养等。</w:t>
      </w:r>
    </w:p>
    <w:p>
      <w:pPr>
        <w:spacing w:line="360" w:lineRule="auto"/>
        <w:ind w:firstLine="643" w:firstLineChars="200"/>
        <w:textAlignment w:val="baseline"/>
        <w:rPr>
          <w:rFonts w:hint="eastAsia" w:ascii="仿宋" w:hAnsi="仿宋" w:eastAsia="仿宋" w:cs="仿宋"/>
          <w:color w:val="auto"/>
          <w:sz w:val="32"/>
          <w:szCs w:val="32"/>
          <w:u w:val="none"/>
        </w:rPr>
      </w:pPr>
      <w:r>
        <w:rPr>
          <w:rFonts w:hint="eastAsia" w:ascii="仿宋" w:hAnsi="仿宋" w:eastAsia="仿宋" w:cs="仿宋"/>
          <w:b/>
          <w:bCs/>
          <w:color w:val="auto"/>
          <w:sz w:val="32"/>
          <w:szCs w:val="32"/>
          <w:u w:val="none"/>
          <w:lang w:val="en-US" w:eastAsia="zh-CN"/>
        </w:rPr>
        <w:t>2.</w:t>
      </w:r>
      <w:r>
        <w:rPr>
          <w:rFonts w:hint="eastAsia" w:ascii="仿宋" w:hAnsi="仿宋" w:eastAsia="仿宋" w:cs="仿宋"/>
          <w:color w:val="auto"/>
          <w:sz w:val="32"/>
          <w:szCs w:val="32"/>
          <w:u w:val="none"/>
        </w:rPr>
        <w:t>供应商安排专人负责设备的日常维护保养工作；如设备发生故障，要求供应商在接到通知后</w:t>
      </w:r>
      <w:r>
        <w:rPr>
          <w:rFonts w:hint="eastAsia" w:ascii="仿宋" w:hAnsi="仿宋" w:eastAsia="仿宋" w:cs="仿宋"/>
          <w:color w:val="auto"/>
          <w:sz w:val="32"/>
          <w:szCs w:val="32"/>
          <w:u w:val="none"/>
          <w:lang w:val="en-US" w:eastAsia="zh-CN"/>
        </w:rPr>
        <w:t>24</w:t>
      </w:r>
      <w:r>
        <w:rPr>
          <w:rFonts w:hint="eastAsia" w:ascii="仿宋" w:hAnsi="仿宋" w:eastAsia="仿宋" w:cs="仿宋"/>
          <w:color w:val="auto"/>
          <w:sz w:val="32"/>
          <w:szCs w:val="32"/>
          <w:u w:val="none"/>
        </w:rPr>
        <w:t>小时内恢复使用，所产生的费用由供应商自行承担。</w:t>
      </w:r>
    </w:p>
    <w:p>
      <w:pPr>
        <w:spacing w:line="360" w:lineRule="auto"/>
        <w:ind w:firstLine="643" w:firstLineChars="200"/>
        <w:textAlignment w:val="baseline"/>
        <w:outlineLvl w:val="9"/>
        <w:rPr>
          <w:rFonts w:hint="eastAsia" w:ascii="仿宋" w:hAnsi="仿宋" w:eastAsia="仿宋" w:cs="仿宋"/>
          <w:color w:val="auto"/>
          <w:sz w:val="32"/>
          <w:szCs w:val="32"/>
          <w:u w:val="none"/>
        </w:rPr>
      </w:pPr>
      <w:r>
        <w:rPr>
          <w:rFonts w:hint="eastAsia" w:ascii="仿宋" w:hAnsi="仿宋" w:eastAsia="仿宋" w:cs="仿宋"/>
          <w:b/>
          <w:bCs/>
          <w:color w:val="auto"/>
          <w:sz w:val="32"/>
          <w:szCs w:val="32"/>
          <w:u w:val="none"/>
          <w:lang w:val="en-US" w:eastAsia="zh-CN"/>
        </w:rPr>
        <w:t>3.</w:t>
      </w:r>
      <w:r>
        <w:rPr>
          <w:rFonts w:hint="eastAsia" w:ascii="仿宋" w:hAnsi="仿宋" w:eastAsia="仿宋" w:cs="仿宋"/>
          <w:color w:val="auto"/>
          <w:sz w:val="32"/>
          <w:szCs w:val="32"/>
          <w:u w:val="none"/>
        </w:rPr>
        <w:t>至少配备一名操作引导人员</w:t>
      </w:r>
      <w:r>
        <w:rPr>
          <w:rFonts w:hint="eastAsia" w:ascii="仿宋" w:hAnsi="仿宋" w:eastAsia="仿宋" w:cs="仿宋"/>
          <w:color w:val="auto"/>
          <w:sz w:val="32"/>
          <w:szCs w:val="32"/>
          <w:u w:val="none"/>
          <w:lang w:val="en-US" w:eastAsia="zh-CN"/>
        </w:rPr>
        <w:t>驻点服务</w:t>
      </w:r>
      <w:r>
        <w:rPr>
          <w:rFonts w:hint="eastAsia" w:ascii="仿宋" w:hAnsi="仿宋" w:eastAsia="仿宋" w:cs="仿宋"/>
          <w:color w:val="auto"/>
          <w:sz w:val="32"/>
          <w:szCs w:val="32"/>
          <w:u w:val="none"/>
        </w:rPr>
        <w:t>。</w:t>
      </w:r>
    </w:p>
    <w:p>
      <w:pPr>
        <w:spacing w:line="360" w:lineRule="auto"/>
        <w:ind w:firstLine="643" w:firstLineChars="200"/>
        <w:textAlignment w:val="baseline"/>
        <w:rPr>
          <w:rFonts w:hint="eastAsia" w:ascii="仿宋" w:hAnsi="仿宋" w:eastAsia="仿宋" w:cs="仿宋"/>
          <w:bCs w:val="0"/>
          <w:color w:val="auto"/>
          <w:sz w:val="32"/>
          <w:szCs w:val="32"/>
          <w:u w:val="none"/>
        </w:rPr>
      </w:pPr>
      <w:r>
        <w:rPr>
          <w:rFonts w:hint="eastAsia" w:ascii="仿宋" w:hAnsi="仿宋" w:eastAsia="仿宋" w:cs="仿宋"/>
          <w:b/>
          <w:bCs/>
          <w:color w:val="auto"/>
          <w:sz w:val="32"/>
          <w:szCs w:val="32"/>
          <w:u w:val="none"/>
          <w:lang w:val="en-US" w:eastAsia="zh-CN"/>
        </w:rPr>
        <w:t>4.</w:t>
      </w:r>
      <w:r>
        <w:rPr>
          <w:rFonts w:hint="eastAsia" w:ascii="仿宋" w:hAnsi="仿宋" w:eastAsia="仿宋" w:cs="仿宋"/>
          <w:bCs w:val="0"/>
          <w:color w:val="auto"/>
          <w:sz w:val="32"/>
          <w:szCs w:val="32"/>
          <w:u w:val="none"/>
          <w:lang w:val="en-US" w:eastAsia="zh-CN"/>
        </w:rPr>
        <w:t>车管所</w:t>
      </w:r>
      <w:r>
        <w:rPr>
          <w:rFonts w:hint="eastAsia" w:ascii="仿宋" w:hAnsi="仿宋" w:eastAsia="仿宋" w:cs="仿宋"/>
          <w:bCs w:val="0"/>
          <w:color w:val="auto"/>
          <w:sz w:val="32"/>
          <w:szCs w:val="32"/>
          <w:u w:val="none"/>
        </w:rPr>
        <w:t>有权对供应商提供的自助终端功能予以监管监督。如发现自助终端功能不符合公安部相关规范或有其他相应规范办理情形的，有权终止合同。</w:t>
      </w:r>
    </w:p>
    <w:p>
      <w:pPr>
        <w:spacing w:line="360" w:lineRule="auto"/>
        <w:ind w:firstLine="643" w:firstLineChars="200"/>
        <w:textAlignment w:val="baseline"/>
        <w:rPr>
          <w:rFonts w:hint="eastAsia" w:ascii="仿宋" w:hAnsi="仿宋" w:eastAsia="仿宋" w:cs="仿宋"/>
          <w:color w:val="auto"/>
          <w:sz w:val="32"/>
          <w:szCs w:val="32"/>
          <w:u w:val="none"/>
        </w:rPr>
      </w:pPr>
      <w:r>
        <w:rPr>
          <w:rFonts w:hint="eastAsia" w:ascii="仿宋" w:hAnsi="仿宋" w:eastAsia="仿宋" w:cs="仿宋"/>
          <w:b/>
          <w:bCs/>
          <w:color w:val="auto"/>
          <w:sz w:val="32"/>
          <w:szCs w:val="32"/>
          <w:u w:val="none"/>
          <w:lang w:val="en-US" w:eastAsia="zh-CN"/>
        </w:rPr>
        <w:t>5.</w:t>
      </w:r>
      <w:r>
        <w:rPr>
          <w:rFonts w:hint="eastAsia" w:ascii="仿宋" w:hAnsi="仿宋" w:eastAsia="仿宋" w:cs="仿宋"/>
          <w:color w:val="auto"/>
          <w:sz w:val="32"/>
          <w:szCs w:val="32"/>
          <w:u w:val="none"/>
        </w:rPr>
        <w:t>供应商对证芯的安全性负责，如因供应商原因，导致证芯外泄，</w:t>
      </w:r>
      <w:r>
        <w:rPr>
          <w:rFonts w:hint="eastAsia" w:ascii="仿宋" w:hAnsi="仿宋" w:eastAsia="仿宋" w:cs="仿宋"/>
          <w:color w:val="auto"/>
          <w:sz w:val="32"/>
          <w:szCs w:val="32"/>
          <w:u w:val="none"/>
          <w:lang w:val="en-US" w:eastAsia="zh-CN"/>
        </w:rPr>
        <w:t>车管所</w:t>
      </w:r>
      <w:r>
        <w:rPr>
          <w:rFonts w:hint="eastAsia" w:ascii="仿宋" w:hAnsi="仿宋" w:eastAsia="仿宋" w:cs="仿宋"/>
          <w:color w:val="auto"/>
          <w:sz w:val="32"/>
          <w:szCs w:val="32"/>
          <w:u w:val="none"/>
        </w:rPr>
        <w:t>将依法追究刑事责任。</w:t>
      </w:r>
    </w:p>
    <w:p>
      <w:pPr>
        <w:spacing w:line="360" w:lineRule="auto"/>
        <w:ind w:firstLine="643" w:firstLineChars="200"/>
        <w:textAlignment w:val="baseline"/>
        <w:outlineLvl w:val="9"/>
        <w:rPr>
          <w:rFonts w:hint="eastAsia" w:ascii="仿宋" w:hAnsi="仿宋" w:eastAsia="仿宋" w:cs="仿宋"/>
          <w:color w:val="auto"/>
          <w:sz w:val="32"/>
          <w:szCs w:val="32"/>
          <w:u w:val="none"/>
        </w:rPr>
      </w:pPr>
      <w:r>
        <w:rPr>
          <w:rFonts w:hint="eastAsia" w:ascii="仿宋" w:hAnsi="仿宋" w:eastAsia="仿宋" w:cs="仿宋"/>
          <w:b/>
          <w:bCs/>
          <w:color w:val="auto"/>
          <w:sz w:val="32"/>
          <w:szCs w:val="32"/>
          <w:u w:val="none"/>
          <w:lang w:val="en-US" w:eastAsia="zh-CN"/>
        </w:rPr>
        <w:t>6.</w:t>
      </w:r>
      <w:r>
        <w:rPr>
          <w:rFonts w:hint="eastAsia" w:ascii="仿宋" w:hAnsi="仿宋" w:eastAsia="仿宋" w:cs="仿宋"/>
          <w:color w:val="auto"/>
          <w:sz w:val="32"/>
          <w:szCs w:val="32"/>
          <w:u w:val="none"/>
        </w:rPr>
        <w:t>所投产品需无缝对接亳州市公安局交通警察支队车驾管业务自助机管理平台和亳州市公安局交通警察支队公安交通管理综合应用平台，投标供应商需提供针对以上设备业务功能和平台无缝对接的确认函（格式自拟），未提供或提供不合格做无效投标处理。</w:t>
      </w:r>
    </w:p>
    <w:p>
      <w:pPr>
        <w:spacing w:line="360" w:lineRule="auto"/>
        <w:ind w:firstLine="643" w:firstLineChars="200"/>
        <w:textAlignment w:val="baseline"/>
        <w:outlineLvl w:val="9"/>
        <w:rPr>
          <w:rFonts w:hint="eastAsia" w:ascii="仿宋" w:hAnsi="仿宋" w:eastAsia="仿宋" w:cs="仿宋"/>
          <w:color w:val="auto"/>
          <w:sz w:val="32"/>
          <w:szCs w:val="32"/>
          <w:u w:val="none"/>
        </w:rPr>
      </w:pPr>
      <w:r>
        <w:rPr>
          <w:rFonts w:hint="eastAsia" w:ascii="仿宋" w:hAnsi="仿宋" w:eastAsia="仿宋" w:cs="仿宋"/>
          <w:b/>
          <w:bCs/>
          <w:color w:val="auto"/>
          <w:sz w:val="32"/>
          <w:szCs w:val="32"/>
          <w:u w:val="none"/>
          <w:lang w:val="en-US" w:eastAsia="zh-CN"/>
        </w:rPr>
        <w:t>7.</w:t>
      </w:r>
      <w:r>
        <w:rPr>
          <w:rFonts w:hint="eastAsia" w:ascii="仿宋" w:hAnsi="仿宋" w:eastAsia="仿宋" w:cs="仿宋"/>
          <w:color w:val="auto"/>
          <w:sz w:val="32"/>
          <w:szCs w:val="32"/>
          <w:u w:val="none"/>
        </w:rPr>
        <w:t>供应商须必须自中标之日起5日内提供下面所列要求的证明材料至采购人处备查，如不能按照要求提供，则采购人有权废除成交供应商的成交资格，同时供应商需自行承担所有风险。</w:t>
      </w:r>
    </w:p>
    <w:p>
      <w:pPr>
        <w:spacing w:line="360" w:lineRule="auto"/>
        <w:ind w:firstLine="643" w:firstLineChars="200"/>
        <w:textAlignment w:val="baseline"/>
        <w:outlineLvl w:val="9"/>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要求如下：</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00" w:firstLineChars="0"/>
        <w:textAlignment w:val="baseline"/>
        <w:outlineLvl w:val="9"/>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所投产品软件系统的软件著作权证书；</w:t>
      </w:r>
    </w:p>
    <w:p>
      <w:pPr>
        <w:pStyle w:val="15"/>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00" w:firstLineChars="0"/>
        <w:jc w:val="both"/>
        <w:textAlignment w:val="baseline"/>
        <w:outlineLvl w:val="1"/>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车驾管业务自助终端系统的公安部交通安全产品质量监督检测中心外挂软件检测报告；</w:t>
      </w:r>
    </w:p>
    <w:p>
      <w:pPr>
        <w:pStyle w:val="15"/>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00" w:firstLineChars="0"/>
        <w:jc w:val="both"/>
        <w:textAlignment w:val="baseline"/>
        <w:outlineLvl w:val="1"/>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所投产品及其制证模块证芯翻转输送装置的相关专利证书；</w:t>
      </w:r>
    </w:p>
    <w:p>
      <w:pPr>
        <w:pStyle w:val="15"/>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00" w:firstLineChars="0"/>
        <w:jc w:val="both"/>
        <w:textAlignment w:val="baseline"/>
        <w:outlineLvl w:val="1"/>
        <w:rPr>
          <w:rFonts w:hint="eastAsia" w:ascii="仿宋" w:hAnsi="仿宋" w:eastAsia="仿宋" w:cs="仿宋"/>
          <w:color w:val="auto"/>
          <w:sz w:val="32"/>
          <w:szCs w:val="32"/>
          <w:u w:val="none"/>
        </w:rPr>
      </w:pPr>
      <w:r>
        <w:rPr>
          <w:rFonts w:hint="eastAsia" w:ascii="仿宋" w:hAnsi="仿宋" w:eastAsia="仿宋" w:cs="仿宋"/>
          <w:color w:val="auto"/>
          <w:sz w:val="32"/>
          <w:szCs w:val="32"/>
          <w:u w:val="none"/>
        </w:rPr>
        <w:t>鉴于驾驶证</w:t>
      </w:r>
      <w:r>
        <w:rPr>
          <w:rFonts w:hint="eastAsia" w:ascii="仿宋" w:hAnsi="仿宋" w:eastAsia="仿宋" w:cs="仿宋"/>
          <w:color w:val="auto"/>
          <w:sz w:val="32"/>
          <w:szCs w:val="32"/>
          <w:u w:val="none"/>
          <w:lang w:val="en-US" w:eastAsia="zh-CN"/>
        </w:rPr>
        <w:t>批量</w:t>
      </w:r>
      <w:r>
        <w:rPr>
          <w:rFonts w:hint="eastAsia" w:ascii="仿宋" w:hAnsi="仿宋" w:eastAsia="仿宋" w:cs="仿宋"/>
          <w:color w:val="auto"/>
          <w:sz w:val="32"/>
          <w:szCs w:val="32"/>
          <w:u w:val="none"/>
        </w:rPr>
        <w:t>制证机系列稳定性等因素，</w:t>
      </w:r>
      <w:r>
        <w:rPr>
          <w:rFonts w:hint="eastAsia" w:ascii="仿宋" w:hAnsi="仿宋" w:eastAsia="仿宋" w:cs="仿宋"/>
          <w:color w:val="auto"/>
          <w:sz w:val="32"/>
          <w:szCs w:val="32"/>
          <w:u w:val="none"/>
          <w:lang w:val="en-US" w:eastAsia="zh-CN"/>
        </w:rPr>
        <w:t>中标</w:t>
      </w:r>
      <w:r>
        <w:rPr>
          <w:rFonts w:hint="eastAsia" w:ascii="仿宋" w:hAnsi="仿宋" w:eastAsia="仿宋" w:cs="仿宋"/>
          <w:color w:val="auto"/>
          <w:sz w:val="32"/>
          <w:szCs w:val="32"/>
          <w:u w:val="none"/>
        </w:rPr>
        <w:t>供应商须提供厂家品牌产品在市交警支队或市</w:t>
      </w:r>
      <w:r>
        <w:rPr>
          <w:rFonts w:hint="eastAsia" w:ascii="仿宋" w:hAnsi="仿宋" w:eastAsia="仿宋" w:cs="仿宋"/>
          <w:color w:val="auto"/>
          <w:sz w:val="32"/>
          <w:szCs w:val="32"/>
          <w:u w:val="none"/>
          <w:lang w:val="en-US" w:eastAsia="zh-CN"/>
        </w:rPr>
        <w:t>级</w:t>
      </w:r>
      <w:r>
        <w:rPr>
          <w:rFonts w:hint="eastAsia" w:ascii="仿宋" w:hAnsi="仿宋" w:eastAsia="仿宋" w:cs="仿宋"/>
          <w:color w:val="auto"/>
          <w:sz w:val="32"/>
          <w:szCs w:val="32"/>
          <w:u w:val="none"/>
        </w:rPr>
        <w:t>车管所的</w:t>
      </w:r>
      <w:r>
        <w:rPr>
          <w:rFonts w:hint="eastAsia" w:ascii="仿宋" w:hAnsi="仿宋" w:eastAsia="仿宋" w:cs="仿宋"/>
          <w:color w:val="auto"/>
          <w:sz w:val="32"/>
          <w:szCs w:val="32"/>
          <w:u w:val="none"/>
          <w:lang w:val="en-US" w:eastAsia="zh-CN"/>
        </w:rPr>
        <w:t>类似产品</w:t>
      </w:r>
      <w:r>
        <w:rPr>
          <w:rFonts w:hint="eastAsia" w:ascii="仿宋" w:hAnsi="仿宋" w:eastAsia="仿宋" w:cs="仿宋"/>
          <w:color w:val="auto"/>
          <w:sz w:val="32"/>
          <w:szCs w:val="32"/>
          <w:u w:val="none"/>
        </w:rPr>
        <w:t>使用证明材料，至少</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个地市。</w:t>
      </w:r>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baseline"/>
        <w:outlineLvl w:val="1"/>
        <w:rPr>
          <w:rFonts w:hint="eastAsia" w:ascii="方正小标宋简体" w:hAnsi="方正小标宋简体" w:eastAsia="方正小标宋简体" w:cs="方正小标宋简体"/>
          <w:b/>
          <w:bCs/>
          <w:color w:val="auto"/>
          <w:sz w:val="44"/>
          <w:szCs w:val="44"/>
          <w:u w:val="none"/>
          <w:lang w:val="en-US" w:eastAsia="zh-CN"/>
        </w:rPr>
      </w:pPr>
      <w:bookmarkStart w:id="0" w:name="_GoBack"/>
      <w:bookmarkEnd w:id="0"/>
    </w:p>
    <w:p>
      <w:pPr>
        <w:pStyle w:val="15"/>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baseline"/>
        <w:outlineLvl w:val="1"/>
        <w:rPr>
          <w:rFonts w:hint="eastAsia" w:ascii="仿宋" w:hAnsi="仿宋" w:eastAsia="仿宋" w:cs="仿宋"/>
          <w:color w:val="auto"/>
          <w:sz w:val="32"/>
          <w:szCs w:val="32"/>
          <w:u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6F5AD3"/>
    <w:multiLevelType w:val="singleLevel"/>
    <w:tmpl w:val="A76F5AD3"/>
    <w:lvl w:ilvl="0" w:tentative="0">
      <w:start w:val="1"/>
      <w:numFmt w:val="chineseCounting"/>
      <w:suff w:val="nothing"/>
      <w:lvlText w:val="%1、"/>
      <w:lvlJc w:val="left"/>
      <w:rPr>
        <w:rFonts w:hint="eastAsia"/>
      </w:rPr>
    </w:lvl>
  </w:abstractNum>
  <w:abstractNum w:abstractNumId="1">
    <w:nsid w:val="0453E90D"/>
    <w:multiLevelType w:val="singleLevel"/>
    <w:tmpl w:val="0453E90D"/>
    <w:lvl w:ilvl="0" w:tentative="0">
      <w:start w:val="1"/>
      <w:numFmt w:val="decimalEnclosedCircleChinese"/>
      <w:suff w:val="nothing"/>
      <w:lvlText w:val="%1　"/>
      <w:lvlJc w:val="left"/>
      <w:pPr>
        <w:ind w:left="0" w:firstLine="4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3MzcxNjFiYWVmOGZmODg0MjE2ZWFiNWZiNTc2NmMifQ=="/>
  </w:docVars>
  <w:rsids>
    <w:rsidRoot w:val="00F61467"/>
    <w:rsid w:val="000036B0"/>
    <w:rsid w:val="00074239"/>
    <w:rsid w:val="0009248A"/>
    <w:rsid w:val="000A6F70"/>
    <w:rsid w:val="000C2CE1"/>
    <w:rsid w:val="000E66F4"/>
    <w:rsid w:val="00152798"/>
    <w:rsid w:val="00155EC5"/>
    <w:rsid w:val="0019065A"/>
    <w:rsid w:val="00200073"/>
    <w:rsid w:val="00225F6D"/>
    <w:rsid w:val="002658BB"/>
    <w:rsid w:val="00272344"/>
    <w:rsid w:val="002747C4"/>
    <w:rsid w:val="00291638"/>
    <w:rsid w:val="0029520A"/>
    <w:rsid w:val="002D53C8"/>
    <w:rsid w:val="002F7AF6"/>
    <w:rsid w:val="0032629A"/>
    <w:rsid w:val="003356C7"/>
    <w:rsid w:val="00337CDF"/>
    <w:rsid w:val="003B0F20"/>
    <w:rsid w:val="003C2A4A"/>
    <w:rsid w:val="003D3FD9"/>
    <w:rsid w:val="003D454B"/>
    <w:rsid w:val="00405A54"/>
    <w:rsid w:val="0043283F"/>
    <w:rsid w:val="004904AD"/>
    <w:rsid w:val="004A6569"/>
    <w:rsid w:val="004B5E32"/>
    <w:rsid w:val="004C1220"/>
    <w:rsid w:val="004D3129"/>
    <w:rsid w:val="004E638B"/>
    <w:rsid w:val="00526629"/>
    <w:rsid w:val="005416B1"/>
    <w:rsid w:val="00552B81"/>
    <w:rsid w:val="0059132B"/>
    <w:rsid w:val="005A6B9B"/>
    <w:rsid w:val="005C0E57"/>
    <w:rsid w:val="005D4515"/>
    <w:rsid w:val="005E112B"/>
    <w:rsid w:val="005F22C8"/>
    <w:rsid w:val="00630FE3"/>
    <w:rsid w:val="006315FF"/>
    <w:rsid w:val="00642953"/>
    <w:rsid w:val="00661761"/>
    <w:rsid w:val="00673A20"/>
    <w:rsid w:val="006926BD"/>
    <w:rsid w:val="006C0B11"/>
    <w:rsid w:val="006E1379"/>
    <w:rsid w:val="007031AF"/>
    <w:rsid w:val="00707A97"/>
    <w:rsid w:val="007941F1"/>
    <w:rsid w:val="007E5C43"/>
    <w:rsid w:val="00801A7F"/>
    <w:rsid w:val="0082215B"/>
    <w:rsid w:val="00835E74"/>
    <w:rsid w:val="00841C08"/>
    <w:rsid w:val="00854673"/>
    <w:rsid w:val="00854EF9"/>
    <w:rsid w:val="00854F70"/>
    <w:rsid w:val="00896006"/>
    <w:rsid w:val="009215D8"/>
    <w:rsid w:val="00922794"/>
    <w:rsid w:val="0094110D"/>
    <w:rsid w:val="0096670E"/>
    <w:rsid w:val="009962FC"/>
    <w:rsid w:val="009B5F08"/>
    <w:rsid w:val="009E3A73"/>
    <w:rsid w:val="00A123DC"/>
    <w:rsid w:val="00A56F08"/>
    <w:rsid w:val="00A71E91"/>
    <w:rsid w:val="00A7284B"/>
    <w:rsid w:val="00A83EE5"/>
    <w:rsid w:val="00A9335D"/>
    <w:rsid w:val="00AD3493"/>
    <w:rsid w:val="00B04EC2"/>
    <w:rsid w:val="00B56857"/>
    <w:rsid w:val="00B7662D"/>
    <w:rsid w:val="00BB090E"/>
    <w:rsid w:val="00C11C7A"/>
    <w:rsid w:val="00C54D04"/>
    <w:rsid w:val="00C638E5"/>
    <w:rsid w:val="00C848E4"/>
    <w:rsid w:val="00C94D82"/>
    <w:rsid w:val="00C977A8"/>
    <w:rsid w:val="00CB2954"/>
    <w:rsid w:val="00D0282C"/>
    <w:rsid w:val="00D14C18"/>
    <w:rsid w:val="00D3623B"/>
    <w:rsid w:val="00DA3AEE"/>
    <w:rsid w:val="00DE3F76"/>
    <w:rsid w:val="00DE5182"/>
    <w:rsid w:val="00DE6551"/>
    <w:rsid w:val="00E9321F"/>
    <w:rsid w:val="00EC07D6"/>
    <w:rsid w:val="00ED6371"/>
    <w:rsid w:val="00EE2CB0"/>
    <w:rsid w:val="00EE7465"/>
    <w:rsid w:val="00F16672"/>
    <w:rsid w:val="00F31B1D"/>
    <w:rsid w:val="00F37501"/>
    <w:rsid w:val="00F61467"/>
    <w:rsid w:val="00F64973"/>
    <w:rsid w:val="00F9207F"/>
    <w:rsid w:val="00FB119A"/>
    <w:rsid w:val="2E8B5140"/>
    <w:rsid w:val="338915B7"/>
    <w:rsid w:val="5A8167B6"/>
    <w:rsid w:val="657C5AA8"/>
    <w:rsid w:val="6D3D2ED6"/>
    <w:rsid w:val="762C4C53"/>
    <w:rsid w:val="EC77EBC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4"/>
      <w:lang w:val="en-US" w:eastAsia="zh-CN" w:bidi="ar-SA"/>
    </w:rPr>
  </w:style>
  <w:style w:type="paragraph" w:styleId="2">
    <w:name w:val="heading 2"/>
    <w:basedOn w:val="1"/>
    <w:next w:val="1"/>
    <w:unhideWhenUsed/>
    <w:qFormat/>
    <w:uiPriority w:val="9"/>
    <w:pPr>
      <w:keepNext/>
      <w:keepLines/>
      <w:adjustRightInd w:val="0"/>
      <w:spacing w:before="156" w:beforeLines="50" w:after="156" w:afterLines="50" w:line="360" w:lineRule="auto"/>
      <w:outlineLvl w:val="1"/>
    </w:pPr>
    <w:rPr>
      <w:rFonts w:ascii="Times New Roman" w:hAnsi="Times New Roman" w:cs="Times New Roman"/>
      <w:b/>
      <w:bCs/>
      <w:kern w:val="0"/>
      <w:sz w:val="24"/>
      <w:szCs w:val="20"/>
    </w:rPr>
  </w:style>
  <w:style w:type="character" w:default="1" w:styleId="10">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1"/>
    <w:rPr>
      <w:rFonts w:ascii="宋体" w:hAnsi="宋体"/>
      <w:szCs w:val="21"/>
      <w:lang w:val="zh-CN" w:bidi="zh-CN"/>
    </w:rPr>
  </w:style>
  <w:style w:type="paragraph" w:styleId="4">
    <w:name w:val="Body Text Indent"/>
    <w:basedOn w:val="1"/>
    <w:qFormat/>
    <w:uiPriority w:val="0"/>
    <w:pPr>
      <w:spacing w:line="460" w:lineRule="exact"/>
      <w:ind w:firstLine="482" w:firstLineChars="200"/>
    </w:pPr>
    <w:rPr>
      <w:b/>
      <w:bCs/>
      <w:sz w:val="24"/>
      <w:shd w:val="clear" w:color="auto" w:fill="CCCCCC"/>
    </w:rPr>
  </w:style>
  <w:style w:type="paragraph" w:styleId="5">
    <w:name w:val="footer"/>
    <w:basedOn w:val="1"/>
    <w:link w:val="13"/>
    <w:autoRedefine/>
    <w:unhideWhenUsed/>
    <w:qFormat/>
    <w:uiPriority w:val="99"/>
    <w:pPr>
      <w:tabs>
        <w:tab w:val="center" w:pos="4153"/>
        <w:tab w:val="right" w:pos="8306"/>
      </w:tabs>
      <w:snapToGrid w:val="0"/>
      <w:jc w:val="left"/>
    </w:pPr>
    <w:rPr>
      <w:sz w:val="18"/>
      <w:szCs w:val="18"/>
    </w:rPr>
  </w:style>
  <w:style w:type="paragraph" w:styleId="6">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4"/>
    <w:qFormat/>
    <w:uiPriority w:val="0"/>
    <w:pPr>
      <w:spacing w:after="120" w:line="240" w:lineRule="auto"/>
      <w:ind w:left="420" w:leftChars="200" w:firstLine="420"/>
    </w:pPr>
    <w:rPr>
      <w:b w:val="0"/>
      <w:bCs w:val="0"/>
      <w:sz w:val="21"/>
      <w:shd w:val="clear" w:color="auto" w:fill="auto"/>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2">
    <w:name w:val="页眉 字符"/>
    <w:basedOn w:val="10"/>
    <w:link w:val="6"/>
    <w:autoRedefine/>
    <w:qFormat/>
    <w:uiPriority w:val="99"/>
    <w:rPr>
      <w:rFonts w:ascii="Calibri" w:hAnsi="Calibri" w:cs="宋体"/>
      <w:kern w:val="2"/>
      <w:sz w:val="18"/>
      <w:szCs w:val="18"/>
    </w:rPr>
  </w:style>
  <w:style w:type="character" w:customStyle="1" w:styleId="13">
    <w:name w:val="页脚 字符"/>
    <w:basedOn w:val="10"/>
    <w:link w:val="5"/>
    <w:autoRedefine/>
    <w:qFormat/>
    <w:uiPriority w:val="99"/>
    <w:rPr>
      <w:rFonts w:ascii="Calibri" w:hAnsi="Calibri" w:cs="宋体"/>
      <w:kern w:val="2"/>
      <w:sz w:val="18"/>
      <w:szCs w:val="18"/>
    </w:rPr>
  </w:style>
  <w:style w:type="paragraph" w:customStyle="1" w:styleId="14">
    <w:name w:val="Revision"/>
    <w:autoRedefine/>
    <w:hidden/>
    <w:semiHidden/>
    <w:qFormat/>
    <w:uiPriority w:val="99"/>
    <w:rPr>
      <w:rFonts w:ascii="Calibri" w:hAnsi="Calibri" w:eastAsia="宋体" w:cs="宋体"/>
      <w:kern w:val="2"/>
      <w:sz w:val="21"/>
      <w:szCs w:val="24"/>
      <w:lang w:val="en-US" w:eastAsia="zh-CN" w:bidi="ar-SA"/>
    </w:rPr>
  </w:style>
  <w:style w:type="paragraph" w:styleId="15">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2193</Words>
  <Characters>2474</Characters>
  <Lines>31</Lines>
  <Paragraphs>8</Paragraphs>
  <TotalTime>64</TotalTime>
  <ScaleCrop>false</ScaleCrop>
  <LinksUpToDate>false</LinksUpToDate>
  <CharactersWithSpaces>2509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2024-05-28T10:20:00Z</dcterms:created>
  <dc:creator>李鹤卿</dc:creator>
  <cp:lastModifiedBy>Administrator</cp:lastModifiedBy>
  <cp:lastPrinted>2024-06-17T02:13:00Z</cp:lastPrinted>
  <dcterms:modified xsi:type="dcterms:W3CDTF">2024-06-18T06:21:15Z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F17FA4D425264F319755E30DF8B41F79_13</vt:lpwstr>
  </property>
</Properties>
</file>