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jc w:val="center"/>
        <w:rPr>
          <w:b/>
          <w:sz w:val="28"/>
          <w:szCs w:val="28"/>
        </w:rPr>
      </w:pPr>
      <w:r>
        <w:rPr>
          <w:rFonts w:hint="eastAsia" w:ascii="Times New Roman" w:hAnsi="Times New Roman" w:eastAsia="仿宋_GB2312" w:cs="Times New Roman"/>
          <w:b/>
          <w:bCs/>
          <w:sz w:val="32"/>
          <w:szCs w:val="32"/>
          <w:highlight w:val="none"/>
          <w:lang w:val="en-US" w:eastAsia="zh-CN"/>
        </w:rPr>
        <w:t>亳州新能源发展有限公司亳州尚汤温泉分布式光伏发电项目光伏支架采购报价单</w:t>
      </w:r>
    </w:p>
    <w:tbl>
      <w:tblPr>
        <w:tblStyle w:val="10"/>
        <w:tblW w:w="1063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93"/>
        <w:gridCol w:w="780"/>
        <w:gridCol w:w="4360"/>
        <w:gridCol w:w="490"/>
        <w:gridCol w:w="585"/>
        <w:gridCol w:w="1233"/>
        <w:gridCol w:w="630"/>
        <w:gridCol w:w="1035"/>
        <w:gridCol w:w="62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10630" w:type="dxa"/>
            <w:gridSpan w:val="9"/>
            <w:tcBorders>
              <w:top w:val="single" w:color="000000" w:sz="4" w:space="0"/>
              <w:left w:val="single" w:color="000000" w:sz="4" w:space="0"/>
              <w:bottom w:val="single" w:color="auto" w:sz="4" w:space="0"/>
              <w:right w:val="single" w:color="000000" w:sz="4" w:space="0"/>
            </w:tcBorders>
            <w:shd w:val="clear" w:color="auto" w:fill="auto"/>
            <w:noWrap/>
            <w:vAlign w:val="center"/>
          </w:tcPr>
          <w:p>
            <w:pPr>
              <w:keepNext w:val="0"/>
              <w:keepLines w:val="0"/>
              <w:widowControl/>
              <w:suppressLineNumbers w:val="0"/>
              <w:jc w:val="both"/>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采购人：安徽通康建设工程有限公司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72" w:hRule="atLeast"/>
          <w:jc w:val="center"/>
        </w:trPr>
        <w:tc>
          <w:tcPr>
            <w:tcW w:w="893" w:type="dxa"/>
            <w:tcBorders>
              <w:top w:val="single" w:color="auto"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序号</w:t>
            </w:r>
          </w:p>
        </w:tc>
        <w:tc>
          <w:tcPr>
            <w:tcW w:w="780" w:type="dxa"/>
            <w:tcBorders>
              <w:top w:val="single" w:color="auto"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名称</w:t>
            </w:r>
          </w:p>
        </w:tc>
        <w:tc>
          <w:tcPr>
            <w:tcW w:w="4360" w:type="dxa"/>
            <w:tcBorders>
              <w:top w:val="single" w:color="auto"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规格型号</w:t>
            </w:r>
          </w:p>
        </w:tc>
        <w:tc>
          <w:tcPr>
            <w:tcW w:w="490" w:type="dxa"/>
            <w:tcBorders>
              <w:top w:val="single" w:color="auto"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单位</w:t>
            </w:r>
          </w:p>
        </w:tc>
        <w:tc>
          <w:tcPr>
            <w:tcW w:w="585" w:type="dxa"/>
            <w:tcBorders>
              <w:top w:val="single" w:color="auto"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数量</w:t>
            </w:r>
          </w:p>
        </w:tc>
        <w:tc>
          <w:tcPr>
            <w:tcW w:w="1233" w:type="dxa"/>
            <w:tcBorders>
              <w:top w:val="single" w:color="auto"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含税综合单价（元）</w:t>
            </w:r>
          </w:p>
        </w:tc>
        <w:tc>
          <w:tcPr>
            <w:tcW w:w="630" w:type="dxa"/>
            <w:tcBorders>
              <w:top w:val="single" w:color="auto"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税率</w:t>
            </w:r>
          </w:p>
        </w:tc>
        <w:tc>
          <w:tcPr>
            <w:tcW w:w="1035" w:type="dxa"/>
            <w:tcBorders>
              <w:top w:val="single" w:color="auto"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含税总价（元）</w:t>
            </w:r>
          </w:p>
        </w:tc>
        <w:tc>
          <w:tcPr>
            <w:tcW w:w="624" w:type="dxa"/>
            <w:tcBorders>
              <w:top w:val="single" w:color="auto" w:sz="4" w:space="0"/>
              <w:left w:val="single" w:color="000000" w:sz="4" w:space="0"/>
              <w:bottom w:val="single" w:color="000000"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893"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sz w:val="21"/>
                <w:szCs w:val="21"/>
                <w:lang w:val="en-US" w:eastAsia="zh-CN"/>
              </w:rPr>
            </w:pPr>
            <w:r>
              <w:rPr>
                <w:rFonts w:hint="eastAsia" w:ascii="宋体" w:hAnsi="宋体" w:eastAsia="宋体" w:cs="宋体"/>
                <w:i w:val="0"/>
                <w:iCs w:val="0"/>
                <w:color w:val="000000"/>
                <w:kern w:val="0"/>
                <w:sz w:val="20"/>
                <w:szCs w:val="20"/>
                <w:u w:val="none"/>
                <w:lang w:val="en-US" w:eastAsia="zh-CN" w:bidi="ar"/>
              </w:rPr>
              <w:t>1</w:t>
            </w: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混凝土屋面光伏</w:t>
            </w:r>
          </w:p>
        </w:tc>
        <w:tc>
          <w:tcPr>
            <w:tcW w:w="43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1、组成屋面光伏支架所需的所有主材、辅材；</w:t>
            </w:r>
          </w:p>
          <w:p>
            <w:pPr>
              <w:keepNext w:val="0"/>
              <w:keepLines w:val="0"/>
              <w:widowControl/>
              <w:suppressLineNumbers w:val="0"/>
              <w:jc w:val="left"/>
              <w:textAlignment w:val="center"/>
              <w:rPr>
                <w:rFonts w:hint="default" w:ascii="仿宋_GB2312" w:hAnsi="仿宋_GB2312" w:eastAsia="仿宋_GB2312" w:cs="仿宋_GB2312"/>
                <w:sz w:val="21"/>
                <w:szCs w:val="21"/>
                <w:lang w:val="en-US" w:eastAsia="zh-CN"/>
              </w:rPr>
            </w:pPr>
            <w:r>
              <w:rPr>
                <w:rFonts w:hint="eastAsia" w:ascii="宋体" w:hAnsi="宋体" w:eastAsia="宋体" w:cs="宋体"/>
                <w:i w:val="0"/>
                <w:iCs w:val="0"/>
                <w:color w:val="000000"/>
                <w:kern w:val="0"/>
                <w:sz w:val="18"/>
                <w:szCs w:val="18"/>
                <w:u w:val="none"/>
                <w:lang w:val="en-US" w:eastAsia="zh-CN" w:bidi="ar"/>
              </w:rPr>
              <w:t>2、规格尺寸、材料要求详见设计图纸，满足招标人要求</w:t>
            </w:r>
          </w:p>
        </w:tc>
        <w:tc>
          <w:tcPr>
            <w:tcW w:w="4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kw</w:t>
            </w: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220</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lang w:val="en-US" w:eastAsia="zh-CN"/>
              </w:rPr>
            </w:pP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仿宋_GB2312" w:eastAsia="仿宋_GB2312" w:cs="仿宋_GB2312"/>
                <w:sz w:val="21"/>
                <w:szCs w:val="21"/>
                <w:lang w:val="en-US" w:eastAsia="zh-CN"/>
              </w:rPr>
            </w:pPr>
            <w:r>
              <w:rPr>
                <w:rFonts w:hint="eastAsia" w:ascii="仿宋_GB2312" w:hAnsi="仿宋_GB2312" w:eastAsia="仿宋_GB2312" w:cs="仿宋_GB2312"/>
                <w:sz w:val="24"/>
                <w:szCs w:val="24"/>
                <w:lang w:val="en-US" w:eastAsia="zh-CN"/>
              </w:rPr>
              <w:t>13%</w:t>
            </w: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仿宋_GB2312" w:eastAsia="仿宋_GB2312" w:cs="仿宋_GB2312"/>
                <w:sz w:val="21"/>
                <w:szCs w:val="21"/>
                <w:lang w:val="en-US" w:eastAsia="zh-CN"/>
              </w:rPr>
            </w:pPr>
          </w:p>
        </w:tc>
        <w:tc>
          <w:tcPr>
            <w:tcW w:w="624"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_GB2312" w:hAnsi="仿宋_GB2312" w:eastAsia="仿宋_GB2312" w:cs="仿宋_GB2312"/>
                <w:sz w:val="21"/>
                <w:szCs w:val="21"/>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893"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钢结构屋面光伏</w:t>
            </w:r>
          </w:p>
        </w:tc>
        <w:tc>
          <w:tcPr>
            <w:tcW w:w="43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1、组成钢结构屋面光伏支架所需的所有主材、辅材；</w:t>
            </w:r>
          </w:p>
          <w:p>
            <w:pPr>
              <w:keepNext w:val="0"/>
              <w:keepLines w:val="0"/>
              <w:widowControl/>
              <w:suppressLineNumbers w:val="0"/>
              <w:jc w:val="left"/>
              <w:textAlignment w:val="center"/>
              <w:rPr>
                <w:rFonts w:hint="eastAsia" w:ascii="仿宋_GB2312" w:hAnsi="仿宋_GB2312" w:eastAsia="仿宋_GB2312" w:cs="仿宋_GB2312"/>
                <w:sz w:val="21"/>
                <w:szCs w:val="21"/>
                <w:lang w:val="en-US" w:eastAsia="zh-CN"/>
              </w:rPr>
            </w:pPr>
            <w:r>
              <w:rPr>
                <w:rFonts w:hint="eastAsia" w:ascii="宋体" w:hAnsi="宋体" w:eastAsia="宋体" w:cs="宋体"/>
                <w:i w:val="0"/>
                <w:iCs w:val="0"/>
                <w:color w:val="000000"/>
                <w:kern w:val="0"/>
                <w:sz w:val="18"/>
                <w:szCs w:val="18"/>
                <w:u w:val="none"/>
                <w:lang w:val="en-US" w:eastAsia="zh-CN" w:bidi="ar"/>
              </w:rPr>
              <w:t>2、规格尺寸、材料要求详见设计图纸，满足招标人要求</w:t>
            </w:r>
          </w:p>
        </w:tc>
        <w:tc>
          <w:tcPr>
            <w:tcW w:w="4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kw</w:t>
            </w: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60</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lang w:val="en-US" w:eastAsia="zh-CN"/>
              </w:rPr>
            </w:pP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13%</w:t>
            </w: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仿宋_GB2312" w:eastAsia="仿宋_GB2312" w:cs="仿宋_GB2312"/>
                <w:sz w:val="21"/>
                <w:szCs w:val="21"/>
                <w:lang w:val="en-US" w:eastAsia="zh-CN"/>
              </w:rPr>
            </w:pPr>
          </w:p>
        </w:tc>
        <w:tc>
          <w:tcPr>
            <w:tcW w:w="624"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_GB2312" w:hAnsi="仿宋_GB2312" w:eastAsia="仿宋_GB2312" w:cs="仿宋_GB2312"/>
                <w:sz w:val="21"/>
                <w:szCs w:val="21"/>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893"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车棚光伏</w:t>
            </w:r>
          </w:p>
        </w:tc>
        <w:tc>
          <w:tcPr>
            <w:tcW w:w="43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1、车棚钢结构檩条以上组成光伏支架所需的所有主材、辅材；（不含檩条，包含但不限于光伏支架、螺栓、</w:t>
            </w:r>
            <w:bookmarkStart w:id="0" w:name="_GoBack"/>
            <w:r>
              <w:rPr>
                <w:rFonts w:hint="eastAsia" w:ascii="宋体" w:hAnsi="宋体" w:eastAsia="宋体" w:cs="宋体"/>
                <w:i w:val="0"/>
                <w:iCs w:val="0"/>
                <w:color w:val="000000"/>
                <w:kern w:val="0"/>
                <w:sz w:val="18"/>
                <w:szCs w:val="18"/>
                <w:u w:val="none"/>
                <w:lang w:val="en-US" w:eastAsia="zh-CN" w:bidi="ar"/>
              </w:rPr>
              <w:t>导水槽、电缆槽</w:t>
            </w:r>
            <w:bookmarkEnd w:id="0"/>
            <w:r>
              <w:rPr>
                <w:rFonts w:hint="eastAsia" w:ascii="宋体" w:hAnsi="宋体" w:eastAsia="宋体" w:cs="宋体"/>
                <w:i w:val="0"/>
                <w:iCs w:val="0"/>
                <w:color w:val="000000"/>
                <w:kern w:val="0"/>
                <w:sz w:val="18"/>
                <w:szCs w:val="18"/>
                <w:u w:val="none"/>
                <w:lang w:val="en-US" w:eastAsia="zh-CN" w:bidi="ar"/>
              </w:rPr>
              <w:t>、压块等安装光伏组件的全部辅材）</w:t>
            </w:r>
          </w:p>
          <w:p>
            <w:pPr>
              <w:keepNext w:val="0"/>
              <w:keepLines w:val="0"/>
              <w:widowControl/>
              <w:suppressLineNumbers w:val="0"/>
              <w:jc w:val="left"/>
              <w:textAlignment w:val="center"/>
              <w:rPr>
                <w:rFonts w:hint="eastAsia" w:ascii="仿宋_GB2312" w:hAnsi="仿宋_GB2312" w:eastAsia="仿宋_GB2312" w:cs="仿宋_GB2312"/>
                <w:sz w:val="21"/>
                <w:szCs w:val="21"/>
                <w:lang w:val="en-US" w:eastAsia="zh-CN"/>
              </w:rPr>
            </w:pPr>
            <w:r>
              <w:rPr>
                <w:rFonts w:hint="eastAsia" w:ascii="宋体" w:hAnsi="宋体" w:eastAsia="宋体" w:cs="宋体"/>
                <w:i w:val="0"/>
                <w:iCs w:val="0"/>
                <w:color w:val="000000"/>
                <w:kern w:val="0"/>
                <w:sz w:val="18"/>
                <w:szCs w:val="18"/>
                <w:u w:val="none"/>
                <w:lang w:val="en-US" w:eastAsia="zh-CN" w:bidi="ar"/>
              </w:rPr>
              <w:t>2、规格尺寸、材料要求详见设计图纸，满足招标人要求</w:t>
            </w:r>
          </w:p>
        </w:tc>
        <w:tc>
          <w:tcPr>
            <w:tcW w:w="4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kw</w:t>
            </w: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700</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lang w:val="en-US" w:eastAsia="zh-CN"/>
              </w:rPr>
            </w:pP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13%</w:t>
            </w: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仿宋_GB2312" w:eastAsia="仿宋_GB2312" w:cs="仿宋_GB2312"/>
                <w:sz w:val="21"/>
                <w:szCs w:val="21"/>
                <w:lang w:val="en-US" w:eastAsia="zh-CN"/>
              </w:rPr>
            </w:pPr>
          </w:p>
        </w:tc>
        <w:tc>
          <w:tcPr>
            <w:tcW w:w="624"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_GB2312" w:hAnsi="仿宋_GB2312" w:eastAsia="仿宋_GB2312" w:cs="仿宋_GB2312"/>
                <w:sz w:val="21"/>
                <w:szCs w:val="21"/>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9" w:hRule="atLeast"/>
          <w:jc w:val="center"/>
        </w:trPr>
        <w:tc>
          <w:tcPr>
            <w:tcW w:w="893"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6215"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合计</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lang w:val="en-US" w:eastAsia="zh-CN"/>
              </w:rPr>
            </w:pP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4"/>
                <w:szCs w:val="24"/>
                <w:lang w:val="en-US" w:eastAsia="zh-CN"/>
              </w:rPr>
              <w:t>13%</w:t>
            </w: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sz w:val="21"/>
                <w:szCs w:val="21"/>
                <w:lang w:val="en-US" w:eastAsia="zh-CN"/>
              </w:rPr>
            </w:pPr>
          </w:p>
        </w:tc>
        <w:tc>
          <w:tcPr>
            <w:tcW w:w="624"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sz w:val="21"/>
                <w:szCs w:val="21"/>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6" w:hRule="atLeast"/>
          <w:jc w:val="center"/>
        </w:trPr>
        <w:tc>
          <w:tcPr>
            <w:tcW w:w="8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 w:val="0"/>
                <w:bCs w:val="0"/>
                <w:kern w:val="2"/>
                <w:sz w:val="32"/>
                <w:szCs w:val="32"/>
                <w:highlight w:val="none"/>
                <w:lang w:val="en-US" w:eastAsia="zh-CN" w:bidi="ar-SA"/>
              </w:rPr>
            </w:pPr>
            <w:r>
              <w:rPr>
                <w:rFonts w:hint="eastAsia" w:ascii="Times New Roman" w:hAnsi="Times New Roman" w:eastAsia="仿宋_GB2312" w:cs="Times New Roman"/>
                <w:b w:val="0"/>
                <w:bCs w:val="0"/>
                <w:kern w:val="2"/>
                <w:sz w:val="32"/>
                <w:szCs w:val="32"/>
                <w:highlight w:val="none"/>
                <w:lang w:val="en-US" w:eastAsia="zh-CN" w:bidi="ar-SA"/>
              </w:rPr>
              <w:t>发票</w:t>
            </w:r>
          </w:p>
          <w:p>
            <w:pPr>
              <w:keepNext w:val="0"/>
              <w:keepLines w:val="0"/>
              <w:widowControl/>
              <w:suppressLineNumbers w:val="0"/>
              <w:jc w:val="center"/>
              <w:textAlignment w:val="center"/>
              <w:rPr>
                <w:rFonts w:hint="eastAsia" w:ascii="仿宋_GB2312" w:hAnsi="仿宋_GB2312" w:eastAsia="仿宋_GB2312" w:cs="仿宋_GB2312"/>
                <w:sz w:val="21"/>
                <w:szCs w:val="21"/>
                <w:lang w:val="en-US" w:eastAsia="zh-CN"/>
              </w:rPr>
            </w:pPr>
            <w:r>
              <w:rPr>
                <w:rFonts w:hint="eastAsia" w:ascii="Times New Roman" w:hAnsi="Times New Roman" w:eastAsia="仿宋_GB2312" w:cs="Times New Roman"/>
                <w:b w:val="0"/>
                <w:bCs w:val="0"/>
                <w:kern w:val="2"/>
                <w:sz w:val="32"/>
                <w:szCs w:val="32"/>
                <w:highlight w:val="none"/>
                <w:lang w:val="en-US" w:eastAsia="zh-CN" w:bidi="ar-SA"/>
              </w:rPr>
              <w:t>类型</w:t>
            </w:r>
          </w:p>
        </w:tc>
        <w:tc>
          <w:tcPr>
            <w:tcW w:w="9737"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sz w:val="21"/>
                <w:szCs w:val="21"/>
                <w:lang w:val="en-US" w:eastAsia="zh-CN"/>
              </w:rPr>
            </w:pPr>
            <w:r>
              <w:rPr>
                <w:rFonts w:hint="eastAsia" w:ascii="Times New Roman" w:hAnsi="Times New Roman" w:eastAsia="仿宋_GB2312" w:cs="Times New Roman"/>
                <w:b w:val="0"/>
                <w:bCs w:val="0"/>
                <w:kern w:val="2"/>
                <w:sz w:val="32"/>
                <w:szCs w:val="32"/>
                <w:highlight w:val="none"/>
                <w:lang w:val="en-US" w:eastAsia="zh-CN" w:bidi="ar-SA"/>
              </w:rPr>
              <w:t>增值税专用发票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62" w:hRule="atLeast"/>
          <w:jc w:val="center"/>
        </w:trPr>
        <w:tc>
          <w:tcPr>
            <w:tcW w:w="8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sz w:val="21"/>
                <w:szCs w:val="21"/>
                <w:lang w:val="en-US" w:eastAsia="zh-CN"/>
              </w:rPr>
            </w:pPr>
            <w:r>
              <w:rPr>
                <w:rFonts w:hint="eastAsia" w:ascii="Times New Roman" w:hAnsi="Times New Roman" w:eastAsia="仿宋_GB2312" w:cs="Times New Roman"/>
                <w:b w:val="0"/>
                <w:bCs w:val="0"/>
                <w:kern w:val="2"/>
                <w:sz w:val="32"/>
                <w:szCs w:val="32"/>
                <w:highlight w:val="none"/>
                <w:lang w:val="en-US" w:eastAsia="zh-CN" w:bidi="ar-SA"/>
              </w:rPr>
              <w:t>备注</w:t>
            </w:r>
          </w:p>
        </w:tc>
        <w:tc>
          <w:tcPr>
            <w:tcW w:w="9737"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lang w:val="en-US" w:eastAsia="zh-CN"/>
              </w:rPr>
            </w:pPr>
            <w:r>
              <w:rPr>
                <w:rFonts w:hint="eastAsia" w:ascii="仿宋_GB2312" w:hAnsi="仿宋_GB2312" w:eastAsia="仿宋_GB2312" w:cs="仿宋_GB2312"/>
                <w:b w:val="0"/>
                <w:bCs w:val="0"/>
                <w:kern w:val="2"/>
                <w:sz w:val="24"/>
                <w:szCs w:val="24"/>
                <w:highlight w:val="none"/>
                <w:lang w:val="en-US" w:eastAsia="zh-CN" w:bidi="ar-SA"/>
              </w:rPr>
              <w:t>以上单价报价采购人认为报价人已充分考虑采购所有采购要求，包括但不限于以下费用：人工费、材料费、装车费至甲方指定工地现场运输费、甲方指定地卸车费、超时等候费用、税金、保险费、利润、检测费、协调费、风险金等所有费用。</w:t>
            </w:r>
          </w:p>
        </w:tc>
      </w:tr>
    </w:tbl>
    <w:p>
      <w:pPr>
        <w:keepNext w:val="0"/>
        <w:keepLines w:val="0"/>
        <w:widowControl/>
        <w:suppressLineNumbers w:val="0"/>
        <w:jc w:val="both"/>
        <w:textAlignment w:val="center"/>
        <w:rPr>
          <w:rFonts w:hint="eastAsia" w:ascii="仿宋_GB2312" w:hAnsi="仿宋_GB2312" w:eastAsia="仿宋_GB2312" w:cs="仿宋_GB2312"/>
          <w:sz w:val="21"/>
          <w:szCs w:val="21"/>
          <w:lang w:val="en-US" w:eastAsia="zh-CN"/>
        </w:rPr>
      </w:pPr>
    </w:p>
    <w:p>
      <w:pPr>
        <w:keepNext w:val="0"/>
        <w:keepLines w:val="0"/>
        <w:widowControl/>
        <w:suppressLineNumbers w:val="0"/>
        <w:jc w:val="center"/>
        <w:textAlignment w:val="center"/>
        <w:rPr>
          <w:rFonts w:hint="eastAsia" w:ascii="Times New Roman" w:hAnsi="Times New Roman" w:eastAsia="仿宋_GB2312" w:cs="Times New Roman"/>
          <w:b w:val="0"/>
          <w:bCs w:val="0"/>
          <w:kern w:val="2"/>
          <w:sz w:val="32"/>
          <w:szCs w:val="32"/>
          <w:highlight w:val="none"/>
          <w:lang w:val="en-US" w:eastAsia="zh-CN" w:bidi="ar-SA"/>
        </w:rPr>
      </w:pPr>
      <w:r>
        <w:rPr>
          <w:rFonts w:hint="eastAsia" w:ascii="仿宋_GB2312" w:hAnsi="仿宋_GB2312" w:eastAsia="仿宋_GB2312" w:cs="仿宋_GB2312"/>
          <w:sz w:val="21"/>
          <w:szCs w:val="21"/>
          <w:lang w:val="en-US" w:eastAsia="zh-CN"/>
        </w:rPr>
        <w:t xml:space="preserve">                                                 </w:t>
      </w:r>
      <w:r>
        <w:rPr>
          <w:rFonts w:hint="eastAsia" w:ascii="Times New Roman" w:hAnsi="Times New Roman" w:eastAsia="仿宋_GB2312" w:cs="Times New Roman"/>
          <w:b w:val="0"/>
          <w:bCs w:val="0"/>
          <w:kern w:val="2"/>
          <w:sz w:val="32"/>
          <w:szCs w:val="32"/>
          <w:highlight w:val="none"/>
          <w:lang w:val="en-US" w:eastAsia="zh-CN" w:bidi="ar-SA"/>
        </w:rPr>
        <w:t xml:space="preserve">                   报价单位（盖章）</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I3MTM5NTFlYjc2ZDliMGQzNTBmMjNkNThmYmFkODQifQ=="/>
  </w:docVars>
  <w:rsids>
    <w:rsidRoot w:val="2C8D55F1"/>
    <w:rsid w:val="0002117A"/>
    <w:rsid w:val="00702588"/>
    <w:rsid w:val="00773916"/>
    <w:rsid w:val="015F4443"/>
    <w:rsid w:val="017936BE"/>
    <w:rsid w:val="0261662C"/>
    <w:rsid w:val="026659F0"/>
    <w:rsid w:val="034F7B48"/>
    <w:rsid w:val="043438CC"/>
    <w:rsid w:val="043F474B"/>
    <w:rsid w:val="04416527"/>
    <w:rsid w:val="07207C8B"/>
    <w:rsid w:val="07CC09EB"/>
    <w:rsid w:val="08585DDB"/>
    <w:rsid w:val="0895702F"/>
    <w:rsid w:val="08C72F61"/>
    <w:rsid w:val="097035F9"/>
    <w:rsid w:val="098D7D07"/>
    <w:rsid w:val="09A47FE3"/>
    <w:rsid w:val="09B26493"/>
    <w:rsid w:val="09E963BD"/>
    <w:rsid w:val="09F90B7C"/>
    <w:rsid w:val="0A171CC6"/>
    <w:rsid w:val="0AB6423A"/>
    <w:rsid w:val="0B162F9D"/>
    <w:rsid w:val="0B25614D"/>
    <w:rsid w:val="0B57681E"/>
    <w:rsid w:val="0BFD4E9D"/>
    <w:rsid w:val="0C6C0213"/>
    <w:rsid w:val="0CCE634C"/>
    <w:rsid w:val="0D6E4355"/>
    <w:rsid w:val="0EDE1004"/>
    <w:rsid w:val="0F0D4362"/>
    <w:rsid w:val="10CD30DE"/>
    <w:rsid w:val="10D26947"/>
    <w:rsid w:val="111B6540"/>
    <w:rsid w:val="12281DA0"/>
    <w:rsid w:val="1324792E"/>
    <w:rsid w:val="13C51BBF"/>
    <w:rsid w:val="14103A0E"/>
    <w:rsid w:val="143D67CD"/>
    <w:rsid w:val="14BB5B68"/>
    <w:rsid w:val="152F25B6"/>
    <w:rsid w:val="16C81358"/>
    <w:rsid w:val="16FD252F"/>
    <w:rsid w:val="184B4649"/>
    <w:rsid w:val="188744BB"/>
    <w:rsid w:val="1AE101ED"/>
    <w:rsid w:val="1C393D1E"/>
    <w:rsid w:val="1C6A3ED7"/>
    <w:rsid w:val="1D745FD8"/>
    <w:rsid w:val="1D8D4321"/>
    <w:rsid w:val="1DAA6C81"/>
    <w:rsid w:val="1EDD4E34"/>
    <w:rsid w:val="1FAF67D1"/>
    <w:rsid w:val="20174376"/>
    <w:rsid w:val="207254A1"/>
    <w:rsid w:val="20AE0304"/>
    <w:rsid w:val="20AF0487"/>
    <w:rsid w:val="218B501C"/>
    <w:rsid w:val="21EA1D42"/>
    <w:rsid w:val="23046E34"/>
    <w:rsid w:val="239161EE"/>
    <w:rsid w:val="23AB5501"/>
    <w:rsid w:val="24F15196"/>
    <w:rsid w:val="257D4C7B"/>
    <w:rsid w:val="25F211C5"/>
    <w:rsid w:val="265C5285"/>
    <w:rsid w:val="274624BC"/>
    <w:rsid w:val="28096C9A"/>
    <w:rsid w:val="290A14E0"/>
    <w:rsid w:val="29A7676B"/>
    <w:rsid w:val="29FD45DD"/>
    <w:rsid w:val="2A9F7442"/>
    <w:rsid w:val="2AE41B02"/>
    <w:rsid w:val="2BE94D47"/>
    <w:rsid w:val="2C11436F"/>
    <w:rsid w:val="2C567FD4"/>
    <w:rsid w:val="2C8D55F1"/>
    <w:rsid w:val="3054752A"/>
    <w:rsid w:val="31CD5CAD"/>
    <w:rsid w:val="31F938DC"/>
    <w:rsid w:val="320A1650"/>
    <w:rsid w:val="34452E08"/>
    <w:rsid w:val="345D2074"/>
    <w:rsid w:val="35245113"/>
    <w:rsid w:val="360931FD"/>
    <w:rsid w:val="36496DE4"/>
    <w:rsid w:val="368E10DD"/>
    <w:rsid w:val="36B87FCE"/>
    <w:rsid w:val="36D44917"/>
    <w:rsid w:val="36DA1F2E"/>
    <w:rsid w:val="36FE4905"/>
    <w:rsid w:val="38B13162"/>
    <w:rsid w:val="39F01A68"/>
    <w:rsid w:val="3AC76C6D"/>
    <w:rsid w:val="3AF31810"/>
    <w:rsid w:val="3B984165"/>
    <w:rsid w:val="3C8972BE"/>
    <w:rsid w:val="3D962926"/>
    <w:rsid w:val="3DD31485"/>
    <w:rsid w:val="3E347140"/>
    <w:rsid w:val="3F03223E"/>
    <w:rsid w:val="3FA07A8C"/>
    <w:rsid w:val="40BB2DD0"/>
    <w:rsid w:val="40DB4CE3"/>
    <w:rsid w:val="41CA47A1"/>
    <w:rsid w:val="425F5043"/>
    <w:rsid w:val="42B06238"/>
    <w:rsid w:val="42D47DE3"/>
    <w:rsid w:val="458614D2"/>
    <w:rsid w:val="464C7905"/>
    <w:rsid w:val="47370CD6"/>
    <w:rsid w:val="473E2065"/>
    <w:rsid w:val="474B4782"/>
    <w:rsid w:val="475E2707"/>
    <w:rsid w:val="47775577"/>
    <w:rsid w:val="48621D83"/>
    <w:rsid w:val="49521DF7"/>
    <w:rsid w:val="498D6D0C"/>
    <w:rsid w:val="49F17862"/>
    <w:rsid w:val="4A0C75E2"/>
    <w:rsid w:val="4A730277"/>
    <w:rsid w:val="4A856C92"/>
    <w:rsid w:val="4AAC3789"/>
    <w:rsid w:val="4BED5E07"/>
    <w:rsid w:val="4C0A79EA"/>
    <w:rsid w:val="4C0F3FD0"/>
    <w:rsid w:val="4C63431C"/>
    <w:rsid w:val="503C55AF"/>
    <w:rsid w:val="5176689F"/>
    <w:rsid w:val="5314011E"/>
    <w:rsid w:val="535D1AC5"/>
    <w:rsid w:val="535F3A8F"/>
    <w:rsid w:val="545804DE"/>
    <w:rsid w:val="551C775D"/>
    <w:rsid w:val="55E305D4"/>
    <w:rsid w:val="56B23ED5"/>
    <w:rsid w:val="56CA4951"/>
    <w:rsid w:val="590C7EA4"/>
    <w:rsid w:val="591470C9"/>
    <w:rsid w:val="59457283"/>
    <w:rsid w:val="59A044B9"/>
    <w:rsid w:val="5A00764E"/>
    <w:rsid w:val="5A290952"/>
    <w:rsid w:val="5AB754A6"/>
    <w:rsid w:val="5AF56A87"/>
    <w:rsid w:val="5BE56AFB"/>
    <w:rsid w:val="5C4F6BD1"/>
    <w:rsid w:val="5C50666A"/>
    <w:rsid w:val="5C6E42B2"/>
    <w:rsid w:val="5C700ABB"/>
    <w:rsid w:val="5CF32339"/>
    <w:rsid w:val="5CFF3BED"/>
    <w:rsid w:val="5D445AA3"/>
    <w:rsid w:val="5D8977E8"/>
    <w:rsid w:val="60A61C0E"/>
    <w:rsid w:val="60B065B7"/>
    <w:rsid w:val="62854B94"/>
    <w:rsid w:val="6378131D"/>
    <w:rsid w:val="63FB31EA"/>
    <w:rsid w:val="64135A89"/>
    <w:rsid w:val="64964E36"/>
    <w:rsid w:val="64B67287"/>
    <w:rsid w:val="679118E5"/>
    <w:rsid w:val="69304F32"/>
    <w:rsid w:val="69D40201"/>
    <w:rsid w:val="6A274783"/>
    <w:rsid w:val="6A6C074C"/>
    <w:rsid w:val="6A752B16"/>
    <w:rsid w:val="6B0F5943"/>
    <w:rsid w:val="6B6D2669"/>
    <w:rsid w:val="6C890097"/>
    <w:rsid w:val="6DAD31F1"/>
    <w:rsid w:val="6DBB70A1"/>
    <w:rsid w:val="6E00031E"/>
    <w:rsid w:val="6F683AD2"/>
    <w:rsid w:val="6F6F72B0"/>
    <w:rsid w:val="6FC36CFC"/>
    <w:rsid w:val="70D46855"/>
    <w:rsid w:val="72F054D5"/>
    <w:rsid w:val="73790697"/>
    <w:rsid w:val="739369E5"/>
    <w:rsid w:val="73FE0302"/>
    <w:rsid w:val="74626AE3"/>
    <w:rsid w:val="74E449D9"/>
    <w:rsid w:val="7513602F"/>
    <w:rsid w:val="751F6782"/>
    <w:rsid w:val="75F95225"/>
    <w:rsid w:val="75F96FD3"/>
    <w:rsid w:val="760A3563"/>
    <w:rsid w:val="762F05C5"/>
    <w:rsid w:val="767D5622"/>
    <w:rsid w:val="76CA6BC2"/>
    <w:rsid w:val="785030F6"/>
    <w:rsid w:val="795A247F"/>
    <w:rsid w:val="79BA2F1D"/>
    <w:rsid w:val="79C8388C"/>
    <w:rsid w:val="7B446F42"/>
    <w:rsid w:val="7C556F2D"/>
    <w:rsid w:val="7C885A6A"/>
    <w:rsid w:val="7D250F7A"/>
    <w:rsid w:val="7DC0201E"/>
    <w:rsid w:val="7FAC35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iPriority="99"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1"/>
    <w:basedOn w:val="1"/>
    <w:next w:val="5"/>
    <w:autoRedefine/>
    <w:qFormat/>
    <w:uiPriority w:val="0"/>
    <w:pPr>
      <w:keepNext/>
      <w:keepLines/>
      <w:spacing w:before="240" w:after="240" w:line="600" w:lineRule="auto"/>
      <w:jc w:val="center"/>
      <w:outlineLvl w:val="0"/>
    </w:pPr>
    <w:rPr>
      <w:rFonts w:ascii="仿宋" w:hAnsi="仿宋" w:eastAsia="仿宋"/>
      <w:b/>
      <w:bCs/>
      <w:color w:val="000000"/>
      <w:kern w:val="44"/>
      <w:sz w:val="32"/>
      <w:szCs w:val="44"/>
    </w:rPr>
  </w:style>
  <w:style w:type="paragraph" w:styleId="5">
    <w:name w:val="heading 2"/>
    <w:basedOn w:val="1"/>
    <w:next w:val="6"/>
    <w:autoRedefine/>
    <w:qFormat/>
    <w:uiPriority w:val="9"/>
    <w:pPr>
      <w:keepNext/>
      <w:keepLines/>
      <w:spacing w:before="120" w:after="120"/>
      <w:outlineLvl w:val="1"/>
    </w:pPr>
    <w:rPr>
      <w:rFonts w:ascii="仿宋" w:hAnsi="仿宋" w:eastAsia="仿宋"/>
      <w:b/>
      <w:bCs/>
      <w:kern w:val="0"/>
      <w:sz w:val="28"/>
      <w:szCs w:val="28"/>
    </w:rPr>
  </w:style>
  <w:style w:type="paragraph" w:styleId="6">
    <w:name w:val="heading 3"/>
    <w:basedOn w:val="1"/>
    <w:next w:val="1"/>
    <w:autoRedefine/>
    <w:qFormat/>
    <w:uiPriority w:val="0"/>
    <w:pPr>
      <w:keepNext/>
      <w:keepLines/>
      <w:spacing w:beforeLines="50" w:afterLines="50"/>
      <w:outlineLvl w:val="2"/>
    </w:pPr>
    <w:rPr>
      <w:rFonts w:ascii="仿宋" w:hAnsi="仿宋" w:eastAsia="仿宋"/>
      <w:b/>
      <w:bCs/>
      <w:kern w:val="0"/>
      <w:sz w:val="24"/>
      <w:szCs w:val="32"/>
    </w:rPr>
  </w:style>
  <w:style w:type="character" w:default="1" w:styleId="12">
    <w:name w:val="Default Paragraph Font"/>
    <w:autoRedefine/>
    <w:semiHidden/>
    <w:qFormat/>
    <w:uiPriority w:val="0"/>
  </w:style>
  <w:style w:type="table" w:default="1" w:styleId="10">
    <w:name w:val="Normal Table"/>
    <w:autoRedefine/>
    <w:semiHidden/>
    <w:qFormat/>
    <w:uiPriority w:val="0"/>
    <w:tblPr>
      <w:tblCellMar>
        <w:top w:w="0" w:type="dxa"/>
        <w:left w:w="108" w:type="dxa"/>
        <w:bottom w:w="0" w:type="dxa"/>
        <w:right w:w="108" w:type="dxa"/>
      </w:tblCellMar>
    </w:tblPr>
  </w:style>
  <w:style w:type="paragraph" w:styleId="2">
    <w:name w:val="Body Text First Indent 2"/>
    <w:basedOn w:val="3"/>
    <w:next w:val="1"/>
    <w:autoRedefine/>
    <w:semiHidden/>
    <w:unhideWhenUsed/>
    <w:qFormat/>
    <w:uiPriority w:val="99"/>
    <w:pPr>
      <w:ind w:firstLine="420" w:firstLineChars="200"/>
    </w:pPr>
  </w:style>
  <w:style w:type="paragraph" w:styleId="3">
    <w:name w:val="Body Text Indent"/>
    <w:basedOn w:val="1"/>
    <w:autoRedefine/>
    <w:semiHidden/>
    <w:unhideWhenUsed/>
    <w:qFormat/>
    <w:uiPriority w:val="99"/>
    <w:pPr>
      <w:spacing w:after="120"/>
      <w:ind w:left="420" w:leftChars="200"/>
    </w:pPr>
  </w:style>
  <w:style w:type="paragraph" w:styleId="7">
    <w:name w:val="Body Text"/>
    <w:basedOn w:val="1"/>
    <w:autoRedefine/>
    <w:qFormat/>
    <w:uiPriority w:val="99"/>
    <w:pPr>
      <w:spacing w:after="120"/>
    </w:pPr>
    <w:rPr>
      <w:rFonts w:ascii="Times New Roman" w:hAnsi="Times New Roman"/>
      <w:kern w:val="0"/>
      <w:sz w:val="20"/>
      <w:szCs w:val="20"/>
    </w:rPr>
  </w:style>
  <w:style w:type="paragraph" w:styleId="8">
    <w:name w:val="footer"/>
    <w:basedOn w:val="1"/>
    <w:autoRedefine/>
    <w:qFormat/>
    <w:uiPriority w:val="99"/>
    <w:pPr>
      <w:tabs>
        <w:tab w:val="center" w:pos="4153"/>
        <w:tab w:val="right" w:pos="8306"/>
      </w:tabs>
      <w:snapToGrid w:val="0"/>
      <w:jc w:val="left"/>
    </w:pPr>
    <w:rPr>
      <w:sz w:val="18"/>
      <w:szCs w:val="18"/>
    </w:rPr>
  </w:style>
  <w:style w:type="paragraph" w:styleId="9">
    <w:name w:val="envelope return"/>
    <w:basedOn w:val="1"/>
    <w:autoRedefine/>
    <w:unhideWhenUsed/>
    <w:qFormat/>
    <w:uiPriority w:val="0"/>
    <w:pPr>
      <w:snapToGrid w:val="0"/>
    </w:pPr>
    <w:rPr>
      <w:rFonts w:hint="eastAsia" w:ascii="Arial" w:hAnsi="Arial"/>
    </w:rPr>
  </w:style>
  <w:style w:type="table" w:styleId="11">
    <w:name w:val="Table Grid"/>
    <w:basedOn w:val="10"/>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3">
    <w:name w:val="标4"/>
    <w:basedOn w:val="1"/>
    <w:autoRedefine/>
    <w:qFormat/>
    <w:uiPriority w:val="0"/>
    <w:pPr>
      <w:adjustRightInd w:val="0"/>
      <w:spacing w:before="240" w:after="360" w:line="240" w:lineRule="exact"/>
      <w:ind w:firstLine="0" w:firstLineChars="0"/>
      <w:outlineLvl w:val="3"/>
    </w:pPr>
    <w:rPr>
      <w:rFonts w:ascii="Arial" w:hAnsi="Arial" w:cs="Arial"/>
      <w:b/>
      <w:bCs/>
      <w:kern w:val="24"/>
    </w:rPr>
  </w:style>
  <w:style w:type="paragraph" w:customStyle="1" w:styleId="14">
    <w:name w:val="Heading1"/>
    <w:basedOn w:val="1"/>
    <w:next w:val="1"/>
    <w:autoRedefine/>
    <w:qFormat/>
    <w:uiPriority w:val="0"/>
    <w:pPr>
      <w:keepNext/>
      <w:keepLines/>
      <w:spacing w:before="340" w:after="330" w:line="578" w:lineRule="auto"/>
      <w:jc w:val="center"/>
      <w:textAlignment w:val="baseline"/>
    </w:pPr>
    <w:rPr>
      <w:rFonts w:ascii="Calibri" w:hAnsi="Calibri" w:eastAsia="宋体" w:cs="Times New Roman"/>
      <w:b/>
      <w:bCs/>
      <w:kern w:val="44"/>
      <w:sz w:val="32"/>
      <w:szCs w:val="4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593</Words>
  <Characters>680</Characters>
  <Lines>0</Lines>
  <Paragraphs>0</Paragraphs>
  <TotalTime>22</TotalTime>
  <ScaleCrop>false</ScaleCrop>
  <LinksUpToDate>false</LinksUpToDate>
  <CharactersWithSpaces>806</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2022-06-20T00:25:00Z</dcterms:created>
  <dc:creator>19956735427</dc:creator>
  <cp:lastModifiedBy>艺术就是派大星</cp:lastModifiedBy>
  <dcterms:modified xsi:type="dcterms:W3CDTF">2024-05-20T06:03:31Z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152AD26953844A039F9CF8E2AF53CCEC</vt:lpwstr>
  </property>
</Properties>
</file>