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Theme="minorEastAsia" w:hAnsiTheme="minorEastAsia" w:cstheme="minorEastAsia"/>
          <w:sz w:val="28"/>
          <w:szCs w:val="28"/>
        </w:rPr>
      </w:pPr>
      <w:r>
        <w:rPr>
          <w:rFonts w:hint="eastAsia" w:asciiTheme="minorEastAsia" w:hAnsiTheme="minorEastAsia" w:cstheme="minorEastAsia"/>
          <w:sz w:val="28"/>
          <w:szCs w:val="28"/>
        </w:rPr>
        <w:t>附件1：采购需求</w:t>
      </w:r>
    </w:p>
    <w:p>
      <w:pPr>
        <w:numPr>
          <w:ilvl w:val="0"/>
          <w:numId w:val="1"/>
        </w:numPr>
        <w:spacing w:line="460" w:lineRule="exact"/>
        <w:rPr>
          <w:rFonts w:hint="eastAsia" w:ascii="黑体" w:hAnsi="黑体" w:eastAsia="黑体" w:cs="黑体"/>
          <w:sz w:val="32"/>
          <w:szCs w:val="32"/>
        </w:rPr>
      </w:pPr>
      <w:r>
        <w:rPr>
          <w:rFonts w:hint="eastAsia" w:ascii="黑体" w:hAnsi="黑体" w:eastAsia="黑体" w:cs="黑体"/>
          <w:sz w:val="32"/>
          <w:szCs w:val="32"/>
        </w:rPr>
        <w:t>采购内容及技术要求</w:t>
      </w:r>
    </w:p>
    <w:p>
      <w:pPr>
        <w:wordWrap w:val="0"/>
        <w:spacing w:line="48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（一）采购内容</w:t>
      </w:r>
    </w:p>
    <w:p>
      <w:pPr>
        <w:numPr>
          <w:ilvl w:val="0"/>
          <w:numId w:val="0"/>
        </w:numPr>
        <w:spacing w:line="460" w:lineRule="exact"/>
        <w:ind w:firstLine="640" w:firstLineChars="200"/>
        <w:rPr>
          <w:rFonts w:hint="default" w:eastAsia="黑体"/>
          <w:sz w:val="32"/>
          <w:szCs w:val="32"/>
          <w:lang w:val="en-US" w:eastAsia="zh-CN"/>
        </w:rPr>
      </w:pPr>
      <w:r>
        <w:rPr>
          <w:rFonts w:hint="eastAsia" w:ascii="黑体" w:hAnsi="黑体" w:eastAsia="黑体" w:cs="黑体"/>
          <w:sz w:val="32"/>
          <w:szCs w:val="32"/>
          <w:lang w:val="en-US" w:eastAsia="zh-CN"/>
        </w:rPr>
        <w:t>说明：</w:t>
      </w:r>
      <w:r>
        <w:rPr>
          <w:rFonts w:hint="eastAsia" w:ascii="黑体" w:hAnsi="黑体" w:eastAsia="黑体" w:cs="黑体"/>
          <w:sz w:val="32"/>
          <w:szCs w:val="32"/>
        </w:rPr>
        <w:t>参考产品品牌，是为了说明该产品的技术规格及质量要求，投标产品质量、性能、技术参数等方面优于或相当于参考产品品牌的，均可以参加投标。</w:t>
      </w:r>
      <w:r>
        <w:rPr>
          <w:rFonts w:hint="eastAsia" w:ascii="黑体" w:hAnsi="黑体" w:eastAsia="黑体" w:cs="黑体"/>
          <w:sz w:val="32"/>
          <w:szCs w:val="32"/>
          <w:lang w:val="en-US" w:eastAsia="zh-CN"/>
        </w:rPr>
        <w:t>投标方需在响应文件中详细列举响应品牌主机及配件的具体型号和参数。</w:t>
      </w:r>
    </w:p>
    <w:tbl>
      <w:tblPr>
        <w:tblStyle w:val="5"/>
        <w:tblW w:w="936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3"/>
        <w:gridCol w:w="1874"/>
        <w:gridCol w:w="1240"/>
        <w:gridCol w:w="1487"/>
        <w:gridCol w:w="832"/>
        <w:gridCol w:w="681"/>
        <w:gridCol w:w="24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803" w:type="dxa"/>
            <w:tcBorders>
              <w:top w:val="single" w:color="000000" w:sz="8" w:space="0"/>
              <w:left w:val="single" w:color="000000" w:sz="8"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序号</w:t>
            </w:r>
          </w:p>
        </w:tc>
        <w:tc>
          <w:tcPr>
            <w:tcW w:w="1874" w:type="dxa"/>
            <w:tcBorders>
              <w:top w:val="single" w:color="000000" w:sz="8" w:space="0"/>
              <w:left w:val="single" w:color="595959" w:sz="4" w:space="0"/>
              <w:bottom w:val="single" w:color="595959" w:sz="4" w:space="0"/>
              <w:right w:val="single" w:color="595959" w:sz="4" w:space="0"/>
            </w:tcBorders>
            <w:shd w:val="clear" w:color="auto" w:fill="808080"/>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产品名称</w:t>
            </w:r>
          </w:p>
        </w:tc>
        <w:tc>
          <w:tcPr>
            <w:tcW w:w="1240" w:type="dxa"/>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参考品牌</w:t>
            </w:r>
          </w:p>
        </w:tc>
        <w:tc>
          <w:tcPr>
            <w:tcW w:w="1487" w:type="dxa"/>
            <w:tcBorders>
              <w:top w:val="single" w:color="000000" w:sz="8" w:space="0"/>
              <w:left w:val="single" w:color="595959" w:sz="4" w:space="0"/>
              <w:bottom w:val="single" w:color="595959" w:sz="4" w:space="0"/>
              <w:right w:val="single" w:color="595959" w:sz="4" w:space="0"/>
            </w:tcBorders>
            <w:shd w:val="clear" w:color="auto" w:fill="808080"/>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参考型号</w:t>
            </w:r>
          </w:p>
        </w:tc>
        <w:tc>
          <w:tcPr>
            <w:tcW w:w="832" w:type="dxa"/>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单位</w:t>
            </w:r>
          </w:p>
        </w:tc>
        <w:tc>
          <w:tcPr>
            <w:tcW w:w="681" w:type="dxa"/>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w:t>
            </w:r>
          </w:p>
        </w:tc>
        <w:tc>
          <w:tcPr>
            <w:tcW w:w="2452" w:type="dxa"/>
            <w:tcBorders>
              <w:top w:val="single" w:color="000000" w:sz="8" w:space="0"/>
              <w:left w:val="single" w:color="595959" w:sz="4" w:space="0"/>
              <w:bottom w:val="single" w:color="595959" w:sz="4" w:space="0"/>
              <w:right w:val="single" w:color="595959" w:sz="4" w:space="0"/>
            </w:tcBorders>
            <w:shd w:val="clear" w:color="auto" w:fill="808080"/>
            <w:noWrap/>
            <w:vAlign w:val="center"/>
          </w:tcPr>
          <w:p>
            <w:pPr>
              <w:keepNext w:val="0"/>
              <w:keepLines w:val="0"/>
              <w:widowControl/>
              <w:suppressLineNumbers w:val="0"/>
              <w:tabs>
                <w:tab w:val="left" w:pos="533"/>
              </w:tabs>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大流量烟尘（气）采样器套装</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青岛崂应/明华/鲁海光电</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3012H-D/YQ3300/LH-2600</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1、含 O2（电化学），SO2（电化学），NO（电化学）, NO2（电化学）, CO（电化学）传感器。</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2、标配油烟、含湿量、烟气采样管</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3、标配烟尘综合采样管</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4、标配低浓度烟尘多功能采样枪（含6,8,10,12号采样头各10个）</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5、标配沥青烟采样枪</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6、带干扰报告</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7、标配气水分离器</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8、标配打印机</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9、标配烟气预处理器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高负载颗粒物采样器（空气氟化物采样器）</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青岛崂应/明华/鲁海光电</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2037</w:t>
            </w:r>
            <w:bookmarkStart w:id="0" w:name="_GoBack"/>
            <w:bookmarkEnd w:id="0"/>
            <w:r>
              <w:rPr>
                <w:rFonts w:hint="eastAsia" w:ascii="微软雅黑" w:hAnsi="微软雅黑" w:eastAsia="微软雅黑" w:cs="微软雅黑"/>
                <w:i w:val="0"/>
                <w:iCs w:val="0"/>
                <w:color w:val="000000"/>
                <w:kern w:val="0"/>
                <w:sz w:val="18"/>
                <w:szCs w:val="18"/>
                <w:u w:val="none"/>
                <w:lang w:val="en-US" w:eastAsia="zh-CN" w:bidi="ar"/>
              </w:rPr>
              <w:t>/MH1200-F/LH-7060</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1、标配三角支架</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2、标配氟化物采样头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油气回收多参数检测仪（含加油站和油罐车检测功能）</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青岛崂应/明华/鲁海光电</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7003/MH3510/LH-8035</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1、含油罐车附件</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2、含加油站附件</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3、标配升降式油桶（80L）</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4、标配主机支撑架（适合80L油桶）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旋转式压膜机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青岛崂应/明华/鲁海光电</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9020A/MH3090XY/LH-4610</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1、适合低浓度采样头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智能交直流移动电源</w:t>
            </w:r>
          </w:p>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博结诚科技/深圳倍特力/山东戴克威尔</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持续功率不低于1000W</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1、标配电源适配器</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2、持续功率不低于1000W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冷藏冰箱</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美菱/海尔/澳柯玛</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YC-260L/HC-260/SC-278</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1、有效冷藏体积不低于260L</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2、温度2-8℃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移动线圈</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公牛/日星/正泰</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国标</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件</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1、线缆净长度不低于70m</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2、标配过载保护</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3、标配漏电保护</w:t>
            </w:r>
          </w:p>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4、标配电缆盘（含伸缩拉杆）</w:t>
            </w:r>
          </w:p>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5、标配纯铜线芯</w:t>
            </w:r>
          </w:p>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6、线芯规格不低于3芯4平方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氧化还原电位计</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default" w:ascii="微软雅黑" w:hAnsi="微软雅黑" w:eastAsia="微软雅黑" w:cs="微软雅黑"/>
                <w:i w:val="0"/>
                <w:iCs w:val="0"/>
                <w:color w:val="000000"/>
                <w:sz w:val="18"/>
                <w:szCs w:val="18"/>
                <w:u w:val="none"/>
                <w:lang w:val="en-US" w:eastAsia="zh-CN"/>
              </w:rPr>
              <w:t>上海雷磁/哈希/梅特勒</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rPr>
                <w:rFonts w:hint="default" w:ascii="微软雅黑" w:hAnsi="微软雅黑" w:eastAsia="微软雅黑" w:cs="微软雅黑"/>
                <w:i w:val="0"/>
                <w:iCs w:val="0"/>
                <w:color w:val="000000"/>
                <w:sz w:val="18"/>
                <w:szCs w:val="18"/>
                <w:u w:val="none"/>
                <w:lang w:val="en-US"/>
              </w:rPr>
            </w:pPr>
            <w:r>
              <w:rPr>
                <w:rFonts w:hint="default" w:ascii="微软雅黑" w:hAnsi="微软雅黑" w:eastAsia="微软雅黑" w:cs="微软雅黑"/>
                <w:i w:val="0"/>
                <w:iCs w:val="0"/>
                <w:color w:val="000000"/>
                <w:sz w:val="18"/>
                <w:szCs w:val="18"/>
                <w:u w:val="none"/>
                <w:lang w:val="en-US" w:eastAsia="zh-CN"/>
              </w:rPr>
              <w:t>YHBJ-262型+氧化还原电极ORP-501+参比电极232-01 /phc10101/ F2-standard</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1、标配参比电极和测量电极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03" w:type="dxa"/>
            <w:tcBorders>
              <w:top w:val="single" w:color="595959" w:sz="4" w:space="0"/>
              <w:left w:val="single" w:color="000000" w:sz="8" w:space="0"/>
              <w:bottom w:val="single" w:color="595959" w:sz="4" w:space="0"/>
              <w:right w:val="single" w:color="595959"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w:t>
            </w:r>
          </w:p>
        </w:tc>
        <w:tc>
          <w:tcPr>
            <w:tcW w:w="1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便携式挥发性有机物测定仪</w:t>
            </w:r>
          </w:p>
        </w:tc>
        <w:tc>
          <w:tcPr>
            <w:tcW w:w="12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MP/ION/青岛崂应</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MP180/TIGERLT/3033</w:t>
            </w:r>
          </w:p>
        </w:tc>
        <w:tc>
          <w:tcPr>
            <w:tcW w:w="8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6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4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1.标配无线模块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9369" w:type="dxa"/>
            <w:gridSpan w:val="7"/>
            <w:tcBorders>
              <w:top w:val="single" w:color="595959" w:sz="4" w:space="0"/>
              <w:left w:val="single" w:color="000000" w:sz="8" w:space="0"/>
              <w:bottom w:val="single" w:color="595959" w:sz="4" w:space="0"/>
              <w:right w:val="single" w:color="000000" w:sz="4" w:space="0"/>
            </w:tcBorders>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备注：所提供的仪器设备需提供相应的计量（检定或校准）证书（不需要计量设备除外）。</w:t>
            </w:r>
          </w:p>
        </w:tc>
      </w:tr>
    </w:tbl>
    <w:p>
      <w:pPr>
        <w:wordWrap w:val="0"/>
        <w:spacing w:line="48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（二）技术要求</w:t>
      </w:r>
    </w:p>
    <w:p>
      <w:pPr>
        <w:keepNext w:val="0"/>
        <w:keepLines w:val="0"/>
        <w:pageBreakBefore w:val="0"/>
        <w:kinsoku/>
        <w:wordWrap/>
        <w:overflowPunct/>
        <w:topLinePunct w:val="0"/>
        <w:bidi w:val="0"/>
        <w:snapToGrid/>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（1）大流量烟尘（气）采样器套装</w:t>
      </w:r>
    </w:p>
    <w:p>
      <w:pPr>
        <w:keepNext w:val="0"/>
        <w:keepLines w:val="0"/>
        <w:pageBreakBefore w:val="0"/>
        <w:kinsoku/>
        <w:wordWrap/>
        <w:overflowPunct/>
        <w:topLinePunct w:val="0"/>
        <w:bidi w:val="0"/>
        <w:snapToGrid/>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 （一）主要特点 </w:t>
      </w:r>
    </w:p>
    <w:p>
      <w:pPr>
        <w:keepNext w:val="0"/>
        <w:keepLines w:val="0"/>
        <w:pageBreakBefore w:val="0"/>
        <w:kinsoku/>
        <w:wordWrap/>
        <w:overflowPunct/>
        <w:topLinePunct w:val="0"/>
        <w:bidi w:val="0"/>
        <w:snapToGrid/>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1、控制系统</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1.1</w:t>
      </w:r>
      <w:r>
        <w:rPr>
          <w:rFonts w:hint="eastAsia" w:ascii="宋体" w:hAnsi="宋体" w:eastAsia="宋体" w:cs="宋体"/>
          <w:color w:val="000000"/>
          <w:sz w:val="24"/>
          <w:szCs w:val="24"/>
        </w:rPr>
        <w:t>可完成固定污染源废气中浓度低于20mg/m</w:t>
      </w:r>
      <w:r>
        <w:rPr>
          <w:rFonts w:hint="eastAsia" w:ascii="宋体" w:hAnsi="宋体" w:eastAsia="宋体" w:cs="宋体"/>
          <w:color w:val="000000"/>
          <w:sz w:val="24"/>
          <w:szCs w:val="24"/>
          <w:vertAlign w:val="superscript"/>
        </w:rPr>
        <w:t>3</w:t>
      </w:r>
      <w:r>
        <w:rPr>
          <w:rFonts w:hint="eastAsia" w:ascii="宋体" w:hAnsi="宋体" w:eastAsia="宋体" w:cs="宋体"/>
          <w:color w:val="000000"/>
          <w:sz w:val="24"/>
          <w:szCs w:val="24"/>
        </w:rPr>
        <w:t>的颗粒物测定</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气体传感器修正补偿技术：烟气测量具有气体交叉干扰自动修正算法，最大限度地避免了交叉干扰对测量结果的影响，保证了测量精度</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1.3</w:t>
      </w:r>
      <w:r>
        <w:rPr>
          <w:rFonts w:hint="eastAsia" w:ascii="宋体" w:hAnsi="宋体" w:eastAsia="宋体" w:cs="宋体"/>
          <w:color w:val="000000"/>
          <w:sz w:val="24"/>
          <w:szCs w:val="24"/>
        </w:rPr>
        <w:t>气体传感器量程根据校准量程可调，扩展传感器的适用范围</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1.4</w:t>
      </w:r>
      <w:r>
        <w:rPr>
          <w:rFonts w:hint="eastAsia" w:ascii="宋体" w:hAnsi="宋体" w:eastAsia="宋体" w:cs="宋体"/>
          <w:color w:val="000000"/>
          <w:sz w:val="24"/>
          <w:szCs w:val="24"/>
        </w:rPr>
        <w:t>精确电子流量计控制，实时监测计温、计压，自动调节流量</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微电脑控制等速跟踪采样，专有调节方式，响应时间快</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1.6</w:t>
      </w:r>
      <w:r>
        <w:rPr>
          <w:rFonts w:hint="eastAsia" w:ascii="宋体" w:hAnsi="宋体" w:eastAsia="宋体" w:cs="宋体"/>
          <w:color w:val="000000"/>
          <w:sz w:val="24"/>
          <w:szCs w:val="24"/>
        </w:rPr>
        <w:t>仪器内置弹性气容，提高采样流量稳定性</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1.7</w:t>
      </w:r>
      <w:r>
        <w:rPr>
          <w:rFonts w:hint="eastAsia" w:ascii="宋体" w:hAnsi="宋体" w:eastAsia="宋体" w:cs="宋体"/>
          <w:color w:val="000000"/>
          <w:sz w:val="24"/>
          <w:szCs w:val="24"/>
        </w:rPr>
        <w:t>具有烟尘采样和烟气测量同步运行功能</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1.8</w:t>
      </w:r>
      <w:r>
        <w:rPr>
          <w:rFonts w:hint="eastAsia" w:ascii="宋体" w:hAnsi="宋体" w:eastAsia="宋体" w:cs="宋体"/>
          <w:color w:val="000000"/>
          <w:sz w:val="24"/>
          <w:szCs w:val="24"/>
        </w:rPr>
        <w:t>具备故障自检功能，可对仪器功能进行检测并提示故障，方便用户的维护、使用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2、</w:t>
      </w:r>
      <w:r>
        <w:rPr>
          <w:rFonts w:hint="eastAsia" w:ascii="宋体" w:hAnsi="宋体" w:eastAsia="宋体" w:cs="宋体"/>
          <w:b/>
          <w:bCs/>
          <w:color w:val="000000"/>
          <w:sz w:val="24"/>
          <w:szCs w:val="24"/>
        </w:rPr>
        <w:t>动力系统</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2.1</w:t>
      </w:r>
      <w:r>
        <w:rPr>
          <w:rFonts w:hint="eastAsia" w:ascii="宋体" w:hAnsi="宋体" w:eastAsia="宋体" w:cs="宋体"/>
          <w:color w:val="000000"/>
          <w:sz w:val="24"/>
          <w:szCs w:val="24"/>
        </w:rPr>
        <w:t>高效采样泵，耐腐蚀，流量可达110Lmin，连续运转免维护，适应各种工况，具有过载保护功能</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2.2</w:t>
      </w:r>
      <w:r>
        <w:rPr>
          <w:rFonts w:hint="eastAsia" w:ascii="宋体" w:hAnsi="宋体" w:eastAsia="宋体" w:cs="宋体"/>
          <w:color w:val="000000"/>
          <w:sz w:val="24"/>
          <w:szCs w:val="24"/>
        </w:rPr>
        <w:t>精密压力传感器搭配稳定的流量控制，可实现超低流速的稳定跟踪</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2.3</w:t>
      </w:r>
      <w:r>
        <w:rPr>
          <w:rFonts w:hint="eastAsia" w:ascii="宋体" w:hAnsi="宋体" w:eastAsia="宋体" w:cs="宋体"/>
          <w:color w:val="000000"/>
          <w:sz w:val="24"/>
          <w:szCs w:val="24"/>
        </w:rPr>
        <w:t>独特高效气水分离器设计，高效除湿，令硅胶利用率大大高于同类其他仪器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2.4</w:t>
      </w:r>
      <w:r>
        <w:rPr>
          <w:rFonts w:hint="eastAsia" w:ascii="宋体" w:hAnsi="宋体" w:eastAsia="宋体" w:cs="宋体"/>
          <w:color w:val="000000"/>
          <w:sz w:val="24"/>
          <w:szCs w:val="24"/>
        </w:rPr>
        <w:t>高效粉尘过滤功能：烟尘烟气采样气路均使用高效粉尘过滤器，极大的降低了流量传感器和采样泵系统的故障率。过滤系统采用透明窗设计，易观察，易更换</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3、</w:t>
      </w:r>
      <w:r>
        <w:rPr>
          <w:rFonts w:hint="eastAsia" w:ascii="宋体" w:hAnsi="宋体" w:eastAsia="宋体" w:cs="宋体"/>
          <w:b/>
          <w:bCs/>
          <w:color w:val="000000"/>
          <w:sz w:val="24"/>
          <w:szCs w:val="24"/>
        </w:rPr>
        <w:t>操作系统</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3.1</w:t>
      </w:r>
      <w:r>
        <w:rPr>
          <w:rFonts w:hint="eastAsia" w:ascii="宋体" w:hAnsi="宋体" w:eastAsia="宋体" w:cs="宋体"/>
          <w:color w:val="000000"/>
          <w:sz w:val="24"/>
          <w:szCs w:val="24"/>
        </w:rPr>
        <w:t>智能化的软件参数标定设计</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3.2</w:t>
      </w:r>
      <w:r>
        <w:rPr>
          <w:rFonts w:hint="eastAsia" w:ascii="宋体" w:hAnsi="宋体" w:eastAsia="宋体" w:cs="宋体"/>
          <w:color w:val="000000"/>
          <w:sz w:val="24"/>
          <w:szCs w:val="24"/>
        </w:rPr>
        <w:t>工业级防尘防水键盘，操作方便，特别适用于恶劣工况</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3.3</w:t>
      </w:r>
      <w:r>
        <w:rPr>
          <w:rFonts w:hint="eastAsia" w:ascii="宋体" w:hAnsi="宋体" w:eastAsia="宋体" w:cs="宋体"/>
          <w:color w:val="000000"/>
          <w:sz w:val="24"/>
          <w:szCs w:val="24"/>
        </w:rPr>
        <w:t>带有中文输入法，方便用户输入采样地点等信息</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3.4</w:t>
      </w:r>
      <w:r>
        <w:rPr>
          <w:rFonts w:hint="eastAsia" w:ascii="宋体" w:hAnsi="宋体" w:eastAsia="宋体" w:cs="宋体"/>
          <w:color w:val="000000"/>
          <w:sz w:val="24"/>
          <w:szCs w:val="24"/>
        </w:rPr>
        <w:t>采用5.7寸宽温LCD显示屏，适用于宽温野外环境，良好人机交互界面，让工作更轻松</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3.5</w:t>
      </w:r>
      <w:r>
        <w:rPr>
          <w:rFonts w:hint="eastAsia" w:ascii="宋体" w:hAnsi="宋体" w:eastAsia="宋体" w:cs="宋体"/>
          <w:color w:val="000000"/>
          <w:sz w:val="24"/>
          <w:szCs w:val="24"/>
        </w:rPr>
        <w:t>丰富的人机接口：具备RS232、USB等接口，支持数据通信，U盘数据转存输出</w:t>
      </w:r>
    </w:p>
    <w:p>
      <w:pPr>
        <w:pStyle w:val="11"/>
        <w:numPr>
          <w:ilvl w:val="0"/>
          <w:numId w:val="0"/>
        </w:numPr>
        <w:spacing w:line="400" w:lineRule="exact"/>
        <w:ind w:leftChars="0"/>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4、</w:t>
      </w:r>
      <w:r>
        <w:rPr>
          <w:rFonts w:hint="eastAsia" w:ascii="宋体" w:hAnsi="宋体" w:eastAsia="宋体" w:cs="宋体"/>
          <w:b/>
          <w:bCs/>
          <w:color w:val="000000"/>
          <w:sz w:val="24"/>
          <w:szCs w:val="24"/>
        </w:rPr>
        <w:t xml:space="preserve">技术指标 </w:t>
      </w:r>
    </w:p>
    <w:p>
      <w:pPr>
        <w:spacing w:line="200" w:lineRule="exact"/>
        <w:ind w:firstLine="241" w:firstLineChars="100"/>
        <w:rPr>
          <w:rFonts w:hint="eastAsia" w:ascii="宋体" w:hAnsi="宋体" w:eastAsia="宋体" w:cs="宋体"/>
          <w:b/>
          <w:color w:val="FFFFFF"/>
          <w:sz w:val="24"/>
          <w:szCs w:val="24"/>
          <w:shd w:val="clear" w:color="auto" w:fill="C3001E"/>
        </w:rPr>
      </w:pPr>
    </w:p>
    <w:tbl>
      <w:tblPr>
        <w:tblStyle w:val="5"/>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6"/>
        <w:gridCol w:w="1857"/>
        <w:gridCol w:w="1216"/>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0" w:type="auto"/>
            <w:gridSpan w:val="4"/>
            <w:tcBorders>
              <w:bottom w:val="single" w:color="auto" w:sz="4" w:space="0"/>
              <w:right w:val="single" w:color="auto" w:sz="4" w:space="0"/>
            </w:tcBorders>
            <w:noWrap w:val="0"/>
            <w:vAlign w:val="center"/>
          </w:tcPr>
          <w:p>
            <w:pPr>
              <w:pStyle w:val="11"/>
              <w:numPr>
                <w:ilvl w:val="0"/>
                <w:numId w:val="0"/>
              </w:numPr>
              <w:spacing w:line="400" w:lineRule="exact"/>
              <w:ind w:left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烟尘采样技术指标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pStyle w:val="11"/>
              <w:numPr>
                <w:ilvl w:val="0"/>
                <w:numId w:val="0"/>
              </w:numPr>
              <w:spacing w:line="400" w:lineRule="exact"/>
              <w:ind w:left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主要参数</w:t>
            </w:r>
          </w:p>
        </w:tc>
        <w:tc>
          <w:tcPr>
            <w:tcW w:w="0" w:type="auto"/>
            <w:tcBorders>
              <w:left w:val="single" w:color="auto" w:sz="4" w:space="0"/>
              <w:right w:val="single" w:color="auto" w:sz="4" w:space="0"/>
            </w:tcBorders>
            <w:noWrap w:val="0"/>
            <w:vAlign w:val="center"/>
          </w:tcPr>
          <w:p>
            <w:pPr>
              <w:pStyle w:val="11"/>
              <w:numPr>
                <w:ilvl w:val="0"/>
                <w:numId w:val="0"/>
              </w:numPr>
              <w:spacing w:line="400" w:lineRule="exact"/>
              <w:ind w:left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参数范围</w:t>
            </w:r>
          </w:p>
        </w:tc>
        <w:tc>
          <w:tcPr>
            <w:tcW w:w="0" w:type="auto"/>
            <w:tcBorders>
              <w:left w:val="single" w:color="auto" w:sz="4" w:space="0"/>
              <w:right w:val="single" w:color="auto" w:sz="4" w:space="0"/>
            </w:tcBorders>
            <w:noWrap w:val="0"/>
            <w:vAlign w:val="center"/>
          </w:tcPr>
          <w:p>
            <w:pPr>
              <w:pStyle w:val="11"/>
              <w:numPr>
                <w:ilvl w:val="0"/>
                <w:numId w:val="0"/>
              </w:numPr>
              <w:spacing w:line="400" w:lineRule="exact"/>
              <w:ind w:left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分辨率</w:t>
            </w:r>
          </w:p>
        </w:tc>
        <w:tc>
          <w:tcPr>
            <w:tcW w:w="0" w:type="auto"/>
            <w:tcBorders>
              <w:left w:val="single" w:color="auto" w:sz="4" w:space="0"/>
              <w:right w:val="single" w:color="auto" w:sz="4" w:space="0"/>
            </w:tcBorders>
            <w:noWrap w:val="0"/>
            <w:vAlign w:val="center"/>
          </w:tcPr>
          <w:p>
            <w:pPr>
              <w:pStyle w:val="11"/>
              <w:numPr>
                <w:ilvl w:val="0"/>
                <w:numId w:val="0"/>
              </w:numPr>
              <w:spacing w:line="400" w:lineRule="exact"/>
              <w:ind w:leftChars="0"/>
              <w:jc w:val="center"/>
              <w:rPr>
                <w:rFonts w:hint="eastAsia" w:ascii="宋体" w:hAnsi="宋体" w:eastAsia="宋体" w:cs="宋体"/>
                <w:color w:val="auto"/>
                <w:sz w:val="18"/>
                <w:szCs w:val="18"/>
              </w:rPr>
            </w:pPr>
            <w:r>
              <w:rPr>
                <w:rFonts w:hint="eastAsia" w:ascii="宋体" w:hAnsi="宋体" w:eastAsia="宋体" w:cs="宋体"/>
                <w:color w:val="auto"/>
                <w:sz w:val="18"/>
                <w:szCs w:val="18"/>
              </w:rPr>
              <w:t>准确度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采样流量</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(0～110) L/min</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 L/min</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烟气动压</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(0～2000) 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 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不超过±1%FS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烟气静压</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(-30～＋30) kPa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0.01 kPa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不超过±1%FS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流量计前压力</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(-30～0) kPa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0.01 kPa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不超过±1%FS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流量计前温度</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(-55～125)℃</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大气压</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(50～130) kPa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0.01 kPa</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不超过±500Pa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烟气温度</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(0～500)℃</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干、湿球温度(选配)</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(0～100)℃</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流       速</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(5～45）m/s</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 m/s</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最大采样体积</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999999.9 L</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0.1L</w:t>
            </w:r>
          </w:p>
        </w:tc>
        <w:tc>
          <w:tcPr>
            <w:tcW w:w="0" w:type="auto"/>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等速跟踪响应时间</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不超过20s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采样泵负载能力</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≥60 L/min (阻力为20kPa时)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数据存储能力</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＞10000组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外型尺寸（长×宽×高）</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350mm×170mm×310mm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仪器噪声</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＜80dB(A)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主机重量</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约10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功    耗</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＜200W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工作电源</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内置锂电池(22.2V/16.5Ah)或交流供电（自带充电管理）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工作时间</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不低于</w:t>
            </w:r>
            <w:r>
              <w:rPr>
                <w:rFonts w:hint="eastAsia" w:ascii="宋体" w:hAnsi="宋体" w:eastAsia="宋体" w:cs="宋体"/>
                <w:color w:val="000000"/>
                <w:sz w:val="18"/>
                <w:szCs w:val="18"/>
                <w:lang w:val="en-US" w:eastAsia="zh-CN"/>
              </w:rPr>
              <w:t>5</w:t>
            </w:r>
            <w:r>
              <w:rPr>
                <w:rFonts w:hint="eastAsia" w:ascii="宋体" w:hAnsi="宋体" w:eastAsia="宋体" w:cs="宋体"/>
                <w:color w:val="000000"/>
                <w:sz w:val="18"/>
                <w:szCs w:val="18"/>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0" w:type="auto"/>
            <w:tcBorders>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待机时间</w:t>
            </w:r>
          </w:p>
        </w:tc>
        <w:tc>
          <w:tcPr>
            <w:tcW w:w="0" w:type="auto"/>
            <w:gridSpan w:val="3"/>
            <w:tcBorders>
              <w:left w:val="single" w:color="auto" w:sz="4" w:space="0"/>
              <w:right w:val="single" w:color="auto" w:sz="4" w:space="0"/>
            </w:tcBorders>
            <w:noWrap w:val="0"/>
            <w:vAlign w:val="center"/>
          </w:tcPr>
          <w:p>
            <w:pPr>
              <w:autoSpaceDE w:val="0"/>
              <w:autoSpaceDN w:val="0"/>
              <w:spacing w:line="40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不低于5天</w:t>
            </w:r>
          </w:p>
        </w:tc>
      </w:tr>
    </w:tbl>
    <w:p>
      <w:pPr>
        <w:pStyle w:val="11"/>
        <w:spacing w:line="400" w:lineRule="exact"/>
        <w:ind w:firstLine="0" w:firstLineChars="0"/>
        <w:rPr>
          <w:rFonts w:hint="eastAsia" w:ascii="宋体" w:hAnsi="宋体" w:eastAsia="宋体" w:cs="宋体"/>
          <w:b/>
          <w:bCs/>
          <w:color w:val="00B0F0"/>
          <w:kern w:val="0"/>
          <w:sz w:val="24"/>
          <w:szCs w:val="24"/>
        </w:rPr>
      </w:pPr>
    </w:p>
    <w:p>
      <w:pPr>
        <w:pStyle w:val="12"/>
        <w:numPr>
          <w:ilvl w:val="0"/>
          <w:numId w:val="0"/>
        </w:numPr>
        <w:spacing w:line="440" w:lineRule="exac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5、配置</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5.1含 O2（电化学），SO2（电化学），NO（电化学）, NO2（电化学）, CO（电化学）传感器。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5.2标配油烟、含湿量、烟气采样管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5.3标配烟尘综合采样管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5.4标配低浓度烟尘多功能采样枪（含6,8,10,12号采样头各10个）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5.5标配沥青烟采样枪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5.6带干扰报告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5.7标配气水分离器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5.8标配打印机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5.9标配烟气预处理器</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sz w:val="24"/>
          <w:szCs w:val="24"/>
          <w:lang w:val="en-US" w:eastAsia="zh-CN"/>
        </w:rPr>
        <w:t>6、执行标准</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GB/T 16157-1996  固定污染源排气中颗粒物和气态污染物采样方法</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HJ/T 48-1999  烟尘采样器技术条件</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HJ 57-2017  固定污染源废气 二氧化硫的测定 定电位电解法</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HJ 693-2014  固定污染源废气 氮氧化物的测定 定电位电解法</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HJ 836-2017  固定污染源废气 低浓度颗粒物的测定 重量法</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HJ 973-2018  固定污染源废气 一氧化碳的测定定电位电解法</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JJG 680-2007  烟尘采样器检定规程</w:t>
      </w:r>
    </w:p>
    <w:p>
      <w:pPr>
        <w:pStyle w:val="12"/>
        <w:numPr>
          <w:ilvl w:val="0"/>
          <w:numId w:val="0"/>
        </w:numPr>
        <w:spacing w:line="440" w:lineRule="exac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JJG 968-2002  烟气分析仪检定规程 </w:t>
      </w:r>
    </w:p>
    <w:p>
      <w:pPr>
        <w:keepNext w:val="0"/>
        <w:keepLines w:val="0"/>
        <w:pageBreakBefore w:val="0"/>
        <w:kinsoku/>
        <w:wordWrap/>
        <w:overflowPunct/>
        <w:topLinePunct w:val="0"/>
        <w:bidi w:val="0"/>
        <w:snapToGrid/>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（2）高负载颗粒物采样器（空气氟化物采样器）</w:t>
      </w:r>
    </w:p>
    <w:p>
      <w:pPr>
        <w:keepNext w:val="0"/>
        <w:keepLines w:val="0"/>
        <w:pageBreakBefore w:val="0"/>
        <w:kinsoku/>
        <w:wordWrap/>
        <w:overflowPunct/>
        <w:topLinePunct w:val="0"/>
        <w:bidi w:val="0"/>
        <w:snapToGrid/>
        <w:spacing w:line="360" w:lineRule="auto"/>
        <w:rPr>
          <w:rFonts w:hint="eastAsia" w:ascii="宋体" w:hAnsi="宋体" w:eastAsia="宋体" w:cs="宋体"/>
          <w:b/>
          <w:sz w:val="24"/>
          <w:szCs w:val="24"/>
        </w:rPr>
      </w:pPr>
      <w:r>
        <w:rPr>
          <w:rFonts w:hint="eastAsia" w:ascii="宋体" w:hAnsi="宋体" w:eastAsia="宋体" w:cs="宋体"/>
          <w:b/>
          <w:sz w:val="24"/>
          <w:szCs w:val="24"/>
        </w:rPr>
        <w:t>1、设备用途</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仪器应用滤膜称重法捕集环境大气中的总悬浮微粒（TSP）、可吸入微粒（PM10）及细颗粒物（PM2.5）。该仪器采用进口高转速无刷风机，是一款高负载型采样器，非常适用于空气重金属、氟化物及SVOCs的采样。</w:t>
      </w:r>
    </w:p>
    <w:p>
      <w:pPr>
        <w:keepNext w:val="0"/>
        <w:keepLines w:val="0"/>
        <w:pageBreakBefore w:val="0"/>
        <w:numPr>
          <w:ilvl w:val="0"/>
          <w:numId w:val="2"/>
        </w:numPr>
        <w:kinsoku/>
        <w:wordWrap/>
        <w:overflowPunct/>
        <w:topLinePunct w:val="0"/>
        <w:bidi w:val="0"/>
        <w:snapToGrid/>
        <w:spacing w:line="360" w:lineRule="auto"/>
        <w:rPr>
          <w:rFonts w:hint="eastAsia" w:ascii="宋体" w:hAnsi="宋体" w:eastAsia="宋体" w:cs="宋体"/>
          <w:b/>
          <w:sz w:val="24"/>
          <w:szCs w:val="24"/>
        </w:rPr>
      </w:pPr>
      <w:r>
        <w:rPr>
          <w:rFonts w:hint="eastAsia" w:ascii="宋体" w:hAnsi="宋体" w:eastAsia="宋体" w:cs="宋体"/>
          <w:b/>
          <w:sz w:val="24"/>
          <w:szCs w:val="24"/>
        </w:rPr>
        <w:t>性能要求</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2.1 高转速无刷进口风机，负载能力强；</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2.2 采样可设置定时、等间隔循环采样；</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2.3 </w:t>
      </w:r>
      <w:r>
        <w:rPr>
          <w:rFonts w:hint="eastAsia" w:ascii="宋体" w:hAnsi="宋体" w:eastAsia="宋体" w:cs="宋体"/>
          <w:snapToGrid/>
          <w:sz w:val="24"/>
          <w:szCs w:val="24"/>
          <w:lang w:val="en-US" w:eastAsia="zh-CN"/>
        </w:rPr>
        <w:t>仪器采样智能保护，确保风机长时间稳定运行；</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2.4 特殊风机消音结构，仪器在负载20kPa，流量50L/min时，噪音柔和；</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2.5 </w:t>
      </w:r>
      <w:r>
        <w:rPr>
          <w:rFonts w:hint="eastAsia" w:ascii="宋体" w:hAnsi="宋体" w:eastAsia="宋体" w:cs="宋体"/>
          <w:snapToGrid/>
          <w:sz w:val="24"/>
          <w:szCs w:val="24"/>
          <w:lang w:val="en-US" w:eastAsia="zh-CN"/>
        </w:rPr>
        <w:t>可预约24小时内的任意时刻开始采样；</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2.6 自动测量环境温度、大气压、流量计前温度、压力，计算工况、参比状态（298.15K，101.325kPa）体积；</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2.7 </w:t>
      </w:r>
      <w:r>
        <w:rPr>
          <w:rFonts w:hint="eastAsia" w:ascii="宋体" w:hAnsi="宋体" w:eastAsia="宋体" w:cs="宋体"/>
          <w:snapToGrid/>
          <w:sz w:val="24"/>
          <w:szCs w:val="24"/>
          <w:lang w:val="en-US" w:eastAsia="zh-CN"/>
        </w:rPr>
        <w:t>采样数据自动记忆，采样过程中停电、来电自动恢复；</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2.8 </w:t>
      </w:r>
      <w:r>
        <w:rPr>
          <w:rFonts w:hint="eastAsia" w:ascii="宋体" w:hAnsi="宋体" w:eastAsia="宋体" w:cs="宋体"/>
          <w:snapToGrid/>
          <w:sz w:val="24"/>
          <w:szCs w:val="24"/>
          <w:lang w:val="en-US" w:eastAsia="zh-CN"/>
        </w:rPr>
        <w:t>仪器具有防雨雪功能，避免无人值守时突降雨雪造成仪器损坏；</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2.9 </w:t>
      </w:r>
      <w:r>
        <w:rPr>
          <w:rFonts w:hint="eastAsia" w:ascii="宋体" w:hAnsi="宋体" w:eastAsia="宋体" w:cs="宋体"/>
          <w:snapToGrid/>
          <w:sz w:val="24"/>
          <w:szCs w:val="24"/>
          <w:lang w:val="en-US" w:eastAsia="zh-CN"/>
        </w:rPr>
        <w:t>采用4.3寸液晶屏，操作简单易学；</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2.10 </w:t>
      </w:r>
      <w:r>
        <w:rPr>
          <w:rFonts w:hint="eastAsia" w:ascii="宋体" w:hAnsi="宋体" w:eastAsia="宋体" w:cs="宋体"/>
          <w:snapToGrid/>
          <w:sz w:val="24"/>
          <w:szCs w:val="24"/>
          <w:lang w:val="en-US" w:eastAsia="zh-CN"/>
        </w:rPr>
        <w:t>标配氟化物采样头，也可选配多级颗粒物采样头、多环芳烃采样头、吸附罐等，对空气中的颗粒物、重金属、氟化物及SVOCs污染物等进行采集；</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 xml:space="preserve">2.11 </w:t>
      </w:r>
      <w:r>
        <w:rPr>
          <w:rFonts w:hint="eastAsia" w:ascii="宋体" w:hAnsi="宋体" w:eastAsia="宋体" w:cs="宋体"/>
          <w:snapToGrid/>
          <w:sz w:val="24"/>
          <w:szCs w:val="24"/>
          <w:lang w:val="en-US" w:eastAsia="zh-CN"/>
        </w:rPr>
        <w:t>采样流量跨度大，可设置小流量（16.7L/min、28.3L/min、50L/min）流量及中流量（100L/min）采样，实现一机多用。</w:t>
      </w:r>
    </w:p>
    <w:p>
      <w:pPr>
        <w:keepNext w:val="0"/>
        <w:keepLines w:val="0"/>
        <w:pageBreakBefore w:val="0"/>
        <w:numPr>
          <w:ilvl w:val="0"/>
          <w:numId w:val="3"/>
        </w:numPr>
        <w:kinsoku/>
        <w:wordWrap/>
        <w:overflowPunct/>
        <w:topLinePunct w:val="0"/>
        <w:bidi w:val="0"/>
        <w:snapToGrid/>
        <w:spacing w:line="360" w:lineRule="auto"/>
        <w:rPr>
          <w:rFonts w:hint="eastAsia" w:ascii="宋体" w:hAnsi="宋体" w:eastAsia="宋体" w:cs="宋体"/>
          <w:b/>
          <w:bCs/>
          <w:sz w:val="24"/>
          <w:szCs w:val="24"/>
        </w:rPr>
      </w:pPr>
      <w:r>
        <w:rPr>
          <w:rFonts w:hint="eastAsia" w:ascii="宋体" w:hAnsi="宋体" w:eastAsia="宋体" w:cs="宋体"/>
          <w:b/>
          <w:bCs/>
          <w:sz w:val="24"/>
          <w:szCs w:val="24"/>
        </w:rPr>
        <w:t>技术指标</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rPr>
      </w:pPr>
      <w:r>
        <w:rPr>
          <w:rFonts w:hint="eastAsia" w:ascii="宋体" w:hAnsi="宋体" w:eastAsia="宋体" w:cs="宋体"/>
          <w:sz w:val="24"/>
          <w:szCs w:val="24"/>
          <w:lang w:val="en-US" w:eastAsia="zh-CN"/>
        </w:rPr>
        <w:t xml:space="preserve">3.1 </w:t>
      </w:r>
      <w:r>
        <w:rPr>
          <w:rFonts w:hint="eastAsia" w:ascii="宋体" w:hAnsi="宋体" w:eastAsia="宋体" w:cs="宋体"/>
          <w:sz w:val="24"/>
          <w:szCs w:val="24"/>
        </w:rPr>
        <w:t>流量范围</w:t>
      </w:r>
      <w:r>
        <w:rPr>
          <w:rFonts w:hint="eastAsia" w:ascii="宋体" w:hAnsi="宋体" w:eastAsia="宋体" w:cs="宋体"/>
          <w:sz w:val="24"/>
          <w:szCs w:val="24"/>
          <w:lang w:val="en-US" w:eastAsia="zh-CN"/>
        </w:rPr>
        <w:t>;</w:t>
      </w:r>
      <w:r>
        <w:rPr>
          <w:rFonts w:hint="eastAsia" w:ascii="宋体" w:hAnsi="宋体" w:eastAsia="宋体" w:cs="宋体"/>
          <w:sz w:val="24"/>
          <w:szCs w:val="24"/>
        </w:rPr>
        <w:t>(10～120)L/min</w:t>
      </w:r>
      <w:r>
        <w:rPr>
          <w:rFonts w:hint="eastAsia" w:ascii="宋体" w:hAnsi="宋体" w:eastAsia="宋体" w:cs="宋体"/>
          <w:sz w:val="24"/>
          <w:szCs w:val="24"/>
          <w:lang w:eastAsia="zh-CN"/>
        </w:rPr>
        <w:t>，</w:t>
      </w:r>
      <w:r>
        <w:rPr>
          <w:rFonts w:hint="eastAsia" w:ascii="宋体" w:hAnsi="宋体" w:eastAsia="宋体" w:cs="宋体"/>
          <w:sz w:val="24"/>
          <w:szCs w:val="24"/>
        </w:rPr>
        <w:t>分 辨 率0.1 L/min</w:t>
      </w:r>
      <w:r>
        <w:rPr>
          <w:rFonts w:hint="eastAsia" w:ascii="宋体" w:hAnsi="宋体" w:eastAsia="宋体" w:cs="宋体"/>
          <w:sz w:val="24"/>
          <w:szCs w:val="24"/>
          <w:lang w:eastAsia="zh-CN"/>
        </w:rPr>
        <w:t>，</w:t>
      </w:r>
      <w:r>
        <w:rPr>
          <w:rFonts w:hint="eastAsia" w:ascii="宋体" w:hAnsi="宋体" w:eastAsia="宋体" w:cs="宋体"/>
          <w:sz w:val="24"/>
          <w:szCs w:val="24"/>
        </w:rPr>
        <w:t>准 确 度优于±2%</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rPr>
      </w:pPr>
      <w:r>
        <w:rPr>
          <w:rFonts w:hint="eastAsia" w:ascii="宋体" w:hAnsi="宋体" w:eastAsia="宋体" w:cs="宋体"/>
          <w:sz w:val="24"/>
          <w:szCs w:val="24"/>
          <w:lang w:val="en-US" w:eastAsia="zh-CN"/>
        </w:rPr>
        <w:t xml:space="preserve">3.2 </w:t>
      </w:r>
      <w:r>
        <w:rPr>
          <w:rFonts w:hint="eastAsia" w:ascii="宋体" w:hAnsi="宋体" w:eastAsia="宋体" w:cs="宋体"/>
          <w:sz w:val="24"/>
          <w:szCs w:val="24"/>
        </w:rPr>
        <w:t>流量计前温度</w:t>
      </w:r>
      <w:r>
        <w:rPr>
          <w:rFonts w:hint="eastAsia" w:ascii="宋体" w:hAnsi="宋体" w:eastAsia="宋体" w:cs="宋体"/>
          <w:sz w:val="24"/>
          <w:szCs w:val="24"/>
          <w:lang w:eastAsia="zh-CN"/>
        </w:rPr>
        <w:t>：</w:t>
      </w:r>
      <w:r>
        <w:rPr>
          <w:rFonts w:hint="eastAsia" w:ascii="宋体" w:hAnsi="宋体" w:eastAsia="宋体" w:cs="宋体"/>
          <w:sz w:val="24"/>
          <w:szCs w:val="24"/>
        </w:rPr>
        <w:t xml:space="preserve">(-40～85)℃ </w:t>
      </w:r>
      <w:r>
        <w:rPr>
          <w:rFonts w:hint="eastAsia" w:ascii="宋体" w:hAnsi="宋体" w:eastAsia="宋体" w:cs="宋体"/>
          <w:sz w:val="24"/>
          <w:szCs w:val="24"/>
          <w:lang w:eastAsia="zh-CN"/>
        </w:rPr>
        <w:t>，</w:t>
      </w:r>
      <w:r>
        <w:rPr>
          <w:rFonts w:hint="eastAsia" w:ascii="宋体" w:hAnsi="宋体" w:eastAsia="宋体" w:cs="宋体"/>
          <w:sz w:val="24"/>
          <w:szCs w:val="24"/>
        </w:rPr>
        <w:t>分 辨 率0.1℃</w:t>
      </w:r>
      <w:r>
        <w:rPr>
          <w:rFonts w:hint="eastAsia" w:ascii="宋体" w:hAnsi="宋体" w:eastAsia="宋体" w:cs="宋体"/>
          <w:sz w:val="24"/>
          <w:szCs w:val="24"/>
          <w:lang w:eastAsia="zh-CN"/>
        </w:rPr>
        <w:t>，</w:t>
      </w:r>
      <w:r>
        <w:rPr>
          <w:rFonts w:hint="eastAsia" w:ascii="宋体" w:hAnsi="宋体" w:eastAsia="宋体" w:cs="宋体"/>
          <w:sz w:val="24"/>
          <w:szCs w:val="24"/>
        </w:rPr>
        <w:t>准 确 度优于±2℃</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3.3 </w:t>
      </w:r>
      <w:r>
        <w:rPr>
          <w:rFonts w:hint="eastAsia" w:ascii="宋体" w:hAnsi="宋体" w:eastAsia="宋体" w:cs="宋体"/>
          <w:sz w:val="24"/>
          <w:szCs w:val="24"/>
        </w:rPr>
        <w:t>流量计前压力</w:t>
      </w:r>
      <w:r>
        <w:rPr>
          <w:rFonts w:hint="eastAsia" w:ascii="宋体" w:hAnsi="宋体" w:eastAsia="宋体" w:cs="宋体"/>
          <w:sz w:val="24"/>
          <w:szCs w:val="24"/>
          <w:lang w:eastAsia="zh-CN"/>
        </w:rPr>
        <w:t>：</w:t>
      </w:r>
      <w:r>
        <w:rPr>
          <w:rFonts w:hint="eastAsia" w:ascii="宋体" w:hAnsi="宋体" w:eastAsia="宋体" w:cs="宋体"/>
          <w:sz w:val="24"/>
          <w:szCs w:val="24"/>
        </w:rPr>
        <w:t>（-45～0）kPa</w:t>
      </w:r>
      <w:r>
        <w:rPr>
          <w:rFonts w:hint="eastAsia" w:ascii="宋体" w:hAnsi="宋体" w:eastAsia="宋体" w:cs="宋体"/>
          <w:sz w:val="24"/>
          <w:szCs w:val="24"/>
          <w:lang w:eastAsia="zh-CN"/>
        </w:rPr>
        <w:t>，</w:t>
      </w:r>
      <w:r>
        <w:rPr>
          <w:rFonts w:hint="eastAsia" w:ascii="宋体" w:hAnsi="宋体" w:eastAsia="宋体" w:cs="宋体"/>
          <w:sz w:val="24"/>
          <w:szCs w:val="24"/>
        </w:rPr>
        <w:t>分 辨 率0.01 kPa</w:t>
      </w:r>
      <w:r>
        <w:rPr>
          <w:rFonts w:hint="eastAsia" w:ascii="宋体" w:hAnsi="宋体" w:eastAsia="宋体" w:cs="宋体"/>
          <w:sz w:val="24"/>
          <w:szCs w:val="24"/>
          <w:lang w:eastAsia="zh-CN"/>
        </w:rPr>
        <w:t>，</w:t>
      </w:r>
      <w:r>
        <w:rPr>
          <w:rFonts w:hint="eastAsia" w:ascii="宋体" w:hAnsi="宋体" w:eastAsia="宋体" w:cs="宋体"/>
          <w:sz w:val="24"/>
          <w:szCs w:val="24"/>
        </w:rPr>
        <w:t>准 确 度优于±0.4kPa</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3.4 </w:t>
      </w:r>
      <w:r>
        <w:rPr>
          <w:rFonts w:hint="eastAsia" w:ascii="宋体" w:hAnsi="宋体" w:eastAsia="宋体" w:cs="宋体"/>
          <w:sz w:val="24"/>
          <w:szCs w:val="24"/>
        </w:rPr>
        <w:t>大 气 压</w:t>
      </w:r>
      <w:r>
        <w:rPr>
          <w:rFonts w:hint="eastAsia" w:ascii="宋体" w:hAnsi="宋体" w:eastAsia="宋体" w:cs="宋体"/>
          <w:sz w:val="24"/>
          <w:szCs w:val="24"/>
          <w:lang w:eastAsia="zh-CN"/>
        </w:rPr>
        <w:t>：</w:t>
      </w:r>
      <w:r>
        <w:rPr>
          <w:rFonts w:hint="eastAsia" w:ascii="宋体" w:hAnsi="宋体" w:eastAsia="宋体" w:cs="宋体"/>
          <w:sz w:val="24"/>
          <w:szCs w:val="24"/>
        </w:rPr>
        <w:t>(50～130)kPa</w:t>
      </w:r>
      <w:r>
        <w:rPr>
          <w:rFonts w:hint="eastAsia" w:ascii="宋体" w:hAnsi="宋体" w:eastAsia="宋体" w:cs="宋体"/>
          <w:sz w:val="24"/>
          <w:szCs w:val="24"/>
          <w:lang w:eastAsia="zh-CN"/>
        </w:rPr>
        <w:t>，</w:t>
      </w:r>
      <w:r>
        <w:rPr>
          <w:rFonts w:hint="eastAsia" w:ascii="宋体" w:hAnsi="宋体" w:eastAsia="宋体" w:cs="宋体"/>
          <w:sz w:val="24"/>
          <w:szCs w:val="24"/>
        </w:rPr>
        <w:t>分 辨 率0.01kPa</w:t>
      </w:r>
      <w:r>
        <w:rPr>
          <w:rFonts w:hint="eastAsia" w:ascii="宋体" w:hAnsi="宋体" w:eastAsia="宋体" w:cs="宋体"/>
          <w:sz w:val="24"/>
          <w:szCs w:val="24"/>
          <w:lang w:eastAsia="zh-CN"/>
        </w:rPr>
        <w:t>，</w:t>
      </w:r>
      <w:r>
        <w:rPr>
          <w:rFonts w:hint="eastAsia" w:ascii="宋体" w:hAnsi="宋体" w:eastAsia="宋体" w:cs="宋体"/>
          <w:sz w:val="24"/>
          <w:szCs w:val="24"/>
        </w:rPr>
        <w:t>准 确 度优于±0.5kPa</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3.5 </w:t>
      </w:r>
      <w:r>
        <w:rPr>
          <w:rFonts w:hint="eastAsia" w:ascii="宋体" w:hAnsi="宋体" w:eastAsia="宋体" w:cs="宋体"/>
          <w:sz w:val="24"/>
          <w:szCs w:val="24"/>
        </w:rPr>
        <w:t>环境温度</w:t>
      </w:r>
      <w:r>
        <w:rPr>
          <w:rFonts w:hint="eastAsia" w:ascii="宋体" w:hAnsi="宋体" w:eastAsia="宋体" w:cs="宋体"/>
          <w:sz w:val="24"/>
          <w:szCs w:val="24"/>
          <w:lang w:eastAsia="zh-CN"/>
        </w:rPr>
        <w:t>：</w:t>
      </w:r>
      <w:r>
        <w:rPr>
          <w:rFonts w:hint="eastAsia" w:ascii="宋体" w:hAnsi="宋体" w:eastAsia="宋体" w:cs="宋体"/>
          <w:sz w:val="24"/>
          <w:szCs w:val="24"/>
        </w:rPr>
        <w:t>(－40～85)℃</w:t>
      </w:r>
      <w:r>
        <w:rPr>
          <w:rFonts w:hint="eastAsia" w:ascii="宋体" w:hAnsi="宋体" w:eastAsia="宋体" w:cs="宋体"/>
          <w:sz w:val="24"/>
          <w:szCs w:val="24"/>
          <w:lang w:eastAsia="zh-CN"/>
        </w:rPr>
        <w:t>，</w:t>
      </w:r>
      <w:r>
        <w:rPr>
          <w:rFonts w:hint="eastAsia" w:ascii="宋体" w:hAnsi="宋体" w:eastAsia="宋体" w:cs="宋体"/>
          <w:sz w:val="24"/>
          <w:szCs w:val="24"/>
        </w:rPr>
        <w:t>分 辨 率0.1℃</w:t>
      </w:r>
      <w:r>
        <w:rPr>
          <w:rFonts w:hint="eastAsia" w:ascii="宋体" w:hAnsi="宋体" w:eastAsia="宋体" w:cs="宋体"/>
          <w:sz w:val="24"/>
          <w:szCs w:val="24"/>
          <w:lang w:eastAsia="zh-CN"/>
        </w:rPr>
        <w:t>，</w:t>
      </w:r>
      <w:r>
        <w:rPr>
          <w:rFonts w:hint="eastAsia" w:ascii="宋体" w:hAnsi="宋体" w:eastAsia="宋体" w:cs="宋体"/>
          <w:sz w:val="24"/>
          <w:szCs w:val="24"/>
        </w:rPr>
        <w:t>准 确 度优于±1℃</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3.6 </w:t>
      </w:r>
      <w:r>
        <w:rPr>
          <w:rFonts w:hint="eastAsia" w:ascii="宋体" w:hAnsi="宋体" w:eastAsia="宋体" w:cs="宋体"/>
          <w:sz w:val="24"/>
          <w:szCs w:val="24"/>
        </w:rPr>
        <w:t>采样方式</w:t>
      </w:r>
      <w:r>
        <w:rPr>
          <w:rFonts w:hint="eastAsia" w:ascii="宋体" w:hAnsi="宋体" w:eastAsia="宋体" w:cs="宋体"/>
          <w:sz w:val="24"/>
          <w:szCs w:val="24"/>
          <w:lang w:eastAsia="zh-CN"/>
        </w:rPr>
        <w:t>：</w:t>
      </w:r>
      <w:r>
        <w:rPr>
          <w:rFonts w:hint="eastAsia" w:ascii="宋体" w:hAnsi="宋体" w:eastAsia="宋体" w:cs="宋体"/>
          <w:sz w:val="24"/>
          <w:szCs w:val="24"/>
        </w:rPr>
        <w:t>手动、自动连续循环采样</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3.7 </w:t>
      </w:r>
      <w:r>
        <w:rPr>
          <w:rFonts w:hint="eastAsia" w:ascii="宋体" w:hAnsi="宋体" w:eastAsia="宋体" w:cs="宋体"/>
          <w:sz w:val="24"/>
          <w:szCs w:val="24"/>
        </w:rPr>
        <w:t>带载能力</w:t>
      </w:r>
      <w:r>
        <w:rPr>
          <w:rFonts w:hint="eastAsia" w:ascii="宋体" w:hAnsi="宋体" w:eastAsia="宋体" w:cs="宋体"/>
          <w:sz w:val="24"/>
          <w:szCs w:val="24"/>
          <w:lang w:eastAsia="zh-CN"/>
        </w:rPr>
        <w:t>：</w:t>
      </w:r>
      <w:r>
        <w:rPr>
          <w:rFonts w:hint="eastAsia" w:ascii="宋体" w:hAnsi="宋体" w:eastAsia="宋体" w:cs="宋体"/>
          <w:sz w:val="24"/>
          <w:szCs w:val="24"/>
        </w:rPr>
        <w:t>50L/min流量时，负载能力≥20kPa</w:t>
      </w:r>
      <w:r>
        <w:rPr>
          <w:rFonts w:hint="eastAsia" w:ascii="宋体" w:hAnsi="宋体" w:eastAsia="宋体" w:cs="宋体"/>
          <w:sz w:val="24"/>
          <w:szCs w:val="24"/>
          <w:lang w:eastAsia="zh-CN"/>
        </w:rPr>
        <w:t>，</w:t>
      </w:r>
      <w:r>
        <w:rPr>
          <w:rFonts w:hint="eastAsia" w:ascii="宋体" w:hAnsi="宋体" w:eastAsia="宋体" w:cs="宋体"/>
          <w:sz w:val="24"/>
          <w:szCs w:val="24"/>
        </w:rPr>
        <w:t>100L/min流量时，负载能力≥17kPa</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3.8 </w:t>
      </w:r>
      <w:r>
        <w:rPr>
          <w:rFonts w:hint="eastAsia" w:ascii="宋体" w:hAnsi="宋体" w:eastAsia="宋体" w:cs="宋体"/>
          <w:sz w:val="24"/>
          <w:szCs w:val="24"/>
        </w:rPr>
        <w:t>仪器噪音</w:t>
      </w:r>
      <w:r>
        <w:rPr>
          <w:rFonts w:hint="eastAsia" w:ascii="宋体" w:hAnsi="宋体" w:eastAsia="宋体" w:cs="宋体"/>
          <w:sz w:val="24"/>
          <w:szCs w:val="24"/>
          <w:lang w:eastAsia="zh-CN"/>
        </w:rPr>
        <w:t>：</w:t>
      </w:r>
      <w:r>
        <w:rPr>
          <w:rFonts w:hint="eastAsia" w:ascii="宋体" w:hAnsi="宋体" w:eastAsia="宋体" w:cs="宋体"/>
          <w:sz w:val="24"/>
          <w:szCs w:val="24"/>
        </w:rPr>
        <w:t>≤62dB(A)</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3.9 </w:t>
      </w:r>
      <w:r>
        <w:rPr>
          <w:rFonts w:hint="eastAsia" w:ascii="宋体" w:hAnsi="宋体" w:eastAsia="宋体" w:cs="宋体"/>
          <w:sz w:val="24"/>
          <w:szCs w:val="24"/>
        </w:rPr>
        <w:t>主机重量</w:t>
      </w:r>
      <w:r>
        <w:rPr>
          <w:rFonts w:hint="eastAsia" w:ascii="宋体" w:hAnsi="宋体" w:eastAsia="宋体" w:cs="宋体"/>
          <w:sz w:val="24"/>
          <w:szCs w:val="24"/>
          <w:lang w:eastAsia="zh-CN"/>
        </w:rPr>
        <w:t>：</w:t>
      </w:r>
      <w:r>
        <w:rPr>
          <w:rFonts w:hint="eastAsia" w:ascii="宋体" w:hAnsi="宋体" w:eastAsia="宋体" w:cs="宋体"/>
          <w:sz w:val="24"/>
          <w:szCs w:val="24"/>
        </w:rPr>
        <w:t>≤6.0 kg</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3.10 </w:t>
      </w:r>
      <w:r>
        <w:rPr>
          <w:rFonts w:hint="eastAsia" w:ascii="宋体" w:hAnsi="宋体" w:eastAsia="宋体" w:cs="宋体"/>
          <w:sz w:val="24"/>
          <w:szCs w:val="24"/>
        </w:rPr>
        <w:t>工作电源</w:t>
      </w:r>
      <w:r>
        <w:rPr>
          <w:rFonts w:hint="eastAsia" w:ascii="宋体" w:hAnsi="宋体" w:eastAsia="宋体" w:cs="宋体"/>
          <w:sz w:val="24"/>
          <w:szCs w:val="24"/>
          <w:lang w:eastAsia="zh-CN"/>
        </w:rPr>
        <w:t>：</w:t>
      </w:r>
      <w:r>
        <w:rPr>
          <w:rFonts w:hint="eastAsia" w:ascii="宋体" w:hAnsi="宋体" w:eastAsia="宋体" w:cs="宋体"/>
          <w:sz w:val="24"/>
          <w:szCs w:val="24"/>
        </w:rPr>
        <w:t>AC220V±10%, 50Hz</w:t>
      </w:r>
    </w:p>
    <w:p>
      <w:pPr>
        <w:keepNext w:val="0"/>
        <w:keepLines w:val="0"/>
        <w:pageBreakBefore w:val="0"/>
        <w:numPr>
          <w:ilvl w:val="0"/>
          <w:numId w:val="0"/>
        </w:numPr>
        <w:kinsoku/>
        <w:wordWrap/>
        <w:overflowPunct/>
        <w:topLinePunct w:val="0"/>
        <w:bidi w:val="0"/>
        <w:snapToGrid/>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3.11 </w:t>
      </w:r>
      <w:r>
        <w:rPr>
          <w:rFonts w:hint="eastAsia" w:ascii="宋体" w:hAnsi="宋体" w:eastAsia="宋体" w:cs="宋体"/>
          <w:sz w:val="24"/>
          <w:szCs w:val="24"/>
        </w:rPr>
        <w:t>功    耗</w:t>
      </w:r>
      <w:r>
        <w:rPr>
          <w:rFonts w:hint="eastAsia" w:ascii="宋体" w:hAnsi="宋体" w:eastAsia="宋体" w:cs="宋体"/>
          <w:sz w:val="24"/>
          <w:szCs w:val="24"/>
          <w:lang w:eastAsia="zh-CN"/>
        </w:rPr>
        <w:t>：</w:t>
      </w:r>
      <w:r>
        <w:rPr>
          <w:rFonts w:hint="eastAsia" w:ascii="宋体" w:hAnsi="宋体" w:eastAsia="宋体" w:cs="宋体"/>
          <w:sz w:val="24"/>
          <w:szCs w:val="24"/>
        </w:rPr>
        <w:t>≤500W</w:t>
      </w:r>
    </w:p>
    <w:p>
      <w:pPr>
        <w:keepNext w:val="0"/>
        <w:keepLines w:val="0"/>
        <w:pageBreakBefore w:val="0"/>
        <w:kinsoku/>
        <w:wordWrap/>
        <w:overflowPunct/>
        <w:topLinePunct w:val="0"/>
        <w:bidi w:val="0"/>
        <w:snapToGrid/>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4、设备配置</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lang w:val="en-US" w:eastAsia="zh-CN"/>
        </w:rPr>
        <w:t>三角支架、氟化物采样头、</w:t>
      </w:r>
      <w:r>
        <w:rPr>
          <w:rFonts w:hint="eastAsia" w:ascii="宋体" w:hAnsi="宋体" w:eastAsia="宋体" w:cs="宋体"/>
          <w:sz w:val="24"/>
          <w:szCs w:val="24"/>
        </w:rPr>
        <w:t>检定或校准证书</w:t>
      </w:r>
    </w:p>
    <w:p>
      <w:pPr>
        <w:keepNext w:val="0"/>
        <w:keepLines w:val="0"/>
        <w:pageBreakBefore w:val="0"/>
        <w:kinsoku/>
        <w:wordWrap/>
        <w:overflowPunct/>
        <w:topLinePunct w:val="0"/>
        <w:bidi w:val="0"/>
        <w:snapToGrid/>
        <w:spacing w:line="360" w:lineRule="auto"/>
        <w:rPr>
          <w:rFonts w:hint="default" w:ascii="宋体" w:hAnsi="宋体" w:eastAsia="宋体" w:cs="宋体"/>
          <w:sz w:val="24"/>
          <w:szCs w:val="24"/>
          <w:lang w:val="en-US"/>
        </w:rPr>
      </w:pPr>
      <w:r>
        <w:rPr>
          <w:rFonts w:hint="eastAsia" w:ascii="宋体" w:hAnsi="宋体" w:eastAsia="宋体" w:cs="宋体"/>
          <w:b/>
          <w:bCs/>
          <w:sz w:val="24"/>
          <w:szCs w:val="24"/>
          <w:lang w:val="en-US" w:eastAsia="zh-CN"/>
        </w:rPr>
        <w:t>5、执行标准</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 93-2013  环境空气颗粒物（PM10和PM2.5）采样器技术要求以及检测方法</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 194-2017  环境空气质量手工监测技术规范</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HJ/T 374-2007  总悬浮颗粒物采样器技术要求及检测方法</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 539-2015  环境空气 铅的测定 石墨炉原子吸收分光光度法</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 618-2011  环境空气PM10和PM2.5的测定 重量法</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 657-2013  空气和废气 颗粒物中铅等金属元素的测定  电感耦合等离子体质谱法</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HJ 955-2018  环境空气 氟化物的测定 滤膜采样/氟离子选择电极法</w:t>
      </w:r>
    </w:p>
    <w:p>
      <w:pPr>
        <w:keepNext w:val="0"/>
        <w:keepLines w:val="0"/>
        <w:pageBreakBefore w:val="0"/>
        <w:numPr>
          <w:ilvl w:val="0"/>
          <w:numId w:val="0"/>
        </w:numPr>
        <w:kinsoku/>
        <w:wordWrap/>
        <w:overflowPunct/>
        <w:topLinePunct w:val="0"/>
        <w:bidi w:val="0"/>
        <w:snapToGrid/>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JJG 943-2011  总悬浮颗粒物采样器</w:t>
      </w:r>
    </w:p>
    <w:p>
      <w:pPr>
        <w:keepNext w:val="0"/>
        <w:keepLines w:val="0"/>
        <w:pageBreakBefore w:val="0"/>
        <w:kinsoku/>
        <w:wordWrap/>
        <w:overflowPunct/>
        <w:topLinePunct w:val="0"/>
        <w:bidi w:val="0"/>
        <w:snapToGrid/>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（3）油气回收多参数检测仪（含加油站和油罐车检测功能）</w:t>
      </w:r>
    </w:p>
    <w:p>
      <w:pPr>
        <w:keepNext w:val="0"/>
        <w:keepLines w:val="0"/>
        <w:pageBreakBefore w:val="0"/>
        <w:kinsoku/>
        <w:wordWrap/>
        <w:overflowPunct/>
        <w:topLinePunct w:val="0"/>
        <w:bidi w:val="0"/>
        <w:snapToGrid/>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1、设备用途</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适用于加油站油气回收系统的密闭性、液阻和气液比等参数的检测。也可用于加油站油气回收在线监测系统的校准和气液比、系统压力指标的比对。</w:t>
      </w:r>
    </w:p>
    <w:p>
      <w:pPr>
        <w:keepNext w:val="0"/>
        <w:keepLines w:val="0"/>
        <w:pageBreakBefore w:val="0"/>
        <w:kinsoku/>
        <w:wordWrap/>
        <w:overflowPunct/>
        <w:topLinePunct w:val="0"/>
        <w:bidi w:val="0"/>
        <w:snapToGrid/>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2、性能要求：</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2.1 支持加油站密闭性、液阻和气液比三项检测；</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2.2 支持油品运输汽车罐车油气回收系统密闭性三项检测为一体，可用于加油站油气回收在线监测系统的校准和气液比、系统压力指标的比对；</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2.3通过国家防爆产品质量监督检验中心认证，可应用于防爆和非防爆场合；</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2.4主机和手操器分体式设计，方便现场操作；</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2.5内置压力发生器，可直接进行适配器和仪器自身密闭性检测；</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2.6实时测量环境温湿度、大气压等气象参数；</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napToGrid/>
          <w:sz w:val="24"/>
          <w:szCs w:val="24"/>
          <w:lang w:val="en-US" w:eastAsia="zh-CN"/>
        </w:rPr>
        <w:t>.7内置大容量锂电池，可连续工作40小时以上；</w:t>
      </w:r>
      <w:r>
        <w:rPr>
          <w:rFonts w:hint="eastAsia" w:ascii="宋体" w:hAnsi="宋体" w:cs="宋体"/>
          <w:snapToGrid/>
          <w:sz w:val="24"/>
          <w:szCs w:val="24"/>
          <w:lang w:val="en-US" w:eastAsia="zh-CN"/>
        </w:rPr>
        <w:t>投标时</w:t>
      </w:r>
      <w:r>
        <w:rPr>
          <w:rFonts w:hint="eastAsia" w:ascii="宋体" w:hAnsi="宋体" w:eastAsia="宋体" w:cs="宋体"/>
          <w:snapToGrid/>
          <w:sz w:val="24"/>
          <w:szCs w:val="24"/>
          <w:lang w:val="en-US" w:eastAsia="zh-CN"/>
        </w:rPr>
        <w:t>提供相关证明材料</w:t>
      </w:r>
      <w:r>
        <w:rPr>
          <w:rFonts w:hint="eastAsia" w:ascii="宋体" w:hAnsi="宋体" w:cs="宋体"/>
          <w:snapToGrid/>
          <w:sz w:val="24"/>
          <w:szCs w:val="24"/>
          <w:lang w:val="en-US" w:eastAsia="zh-CN"/>
        </w:rPr>
        <w:t>；</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napToGrid/>
          <w:sz w:val="24"/>
          <w:szCs w:val="24"/>
          <w:lang w:val="en-US" w:eastAsia="zh-CN"/>
        </w:rPr>
        <w:t>.8安卓系统手操器，人机交互便捷、直观，可直接生成检测报告和检测记录；</w:t>
      </w:r>
      <w:r>
        <w:rPr>
          <w:rFonts w:hint="eastAsia" w:ascii="宋体" w:hAnsi="宋体" w:cs="宋体"/>
          <w:snapToGrid/>
          <w:sz w:val="24"/>
          <w:szCs w:val="24"/>
          <w:lang w:val="en-US" w:eastAsia="zh-CN"/>
        </w:rPr>
        <w:t>投标时</w:t>
      </w:r>
      <w:r>
        <w:rPr>
          <w:rFonts w:hint="eastAsia" w:ascii="宋体" w:hAnsi="宋体" w:eastAsia="宋体" w:cs="宋体"/>
          <w:snapToGrid/>
          <w:sz w:val="24"/>
          <w:szCs w:val="24"/>
          <w:lang w:val="en-US" w:eastAsia="zh-CN"/>
        </w:rPr>
        <w:t>提供相关证明材料</w:t>
      </w:r>
      <w:r>
        <w:rPr>
          <w:rFonts w:hint="eastAsia" w:ascii="宋体" w:hAnsi="宋体" w:cs="宋体"/>
          <w:snapToGrid/>
          <w:sz w:val="24"/>
          <w:szCs w:val="24"/>
          <w:lang w:val="en-US" w:eastAsia="zh-CN"/>
        </w:rPr>
        <w:t>；</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2.9存储空间大，加油站信息、检测报告、原始数据永久存储，支持查询、导出和打印；</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napToGrid/>
          <w:sz w:val="24"/>
          <w:szCs w:val="24"/>
          <w:lang w:val="en-US" w:eastAsia="zh-CN"/>
        </w:rPr>
        <w:t>.10防爆等级不小于ExibⅡBT4Gb；</w:t>
      </w:r>
      <w:r>
        <w:rPr>
          <w:rFonts w:hint="eastAsia" w:ascii="宋体" w:hAnsi="宋体" w:cs="宋体"/>
          <w:snapToGrid/>
          <w:sz w:val="24"/>
          <w:szCs w:val="24"/>
          <w:lang w:val="en-US" w:eastAsia="zh-CN"/>
        </w:rPr>
        <w:t>投标时</w:t>
      </w:r>
      <w:r>
        <w:rPr>
          <w:rFonts w:hint="eastAsia" w:ascii="宋体" w:hAnsi="宋体" w:eastAsia="宋体" w:cs="宋体"/>
          <w:snapToGrid/>
          <w:sz w:val="24"/>
          <w:szCs w:val="24"/>
          <w:lang w:val="en-US" w:eastAsia="zh-CN"/>
        </w:rPr>
        <w:t>提供由制造商盖章确认的防爆认证证书复印件</w:t>
      </w:r>
      <w:r>
        <w:rPr>
          <w:rFonts w:hint="eastAsia" w:ascii="宋体" w:hAnsi="宋体" w:cs="宋体"/>
          <w:snapToGrid/>
          <w:sz w:val="24"/>
          <w:szCs w:val="24"/>
          <w:lang w:val="en-US" w:eastAsia="zh-CN"/>
        </w:rPr>
        <w:t>；</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 xml:space="preserve">3、技术指标： </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3.1 压力：参数范围：(-5000～5000)Pa；分辨率 ：1Pa；准确度：优于±0.25% FS</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3.2 流量：参数范围：(0～130)L/min；分辨率 ：0.1L/min；准确度：优于±1.5%</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3.3电源：3.7V锂电池或外接4.2V电源适配器</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3.4平均功耗：&lt;1.5W</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3.5 连续工作时间：不低于24小时</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3.6防爆等级：Ex ib ⅡB T4 Gb</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4、设备配置：</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仪器主机、油罐车附件、升降小车、防爆手操器、附件箱、油桶（80L）、</w:t>
      </w:r>
      <w:r>
        <w:rPr>
          <w:rFonts w:hint="eastAsia" w:ascii="宋体" w:hAnsi="宋体" w:eastAsia="宋体" w:cs="宋体"/>
          <w:sz w:val="24"/>
          <w:szCs w:val="24"/>
        </w:rPr>
        <w:t>检定或校准证书</w:t>
      </w:r>
      <w:r>
        <w:rPr>
          <w:rFonts w:hint="eastAsia" w:ascii="宋体" w:hAnsi="宋体" w:eastAsia="宋体" w:cs="宋体"/>
          <w:snapToGrid/>
          <w:sz w:val="24"/>
          <w:szCs w:val="24"/>
          <w:lang w:val="en-US" w:eastAsia="zh-CN"/>
        </w:rPr>
        <w:t>等。</w:t>
      </w:r>
    </w:p>
    <w:p>
      <w:pPr>
        <w:keepNext w:val="0"/>
        <w:keepLines w:val="0"/>
        <w:pageBreakBefore w:val="0"/>
        <w:numPr>
          <w:ilvl w:val="0"/>
          <w:numId w:val="4"/>
        </w:numPr>
        <w:kinsoku/>
        <w:wordWrap/>
        <w:overflowPunct/>
        <w:topLinePunct w:val="0"/>
        <w:bidi w:val="0"/>
        <w:snapToGrid/>
        <w:spacing w:line="360" w:lineRule="auto"/>
        <w:ind w:leftChars="0"/>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执行标准</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GB 20951-2020 《油品运输大气污染物排放标准》</w:t>
      </w:r>
    </w:p>
    <w:p>
      <w:pPr>
        <w:keepNext w:val="0"/>
        <w:keepLines w:val="0"/>
        <w:pageBreakBefore w:val="0"/>
        <w:numPr>
          <w:ilvl w:val="0"/>
          <w:numId w:val="0"/>
        </w:numPr>
        <w:kinsoku/>
        <w:wordWrap/>
        <w:overflowPunct/>
        <w:topLinePunct w:val="0"/>
        <w:bidi w:val="0"/>
        <w:snapToGrid/>
        <w:spacing w:line="360" w:lineRule="auto"/>
        <w:rPr>
          <w:rFonts w:hint="eastAsia" w:ascii="宋体" w:hAnsi="宋体" w:eastAsia="宋体" w:cs="宋体"/>
          <w:snapToGrid/>
          <w:sz w:val="24"/>
          <w:szCs w:val="24"/>
          <w:lang w:val="en-US" w:eastAsia="zh-CN"/>
        </w:rPr>
      </w:pPr>
      <w:r>
        <w:rPr>
          <w:rFonts w:hint="eastAsia" w:ascii="宋体" w:hAnsi="宋体" w:eastAsia="宋体" w:cs="宋体"/>
          <w:snapToGrid/>
          <w:sz w:val="24"/>
          <w:szCs w:val="24"/>
          <w:lang w:val="en-US" w:eastAsia="zh-CN"/>
        </w:rPr>
        <w:t>GB 20952－2020  加油站大气污染物排放标准</w:t>
      </w:r>
    </w:p>
    <w:p>
      <w:pPr>
        <w:keepNext w:val="0"/>
        <w:keepLines w:val="0"/>
        <w:pageBreakBefore w:val="0"/>
        <w:kinsoku/>
        <w:wordWrap/>
        <w:overflowPunct/>
        <w:topLinePunct w:val="0"/>
        <w:bidi w:val="0"/>
        <w:snapToGrid/>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（4）旋转式压膜机</w:t>
      </w:r>
    </w:p>
    <w:p>
      <w:pPr>
        <w:keepNext w:val="0"/>
        <w:keepLines w:val="0"/>
        <w:pageBreakBefore w:val="0"/>
        <w:kinsoku/>
        <w:wordWrap/>
        <w:overflowPunct/>
        <w:topLinePunct w:val="0"/>
        <w:bidi w:val="0"/>
        <w:snapToGrid/>
        <w:spacing w:line="360" w:lineRule="auto"/>
        <w:rPr>
          <w:rFonts w:hint="eastAsia" w:ascii="宋体" w:hAnsi="宋体" w:eastAsia="宋体" w:cs="宋体"/>
          <w:b/>
          <w:sz w:val="24"/>
          <w:szCs w:val="24"/>
        </w:rPr>
      </w:pPr>
      <w:r>
        <w:rPr>
          <w:rFonts w:hint="eastAsia" w:ascii="宋体" w:hAnsi="宋体" w:eastAsia="宋体" w:cs="宋体"/>
          <w:b/>
          <w:sz w:val="24"/>
          <w:szCs w:val="24"/>
        </w:rPr>
        <w:t>1、主要用途</w:t>
      </w:r>
    </w:p>
    <w:p>
      <w:pPr>
        <w:keepNext w:val="0"/>
        <w:keepLines w:val="0"/>
        <w:pageBreakBefore w:val="0"/>
        <w:kinsoku/>
        <w:wordWrap/>
        <w:overflowPunct/>
        <w:topLinePunct w:val="0"/>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t>主要应用于将铝箔圈，托网，滤膜，采样头快速压合在一起，并保证压膜边线光滑平整，采样头整体密封性良好。</w:t>
      </w:r>
    </w:p>
    <w:p>
      <w:pPr>
        <w:keepNext w:val="0"/>
        <w:keepLines w:val="0"/>
        <w:pageBreakBefore w:val="0"/>
        <w:kinsoku/>
        <w:wordWrap/>
        <w:overflowPunct/>
        <w:topLinePunct w:val="0"/>
        <w:bidi w:val="0"/>
        <w:snapToGrid/>
        <w:spacing w:line="360" w:lineRule="auto"/>
        <w:rPr>
          <w:rFonts w:hint="eastAsia" w:ascii="宋体" w:hAnsi="宋体" w:eastAsia="宋体" w:cs="宋体"/>
          <w:b/>
          <w:sz w:val="24"/>
          <w:szCs w:val="24"/>
        </w:rPr>
      </w:pPr>
      <w:r>
        <w:rPr>
          <w:rFonts w:hint="eastAsia" w:ascii="宋体" w:hAnsi="宋体" w:eastAsia="宋体" w:cs="宋体"/>
          <w:b/>
          <w:sz w:val="24"/>
          <w:szCs w:val="24"/>
        </w:rPr>
        <w:t>2、性能要求</w:t>
      </w:r>
    </w:p>
    <w:p>
      <w:pPr>
        <w:keepNext w:val="0"/>
        <w:keepLines w:val="0"/>
        <w:pageBreakBefore w:val="0"/>
        <w:kinsoku/>
        <w:wordWrap/>
        <w:overflowPunct/>
        <w:topLinePunct w:val="0"/>
        <w:bidi w:val="0"/>
        <w:snapToGrid/>
        <w:spacing w:line="360" w:lineRule="auto"/>
        <w:rPr>
          <w:rFonts w:hint="eastAsia" w:ascii="宋体" w:hAnsi="宋体" w:eastAsia="宋体" w:cs="宋体"/>
          <w:sz w:val="24"/>
          <w:szCs w:val="24"/>
        </w:rPr>
      </w:pPr>
      <w:r>
        <w:rPr>
          <w:rFonts w:hint="eastAsia" w:ascii="宋体" w:hAnsi="宋体" w:eastAsia="宋体" w:cs="宋体"/>
          <w:sz w:val="24"/>
          <w:szCs w:val="24"/>
        </w:rPr>
        <w:t>2.1操作简单，省时省力。使用时只需按顺序将铝箔圈、托网、滤膜、采样头、依次放入锥形槽中，左手轻压采样头，右手按下凸轮开关，松开右手并旋转转台一到两圈，再抬起凸轮开关，取出采样头组件，就可完成压膜工作；</w:t>
      </w:r>
    </w:p>
    <w:p>
      <w:pPr>
        <w:keepNext w:val="0"/>
        <w:keepLines w:val="0"/>
        <w:pageBreakBefore w:val="0"/>
        <w:kinsoku/>
        <w:wordWrap/>
        <w:overflowPunct/>
        <w:topLinePunct w:val="0"/>
        <w:bidi w:val="0"/>
        <w:snapToGrid/>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（5）智能交直流移动电源</w:t>
      </w:r>
    </w:p>
    <w:p>
      <w:pPr>
        <w:keepNext w:val="0"/>
        <w:keepLines w:val="0"/>
        <w:pageBreakBefore w:val="0"/>
        <w:kinsoku/>
        <w:wordWrap/>
        <w:overflowPunct/>
        <w:topLinePunct w:val="0"/>
        <w:bidi w:val="0"/>
        <w:snapToGrid/>
        <w:spacing w:line="360" w:lineRule="auto"/>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一</w:t>
      </w:r>
      <w:r>
        <w:rPr>
          <w:rFonts w:hint="eastAsia" w:ascii="宋体" w:hAnsi="宋体" w:eastAsia="宋体" w:cs="宋体"/>
          <w:b/>
          <w:bCs/>
          <w:sz w:val="24"/>
          <w:szCs w:val="24"/>
          <w:lang w:eastAsia="zh-CN"/>
        </w:rPr>
        <w:t>）</w:t>
      </w:r>
      <w:r>
        <w:rPr>
          <w:rFonts w:hint="eastAsia" w:ascii="宋体" w:hAnsi="宋体" w:eastAsia="宋体" w:cs="宋体"/>
          <w:b/>
          <w:bCs/>
          <w:sz w:val="24"/>
          <w:szCs w:val="24"/>
        </w:rPr>
        <w:t>主要特点</w:t>
      </w:r>
    </w:p>
    <w:p>
      <w:pPr>
        <w:keepNext w:val="0"/>
        <w:keepLines w:val="0"/>
        <w:pageBreakBefore w:val="0"/>
        <w:kinsoku/>
        <w:wordWrap/>
        <w:overflowPunct/>
        <w:topLinePunct w:val="0"/>
        <w:bidi w:val="0"/>
        <w:snapToGrid/>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1、直流输出（DC24V10A、DC12V10A、 USB5V2A）；</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2、三个交流输出口（220V/50HZ 或者110V/60HZ）；</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3、体积小、容量大、高效率、长寿命、重量轻、携带方便；</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4、1000W足功率输出；</w:t>
      </w:r>
    </w:p>
    <w:p>
      <w:pPr>
        <w:keepNext w:val="0"/>
        <w:keepLines w:val="0"/>
        <w:pageBreakBefore w:val="0"/>
        <w:kinsoku/>
        <w:wordWrap/>
        <w:overflowPunct/>
        <w:topLinePunct w:val="0"/>
        <w:bidi w:val="0"/>
        <w:snapToGrid/>
        <w:spacing w:line="360" w:lineRule="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容量高达25.2V40.8AH（3.6V285600Mah/1028WH）</w:t>
      </w:r>
      <w:r>
        <w:rPr>
          <w:rFonts w:hint="eastAsia" w:ascii="宋体" w:hAnsi="宋体" w:eastAsia="宋体" w:cs="宋体"/>
          <w:sz w:val="24"/>
          <w:szCs w:val="24"/>
          <w:lang w:eastAsia="zh-CN"/>
        </w:rPr>
        <w:t>；</w:t>
      </w:r>
    </w:p>
    <w:p>
      <w:pPr>
        <w:keepNext w:val="0"/>
        <w:keepLines w:val="0"/>
        <w:pageBreakBefore w:val="0"/>
        <w:kinsoku/>
        <w:wordWrap/>
        <w:overflowPunct/>
        <w:topLinePunct w:val="0"/>
        <w:bidi w:val="0"/>
        <w:snapToGrid/>
        <w:spacing w:line="360" w:lineRule="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支持市电充电、太阳能板充电、油机充电</w:t>
      </w:r>
      <w:r>
        <w:rPr>
          <w:rFonts w:hint="eastAsia" w:ascii="宋体" w:hAnsi="宋体" w:eastAsia="宋体" w:cs="宋体"/>
          <w:sz w:val="24"/>
          <w:szCs w:val="24"/>
          <w:lang w:eastAsia="zh-CN"/>
        </w:rPr>
        <w:t>；</w:t>
      </w:r>
    </w:p>
    <w:p>
      <w:pPr>
        <w:keepNext w:val="0"/>
        <w:keepLines w:val="0"/>
        <w:pageBreakBefore w:val="0"/>
        <w:kinsoku/>
        <w:wordWrap/>
        <w:overflowPunct/>
        <w:topLinePunct w:val="0"/>
        <w:bidi w:val="0"/>
        <w:snapToGrid/>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7、智能化全自动动态充放电管理平台，多功能数码管显示，实时电量、电池电压、充放电功率、充放电剩余时间；</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8、具有过充电、过放电保护、电源监视和低电量报警功能；</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9、具有短路、过载、过温、过压、过流、欠压等保护功能，安全可靠；</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10、SPWM 脉宽调制纯正弦波高精度低纹波稳压输出；</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11、纯正弦波交流220V隔离输出，带任何负载没压力。</w:t>
      </w:r>
    </w:p>
    <w:p>
      <w:pPr>
        <w:keepNext w:val="0"/>
        <w:keepLines w:val="0"/>
        <w:pageBreakBefore w:val="0"/>
        <w:kinsoku/>
        <w:wordWrap/>
        <w:overflowPunct/>
        <w:topLinePunct w:val="0"/>
        <w:bidi w:val="0"/>
        <w:snapToGrid/>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（6）冷藏冰箱</w:t>
      </w:r>
    </w:p>
    <w:p>
      <w:pPr>
        <w:keepNext w:val="0"/>
        <w:keepLines w:val="0"/>
        <w:pageBreakBefore w:val="0"/>
        <w:numPr>
          <w:ilvl w:val="0"/>
          <w:numId w:val="5"/>
        </w:numPr>
        <w:kinsoku/>
        <w:wordWrap/>
        <w:overflowPunct/>
        <w:topLinePunct w:val="0"/>
        <w:bidi w:val="0"/>
        <w:snapToGrid/>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外型尺寸（宽*深*高）mm： 603×595×1556</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2、总有效容积(升)： ≥260</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3、存储温度（℃）： 2℃～8℃</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4、重量（kg）： 77</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（7）移动线圈</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1、线缆净长度不低于70m</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2、标配过载保护</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3、标配漏电保护</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4、标配电缆盘（含伸缩拉杆）</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5、标配纯铜线芯</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6、线芯规格不低于3芯4平方</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（8）氧化还原电位计</w:t>
      </w:r>
    </w:p>
    <w:p>
      <w:pPr>
        <w:keepNext w:val="0"/>
        <w:keepLines w:val="0"/>
        <w:pageBreakBefore w:val="0"/>
        <w:kinsoku/>
        <w:wordWrap/>
        <w:overflowPunct/>
        <w:topLinePunct w:val="0"/>
        <w:bidi w:val="0"/>
        <w:snapToGrid/>
        <w:spacing w:line="360" w:lineRule="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1、主要特点</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1.1、采用高清液晶屏幕，显示清晰</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1.2、分辨率可选：pH支持0.01pH和0.1pH，ORP/mV支持0.1mV和1mV</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1.3、温度单位可选：℃和 </w:t>
      </w:r>
      <w:r>
        <w:rPr>
          <w:rFonts w:hint="eastAsia" w:ascii="宋体" w:hAnsi="宋体" w:eastAsia="宋体" w:cs="宋体"/>
          <w:b w:val="0"/>
          <w:bCs w:val="0"/>
          <w:kern w:val="2"/>
          <w:sz w:val="24"/>
          <w:szCs w:val="24"/>
          <w:lang w:val="en-US" w:eastAsia="zh-CN" w:bidi="ar-SA"/>
        </w:rPr>
        <w:t>℉</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1.4、支持开机自诊断、自动关机、断电保护和恢复出厂设置等功能</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1.5、支持固件升级功能，允许功能扩展和个性化要求</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1.6、支持IP65防护等级</w:t>
      </w:r>
    </w:p>
    <w:p>
      <w:pPr>
        <w:keepNext w:val="0"/>
        <w:keepLines w:val="0"/>
        <w:pageBreakBefore w:val="0"/>
        <w:widowControl w:val="0"/>
        <w:numPr>
          <w:ilvl w:val="0"/>
          <w:numId w:val="0"/>
        </w:numPr>
        <w:kinsoku/>
        <w:wordWrap/>
        <w:overflowPunct/>
        <w:topLinePunct w:val="0"/>
        <w:bidi w:val="0"/>
        <w:snapToGrid/>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1.7、标配参比电极和测量电极</w:t>
      </w:r>
    </w:p>
    <w:p>
      <w:pPr>
        <w:keepNext w:val="0"/>
        <w:keepLines w:val="0"/>
        <w:pageBreakBefore w:val="0"/>
        <w:kinsoku/>
        <w:wordWrap/>
        <w:overflowPunct/>
        <w:topLinePunct w:val="0"/>
        <w:bidi w:val="0"/>
        <w:snapToGrid/>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2、技术指标</w:t>
      </w:r>
    </w:p>
    <w:p>
      <w:pPr>
        <w:pStyle w:val="2"/>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lang w:val="en-US" w:eastAsia="zh-CN"/>
        </w:rPr>
        <w:t>2.1、</w:t>
      </w:r>
      <w:r>
        <w:rPr>
          <w:rFonts w:hint="eastAsia" w:ascii="宋体" w:hAnsi="宋体" w:eastAsia="宋体" w:cs="宋体"/>
          <w:b w:val="0"/>
          <w:bCs w:val="0"/>
          <w:kern w:val="2"/>
          <w:sz w:val="24"/>
          <w:szCs w:val="24"/>
          <w:lang w:val="en-US" w:eastAsia="zh-CN" w:bidi="ar-SA"/>
        </w:rPr>
        <w:t>ORP/mV</w:t>
      </w:r>
    </w:p>
    <w:p>
      <w:pPr>
        <w:pStyle w:val="2"/>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范围：（-2000.0~2000.0）mV</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最小分辨率：0.1mV</w:t>
      </w:r>
    </w:p>
    <w:p>
      <w:pPr>
        <w:pStyle w:val="4"/>
        <w:ind w:left="0" w:leftChars="0" w:firstLine="0" w:firstLineChars="0"/>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电子单元示值误差：±0.1%或±0.3mV</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电子单元重复性：1mV</w:t>
      </w:r>
    </w:p>
    <w:p>
      <w:pPr>
        <w:pStyle w:val="4"/>
        <w:ind w:left="0" w:leftChars="0" w:firstLine="0" w:firstLineChars="0"/>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仪器配套误差（ORP）：±15mV</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2.2、pH</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pH级别：0.01级</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范围：（-2.00~20.00）pH</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最小分辨率：0.01pH</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电子单元示值误差：±0.01pH</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2.3、温度</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范围：（-5.0~110.0）℃/(23.0~230.0)℉</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最小分辨率：0.1℃/0.1℉</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电子单元示值误差：±0.2℃</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2.3、电源</w:t>
      </w:r>
    </w:p>
    <w:p>
      <w:pPr>
        <w:pStyle w:val="4"/>
        <w:ind w:left="0" w:leftChars="0" w:firstLine="0" w:firstLineChars="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可充电锂电池，电源适配器（输入AV100~240V，输出DC 5V）</w:t>
      </w:r>
    </w:p>
    <w:p>
      <w:pPr>
        <w:keepNext w:val="0"/>
        <w:keepLines w:val="0"/>
        <w:pageBreakBefore w:val="0"/>
        <w:numPr>
          <w:ilvl w:val="0"/>
          <w:numId w:val="6"/>
        </w:numPr>
        <w:kinsoku/>
        <w:wordWrap/>
        <w:overflowPunct/>
        <w:topLinePunct w:val="0"/>
        <w:bidi w:val="0"/>
        <w:snapToGrid/>
        <w:spacing w:line="360" w:lineRule="auto"/>
        <w:rPr>
          <w:rFonts w:hint="eastAsia"/>
          <w:lang w:val="en-US" w:eastAsia="zh-CN"/>
        </w:rPr>
      </w:pPr>
      <w:r>
        <w:rPr>
          <w:rFonts w:hint="eastAsia" w:ascii="Times New Roman" w:hAnsi="Times New Roman" w:cs="Times New Roman"/>
          <w:b/>
          <w:bCs/>
          <w:kern w:val="0"/>
          <w:sz w:val="28"/>
          <w:szCs w:val="28"/>
          <w:highlight w:val="none"/>
          <w:lang w:val="en-US" w:eastAsia="zh-CN"/>
        </w:rPr>
        <w:t>便携式挥发性有机物测定仪</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4"/>
        <w:gridCol w:w="5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center"/>
          </w:tcPr>
          <w:p>
            <w:pPr>
              <w:pStyle w:val="2"/>
              <w:ind w:right="-267" w:rightChars="0"/>
              <w:rPr>
                <w:b/>
                <w:color w:val="auto"/>
                <w:highlight w:val="none"/>
                <w:shd w:val="clear" w:color="auto" w:fill="auto"/>
                <w:vertAlign w:val="baseline"/>
              </w:rPr>
            </w:pPr>
            <w:r>
              <w:rPr>
                <w:rFonts w:hint="eastAsia" w:ascii="微软雅黑" w:hAnsi="微软雅黑" w:eastAsia="微软雅黑" w:cs="微软雅黑"/>
                <w:b/>
                <w:bCs/>
                <w:color w:val="auto"/>
                <w:sz w:val="18"/>
                <w:szCs w:val="16"/>
                <w:highlight w:val="none"/>
                <w:shd w:val="clear" w:color="auto" w:fill="auto"/>
                <w:lang w:eastAsia="zh-CN"/>
              </w:rPr>
              <w:t>传感器</w:t>
            </w:r>
          </w:p>
        </w:tc>
        <w:tc>
          <w:tcPr>
            <w:tcW w:w="5865" w:type="dxa"/>
            <w:noWrap w:val="0"/>
            <w:vAlign w:val="top"/>
          </w:tcPr>
          <w:p>
            <w:pPr>
              <w:pStyle w:val="2"/>
              <w:rPr>
                <w:rFonts w:hint="default" w:ascii="微软雅黑" w:hAnsi="微软雅黑" w:eastAsia="微软雅黑" w:cs="Arial"/>
                <w:b/>
                <w:color w:val="auto"/>
                <w:kern w:val="2"/>
                <w:sz w:val="18"/>
                <w:szCs w:val="16"/>
                <w:highlight w:val="none"/>
                <w:shd w:val="clear" w:color="auto" w:fill="auto"/>
                <w:lang w:val="en-US" w:eastAsia="zh-CN" w:bidi="ar-SA"/>
              </w:rPr>
            </w:pPr>
            <w:r>
              <w:rPr>
                <w:rFonts w:ascii="微软雅黑" w:hAnsi="微软雅黑" w:eastAsia="微软雅黑" w:cs="Arial"/>
                <w:color w:val="auto"/>
                <w:sz w:val="18"/>
                <w:szCs w:val="16"/>
                <w:highlight w:val="none"/>
                <w:shd w:val="clear" w:color="auto" w:fill="auto"/>
                <w:lang w:eastAsia="zh-CN"/>
              </w:rPr>
              <w:t>10.6eV光离子化传感器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center"/>
          </w:tcPr>
          <w:p>
            <w:pPr>
              <w:pStyle w:val="2"/>
              <w:ind w:right="-267" w:rightChars="0"/>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检测量程</w:t>
            </w:r>
          </w:p>
        </w:tc>
        <w:tc>
          <w:tcPr>
            <w:tcW w:w="5865" w:type="dxa"/>
            <w:noWrap w:val="0"/>
            <w:vAlign w:val="center"/>
          </w:tcPr>
          <w:p>
            <w:pPr>
              <w:pStyle w:val="2"/>
              <w:rPr>
                <w:b/>
                <w:color w:val="auto"/>
                <w:highlight w:val="none"/>
                <w:shd w:val="clear" w:color="auto" w:fill="auto"/>
                <w:vertAlign w:val="baseline"/>
              </w:rPr>
            </w:pPr>
            <w:r>
              <w:rPr>
                <w:rFonts w:ascii="微软雅黑" w:hAnsi="微软雅黑" w:eastAsia="微软雅黑"/>
                <w:color w:val="auto"/>
                <w:sz w:val="18"/>
                <w:szCs w:val="16"/>
                <w:highlight w:val="none"/>
                <w:shd w:val="clear" w:color="auto" w:fill="auto"/>
                <w:lang w:eastAsia="zh-CN"/>
              </w:rPr>
              <w:t>0-5000</w:t>
            </w:r>
            <w:r>
              <w:rPr>
                <w:rFonts w:hint="eastAsia" w:ascii="微软雅黑" w:hAnsi="微软雅黑" w:eastAsia="微软雅黑"/>
                <w:color w:val="auto"/>
                <w:sz w:val="18"/>
                <w:szCs w:val="16"/>
                <w:highlight w:val="none"/>
                <w:shd w:val="clear" w:color="auto" w:fill="auto"/>
                <w:lang w:eastAsia="zh-CN"/>
              </w:rPr>
              <w:t>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center"/>
          </w:tcPr>
          <w:p>
            <w:pPr>
              <w:pStyle w:val="2"/>
              <w:ind w:right="-267" w:rightChars="0"/>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检测分辨率</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8"/>
                <w:highlight w:val="none"/>
                <w:shd w:val="clear" w:color="auto" w:fill="auto"/>
                <w:lang w:eastAsia="zh-CN"/>
              </w:rPr>
              <w:t>0.1ppm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center"/>
          </w:tcPr>
          <w:p>
            <w:pPr>
              <w:pStyle w:val="2"/>
              <w:ind w:right="-267" w:rightChars="0"/>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检测时间</w:t>
            </w:r>
          </w:p>
        </w:tc>
        <w:tc>
          <w:tcPr>
            <w:tcW w:w="5865" w:type="dxa"/>
            <w:noWrap w:val="0"/>
            <w:vAlign w:val="center"/>
          </w:tcPr>
          <w:p>
            <w:pPr>
              <w:pStyle w:val="2"/>
              <w:rPr>
                <w:b/>
                <w:color w:val="auto"/>
                <w:highlight w:val="none"/>
                <w:shd w:val="clear" w:color="auto" w:fill="auto"/>
                <w:vertAlign w:val="baseline"/>
              </w:rPr>
            </w:pPr>
            <w:r>
              <w:rPr>
                <w:rFonts w:eastAsia="微软雅黑" w:cs="Arial"/>
                <w:color w:val="auto"/>
                <w:sz w:val="18"/>
                <w:szCs w:val="16"/>
                <w:highlight w:val="none"/>
                <w:shd w:val="clear" w:color="auto" w:fill="auto"/>
              </w:rPr>
              <w:t>2</w:t>
            </w:r>
            <w:r>
              <w:rPr>
                <w:rFonts w:hint="eastAsia" w:eastAsia="微软雅黑" w:cs="Arial"/>
                <w:color w:val="auto"/>
                <w:sz w:val="18"/>
                <w:szCs w:val="16"/>
                <w:highlight w:val="none"/>
                <w:shd w:val="clear" w:color="auto" w:fill="auto"/>
                <w:lang w:eastAsia="zh-CN"/>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center"/>
          </w:tcPr>
          <w:p>
            <w:pPr>
              <w:pStyle w:val="2"/>
              <w:ind w:right="-267" w:rightChars="0"/>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检测准确性</w:t>
            </w:r>
          </w:p>
        </w:tc>
        <w:tc>
          <w:tcPr>
            <w:tcW w:w="5865" w:type="dxa"/>
            <w:noWrap w:val="0"/>
            <w:vAlign w:val="center"/>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w:t>
            </w:r>
            <w:r>
              <w:rPr>
                <w:rFonts w:ascii="微软雅黑" w:hAnsi="微软雅黑" w:eastAsia="微软雅黑"/>
                <w:color w:val="auto"/>
                <w:sz w:val="18"/>
                <w:szCs w:val="16"/>
                <w:highlight w:val="none"/>
                <w:shd w:val="clear" w:color="auto" w:fill="auto"/>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eastAsia="微软雅黑" w:cs="Arial"/>
                <w:b/>
                <w:bCs/>
                <w:color w:val="auto"/>
                <w:sz w:val="18"/>
                <w:szCs w:val="16"/>
                <w:highlight w:val="none"/>
                <w:shd w:val="clear" w:color="auto" w:fill="auto"/>
                <w:lang w:eastAsia="zh-CN"/>
              </w:rPr>
              <w:t>采样方式</w:t>
            </w:r>
          </w:p>
        </w:tc>
        <w:tc>
          <w:tcPr>
            <w:tcW w:w="5865" w:type="dxa"/>
            <w:noWrap w:val="0"/>
            <w:vAlign w:val="top"/>
          </w:tcPr>
          <w:p>
            <w:pPr>
              <w:pStyle w:val="2"/>
              <w:rPr>
                <w:b/>
                <w:color w:val="auto"/>
                <w:highlight w:val="none"/>
                <w:shd w:val="clear" w:color="auto" w:fill="auto"/>
                <w:vertAlign w:val="baseline"/>
              </w:rPr>
            </w:pPr>
            <w:r>
              <w:rPr>
                <w:rFonts w:eastAsia="微软雅黑" w:cs="Arial"/>
                <w:color w:val="auto"/>
                <w:sz w:val="18"/>
                <w:szCs w:val="16"/>
                <w:highlight w:val="none"/>
                <w:shd w:val="clear" w:color="auto" w:fill="auto"/>
                <w:lang w:eastAsia="zh-CN"/>
              </w:rPr>
              <w:t>泵吸式自动进样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eastAsia="微软雅黑" w:cs="Arial"/>
                <w:b/>
                <w:bCs/>
                <w:color w:val="auto"/>
                <w:sz w:val="18"/>
                <w:szCs w:val="16"/>
                <w:highlight w:val="none"/>
                <w:shd w:val="clear" w:color="auto" w:fill="auto"/>
                <w:lang w:eastAsia="zh-CN"/>
              </w:rPr>
              <w:t>防护等级</w:t>
            </w:r>
          </w:p>
        </w:tc>
        <w:tc>
          <w:tcPr>
            <w:tcW w:w="5865" w:type="dxa"/>
            <w:noWrap w:val="0"/>
            <w:vAlign w:val="top"/>
          </w:tcPr>
          <w:p>
            <w:pPr>
              <w:pStyle w:val="2"/>
              <w:rPr>
                <w:b/>
                <w:color w:val="auto"/>
                <w:highlight w:val="none"/>
                <w:shd w:val="clear" w:color="auto" w:fill="auto"/>
                <w:vertAlign w:val="baseline"/>
              </w:rPr>
            </w:pPr>
            <w:r>
              <w:rPr>
                <w:rFonts w:hint="eastAsia" w:eastAsia="微软雅黑" w:cs="Arial"/>
                <w:b/>
                <w:bCs/>
                <w:color w:val="auto"/>
                <w:sz w:val="18"/>
                <w:szCs w:val="16"/>
                <w:highlight w:val="none"/>
                <w:shd w:val="clear" w:color="auto" w:fill="auto"/>
                <w:lang w:eastAsia="zh-CN"/>
              </w:rPr>
              <w:t>IP6</w:t>
            </w:r>
            <w:r>
              <w:rPr>
                <w:rFonts w:eastAsia="微软雅黑" w:cs="Arial"/>
                <w:b/>
                <w:bCs/>
                <w:color w:val="auto"/>
                <w:sz w:val="18"/>
                <w:szCs w:val="16"/>
                <w:highlight w:val="none"/>
                <w:shd w:val="clear" w:color="auto" w:fill="auto"/>
                <w:lang w:eastAsia="zh-CN"/>
              </w:rPr>
              <w:t>6/</w:t>
            </w:r>
            <w:r>
              <w:rPr>
                <w:rFonts w:hint="eastAsia" w:eastAsia="微软雅黑" w:cs="Arial"/>
                <w:b/>
                <w:bCs/>
                <w:color w:val="auto"/>
                <w:sz w:val="18"/>
                <w:szCs w:val="16"/>
                <w:highlight w:val="none"/>
                <w:shd w:val="clear" w:color="auto" w:fill="auto"/>
                <w:lang w:eastAsia="zh-CN"/>
              </w:rPr>
              <w:t>IP</w:t>
            </w:r>
            <w:r>
              <w:rPr>
                <w:rFonts w:eastAsia="微软雅黑" w:cs="Arial"/>
                <w:b/>
                <w:bCs/>
                <w:color w:val="auto"/>
                <w:sz w:val="18"/>
                <w:szCs w:val="16"/>
                <w:highlight w:val="none"/>
                <w:shd w:val="clear" w:color="auto" w:fill="auto"/>
                <w:lang w:eastAsia="zh-CN"/>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eastAsia="微软雅黑" w:cs="Arial"/>
                <w:b/>
                <w:bCs/>
                <w:color w:val="auto"/>
                <w:sz w:val="18"/>
                <w:szCs w:val="16"/>
                <w:highlight w:val="none"/>
                <w:shd w:val="clear" w:color="auto" w:fill="auto"/>
                <w:lang w:eastAsia="zh-CN"/>
              </w:rPr>
              <w:t>标定</w:t>
            </w:r>
          </w:p>
        </w:tc>
        <w:tc>
          <w:tcPr>
            <w:tcW w:w="5865" w:type="dxa"/>
            <w:noWrap w:val="0"/>
            <w:vAlign w:val="top"/>
          </w:tcPr>
          <w:p>
            <w:pPr>
              <w:pStyle w:val="2"/>
              <w:rPr>
                <w:b/>
                <w:color w:val="auto"/>
                <w:highlight w:val="none"/>
                <w:shd w:val="clear" w:color="auto" w:fill="auto"/>
                <w:vertAlign w:val="baseline"/>
              </w:rPr>
            </w:pPr>
            <w:r>
              <w:rPr>
                <w:rFonts w:eastAsia="微软雅黑" w:cs="Arial"/>
                <w:color w:val="auto"/>
                <w:sz w:val="18"/>
                <w:szCs w:val="16"/>
                <w:highlight w:val="none"/>
                <w:shd w:val="clear" w:color="auto" w:fill="auto"/>
                <w:lang w:eastAsia="zh-CN"/>
              </w:rPr>
              <w:t>两点或三点标定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eastAsia="微软雅黑" w:cs="Arial"/>
                <w:b/>
                <w:bCs/>
                <w:color w:val="auto"/>
                <w:sz w:val="18"/>
                <w:szCs w:val="16"/>
                <w:highlight w:val="none"/>
                <w:shd w:val="clear" w:color="auto" w:fill="auto"/>
                <w:lang w:eastAsia="zh-CN"/>
              </w:rPr>
              <w:t>电池运行时间</w:t>
            </w:r>
          </w:p>
        </w:tc>
        <w:tc>
          <w:tcPr>
            <w:tcW w:w="5865" w:type="dxa"/>
            <w:noWrap w:val="0"/>
            <w:vAlign w:val="top"/>
          </w:tcPr>
          <w:p>
            <w:pPr>
              <w:pStyle w:val="2"/>
              <w:rPr>
                <w:b/>
                <w:color w:val="auto"/>
                <w:highlight w:val="none"/>
                <w:shd w:val="clear" w:color="auto" w:fill="auto"/>
                <w:vertAlign w:val="baseline"/>
              </w:rPr>
            </w:pPr>
            <w:r>
              <w:rPr>
                <w:rFonts w:ascii="微软雅黑" w:hAnsi="微软雅黑" w:eastAsia="微软雅黑" w:cs="Arial"/>
                <w:color w:val="auto"/>
                <w:sz w:val="18"/>
                <w:szCs w:val="16"/>
                <w:highlight w:val="none"/>
                <w:shd w:val="clear" w:color="auto" w:fill="auto"/>
                <w:lang w:eastAsia="zh-CN"/>
              </w:rPr>
              <w:t>可充电锂电池，</w:t>
            </w:r>
            <w:r>
              <w:rPr>
                <w:rFonts w:hint="eastAsia" w:ascii="微软雅黑" w:hAnsi="微软雅黑" w:eastAsia="微软雅黑" w:cs="Arial"/>
                <w:color w:val="auto"/>
                <w:sz w:val="18"/>
                <w:szCs w:val="16"/>
                <w:highlight w:val="none"/>
                <w:shd w:val="clear" w:color="auto" w:fill="auto"/>
                <w:lang w:eastAsia="zh-CN"/>
              </w:rPr>
              <w:t>一次充电连</w:t>
            </w:r>
            <w:r>
              <w:rPr>
                <w:rFonts w:ascii="微软雅黑" w:hAnsi="微软雅黑" w:eastAsia="微软雅黑" w:cs="Arial"/>
                <w:color w:val="auto"/>
                <w:sz w:val="18"/>
                <w:szCs w:val="16"/>
                <w:highlight w:val="none"/>
                <w:shd w:val="clear" w:color="auto" w:fill="auto"/>
                <w:lang w:eastAsia="zh-CN"/>
              </w:rPr>
              <w:t>续运行超过24小时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充电器</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Micro</w:t>
            </w:r>
            <w:r>
              <w:rPr>
                <w:rFonts w:ascii="微软雅黑" w:hAnsi="微软雅黑" w:eastAsia="微软雅黑"/>
                <w:color w:val="auto"/>
                <w:sz w:val="18"/>
                <w:szCs w:val="16"/>
                <w:highlight w:val="none"/>
                <w:shd w:val="clear" w:color="auto" w:fill="auto"/>
                <w:lang w:eastAsia="zh-CN"/>
              </w:rPr>
              <w:t xml:space="preserve"> USB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工作温度/湿度</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w:t>
            </w:r>
            <w:r>
              <w:rPr>
                <w:rFonts w:ascii="微软雅黑" w:hAnsi="微软雅黑" w:eastAsia="微软雅黑"/>
                <w:color w:val="auto"/>
                <w:sz w:val="18"/>
                <w:szCs w:val="16"/>
                <w:highlight w:val="none"/>
                <w:shd w:val="clear" w:color="auto" w:fill="auto"/>
                <w:lang w:eastAsia="zh-CN"/>
              </w:rPr>
              <w:t>3</w:t>
            </w:r>
            <w:r>
              <w:rPr>
                <w:rFonts w:hint="eastAsia" w:ascii="微软雅黑" w:hAnsi="微软雅黑" w:eastAsia="微软雅黑"/>
                <w:color w:val="auto"/>
                <w:sz w:val="18"/>
                <w:szCs w:val="16"/>
                <w:highlight w:val="none"/>
                <w:shd w:val="clear" w:color="auto" w:fill="auto"/>
                <w:lang w:eastAsia="zh-CN"/>
              </w:rPr>
              <w:t>0℃~50℃</w:t>
            </w:r>
            <w:r>
              <w:rPr>
                <w:rFonts w:ascii="微软雅黑" w:hAnsi="微软雅黑" w:eastAsia="微软雅黑"/>
                <w:color w:val="auto"/>
                <w:sz w:val="18"/>
                <w:szCs w:val="16"/>
                <w:highlight w:val="none"/>
                <w:shd w:val="clear" w:color="auto" w:fill="auto"/>
                <w:lang w:eastAsia="zh-CN"/>
              </w:rPr>
              <w:t>；</w:t>
            </w:r>
            <w:r>
              <w:rPr>
                <w:rFonts w:hint="eastAsia" w:ascii="微软雅黑" w:hAnsi="微软雅黑" w:eastAsia="微软雅黑"/>
                <w:color w:val="auto"/>
                <w:sz w:val="18"/>
                <w:szCs w:val="16"/>
                <w:highlight w:val="none"/>
                <w:shd w:val="clear" w:color="auto" w:fill="auto"/>
                <w:lang w:eastAsia="zh-CN"/>
              </w:rPr>
              <w:t>0~95%</w:t>
            </w:r>
            <w:r>
              <w:rPr>
                <w:rFonts w:ascii="微软雅黑" w:hAnsi="微软雅黑" w:eastAsia="微软雅黑"/>
                <w:color w:val="auto"/>
                <w:sz w:val="18"/>
                <w:szCs w:val="16"/>
                <w:highlight w:val="none"/>
                <w:shd w:val="clear" w:color="auto" w:fill="auto"/>
                <w:lang w:eastAsia="zh-CN"/>
              </w:rPr>
              <w:t>RH</w:t>
            </w:r>
            <w:r>
              <w:rPr>
                <w:rFonts w:hint="eastAsia" w:ascii="微软雅黑" w:hAnsi="微软雅黑" w:eastAsia="微软雅黑"/>
                <w:color w:val="auto"/>
                <w:sz w:val="18"/>
                <w:szCs w:val="16"/>
                <w:highlight w:val="none"/>
                <w:shd w:val="clear" w:color="auto" w:fill="auto"/>
                <w:lang w:eastAsia="zh-CN"/>
              </w:rPr>
              <w:t>（无冷凝）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trPr>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安全认证</w:t>
            </w:r>
          </w:p>
        </w:tc>
        <w:tc>
          <w:tcPr>
            <w:tcW w:w="5865" w:type="dxa"/>
            <w:noWrap w:val="0"/>
            <w:vAlign w:val="top"/>
          </w:tcPr>
          <w:p>
            <w:pPr>
              <w:pStyle w:val="2"/>
              <w:rPr>
                <w:rFonts w:ascii="微软雅黑" w:hAnsi="微软雅黑" w:eastAsia="微软雅黑"/>
                <w:color w:val="auto"/>
                <w:sz w:val="18"/>
                <w:szCs w:val="16"/>
                <w:highlight w:val="none"/>
                <w:shd w:val="clear" w:color="auto" w:fill="auto"/>
                <w:lang w:eastAsia="zh-CN"/>
              </w:rPr>
            </w:pPr>
            <w:r>
              <w:rPr>
                <w:color w:val="auto"/>
                <w:highlight w:val="none"/>
                <w:shd w:val="clear" w:color="auto" w:fill="auto"/>
                <w:lang w:eastAsia="zh-CN"/>
              </w:rPr>
              <w:drawing>
                <wp:anchor distT="0" distB="0" distL="114300" distR="114300" simplePos="0" relativeHeight="251660288" behindDoc="0" locked="0" layoutInCell="1" allowOverlap="1">
                  <wp:simplePos x="0" y="0"/>
                  <wp:positionH relativeFrom="column">
                    <wp:posOffset>44450</wp:posOffset>
                  </wp:positionH>
                  <wp:positionV relativeFrom="paragraph">
                    <wp:posOffset>182880</wp:posOffset>
                  </wp:positionV>
                  <wp:extent cx="358140" cy="217805"/>
                  <wp:effectExtent l="0" t="0" r="3810" b="10795"/>
                  <wp:wrapNone/>
                  <wp:docPr id="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5"/>
                          <pic:cNvPicPr>
                            <a:picLocks noChangeAspect="1"/>
                          </pic:cNvPicPr>
                        </pic:nvPicPr>
                        <pic:blipFill>
                          <a:blip r:embed="rId4"/>
                          <a:stretch>
                            <a:fillRect/>
                          </a:stretch>
                        </pic:blipFill>
                        <pic:spPr>
                          <a:xfrm>
                            <a:off x="0" y="0"/>
                            <a:ext cx="358140" cy="217805"/>
                          </a:xfrm>
                          <a:prstGeom prst="rect">
                            <a:avLst/>
                          </a:prstGeom>
                          <a:noFill/>
                          <a:ln>
                            <a:noFill/>
                          </a:ln>
                        </pic:spPr>
                      </pic:pic>
                    </a:graphicData>
                  </a:graphic>
                </wp:anchor>
              </w:drawing>
            </w:r>
            <w:r>
              <w:rPr>
                <w:rFonts w:ascii="微软雅黑" w:hAnsi="微软雅黑" w:eastAsia="微软雅黑"/>
                <w:color w:val="auto"/>
                <w:sz w:val="18"/>
                <w:szCs w:val="16"/>
                <w:highlight w:val="none"/>
                <w:shd w:val="clear" w:color="auto" w:fill="auto"/>
                <w:lang w:eastAsia="zh-CN"/>
              </w:rPr>
              <w:t>中国认证China Ex ia IIC T4 Ga</w:t>
            </w:r>
            <w:r>
              <w:rPr>
                <w:rFonts w:hint="eastAsia" w:ascii="微软雅黑" w:hAnsi="微软雅黑" w:eastAsia="微软雅黑"/>
                <w:color w:val="auto"/>
                <w:sz w:val="18"/>
                <w:szCs w:val="16"/>
                <w:highlight w:val="none"/>
                <w:shd w:val="clear" w:color="auto" w:fill="auto"/>
                <w:lang w:eastAsia="zh-CN"/>
              </w:rPr>
              <w:t>；</w:t>
            </w:r>
          </w:p>
          <w:p>
            <w:pPr>
              <w:pStyle w:val="2"/>
              <w:ind w:left="698" w:right="-130"/>
              <w:rPr>
                <w:rFonts w:ascii="微软雅黑" w:hAnsi="微软雅黑" w:eastAsia="微软雅黑"/>
                <w:color w:val="auto"/>
                <w:sz w:val="18"/>
                <w:szCs w:val="16"/>
                <w:highlight w:val="none"/>
                <w:shd w:val="clear" w:color="auto" w:fill="auto"/>
                <w:lang w:eastAsia="zh-CN"/>
              </w:rPr>
            </w:pPr>
            <w:r>
              <w:rPr>
                <w:rFonts w:eastAsia="微软雅黑" w:cs="Arial"/>
                <w:color w:val="auto"/>
                <w:sz w:val="20"/>
                <w:szCs w:val="20"/>
                <w:highlight w:val="none"/>
                <w:shd w:val="clear" w:color="auto" w:fill="auto"/>
                <w:lang w:eastAsia="zh-CN"/>
              </w:rPr>
              <w:t xml:space="preserve"> </w:t>
            </w:r>
            <w:r>
              <w:rPr>
                <w:rFonts w:ascii="微软雅黑" w:hAnsi="微软雅黑" w:eastAsia="微软雅黑"/>
                <w:color w:val="auto"/>
                <w:sz w:val="18"/>
                <w:szCs w:val="16"/>
                <w:highlight w:val="none"/>
                <w:shd w:val="clear" w:color="auto" w:fill="auto"/>
                <w:lang w:eastAsia="zh-CN"/>
              </w:rPr>
              <w:t>Class I, Div 1, Group ABCD</w:t>
            </w:r>
          </w:p>
          <w:p>
            <w:pPr>
              <w:pStyle w:val="2"/>
              <w:spacing w:line="240" w:lineRule="exact"/>
              <w:ind w:right="-130" w:firstLine="792" w:firstLineChars="440"/>
              <w:rPr>
                <w:rFonts w:ascii="微软雅黑" w:hAnsi="微软雅黑" w:eastAsia="微软雅黑"/>
                <w:color w:val="auto"/>
                <w:sz w:val="18"/>
                <w:szCs w:val="16"/>
                <w:highlight w:val="none"/>
                <w:shd w:val="clear" w:color="auto" w:fill="auto"/>
                <w:lang w:eastAsia="zh-CN"/>
              </w:rPr>
            </w:pPr>
            <w:r>
              <w:rPr>
                <w:rFonts w:ascii="微软雅黑" w:hAnsi="微软雅黑" w:eastAsia="微软雅黑"/>
                <w:color w:val="auto"/>
                <w:sz w:val="18"/>
                <w:szCs w:val="16"/>
                <w:highlight w:val="none"/>
                <w:shd w:val="clear" w:color="auto" w:fill="auto"/>
                <w:lang w:eastAsia="zh-CN"/>
              </w:rPr>
              <w:drawing>
                <wp:anchor distT="0" distB="0" distL="114300" distR="114300" simplePos="0" relativeHeight="251661312" behindDoc="0" locked="0" layoutInCell="1" allowOverlap="1">
                  <wp:simplePos x="0" y="0"/>
                  <wp:positionH relativeFrom="column">
                    <wp:posOffset>73660</wp:posOffset>
                  </wp:positionH>
                  <wp:positionV relativeFrom="paragraph">
                    <wp:posOffset>38735</wp:posOffset>
                  </wp:positionV>
                  <wp:extent cx="234315" cy="233680"/>
                  <wp:effectExtent l="0" t="0" r="13335" b="13970"/>
                  <wp:wrapNone/>
                  <wp:docPr id="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4"/>
                          <pic:cNvPicPr>
                            <a:picLocks noChangeAspect="1"/>
                          </pic:cNvPicPr>
                        </pic:nvPicPr>
                        <pic:blipFill>
                          <a:blip r:embed="rId5"/>
                          <a:stretch>
                            <a:fillRect/>
                          </a:stretch>
                        </pic:blipFill>
                        <pic:spPr>
                          <a:xfrm>
                            <a:off x="0" y="0"/>
                            <a:ext cx="234315" cy="233680"/>
                          </a:xfrm>
                          <a:prstGeom prst="rect">
                            <a:avLst/>
                          </a:prstGeom>
                          <a:noFill/>
                          <a:ln>
                            <a:noFill/>
                          </a:ln>
                        </pic:spPr>
                      </pic:pic>
                    </a:graphicData>
                  </a:graphic>
                </wp:anchor>
              </w:drawing>
            </w:r>
            <w:r>
              <w:rPr>
                <w:rFonts w:ascii="微软雅黑" w:hAnsi="微软雅黑" w:eastAsia="微软雅黑"/>
                <w:color w:val="auto"/>
                <w:sz w:val="18"/>
                <w:szCs w:val="16"/>
                <w:highlight w:val="none"/>
                <w:shd w:val="clear" w:color="auto" w:fill="auto"/>
                <w:lang w:eastAsia="zh-CN"/>
              </w:rPr>
              <w:t>T4, -20°C ≤ Tamb ≤ +50°C</w:t>
            </w:r>
          </w:p>
          <w:p>
            <w:pPr>
              <w:pStyle w:val="2"/>
              <w:spacing w:line="240" w:lineRule="exact"/>
              <w:ind w:left="698" w:right="-130"/>
              <w:rPr>
                <w:rFonts w:ascii="微软雅黑" w:hAnsi="微软雅黑" w:eastAsia="微软雅黑"/>
                <w:color w:val="auto"/>
                <w:sz w:val="18"/>
                <w:szCs w:val="16"/>
                <w:highlight w:val="none"/>
                <w:shd w:val="clear" w:color="auto" w:fill="auto"/>
                <w:lang w:eastAsia="zh-CN"/>
              </w:rPr>
            </w:pPr>
            <w:r>
              <w:rPr>
                <w:rFonts w:ascii="微软雅黑" w:hAnsi="微软雅黑" w:eastAsia="微软雅黑"/>
                <w:color w:val="auto"/>
                <w:sz w:val="18"/>
                <w:szCs w:val="16"/>
                <w:highlight w:val="none"/>
                <w:shd w:val="clear" w:color="auto" w:fill="auto"/>
                <w:lang w:eastAsia="zh-CN"/>
              </w:rPr>
              <w:t xml:space="preserve"> Ex ia IIC T4 Ga</w:t>
            </w:r>
          </w:p>
          <w:p>
            <w:pPr>
              <w:pStyle w:val="2"/>
              <w:spacing w:line="240" w:lineRule="exact"/>
              <w:ind w:left="691" w:right="-130"/>
              <w:rPr>
                <w:rFonts w:ascii="微软雅黑" w:hAnsi="微软雅黑" w:eastAsia="微软雅黑"/>
                <w:color w:val="auto"/>
                <w:sz w:val="18"/>
                <w:szCs w:val="16"/>
                <w:highlight w:val="none"/>
                <w:shd w:val="clear" w:color="auto" w:fill="auto"/>
                <w:lang w:eastAsia="zh-CN"/>
              </w:rPr>
            </w:pPr>
            <w:r>
              <w:rPr>
                <w:rFonts w:ascii="微软雅黑" w:hAnsi="微软雅黑" w:eastAsia="微软雅黑"/>
                <w:color w:val="auto"/>
                <w:sz w:val="18"/>
                <w:szCs w:val="16"/>
                <w:highlight w:val="none"/>
                <w:shd w:val="clear" w:color="auto" w:fill="auto"/>
                <w:lang w:eastAsia="zh-CN"/>
              </w:rPr>
              <w:pict>
                <v:shape id="_x0000_s1028" o:spid="_x0000_s1028" o:spt="75" type="#_x0000_t75" style="position:absolute;left:0pt;margin-left:-2.15pt;margin-top:1.65pt;height:9.85pt;width:35.7pt;z-index:251659264;mso-width-relative:page;mso-height-relative:page;" o:ole="t" filled="f" o:preferrelative="t" stroked="f" coordsize="21600,21600">
                  <v:path/>
                  <v:fill on="f" focussize="0,0"/>
                  <v:stroke on="f" joinstyle="miter"/>
                  <v:imagedata r:id="rId7" o:title=""/>
                  <o:lock v:ext="edit" aspectratio="t"/>
                </v:shape>
                <o:OLEObject Type="Embed" ProgID="PBrush" ShapeID="_x0000_s1028" DrawAspect="Content" ObjectID="_1468075725" r:id="rId6">
                  <o:LockedField>false</o:LockedField>
                </o:OLEObject>
              </w:pict>
            </w:r>
            <w:r>
              <w:rPr>
                <w:rFonts w:ascii="微软雅黑" w:hAnsi="微软雅黑" w:eastAsia="微软雅黑"/>
                <w:color w:val="auto"/>
                <w:sz w:val="18"/>
                <w:szCs w:val="16"/>
                <w:highlight w:val="none"/>
                <w:shd w:val="clear" w:color="auto" w:fill="auto"/>
                <w:lang w:eastAsia="zh-CN"/>
              </w:rPr>
              <w:t xml:space="preserve"> II 1G  Ex ia IIC T4  Ga</w:t>
            </w:r>
          </w:p>
          <w:p>
            <w:pPr>
              <w:pStyle w:val="2"/>
              <w:rPr>
                <w:b/>
                <w:color w:val="auto"/>
                <w:highlight w:val="none"/>
                <w:shd w:val="clear" w:color="auto" w:fill="auto"/>
                <w:vertAlign w:val="baseline"/>
              </w:rPr>
            </w:pPr>
            <w:r>
              <w:rPr>
                <w:rFonts w:ascii="微软雅黑" w:hAnsi="微软雅黑" w:eastAsia="微软雅黑"/>
                <w:color w:val="auto"/>
                <w:sz w:val="18"/>
                <w:szCs w:val="16"/>
                <w:highlight w:val="none"/>
                <w:shd w:val="clear" w:color="auto" w:fill="auto"/>
                <w:lang w:eastAsia="zh-CN"/>
              </w:rPr>
              <w:drawing>
                <wp:anchor distT="0" distB="0" distL="114300" distR="114300" simplePos="0" relativeHeight="251662336" behindDoc="0" locked="0" layoutInCell="1" allowOverlap="1">
                  <wp:simplePos x="0" y="0"/>
                  <wp:positionH relativeFrom="column">
                    <wp:posOffset>107315</wp:posOffset>
                  </wp:positionH>
                  <wp:positionV relativeFrom="paragraph">
                    <wp:posOffset>48895</wp:posOffset>
                  </wp:positionV>
                  <wp:extent cx="144145" cy="100965"/>
                  <wp:effectExtent l="0" t="0" r="8255" b="13335"/>
                  <wp:wrapNone/>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6"/>
                          <pic:cNvPicPr>
                            <a:picLocks noChangeAspect="1"/>
                          </pic:cNvPicPr>
                        </pic:nvPicPr>
                        <pic:blipFill>
                          <a:blip r:embed="rId8"/>
                          <a:stretch>
                            <a:fillRect/>
                          </a:stretch>
                        </pic:blipFill>
                        <pic:spPr>
                          <a:xfrm>
                            <a:off x="0" y="0"/>
                            <a:ext cx="144145" cy="100965"/>
                          </a:xfrm>
                          <a:prstGeom prst="rect">
                            <a:avLst/>
                          </a:prstGeom>
                          <a:noFill/>
                          <a:ln>
                            <a:noFill/>
                          </a:ln>
                        </pic:spPr>
                      </pic:pic>
                    </a:graphicData>
                  </a:graphic>
                </wp:anchor>
              </w:drawing>
            </w:r>
            <w:r>
              <w:rPr>
                <w:rFonts w:ascii="微软雅黑" w:hAnsi="微软雅黑" w:eastAsia="微软雅黑"/>
                <w:color w:val="auto"/>
                <w:sz w:val="18"/>
                <w:szCs w:val="16"/>
                <w:highlight w:val="none"/>
                <w:shd w:val="clear" w:color="auto" w:fill="auto"/>
                <w:lang w:eastAsia="zh-CN"/>
              </w:rPr>
              <w:t xml:space="preserve">        </w:t>
            </w:r>
            <w:r>
              <w:rPr>
                <w:rFonts w:hint="eastAsia" w:ascii="微软雅黑" w:hAnsi="微软雅黑" w:eastAsia="微软雅黑"/>
                <w:color w:val="auto"/>
                <w:sz w:val="18"/>
                <w:szCs w:val="16"/>
                <w:highlight w:val="none"/>
                <w:shd w:val="clear" w:color="auto" w:fill="auto"/>
                <w:lang w:val="en-US" w:eastAsia="zh-CN"/>
              </w:rPr>
              <w:t xml:space="preserve"> </w:t>
            </w:r>
            <w:r>
              <w:rPr>
                <w:rFonts w:ascii="微软雅黑" w:hAnsi="微软雅黑" w:eastAsia="微软雅黑"/>
                <w:color w:val="auto"/>
                <w:sz w:val="18"/>
                <w:szCs w:val="16"/>
                <w:highlight w:val="none"/>
                <w:shd w:val="clear" w:color="auto" w:fill="auto"/>
                <w:lang w:eastAsia="zh-CN"/>
              </w:rPr>
              <w:t>European Conformity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eastAsia="微软雅黑" w:cs="Arial"/>
                <w:b/>
                <w:bCs/>
                <w:color w:val="auto"/>
                <w:sz w:val="18"/>
                <w:szCs w:val="16"/>
                <w:highlight w:val="none"/>
                <w:shd w:val="clear" w:color="auto" w:fill="auto"/>
                <w:lang w:eastAsia="zh-CN"/>
              </w:rPr>
              <w:t>尺寸</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2</w:t>
            </w:r>
            <w:r>
              <w:rPr>
                <w:rFonts w:ascii="微软雅黑" w:hAnsi="微软雅黑" w:eastAsia="微软雅黑"/>
                <w:color w:val="auto"/>
                <w:sz w:val="18"/>
                <w:szCs w:val="16"/>
                <w:highlight w:val="none"/>
                <w:shd w:val="clear" w:color="auto" w:fill="auto"/>
                <w:lang w:eastAsia="zh-CN"/>
              </w:rPr>
              <w:t>30</w:t>
            </w:r>
            <w:r>
              <w:rPr>
                <w:rFonts w:hint="eastAsia" w:ascii="微软雅黑" w:hAnsi="微软雅黑" w:eastAsia="微软雅黑"/>
                <w:color w:val="auto"/>
                <w:sz w:val="18"/>
                <w:szCs w:val="16"/>
                <w:highlight w:val="none"/>
                <w:shd w:val="clear" w:color="auto" w:fill="auto"/>
                <w:lang w:eastAsia="zh-CN"/>
              </w:rPr>
              <w:t>mm</w:t>
            </w:r>
            <w:r>
              <w:rPr>
                <w:rFonts w:ascii="微软雅黑" w:hAnsi="微软雅黑" w:eastAsia="微软雅黑"/>
                <w:color w:val="auto"/>
                <w:sz w:val="18"/>
                <w:szCs w:val="16"/>
                <w:highlight w:val="none"/>
                <w:shd w:val="clear" w:color="auto" w:fill="auto"/>
                <w:lang w:eastAsia="zh-CN"/>
              </w:rPr>
              <w:t xml:space="preserve"> </w:t>
            </w:r>
            <w:r>
              <w:rPr>
                <w:rFonts w:hint="eastAsia" w:ascii="微软雅黑" w:hAnsi="微软雅黑" w:eastAsia="微软雅黑"/>
                <w:color w:val="auto"/>
                <w:sz w:val="18"/>
                <w:szCs w:val="16"/>
                <w:highlight w:val="none"/>
                <w:shd w:val="clear" w:color="auto" w:fill="auto"/>
                <w:lang w:eastAsia="zh-CN"/>
              </w:rPr>
              <w:t>x</w:t>
            </w:r>
            <w:r>
              <w:rPr>
                <w:rFonts w:ascii="微软雅黑" w:hAnsi="微软雅黑" w:eastAsia="微软雅黑"/>
                <w:color w:val="auto"/>
                <w:sz w:val="18"/>
                <w:szCs w:val="16"/>
                <w:highlight w:val="none"/>
                <w:shd w:val="clear" w:color="auto" w:fill="auto"/>
                <w:lang w:eastAsia="zh-CN"/>
              </w:rPr>
              <w:t xml:space="preserve"> 80</w:t>
            </w:r>
            <w:r>
              <w:rPr>
                <w:rFonts w:hint="eastAsia" w:ascii="微软雅黑" w:hAnsi="微软雅黑" w:eastAsia="微软雅黑"/>
                <w:color w:val="auto"/>
                <w:sz w:val="18"/>
                <w:szCs w:val="16"/>
                <w:highlight w:val="none"/>
                <w:shd w:val="clear" w:color="auto" w:fill="auto"/>
                <w:lang w:eastAsia="zh-CN"/>
              </w:rPr>
              <w:t>mm</w:t>
            </w:r>
            <w:r>
              <w:rPr>
                <w:rFonts w:ascii="微软雅黑" w:hAnsi="微软雅黑" w:eastAsia="微软雅黑"/>
                <w:color w:val="auto"/>
                <w:sz w:val="18"/>
                <w:szCs w:val="16"/>
                <w:highlight w:val="none"/>
                <w:shd w:val="clear" w:color="auto" w:fill="auto"/>
                <w:lang w:eastAsia="zh-CN"/>
              </w:rPr>
              <w:t xml:space="preserve"> </w:t>
            </w:r>
            <w:r>
              <w:rPr>
                <w:rFonts w:hint="eastAsia" w:ascii="微软雅黑" w:hAnsi="微软雅黑" w:eastAsia="微软雅黑"/>
                <w:color w:val="auto"/>
                <w:sz w:val="18"/>
                <w:szCs w:val="16"/>
                <w:highlight w:val="none"/>
                <w:shd w:val="clear" w:color="auto" w:fill="auto"/>
                <w:lang w:eastAsia="zh-CN"/>
              </w:rPr>
              <w:t>x</w:t>
            </w:r>
            <w:r>
              <w:rPr>
                <w:rFonts w:ascii="微软雅黑" w:hAnsi="微软雅黑" w:eastAsia="微软雅黑"/>
                <w:color w:val="auto"/>
                <w:sz w:val="18"/>
                <w:szCs w:val="16"/>
                <w:highlight w:val="none"/>
                <w:shd w:val="clear" w:color="auto" w:fill="auto"/>
                <w:lang w:eastAsia="zh-CN"/>
              </w:rPr>
              <w:t xml:space="preserve"> 60</w:t>
            </w:r>
            <w:r>
              <w:rPr>
                <w:rFonts w:hint="eastAsia" w:ascii="微软雅黑" w:hAnsi="微软雅黑" w:eastAsia="微软雅黑"/>
                <w:color w:val="auto"/>
                <w:sz w:val="18"/>
                <w:szCs w:val="16"/>
                <w:highlight w:val="none"/>
                <w:shd w:val="clear" w:color="auto" w:fill="auto"/>
                <w:lang w:eastAsia="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重量</w:t>
            </w:r>
          </w:p>
        </w:tc>
        <w:tc>
          <w:tcPr>
            <w:tcW w:w="5865" w:type="dxa"/>
            <w:noWrap w:val="0"/>
            <w:vAlign w:val="top"/>
          </w:tcPr>
          <w:p>
            <w:pPr>
              <w:pStyle w:val="2"/>
              <w:rPr>
                <w:b/>
                <w:color w:val="auto"/>
                <w:highlight w:val="none"/>
                <w:shd w:val="clear" w:color="auto" w:fill="auto"/>
                <w:vertAlign w:val="baseline"/>
              </w:rPr>
            </w:pPr>
            <w:r>
              <w:rPr>
                <w:rFonts w:ascii="微软雅黑" w:hAnsi="微软雅黑" w:eastAsia="微软雅黑"/>
                <w:color w:val="auto"/>
                <w:sz w:val="18"/>
                <w:szCs w:val="16"/>
                <w:highlight w:val="none"/>
                <w:shd w:val="clear" w:color="auto" w:fill="auto"/>
                <w:lang w:eastAsia="zh-CN"/>
              </w:rPr>
              <w:t>680</w:t>
            </w:r>
            <w:r>
              <w:rPr>
                <w:rFonts w:hint="eastAsia" w:ascii="微软雅黑" w:hAnsi="微软雅黑" w:eastAsia="微软雅黑"/>
                <w:color w:val="auto"/>
                <w:sz w:val="18"/>
                <w:szCs w:val="16"/>
                <w:highlight w:val="none"/>
                <w:shd w:val="clear" w:color="auto" w:fill="auto"/>
                <w:lang w:eastAsia="zh-CN"/>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泵流量</w:t>
            </w:r>
          </w:p>
        </w:tc>
        <w:tc>
          <w:tcPr>
            <w:tcW w:w="5865" w:type="dxa"/>
            <w:noWrap w:val="0"/>
            <w:vAlign w:val="top"/>
          </w:tcPr>
          <w:p>
            <w:pPr>
              <w:pStyle w:val="2"/>
              <w:rPr>
                <w:b/>
                <w:color w:val="auto"/>
                <w:highlight w:val="none"/>
                <w:shd w:val="clear" w:color="auto" w:fill="auto"/>
                <w:vertAlign w:val="baseline"/>
              </w:rPr>
            </w:pPr>
            <w:r>
              <w:rPr>
                <w:rFonts w:ascii="微软雅黑" w:hAnsi="微软雅黑" w:eastAsia="微软雅黑"/>
                <w:color w:val="auto"/>
                <w:sz w:val="18"/>
                <w:szCs w:val="16"/>
                <w:highlight w:val="none"/>
                <w:shd w:val="clear" w:color="auto" w:fill="auto"/>
                <w:lang w:eastAsia="zh-CN"/>
              </w:rPr>
              <w:t>450</w:t>
            </w:r>
            <w:r>
              <w:rPr>
                <w:rFonts w:hint="eastAsia" w:ascii="微软雅黑" w:hAnsi="微软雅黑" w:eastAsia="微软雅黑"/>
                <w:color w:val="auto"/>
                <w:sz w:val="18"/>
                <w:szCs w:val="16"/>
                <w:highlight w:val="none"/>
                <w:shd w:val="clear" w:color="auto" w:fill="auto"/>
                <w:lang w:eastAsia="zh-CN"/>
              </w:rPr>
              <w:t>cc</w:t>
            </w:r>
            <w:r>
              <w:rPr>
                <w:rFonts w:ascii="微软雅黑" w:hAnsi="微软雅黑" w:eastAsia="微软雅黑"/>
                <w:color w:val="auto"/>
                <w:sz w:val="18"/>
                <w:szCs w:val="16"/>
                <w:highlight w:val="none"/>
                <w:shd w:val="clear" w:color="auto" w:fill="auto"/>
                <w:lang w:eastAsia="zh-CN"/>
              </w:rPr>
              <w:t>/</w:t>
            </w:r>
            <w:r>
              <w:rPr>
                <w:rFonts w:hint="eastAsia" w:ascii="微软雅黑" w:hAnsi="微软雅黑" w:eastAsia="微软雅黑"/>
                <w:color w:val="auto"/>
                <w:sz w:val="18"/>
                <w:szCs w:val="16"/>
                <w:highlight w:val="none"/>
                <w:shd w:val="clear" w:color="auto" w:fill="auto"/>
                <w:lang w:eastAsia="zh-CN"/>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数据存储及类型</w:t>
            </w:r>
          </w:p>
        </w:tc>
        <w:tc>
          <w:tcPr>
            <w:tcW w:w="5865" w:type="dxa"/>
            <w:noWrap w:val="0"/>
            <w:vAlign w:val="top"/>
          </w:tcPr>
          <w:p>
            <w:pPr>
              <w:pStyle w:val="2"/>
              <w:ind w:right="454"/>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连续存储</w:t>
            </w:r>
            <w:r>
              <w:rPr>
                <w:rFonts w:ascii="微软雅黑" w:hAnsi="微软雅黑" w:eastAsia="微软雅黑"/>
                <w:color w:val="auto"/>
                <w:sz w:val="18"/>
                <w:szCs w:val="16"/>
                <w:highlight w:val="none"/>
                <w:shd w:val="clear" w:color="auto" w:fill="auto"/>
                <w:lang w:eastAsia="zh-CN"/>
              </w:rPr>
              <w:t>12</w:t>
            </w:r>
            <w:r>
              <w:rPr>
                <w:rFonts w:hint="eastAsia" w:ascii="微软雅黑" w:hAnsi="微软雅黑" w:eastAsia="微软雅黑"/>
                <w:color w:val="auto"/>
                <w:sz w:val="18"/>
                <w:szCs w:val="16"/>
                <w:highlight w:val="none"/>
                <w:shd w:val="clear" w:color="auto" w:fill="auto"/>
                <w:lang w:eastAsia="zh-CN"/>
              </w:rPr>
              <w:t>个月/每分钟一次数据</w:t>
            </w:r>
            <w:r>
              <w:rPr>
                <w:rFonts w:ascii="微软雅黑" w:hAnsi="微软雅黑" w:eastAsia="微软雅黑"/>
                <w:color w:val="auto"/>
                <w:sz w:val="18"/>
                <w:szCs w:val="16"/>
                <w:highlight w:val="none"/>
                <w:shd w:val="clear" w:color="auto" w:fill="auto"/>
                <w:lang w:eastAsia="zh-CN"/>
              </w:rPr>
              <w:t>，</w:t>
            </w:r>
            <w:r>
              <w:rPr>
                <w:rFonts w:hint="eastAsia" w:ascii="微软雅黑" w:hAnsi="微软雅黑" w:eastAsia="微软雅黑"/>
                <w:color w:val="auto"/>
                <w:sz w:val="18"/>
                <w:szCs w:val="16"/>
                <w:highlight w:val="none"/>
                <w:shd w:val="clear" w:color="auto" w:fill="auto"/>
                <w:lang w:eastAsia="zh-CN"/>
              </w:rPr>
              <w:t>存储间隔</w:t>
            </w:r>
            <w:r>
              <w:rPr>
                <w:rFonts w:ascii="微软雅黑" w:hAnsi="微软雅黑" w:eastAsia="微软雅黑"/>
                <w:color w:val="auto"/>
                <w:sz w:val="18"/>
                <w:szCs w:val="16"/>
                <w:highlight w:val="none"/>
                <w:shd w:val="clear" w:color="auto" w:fill="auto"/>
                <w:lang w:eastAsia="zh-CN"/>
              </w:rPr>
              <w:t>(</w:t>
            </w:r>
            <w:r>
              <w:rPr>
                <w:rFonts w:hint="eastAsia" w:ascii="微软雅黑" w:hAnsi="微软雅黑" w:eastAsia="微软雅黑"/>
                <w:color w:val="auto"/>
                <w:sz w:val="18"/>
                <w:szCs w:val="16"/>
                <w:highlight w:val="none"/>
                <w:shd w:val="clear" w:color="auto" w:fill="auto"/>
                <w:lang w:eastAsia="zh-CN"/>
              </w:rPr>
              <w:t>1~3600秒可调节）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数据下载及通讯</w:t>
            </w:r>
          </w:p>
        </w:tc>
        <w:tc>
          <w:tcPr>
            <w:tcW w:w="5865" w:type="dxa"/>
            <w:noWrap w:val="0"/>
            <w:vAlign w:val="top"/>
          </w:tcPr>
          <w:p>
            <w:pPr>
              <w:pStyle w:val="2"/>
              <w:rPr>
                <w:rFonts w:hint="eastAsia"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USB连接线下载到电脑上直接对数据进行处理</w:t>
            </w:r>
          </w:p>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数据可通过USB连接线实时通讯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显示语言</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中/英+符号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操作模式</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检测和编程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按键</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四个按键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警示方式</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9</w:t>
            </w:r>
            <w:r>
              <w:rPr>
                <w:rFonts w:ascii="微软雅黑" w:hAnsi="微软雅黑" w:eastAsia="微软雅黑"/>
                <w:color w:val="auto"/>
                <w:sz w:val="18"/>
                <w:szCs w:val="16"/>
                <w:highlight w:val="none"/>
                <w:shd w:val="clear" w:color="auto" w:fill="auto"/>
                <w:lang w:eastAsia="zh-CN"/>
              </w:rPr>
              <w:t>5</w:t>
            </w:r>
            <w:r>
              <w:rPr>
                <w:rFonts w:hint="eastAsia" w:ascii="微软雅黑" w:hAnsi="微软雅黑" w:eastAsia="微软雅黑"/>
                <w:color w:val="auto"/>
                <w:sz w:val="18"/>
                <w:szCs w:val="16"/>
                <w:highlight w:val="none"/>
                <w:shd w:val="clear" w:color="auto" w:fill="auto"/>
                <w:lang w:eastAsia="zh-CN"/>
              </w:rPr>
              <w:t>d</w:t>
            </w:r>
            <w:r>
              <w:rPr>
                <w:rFonts w:ascii="微软雅黑" w:hAnsi="微软雅黑" w:eastAsia="微软雅黑"/>
                <w:color w:val="auto"/>
                <w:sz w:val="18"/>
                <w:szCs w:val="16"/>
                <w:highlight w:val="none"/>
                <w:shd w:val="clear" w:color="auto" w:fill="auto"/>
                <w:lang w:eastAsia="zh-CN"/>
              </w:rPr>
              <w:t>B</w:t>
            </w:r>
            <w:r>
              <w:rPr>
                <w:rFonts w:hint="eastAsia" w:ascii="微软雅黑" w:hAnsi="微软雅黑" w:eastAsia="微软雅黑"/>
                <w:color w:val="auto"/>
                <w:sz w:val="18"/>
                <w:szCs w:val="16"/>
                <w:highlight w:val="none"/>
                <w:shd w:val="clear" w:color="auto" w:fill="auto"/>
                <w:lang w:eastAsia="zh-CN"/>
              </w:rPr>
              <w:t>@30cm、LED闪烁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抗电磁辐射</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EMI/RF等级:EMC Directive 89/336/EEC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b/>
                <w:color w:val="auto"/>
                <w:highlight w:val="none"/>
                <w:shd w:val="clear" w:color="auto" w:fill="auto"/>
                <w:vertAlign w:val="baseline"/>
              </w:rPr>
            </w:pPr>
            <w:r>
              <w:rPr>
                <w:rFonts w:hint="eastAsia" w:ascii="微软雅黑" w:hAnsi="微软雅黑" w:eastAsia="微软雅黑"/>
                <w:b/>
                <w:bCs/>
                <w:color w:val="auto"/>
                <w:sz w:val="18"/>
                <w:szCs w:val="16"/>
                <w:highlight w:val="none"/>
                <w:shd w:val="clear" w:color="auto" w:fill="auto"/>
                <w:lang w:eastAsia="zh-CN"/>
              </w:rPr>
              <w:t>显示屏</w:t>
            </w:r>
          </w:p>
        </w:tc>
        <w:tc>
          <w:tcPr>
            <w:tcW w:w="5865" w:type="dxa"/>
            <w:noWrap w:val="0"/>
            <w:vAlign w:val="top"/>
          </w:tcPr>
          <w:p>
            <w:pPr>
              <w:pStyle w:val="2"/>
              <w:rPr>
                <w:b/>
                <w:color w:val="auto"/>
                <w:highlight w:val="none"/>
                <w:shd w:val="clear" w:color="auto" w:fill="auto"/>
                <w:vertAlign w:val="baseline"/>
              </w:rPr>
            </w:pPr>
            <w:r>
              <w:rPr>
                <w:rFonts w:hint="eastAsia" w:ascii="微软雅黑" w:hAnsi="微软雅黑" w:eastAsia="微软雅黑"/>
                <w:color w:val="auto"/>
                <w:sz w:val="18"/>
                <w:szCs w:val="16"/>
                <w:highlight w:val="none"/>
                <w:shd w:val="clear" w:color="auto" w:fill="auto"/>
                <w:lang w:eastAsia="zh-CN"/>
              </w:rPr>
              <w:t>128X128点阵液晶，带自动背光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rFonts w:hint="eastAsia" w:ascii="微软雅黑" w:hAnsi="微软雅黑" w:eastAsia="微软雅黑"/>
                <w:b/>
                <w:bCs/>
                <w:color w:val="auto"/>
                <w:sz w:val="18"/>
                <w:szCs w:val="16"/>
                <w:highlight w:val="none"/>
                <w:shd w:val="clear" w:color="auto" w:fill="auto"/>
                <w:lang w:eastAsia="zh-CN"/>
              </w:rPr>
            </w:pPr>
            <w:r>
              <w:rPr>
                <w:rFonts w:hint="eastAsia" w:ascii="微软雅黑" w:hAnsi="微软雅黑" w:eastAsia="微软雅黑"/>
                <w:b/>
                <w:bCs/>
                <w:color w:val="auto"/>
                <w:sz w:val="18"/>
                <w:szCs w:val="16"/>
                <w:highlight w:val="none"/>
                <w:shd w:val="clear" w:color="auto" w:fill="auto"/>
                <w:lang w:eastAsia="zh-CN"/>
              </w:rPr>
              <w:t>校正系数</w:t>
            </w:r>
          </w:p>
        </w:tc>
        <w:tc>
          <w:tcPr>
            <w:tcW w:w="5865" w:type="dxa"/>
            <w:noWrap w:val="0"/>
            <w:vAlign w:val="top"/>
          </w:tcPr>
          <w:p>
            <w:pPr>
              <w:pStyle w:val="2"/>
              <w:rPr>
                <w:rFonts w:hint="eastAsia"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内置超过</w:t>
            </w:r>
            <w:r>
              <w:rPr>
                <w:rFonts w:ascii="微软雅黑" w:hAnsi="微软雅黑" w:eastAsia="微软雅黑"/>
                <w:color w:val="auto"/>
                <w:sz w:val="18"/>
                <w:szCs w:val="16"/>
                <w:highlight w:val="none"/>
                <w:shd w:val="clear" w:color="auto" w:fill="auto"/>
                <w:lang w:eastAsia="zh-CN"/>
              </w:rPr>
              <w:t>450</w:t>
            </w:r>
            <w:r>
              <w:rPr>
                <w:rFonts w:hint="eastAsia" w:ascii="微软雅黑" w:hAnsi="微软雅黑" w:eastAsia="微软雅黑"/>
                <w:color w:val="auto"/>
                <w:sz w:val="18"/>
                <w:szCs w:val="16"/>
                <w:highlight w:val="none"/>
                <w:shd w:val="clear" w:color="auto" w:fill="auto"/>
                <w:lang w:eastAsia="zh-CN"/>
              </w:rPr>
              <w:t>种，客户可自行定制1</w:t>
            </w:r>
            <w:r>
              <w:rPr>
                <w:rFonts w:ascii="微软雅黑" w:hAnsi="微软雅黑" w:eastAsia="微软雅黑"/>
                <w:color w:val="auto"/>
                <w:sz w:val="18"/>
                <w:szCs w:val="16"/>
                <w:highlight w:val="none"/>
                <w:shd w:val="clear" w:color="auto" w:fill="auto"/>
                <w:lang w:eastAsia="zh-CN"/>
              </w:rPr>
              <w:t>5</w:t>
            </w:r>
            <w:r>
              <w:rPr>
                <w:rFonts w:hint="eastAsia" w:ascii="微软雅黑" w:hAnsi="微软雅黑" w:eastAsia="微软雅黑"/>
                <w:color w:val="auto"/>
                <w:sz w:val="18"/>
                <w:szCs w:val="16"/>
                <w:highlight w:val="none"/>
                <w:shd w:val="clear" w:color="auto" w:fill="auto"/>
                <w:lang w:eastAsia="zh-CN"/>
              </w:rPr>
              <w:t>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rFonts w:hint="eastAsia" w:ascii="微软雅黑" w:hAnsi="微软雅黑" w:eastAsia="微软雅黑"/>
                <w:b/>
                <w:bCs/>
                <w:color w:val="auto"/>
                <w:sz w:val="18"/>
                <w:szCs w:val="16"/>
                <w:highlight w:val="none"/>
                <w:shd w:val="clear" w:color="auto" w:fill="auto"/>
                <w:lang w:eastAsia="zh-CN"/>
              </w:rPr>
            </w:pPr>
            <w:r>
              <w:rPr>
                <w:rFonts w:hint="eastAsia" w:ascii="微软雅黑" w:hAnsi="微软雅黑" w:eastAsia="微软雅黑"/>
                <w:b/>
                <w:bCs/>
                <w:color w:val="auto"/>
                <w:sz w:val="18"/>
                <w:szCs w:val="16"/>
                <w:highlight w:val="none"/>
                <w:shd w:val="clear" w:color="auto" w:fill="auto"/>
                <w:lang w:eastAsia="zh-CN"/>
              </w:rPr>
              <w:t>屏幕可直接显示</w:t>
            </w:r>
          </w:p>
        </w:tc>
        <w:tc>
          <w:tcPr>
            <w:tcW w:w="5865" w:type="dxa"/>
            <w:noWrap w:val="0"/>
            <w:vAlign w:val="top"/>
          </w:tcPr>
          <w:p>
            <w:pPr>
              <w:pStyle w:val="2"/>
              <w:ind w:right="454"/>
              <w:rPr>
                <w:rFonts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测量值、人员安全状态、电池指示、数据记录状态、</w:t>
            </w:r>
          </w:p>
          <w:p>
            <w:pPr>
              <w:pStyle w:val="2"/>
              <w:ind w:right="454"/>
              <w:rPr>
                <w:rFonts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光源工作状态、温度、无线状态（无线版本）等</w:t>
            </w:r>
          </w:p>
          <w:p>
            <w:pPr>
              <w:pStyle w:val="2"/>
              <w:rPr>
                <w:rFonts w:hint="eastAsia"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检测数据有实时曲线图和数字两种显示模式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4" w:type="dxa"/>
            <w:noWrap w:val="0"/>
            <w:vAlign w:val="top"/>
          </w:tcPr>
          <w:p>
            <w:pPr>
              <w:pStyle w:val="2"/>
              <w:rPr>
                <w:rFonts w:hint="eastAsia" w:ascii="微软雅黑" w:hAnsi="微软雅黑" w:eastAsia="微软雅黑"/>
                <w:b/>
                <w:bCs/>
                <w:color w:val="auto"/>
                <w:sz w:val="18"/>
                <w:szCs w:val="16"/>
                <w:highlight w:val="none"/>
                <w:shd w:val="clear" w:color="auto" w:fill="auto"/>
                <w:lang w:eastAsia="zh-CN"/>
              </w:rPr>
            </w:pPr>
            <w:r>
              <w:rPr>
                <w:rFonts w:hint="eastAsia" w:ascii="微软雅黑" w:hAnsi="微软雅黑" w:eastAsia="微软雅黑"/>
                <w:b/>
                <w:bCs/>
                <w:color w:val="auto"/>
                <w:sz w:val="18"/>
                <w:szCs w:val="16"/>
                <w:highlight w:val="none"/>
                <w:shd w:val="clear" w:color="auto" w:fill="auto"/>
                <w:lang w:eastAsia="zh-CN"/>
              </w:rPr>
              <w:t>内置无线模块</w:t>
            </w:r>
          </w:p>
        </w:tc>
        <w:tc>
          <w:tcPr>
            <w:tcW w:w="5865" w:type="dxa"/>
            <w:noWrap w:val="0"/>
            <w:vAlign w:val="top"/>
          </w:tcPr>
          <w:p>
            <w:pPr>
              <w:pStyle w:val="2"/>
              <w:rPr>
                <w:rFonts w:hint="eastAsia"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3</w:t>
            </w:r>
            <w:r>
              <w:rPr>
                <w:rFonts w:ascii="微软雅黑" w:hAnsi="微软雅黑" w:eastAsia="微软雅黑"/>
                <w:color w:val="auto"/>
                <w:sz w:val="18"/>
                <w:szCs w:val="16"/>
                <w:highlight w:val="none"/>
                <w:shd w:val="clear" w:color="auto" w:fill="auto"/>
                <w:lang w:eastAsia="zh-CN"/>
              </w:rPr>
              <w:t>00</w:t>
            </w:r>
            <w:r>
              <w:rPr>
                <w:rFonts w:hint="eastAsia" w:ascii="微软雅黑" w:hAnsi="微软雅黑" w:eastAsia="微软雅黑"/>
                <w:color w:val="auto"/>
                <w:sz w:val="18"/>
                <w:szCs w:val="16"/>
                <w:highlight w:val="none"/>
                <w:shd w:val="clear" w:color="auto" w:fill="auto"/>
                <w:lang w:eastAsia="zh-CN"/>
              </w:rPr>
              <w:t>m以内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794" w:type="dxa"/>
            <w:noWrap w:val="0"/>
            <w:vAlign w:val="top"/>
          </w:tcPr>
          <w:p>
            <w:pPr>
              <w:pStyle w:val="2"/>
              <w:rPr>
                <w:rFonts w:hint="eastAsia" w:ascii="微软雅黑" w:hAnsi="微软雅黑" w:eastAsia="微软雅黑"/>
                <w:b/>
                <w:bCs/>
                <w:color w:val="auto"/>
                <w:sz w:val="18"/>
                <w:szCs w:val="16"/>
                <w:highlight w:val="none"/>
                <w:shd w:val="clear" w:color="auto" w:fill="auto"/>
                <w:lang w:eastAsia="zh-CN"/>
              </w:rPr>
            </w:pPr>
            <w:r>
              <w:rPr>
                <w:rFonts w:hint="eastAsia" w:ascii="微软雅黑" w:hAnsi="微软雅黑" w:eastAsia="微软雅黑"/>
                <w:b/>
                <w:bCs/>
                <w:color w:val="auto"/>
                <w:sz w:val="18"/>
                <w:szCs w:val="16"/>
                <w:highlight w:val="none"/>
                <w:shd w:val="clear" w:color="auto" w:fill="auto"/>
                <w:lang w:eastAsia="zh-CN"/>
              </w:rPr>
              <w:t>质保</w:t>
            </w:r>
          </w:p>
        </w:tc>
        <w:tc>
          <w:tcPr>
            <w:tcW w:w="5865" w:type="dxa"/>
            <w:noWrap w:val="0"/>
            <w:vAlign w:val="top"/>
          </w:tcPr>
          <w:p>
            <w:pPr>
              <w:pStyle w:val="2"/>
              <w:rPr>
                <w:rFonts w:hint="eastAsia" w:ascii="微软雅黑" w:hAnsi="微软雅黑" w:eastAsia="微软雅黑"/>
                <w:color w:val="auto"/>
                <w:sz w:val="18"/>
                <w:szCs w:val="16"/>
                <w:highlight w:val="none"/>
                <w:shd w:val="clear" w:color="auto" w:fill="auto"/>
                <w:lang w:eastAsia="zh-CN"/>
              </w:rPr>
            </w:pPr>
            <w:r>
              <w:rPr>
                <w:rFonts w:hint="eastAsia" w:ascii="微软雅黑" w:hAnsi="微软雅黑" w:eastAsia="微软雅黑"/>
                <w:color w:val="auto"/>
                <w:sz w:val="18"/>
                <w:szCs w:val="16"/>
                <w:highlight w:val="none"/>
                <w:shd w:val="clear" w:color="auto" w:fill="auto"/>
                <w:lang w:eastAsia="zh-CN"/>
              </w:rPr>
              <w:t>整机质保1年（包括传感器）</w:t>
            </w:r>
          </w:p>
        </w:tc>
      </w:tr>
    </w:tbl>
    <w:p>
      <w:pPr>
        <w:jc w:val="both"/>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CEE66"/>
    <w:multiLevelType w:val="singleLevel"/>
    <w:tmpl w:val="983CEE66"/>
    <w:lvl w:ilvl="0" w:tentative="0">
      <w:start w:val="1"/>
      <w:numFmt w:val="decimal"/>
      <w:suff w:val="nothing"/>
      <w:lvlText w:val="%1、"/>
      <w:lvlJc w:val="left"/>
    </w:lvl>
  </w:abstractNum>
  <w:abstractNum w:abstractNumId="1">
    <w:nsid w:val="AF76C118"/>
    <w:multiLevelType w:val="singleLevel"/>
    <w:tmpl w:val="AF76C118"/>
    <w:lvl w:ilvl="0" w:tentative="0">
      <w:start w:val="5"/>
      <w:numFmt w:val="decimal"/>
      <w:suff w:val="nothing"/>
      <w:lvlText w:val="%1、"/>
      <w:lvlJc w:val="left"/>
    </w:lvl>
  </w:abstractNum>
  <w:abstractNum w:abstractNumId="2">
    <w:nsid w:val="CD3C6AF3"/>
    <w:multiLevelType w:val="singleLevel"/>
    <w:tmpl w:val="CD3C6AF3"/>
    <w:lvl w:ilvl="0" w:tentative="0">
      <w:start w:val="9"/>
      <w:numFmt w:val="decimal"/>
      <w:suff w:val="nothing"/>
      <w:lvlText w:val="（%1）"/>
      <w:lvlJc w:val="left"/>
      <w:rPr>
        <w:rFonts w:hint="default"/>
        <w:b/>
        <w:bCs/>
        <w:sz w:val="28"/>
        <w:szCs w:val="28"/>
      </w:rPr>
    </w:lvl>
  </w:abstractNum>
  <w:abstractNum w:abstractNumId="3">
    <w:nsid w:val="D0B3D881"/>
    <w:multiLevelType w:val="singleLevel"/>
    <w:tmpl w:val="D0B3D881"/>
    <w:lvl w:ilvl="0" w:tentative="0">
      <w:start w:val="2"/>
      <w:numFmt w:val="decimal"/>
      <w:suff w:val="nothing"/>
      <w:lvlText w:val="%1、"/>
      <w:lvlJc w:val="left"/>
    </w:lvl>
  </w:abstractNum>
  <w:abstractNum w:abstractNumId="4">
    <w:nsid w:val="0C4A1676"/>
    <w:multiLevelType w:val="singleLevel"/>
    <w:tmpl w:val="0C4A1676"/>
    <w:lvl w:ilvl="0" w:tentative="0">
      <w:start w:val="1"/>
      <w:numFmt w:val="chineseCounting"/>
      <w:suff w:val="nothing"/>
      <w:lvlText w:val="%1、"/>
      <w:lvlJc w:val="left"/>
      <w:rPr>
        <w:rFonts w:hint="eastAsia"/>
      </w:rPr>
    </w:lvl>
  </w:abstractNum>
  <w:abstractNum w:abstractNumId="5">
    <w:nsid w:val="3F6AB858"/>
    <w:multiLevelType w:val="singleLevel"/>
    <w:tmpl w:val="3F6AB858"/>
    <w:lvl w:ilvl="0" w:tentative="0">
      <w:start w:val="3"/>
      <w:numFmt w:val="decimal"/>
      <w:lvlText w:val="%1."/>
      <w:lvlJc w:val="left"/>
      <w:pPr>
        <w:tabs>
          <w:tab w:val="left" w:pos="312"/>
        </w:tabs>
      </w:pPr>
    </w:lvl>
  </w:abstractNum>
  <w:num w:numId="1">
    <w:abstractNumId w:val="4"/>
  </w:num>
  <w:num w:numId="2">
    <w:abstractNumId w:val="3"/>
  </w:num>
  <w:num w:numId="3">
    <w:abstractNumId w:val="5"/>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NTdiOWQxNjlmOGU0OTdkODcyYjg0ODU3ZjFiOGIifQ=="/>
  </w:docVars>
  <w:rsids>
    <w:rsidRoot w:val="71E507EC"/>
    <w:rsid w:val="095F1C6E"/>
    <w:rsid w:val="09E56CD0"/>
    <w:rsid w:val="0DED5F3B"/>
    <w:rsid w:val="120F73D8"/>
    <w:rsid w:val="17566847"/>
    <w:rsid w:val="19796936"/>
    <w:rsid w:val="1C854428"/>
    <w:rsid w:val="1EBB6710"/>
    <w:rsid w:val="1F99183C"/>
    <w:rsid w:val="221B401C"/>
    <w:rsid w:val="24F1163A"/>
    <w:rsid w:val="284C1304"/>
    <w:rsid w:val="2A1F0129"/>
    <w:rsid w:val="2E260530"/>
    <w:rsid w:val="2EF170A3"/>
    <w:rsid w:val="31DD3CF1"/>
    <w:rsid w:val="37100F0C"/>
    <w:rsid w:val="38855EDB"/>
    <w:rsid w:val="44307DC3"/>
    <w:rsid w:val="46094971"/>
    <w:rsid w:val="47DF3324"/>
    <w:rsid w:val="4CF6244F"/>
    <w:rsid w:val="56154F3B"/>
    <w:rsid w:val="5AD22BCA"/>
    <w:rsid w:val="63D73A02"/>
    <w:rsid w:val="64A917C1"/>
    <w:rsid w:val="64FA4455"/>
    <w:rsid w:val="658240EE"/>
    <w:rsid w:val="71E507EC"/>
    <w:rsid w:val="7EEC6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Body Text Indent 2"/>
    <w:basedOn w:val="1"/>
    <w:autoRedefine/>
    <w:qFormat/>
    <w:uiPriority w:val="0"/>
    <w:pPr>
      <w:spacing w:after="120" w:afterLines="0" w:afterAutospacing="0" w:line="480" w:lineRule="auto"/>
      <w:ind w:left="420" w:leftChars="200"/>
    </w:pPr>
  </w:style>
  <w:style w:type="paragraph" w:styleId="4">
    <w:name w:val="Body Text First Indent"/>
    <w:basedOn w:val="2"/>
    <w:qFormat/>
    <w:uiPriority w:val="0"/>
    <w:pPr>
      <w:ind w:firstLine="420" w:firstLineChars="10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41"/>
    <w:basedOn w:val="7"/>
    <w:autoRedefine/>
    <w:qFormat/>
    <w:uiPriority w:val="0"/>
    <w:rPr>
      <w:rFonts w:ascii="Arial" w:hAnsi="Arial" w:cs="Arial"/>
      <w:color w:val="000000"/>
      <w:sz w:val="18"/>
      <w:szCs w:val="18"/>
      <w:u w:val="none"/>
    </w:rPr>
  </w:style>
  <w:style w:type="character" w:customStyle="1" w:styleId="9">
    <w:name w:val="font11"/>
    <w:basedOn w:val="7"/>
    <w:autoRedefine/>
    <w:qFormat/>
    <w:uiPriority w:val="0"/>
    <w:rPr>
      <w:rFonts w:hint="eastAsia" w:ascii="宋体" w:hAnsi="宋体" w:eastAsia="宋体" w:cs="宋体"/>
      <w:color w:val="000000"/>
      <w:sz w:val="18"/>
      <w:szCs w:val="18"/>
      <w:u w:val="none"/>
    </w:rPr>
  </w:style>
  <w:style w:type="character" w:customStyle="1" w:styleId="10">
    <w:name w:val="font51"/>
    <w:basedOn w:val="7"/>
    <w:autoRedefine/>
    <w:qFormat/>
    <w:uiPriority w:val="0"/>
    <w:rPr>
      <w:rFonts w:hint="default" w:ascii="Times New Roman" w:hAnsi="Times New Roman" w:cs="Times New Roman"/>
      <w:color w:val="000000"/>
      <w:sz w:val="18"/>
      <w:szCs w:val="18"/>
      <w:u w:val="none"/>
    </w:rPr>
  </w:style>
  <w:style w:type="paragraph" w:customStyle="1" w:styleId="11">
    <w:name w:val="列出段落1"/>
    <w:basedOn w:val="1"/>
    <w:qFormat/>
    <w:uiPriority w:val="34"/>
    <w:pPr>
      <w:ind w:firstLine="420" w:firstLineChars="200"/>
    </w:p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4710</Words>
  <Characters>6088</Characters>
  <Lines>0</Lines>
  <Paragraphs>0</Paragraphs>
  <TotalTime>36</TotalTime>
  <ScaleCrop>false</ScaleCrop>
  <LinksUpToDate>false</LinksUpToDate>
  <CharactersWithSpaces>6316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2023-05-18T13:20:00Z</dcterms:created>
  <dc:creator>Administrator</dc:creator>
  <cp:lastModifiedBy>不良人</cp:lastModifiedBy>
  <cp:lastPrinted>2023-05-23T05:50:00Z</cp:lastPrinted>
  <dcterms:modified xsi:type="dcterms:W3CDTF">2024-05-21T00:37:41Z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5136F8AF666C42C088BBD068EE6E5D86_13</vt:lpwstr>
  </property>
</Properties>
</file>