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ermStart w:id="0" w:edGrp="everyone"/>
      <w:permEnd w:id="0"/>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u w:val="non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亳州逸合府一期施工总承包项目脚手架工程专业分包</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BZJK-2024-034号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permStart w:id="1" w:edGrp="everyone"/>
      <w:r>
        <w:rPr>
          <w:rFonts w:hint="eastAsia" w:ascii="Times New Roman" w:hAnsi="Times New Roman" w:eastAsia="楷体" w:cs="Times New Roman"/>
          <w:kern w:val="0"/>
          <w:sz w:val="32"/>
          <w:szCs w:val="32"/>
        </w:rPr>
        <w:t>安徽通康建设工程有限公司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1"/>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2024年4</w:t>
      </w:r>
      <w:r>
        <w:rPr>
          <w:rFonts w:hint="eastAsia" w:ascii="Times New Roman" w:hAnsi="Times New Roman" w:eastAsia="楷体" w:cs="Times New Roman"/>
          <w:kern w:val="0"/>
          <w:sz w:val="32"/>
          <w:szCs w:val="32"/>
          <w:highlight w:val="none"/>
          <w:u w:val="none"/>
          <w:shd w:val="clear" w:color="auto" w:fill="auto"/>
          <w:lang w:val="en-US" w:eastAsia="zh-CN"/>
        </w:rPr>
        <w:t>月26日</w:t>
      </w:r>
      <w:permEnd w:id="2"/>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5</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（经评审的最低投标价法）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工程量清单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27</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图纸</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28</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七</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技术标准和要求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29</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八</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30</w:t>
      </w:r>
    </w:p>
    <w:permEnd w:id="3"/>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黑体" w:cs="Times New Roman"/>
          <w:sz w:val="28"/>
          <w:szCs w:val="28"/>
          <w:highlight w:val="none"/>
          <w:lang w:val="en-US" w:eastAsia="zh-CN"/>
        </w:rPr>
        <w:t>亳州逸合府一期施工总承包项目脚手架工程专业分包招标公告</w:t>
      </w:r>
      <w:bookmarkStart w:id="0" w:name="_Toc246996909"/>
      <w:bookmarkStart w:id="1" w:name="_Toc246996166"/>
      <w:bookmarkStart w:id="2" w:name="_Toc296602410"/>
      <w:bookmarkStart w:id="3" w:name="_Toc144974487"/>
      <w:bookmarkStart w:id="4" w:name="_Toc152045519"/>
      <w:bookmarkStart w:id="5" w:name="_Toc247085680"/>
      <w:bookmarkStart w:id="6" w:name="_Toc179632536"/>
      <w:bookmarkStart w:id="7" w:name="_Toc15204229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bookmarkStart w:id="8" w:name="_Toc296602411"/>
      <w:bookmarkStart w:id="9" w:name="_Toc246996910"/>
      <w:bookmarkStart w:id="10" w:name="_Toc246996167"/>
      <w:bookmarkStart w:id="11" w:name="_Toc152045520"/>
      <w:bookmarkStart w:id="12" w:name="_Toc152042296"/>
      <w:bookmarkStart w:id="13" w:name="_Toc144974488"/>
      <w:bookmarkStart w:id="14" w:name="_Toc179632537"/>
      <w:bookmarkStart w:id="15" w:name="_Toc247085681"/>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4" w:edGrp="everyone"/>
      <w:r>
        <w:rPr>
          <w:rFonts w:hint="eastAsia" w:asciiTheme="minorEastAsia" w:hAnsiTheme="minorEastAsia" w:eastAsiaTheme="minorEastAsia" w:cstheme="minorEastAsia"/>
          <w:sz w:val="28"/>
          <w:szCs w:val="28"/>
          <w:highlight w:val="none"/>
          <w:lang w:val="en-US" w:eastAsia="zh-CN"/>
        </w:rPr>
        <w:t>亳州逸合府一期施工总承包项目脚手架工程专业分包</w:t>
      </w:r>
    </w:p>
    <w:permEnd w:id="4"/>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cstheme="minorEastAsia"/>
          <w:kern w:val="2"/>
          <w:sz w:val="28"/>
          <w:szCs w:val="28"/>
          <w:highlight w:val="none"/>
          <w:lang w:eastAsia="zh-CN"/>
        </w:rPr>
        <w:t>BZJK-2024-034号</w:t>
      </w:r>
      <w:r>
        <w:rPr>
          <w:rFonts w:hint="eastAsia" w:asciiTheme="minorEastAsia" w:hAnsiTheme="minorEastAsia" w:eastAsiaTheme="minorEastAsia" w:cstheme="minorEastAsia"/>
          <w:sz w:val="28"/>
          <w:szCs w:val="28"/>
          <w:highlight w:val="none"/>
          <w:lang w:val="en-US" w:eastAsia="zh-CN"/>
        </w:rPr>
        <w:t xml:space="preserve"> </w:t>
      </w:r>
      <w:permEnd w:id="5"/>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w:t>
      </w:r>
      <w:r>
        <w:rPr>
          <w:rFonts w:hint="eastAsia" w:asciiTheme="minorEastAsia" w:hAnsiTheme="minorEastAsia" w:cstheme="minorEastAsia"/>
          <w:sz w:val="28"/>
          <w:szCs w:val="28"/>
          <w:lang w:val="en-US" w:eastAsia="zh-CN"/>
        </w:rPr>
        <w:t>三</w:t>
      </w:r>
      <w:r>
        <w:rPr>
          <w:rFonts w:hint="eastAsia" w:asciiTheme="minorEastAsia" w:hAnsiTheme="minorEastAsia" w:cstheme="minorEastAsia"/>
          <w:sz w:val="28"/>
          <w:szCs w:val="28"/>
        </w:rPr>
        <w:t>）资金来源：</w:t>
      </w:r>
      <w:permStart w:id="6" w:edGrp="everyone"/>
      <w:r>
        <w:rPr>
          <w:rFonts w:hint="eastAsia" w:asciiTheme="minorEastAsia" w:hAnsiTheme="minorEastAsia" w:cstheme="minorEastAsia"/>
          <w:sz w:val="28"/>
          <w:szCs w:val="28"/>
        </w:rPr>
        <w:t>企业自筹</w:t>
      </w:r>
    </w:p>
    <w:permEnd w:id="6"/>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w:t>
      </w:r>
      <w:r>
        <w:rPr>
          <w:rFonts w:hint="eastAsia" w:asciiTheme="minorEastAsia" w:hAnsiTheme="minorEastAsia" w:cstheme="minorEastAsia"/>
          <w:sz w:val="28"/>
          <w:szCs w:val="28"/>
          <w:lang w:val="en-US" w:eastAsia="zh-CN"/>
        </w:rPr>
        <w:t>四</w:t>
      </w:r>
      <w:r>
        <w:rPr>
          <w:rFonts w:hint="eastAsia" w:asciiTheme="minorEastAsia" w:hAnsiTheme="minorEastAsia" w:cstheme="minorEastAsia"/>
          <w:sz w:val="28"/>
          <w:szCs w:val="28"/>
        </w:rPr>
        <w:t>）招标人：</w:t>
      </w:r>
      <w:permStart w:id="7" w:edGrp="everyone"/>
      <w:r>
        <w:rPr>
          <w:rFonts w:hint="eastAsia" w:asciiTheme="minorEastAsia" w:hAnsiTheme="minorEastAsia" w:cstheme="minorEastAsia"/>
          <w:sz w:val="28"/>
          <w:szCs w:val="28"/>
        </w:rPr>
        <w:t>安徽通康建设工程有限公司</w:t>
      </w:r>
    </w:p>
    <w:permEnd w:id="7"/>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项目已具备招标条件，现对该项目的施工进行公开招标。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亳州逸合府一期施工项目位于亳州市谯城区利辛路北侧、庄周路东侧、和平西路南侧、华佗大道西侧，本项目总建筑面积约180680平方米，总造价约3.94亿元，总用地面积为87944.71㎡（131.92亩），施工内容包含场区内建筑单体29栋，其中：17栋住宅（5栋17层，2栋15层，10栋10层），3栋设备房（地上1层）、6栋商铺、1栋幼儿园以及2栋门房。</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招标范围：本次招标的范围是亳州逸合府一期项目工程总承包合同范围内，包含但不限于工程设计图及变更洽商所要求的的脚手架工程、基坑防护、临边防护、主体结构部分钢管加固模板，采用包工包料方式。具体详见图纸及工程量清单</w:t>
      </w:r>
      <w:r>
        <w:rPr>
          <w:rFonts w:hint="eastAsia" w:asciiTheme="minorEastAsia" w:hAnsiTheme="minorEastAsia" w:cstheme="minorEastAsia"/>
          <w:color w:val="FF0000"/>
          <w:sz w:val="28"/>
          <w:szCs w:val="28"/>
          <w:lang w:eastAsia="zh-CN"/>
        </w:rPr>
        <w:t>（</w:t>
      </w:r>
      <w:r>
        <w:rPr>
          <w:rFonts w:hint="eastAsia" w:asciiTheme="minorEastAsia" w:hAnsiTheme="minorEastAsia" w:cstheme="minorEastAsia"/>
          <w:color w:val="FF0000"/>
          <w:sz w:val="28"/>
          <w:szCs w:val="28"/>
          <w:lang w:val="en-US" w:eastAsia="zh-CN"/>
        </w:rPr>
        <w:t>工作内容详见第七章技术标准和要求）</w:t>
      </w:r>
      <w:r>
        <w:rPr>
          <w:rFonts w:hint="eastAsia" w:asciiTheme="minorEastAsia" w:hAnsiTheme="minorEastAsia" w:eastAsiaTheme="minorEastAsia" w:cstheme="minorEastAsia"/>
          <w:sz w:val="28"/>
          <w:szCs w:val="28"/>
          <w:highlight w:val="none"/>
          <w:lang w:val="en-US" w:eastAsia="zh-CN"/>
        </w:rPr>
        <w:t>。投标单位投标前请认真查阅施工图、并现场勘察了解情况，投标时我方认为投标单位已充分了解工程概况。</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（三）质量标准：</w:t>
      </w:r>
      <w:permStart w:id="8"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r>
        <w:rPr>
          <w:rFonts w:hint="eastAsia" w:asciiTheme="minorEastAsia" w:hAnsiTheme="minorEastAsia" w:cstheme="minorEastAsia"/>
          <w:sz w:val="28"/>
          <w:szCs w:val="28"/>
          <w:highlight w:val="none"/>
          <w:lang w:val="en-US" w:eastAsia="zh-CN"/>
        </w:rPr>
        <w:t>。</w:t>
      </w:r>
      <w:permEnd w:id="8"/>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（四）计划工期：自招标人下达开工指令</w:t>
      </w:r>
      <w:r>
        <w:rPr>
          <w:rFonts w:hint="eastAsia" w:asciiTheme="minorEastAsia" w:hAnsiTheme="minorEastAsia" w:cstheme="minorEastAsia"/>
          <w:sz w:val="28"/>
          <w:szCs w:val="28"/>
          <w:highlight w:val="none"/>
          <w:lang w:val="en-US" w:eastAsia="zh-CN"/>
        </w:rPr>
        <w:t>之日</w:t>
      </w:r>
      <w:r>
        <w:rPr>
          <w:rFonts w:hint="eastAsia" w:asciiTheme="minorEastAsia" w:hAnsiTheme="minorEastAsia" w:eastAsiaTheme="minorEastAsia" w:cstheme="minorEastAsia"/>
          <w:sz w:val="28"/>
          <w:szCs w:val="28"/>
          <w:highlight w:val="none"/>
          <w:lang w:val="en-US" w:eastAsia="zh-CN"/>
        </w:rPr>
        <w:t>起2年。</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（五）最高投标限价</w:t>
      </w:r>
      <w:permStart w:id="9" w:edGrp="everyone"/>
      <w:r>
        <w:rPr>
          <w:rFonts w:hint="eastAsia" w:asciiTheme="minorEastAsia" w:hAnsiTheme="minorEastAsia" w:eastAsiaTheme="minorEastAsia" w:cstheme="minorEastAsia"/>
          <w:sz w:val="28"/>
          <w:szCs w:val="28"/>
          <w:lang w:val="en-US" w:eastAsia="zh-CN"/>
        </w:rPr>
        <w:t>（含税：</w:t>
      </w:r>
      <w:r>
        <w:rPr>
          <w:rFonts w:hint="eastAsia" w:asciiTheme="minorEastAsia" w:hAnsiTheme="minorEastAsia" w:eastAsiaTheme="minorEastAsia" w:cstheme="minorEastAsia"/>
          <w:sz w:val="28"/>
          <w:szCs w:val="28"/>
          <w:u w:val="single"/>
          <w:lang w:val="en-US" w:eastAsia="zh-CN"/>
        </w:rPr>
        <w:t>9%</w:t>
      </w:r>
      <w:r>
        <w:rPr>
          <w:rFonts w:hint="eastAsia" w:asciiTheme="minorEastAsia" w:hAnsiTheme="minorEastAsia" w:eastAsiaTheme="minorEastAsia" w:cstheme="minorEastAsia"/>
          <w:sz w:val="28"/>
          <w:szCs w:val="28"/>
          <w:lang w:val="en-US" w:eastAsia="zh-CN"/>
        </w:rPr>
        <w:t>）</w:t>
      </w:r>
      <w:permEnd w:id="9"/>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u w:val="single"/>
          <w:lang w:val="en-US" w:eastAsia="zh-CN"/>
        </w:rPr>
        <w:t>63元/</w:t>
      </w:r>
      <w:r>
        <w:rPr>
          <w:rFonts w:hint="eastAsia" w:asciiTheme="minorEastAsia" w:hAnsiTheme="minorEastAsia" w:cstheme="minorEastAsia"/>
          <w:sz w:val="28"/>
          <w:szCs w:val="28"/>
          <w:highlight w:val="none"/>
          <w:u w:val="single"/>
          <w:lang w:val="en-US" w:eastAsia="zh-CN"/>
        </w:rPr>
        <w:t>m</w:t>
      </w:r>
      <w:r>
        <w:rPr>
          <w:rFonts w:hint="eastAsia" w:asciiTheme="minorEastAsia" w:hAnsiTheme="minorEastAsia" w:cstheme="minorEastAsia"/>
          <w:sz w:val="28"/>
          <w:szCs w:val="28"/>
          <w:highlight w:val="none"/>
          <w:u w:val="single"/>
          <w:vertAlign w:val="superscript"/>
          <w:lang w:val="en-US" w:eastAsia="zh-CN"/>
        </w:rPr>
        <w:t>2</w:t>
      </w:r>
      <w:r>
        <w:rPr>
          <w:rFonts w:hint="eastAsia" w:asciiTheme="minorEastAsia" w:hAnsiTheme="minorEastAsia" w:cstheme="minorEastAsia"/>
          <w:sz w:val="28"/>
          <w:szCs w:val="28"/>
          <w:highlight w:val="none"/>
          <w:lang w:val="en-US" w:eastAsia="zh-CN"/>
        </w:rPr>
        <w:t>，暂定建筑面积</w:t>
      </w:r>
      <w:r>
        <w:rPr>
          <w:rFonts w:hint="eastAsia" w:asciiTheme="minorEastAsia" w:hAnsiTheme="minorEastAsia" w:cstheme="minorEastAsia"/>
          <w:sz w:val="28"/>
          <w:szCs w:val="28"/>
          <w:highlight w:val="none"/>
          <w:u w:val="single"/>
          <w:lang w:val="en-US" w:eastAsia="zh-CN"/>
        </w:rPr>
        <w:t>180700m</w:t>
      </w:r>
      <w:r>
        <w:rPr>
          <w:rFonts w:hint="eastAsia" w:asciiTheme="minorEastAsia" w:hAnsiTheme="minorEastAsia" w:cstheme="minorEastAsia"/>
          <w:sz w:val="28"/>
          <w:szCs w:val="28"/>
          <w:highlight w:val="none"/>
          <w:u w:val="single"/>
          <w:vertAlign w:val="superscript"/>
          <w:lang w:val="en-US" w:eastAsia="zh-CN"/>
        </w:rPr>
        <w:t>2</w:t>
      </w:r>
      <w:r>
        <w:rPr>
          <w:rFonts w:hint="eastAsia" w:asciiTheme="minorEastAsia" w:hAnsiTheme="minorEastAsia" w:cstheme="minorEastAsia"/>
          <w:sz w:val="28"/>
          <w:szCs w:val="28"/>
          <w:highlight w:val="none"/>
          <w:lang w:val="en-US" w:eastAsia="zh-CN"/>
        </w:rPr>
        <w:t>，具体建筑面积以图审合格证为准,</w:t>
      </w:r>
      <w:r>
        <w:rPr>
          <w:rFonts w:hint="eastAsia" w:asciiTheme="minorEastAsia" w:hAnsiTheme="minorEastAsia" w:eastAsiaTheme="minorEastAsia" w:cstheme="minorEastAsia"/>
          <w:sz w:val="28"/>
          <w:szCs w:val="28"/>
          <w:highlight w:val="none"/>
          <w:lang w:val="en-US" w:eastAsia="zh-CN"/>
        </w:rPr>
        <w:t>按</w:t>
      </w:r>
      <w:permStart w:id="10" w:edGrp="everyone"/>
      <w:r>
        <w:rPr>
          <w:rFonts w:hint="eastAsia" w:asciiTheme="minorEastAsia" w:hAnsiTheme="minorEastAsia" w:cstheme="minorEastAsia"/>
          <w:color w:val="FF0000"/>
          <w:sz w:val="28"/>
          <w:szCs w:val="28"/>
          <w:highlight w:val="none"/>
          <w:u w:val="single"/>
          <w:lang w:val="en-US" w:eastAsia="zh-CN"/>
        </w:rPr>
        <w:t>固定单价</w:t>
      </w:r>
      <w:permEnd w:id="10"/>
      <w:r>
        <w:rPr>
          <w:rFonts w:hint="eastAsia" w:asciiTheme="minorEastAsia" w:hAnsiTheme="minorEastAsia" w:eastAsiaTheme="minorEastAsia" w:cstheme="minorEastAsia"/>
          <w:sz w:val="28"/>
          <w:szCs w:val="28"/>
          <w:highlight w:val="none"/>
          <w:lang w:val="en-US" w:eastAsia="zh-CN"/>
        </w:rPr>
        <w:t>报价。投标报价超出限价或低于成本价的，按无效投标处理；投标报价应包括为完成本项目招标范围内各阶段工作内容所需的全部费用</w:t>
      </w:r>
      <w:r>
        <w:rPr>
          <w:rFonts w:hint="eastAsia" w:asciiTheme="minorEastAsia" w:hAnsiTheme="minorEastAsia" w:cstheme="minorEastAsia"/>
          <w:sz w:val="28"/>
          <w:szCs w:val="28"/>
          <w:highlight w:val="none"/>
          <w:lang w:val="en-US" w:eastAsia="zh-CN"/>
        </w:rPr>
        <w:t>，中标后不予调整，其他未尽事宜应统一考虑在报价内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1" w:edGrp="everyone"/>
      <w:r>
        <w:rPr>
          <w:rFonts w:hint="eastAsia" w:asciiTheme="minorEastAsia" w:hAnsiTheme="minorEastAsia" w:eastAsiaTheme="minorEastAsia" w:cstheme="minorEastAsia"/>
          <w:color w:val="FF0000"/>
          <w:sz w:val="28"/>
          <w:szCs w:val="28"/>
          <w:highlight w:val="none"/>
          <w:lang w:val="en-US" w:eastAsia="zh-CN"/>
        </w:rPr>
        <w:t>独立法人资格</w:t>
      </w:r>
      <w:permEnd w:id="11"/>
      <w:r>
        <w:rPr>
          <w:rFonts w:hint="eastAsia" w:asciiTheme="minorEastAsia" w:hAnsiTheme="minorEastAsia" w:eastAsiaTheme="minorEastAsia" w:cstheme="minorEastAsia"/>
          <w:sz w:val="28"/>
          <w:szCs w:val="28"/>
          <w:highlight w:val="none"/>
          <w:lang w:val="en-US" w:eastAsia="zh-CN"/>
        </w:rPr>
        <w:t>，并在人员、设备、资金等方面具有承担本工程施工的能力；</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（二）具有</w:t>
      </w:r>
      <w:permStart w:id="12" w:edGrp="everyone"/>
      <w:r>
        <w:rPr>
          <w:rFonts w:hint="eastAsia" w:asciiTheme="minorEastAsia" w:hAnsiTheme="minorEastAsia" w:cstheme="minorEastAsia"/>
          <w:sz w:val="28"/>
          <w:szCs w:val="28"/>
          <w:highlight w:val="none"/>
          <w:lang w:val="en-US" w:eastAsia="zh-CN"/>
        </w:rPr>
        <w:t>有效的模板脚手架专业承包资质和安全生产许可证</w:t>
      </w:r>
      <w:permEnd w:id="12"/>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宋体" w:hAnsi="宋体" w:eastAsia="宋体" w:cs="宋体"/>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负责人</w:t>
      </w:r>
      <w:r>
        <w:rPr>
          <w:rFonts w:hint="eastAsia" w:asciiTheme="minorEastAsia" w:hAnsiTheme="minorEastAsia" w:eastAsiaTheme="minorEastAsia" w:cstheme="minorEastAsia"/>
          <w:sz w:val="28"/>
          <w:szCs w:val="28"/>
          <w:highlight w:val="none"/>
          <w:lang w:val="en-US" w:eastAsia="zh-CN"/>
        </w:rPr>
        <w:t>具备</w:t>
      </w:r>
      <w:permStart w:id="13" w:edGrp="everyone"/>
      <w:r>
        <w:rPr>
          <w:rFonts w:hint="eastAsia" w:ascii="宋体" w:hAnsi="宋体" w:eastAsia="宋体" w:cs="宋体"/>
          <w:sz w:val="28"/>
          <w:szCs w:val="28"/>
          <w:highlight w:val="none"/>
          <w:lang w:val="en-US" w:eastAsia="zh-CN"/>
        </w:rPr>
        <w:t>建筑工程专业二级建造师及以上执业资格。</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注：项目负责人应附身份证、执业资格证、</w:t>
      </w:r>
      <w:r>
        <w:rPr>
          <w:rFonts w:hint="eastAsia" w:ascii="宋体" w:hAnsi="宋体" w:cs="宋体"/>
          <w:sz w:val="28"/>
          <w:szCs w:val="28"/>
          <w:highlight w:val="none"/>
          <w:lang w:val="en-US" w:eastAsia="zh-CN"/>
        </w:rPr>
        <w:t>有效的安全考核B证及</w:t>
      </w:r>
      <w:r>
        <w:rPr>
          <w:rFonts w:hint="eastAsia" w:ascii="宋体" w:hAnsi="宋体" w:eastAsia="宋体" w:cs="宋体"/>
          <w:sz w:val="28"/>
          <w:szCs w:val="28"/>
          <w:highlight w:val="none"/>
          <w:lang w:val="en-US" w:eastAsia="zh-CN"/>
        </w:rPr>
        <w:t>缴纳养老保险的复印件。养老保险须提供</w:t>
      </w:r>
      <w:r>
        <w:rPr>
          <w:rFonts w:hint="eastAsia" w:ascii="宋体" w:hAnsi="宋体" w:eastAsia="宋体" w:cs="宋体"/>
          <w:sz w:val="28"/>
          <w:szCs w:val="28"/>
          <w:highlight w:val="none"/>
          <w:u w:val="single"/>
          <w:lang w:val="en-US" w:eastAsia="zh-CN"/>
        </w:rPr>
        <w:t>2023</w:t>
      </w:r>
      <w:r>
        <w:rPr>
          <w:rFonts w:hint="eastAsia" w:ascii="宋体" w:hAnsi="宋体" w:eastAsia="宋体" w:cs="宋体"/>
          <w:sz w:val="28"/>
          <w:szCs w:val="28"/>
          <w:highlight w:val="none"/>
          <w:lang w:val="en-US" w:eastAsia="zh-CN"/>
        </w:rPr>
        <w:t>年</w:t>
      </w:r>
      <w:r>
        <w:rPr>
          <w:rFonts w:hint="eastAsia" w:ascii="宋体" w:hAnsi="宋体" w:eastAsia="宋体" w:cs="宋体"/>
          <w:sz w:val="28"/>
          <w:szCs w:val="28"/>
          <w:highlight w:val="none"/>
          <w:u w:val="single"/>
          <w:lang w:val="en-US" w:eastAsia="zh-CN"/>
        </w:rPr>
        <w:t>6</w:t>
      </w:r>
      <w:r>
        <w:rPr>
          <w:rFonts w:hint="eastAsia" w:ascii="宋体" w:hAnsi="宋体" w:eastAsia="宋体" w:cs="宋体"/>
          <w:sz w:val="28"/>
          <w:szCs w:val="28"/>
          <w:highlight w:val="none"/>
          <w:lang w:val="en-US" w:eastAsia="zh-CN"/>
        </w:rPr>
        <w:t>月以来在投标单位已缴纳的任意</w:t>
      </w:r>
      <w:r>
        <w:rPr>
          <w:rFonts w:hint="eastAsia" w:ascii="宋体" w:hAnsi="宋体" w:eastAsia="宋体" w:cs="宋体"/>
          <w:sz w:val="28"/>
          <w:szCs w:val="28"/>
          <w:highlight w:val="none"/>
          <w:u w:val="single"/>
          <w:lang w:val="en-US" w:eastAsia="zh-CN"/>
        </w:rPr>
        <w:t>3</w:t>
      </w:r>
      <w:r>
        <w:rPr>
          <w:rFonts w:hint="eastAsia" w:ascii="宋体" w:hAnsi="宋体" w:eastAsia="宋体" w:cs="宋体"/>
          <w:sz w:val="28"/>
          <w:szCs w:val="28"/>
          <w:highlight w:val="none"/>
          <w:lang w:val="en-US" w:eastAsia="zh-CN"/>
        </w:rPr>
        <w:t>个月的养老保险证明（指养老保险管理单位出具的养老保险证明，加盖养老保险管理单位的公章或电子章；投标时将原件、复印件或扫描件制作在投标文件中）。</w:t>
      </w:r>
    </w:p>
    <w:permEnd w:id="13"/>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）提供</w:t>
      </w:r>
      <w:r>
        <w:rPr>
          <w:rFonts w:hint="eastAsia" w:asciiTheme="minorEastAsia" w:hAnsiTheme="minorEastAsia" w:eastAsiaTheme="minorEastAsia" w:cstheme="minorEastAsia"/>
          <w:sz w:val="28"/>
          <w:szCs w:val="28"/>
          <w:highlight w:val="none"/>
          <w:u w:val="single"/>
          <w:lang w:val="en-US" w:eastAsia="zh-CN"/>
        </w:rPr>
        <w:t>202</w:t>
      </w:r>
      <w:r>
        <w:rPr>
          <w:rFonts w:hint="eastAsia" w:asciiTheme="minorEastAsia" w:hAnsiTheme="minorEastAsia" w:cstheme="minorEastAsia"/>
          <w:sz w:val="28"/>
          <w:szCs w:val="28"/>
          <w:highlight w:val="none"/>
          <w:u w:val="single"/>
          <w:lang w:val="en-US" w:eastAsia="zh-CN"/>
        </w:rPr>
        <w:t>1</w:t>
      </w:r>
      <w:r>
        <w:rPr>
          <w:rFonts w:hint="eastAsia" w:asciiTheme="minorEastAsia" w:hAnsiTheme="minorEastAsia" w:cstheme="minorEastAsia"/>
          <w:sz w:val="28"/>
          <w:szCs w:val="28"/>
          <w:highlight w:val="none"/>
          <w:u w:val="none"/>
          <w:lang w:val="en-US" w:eastAsia="zh-CN"/>
        </w:rPr>
        <w:t>年</w:t>
      </w:r>
      <w:r>
        <w:rPr>
          <w:rFonts w:hint="eastAsia" w:asciiTheme="minorEastAsia" w:hAnsiTheme="minorEastAsia" w:eastAsiaTheme="minorEastAsia" w:cstheme="minorEastAsia"/>
          <w:sz w:val="28"/>
          <w:szCs w:val="28"/>
          <w:highlight w:val="none"/>
          <w:lang w:val="en-US" w:eastAsia="zh-CN"/>
        </w:rPr>
        <w:t>至今企业类似项目业绩</w:t>
      </w:r>
      <w:r>
        <w:rPr>
          <w:rFonts w:hint="eastAsia" w:asciiTheme="minorEastAsia" w:hAnsiTheme="minorEastAsia" w:cstheme="minorEastAsia"/>
          <w:sz w:val="28"/>
          <w:szCs w:val="28"/>
          <w:highlight w:val="none"/>
          <w:u w:val="single"/>
          <w:lang w:val="en-US" w:eastAsia="zh-CN"/>
        </w:rPr>
        <w:t>1</w:t>
      </w:r>
      <w:r>
        <w:rPr>
          <w:rFonts w:hint="eastAsia" w:asciiTheme="minorEastAsia" w:hAnsiTheme="minorEastAsia" w:eastAsiaTheme="minorEastAsia" w:cstheme="minorEastAsia"/>
          <w:sz w:val="28"/>
          <w:szCs w:val="28"/>
          <w:highlight w:val="none"/>
          <w:lang w:val="en-US" w:eastAsia="zh-CN"/>
        </w:rPr>
        <w:t>个，以合同签订时间为准。类似项目业绩指：</w:t>
      </w:r>
      <w:r>
        <w:rPr>
          <w:rFonts w:hint="eastAsia" w:asciiTheme="minorEastAsia" w:hAnsiTheme="minorEastAsia" w:eastAsiaTheme="minorEastAsia" w:cstheme="minorEastAsia"/>
          <w:sz w:val="28"/>
          <w:szCs w:val="28"/>
          <w:highlight w:val="none"/>
          <w:u w:val="single"/>
          <w:lang w:val="en-US" w:eastAsia="zh-CN"/>
        </w:rPr>
        <w:t>单项合同金额不低于</w:t>
      </w:r>
      <w:r>
        <w:rPr>
          <w:rFonts w:hint="eastAsia" w:asciiTheme="minorEastAsia" w:hAnsiTheme="minorEastAsia" w:cstheme="minorEastAsia"/>
          <w:sz w:val="28"/>
          <w:szCs w:val="28"/>
          <w:highlight w:val="none"/>
          <w:u w:val="single"/>
          <w:lang w:val="en-US" w:eastAsia="zh-CN"/>
        </w:rPr>
        <w:t>10</w:t>
      </w:r>
      <w:r>
        <w:rPr>
          <w:rFonts w:hint="eastAsia" w:asciiTheme="minorEastAsia" w:hAnsiTheme="minorEastAsia" w:eastAsiaTheme="minorEastAsia" w:cstheme="minorEastAsia"/>
          <w:sz w:val="28"/>
          <w:szCs w:val="28"/>
          <w:highlight w:val="none"/>
          <w:u w:val="single"/>
          <w:lang w:val="en-US" w:eastAsia="zh-CN"/>
        </w:rPr>
        <w:t>00万元的脚手架专业承包业绩</w:t>
      </w:r>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注：</w:t>
      </w:r>
      <w:permStart w:id="14" w:edGrp="everyone"/>
      <w:r>
        <w:rPr>
          <w:rFonts w:hint="eastAsia" w:ascii="宋体" w:hAnsi="宋体" w:eastAsia="宋体" w:cs="宋体"/>
          <w:sz w:val="28"/>
          <w:szCs w:val="28"/>
          <w:highlight w:val="none"/>
          <w:lang w:val="en-US" w:eastAsia="zh-CN"/>
        </w:rPr>
        <w:t>提供业绩合同、合同任意节点税务发票（开票日期不得晚于招标公告发布日期）和竣工验收文件（在建项目可不提供）等复印件或扫描件加盖单位公章装订入投标文件中</w:t>
      </w:r>
      <w:permEnd w:id="14"/>
      <w:r>
        <w:rPr>
          <w:rFonts w:hint="eastAsia" w:ascii="宋体" w:hAnsi="宋体" w:eastAsia="宋体" w:cs="宋体"/>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投标人（含分公司，不含子公司）存在以下不良信用记录情形之一的，不得推荐为中标候选人，不得确定为中标人。</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（1）投标人被人民法院列入失信被执行人的；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（2）投标人被市场监督管理部门列入企业经营异常名录的；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（3）投标人被税务部门列入重大税收违法案件当事人名单的；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（六）</w:t>
      </w:r>
      <w:r>
        <w:rPr>
          <w:rFonts w:hint="eastAsia" w:asciiTheme="minorEastAsia" w:hAnsiTheme="minorEastAsia" w:eastAsiaTheme="minorEastAsia" w:cstheme="minorEastAsia"/>
          <w:sz w:val="28"/>
          <w:szCs w:val="28"/>
          <w:highlight w:val="none"/>
          <w:lang w:val="en-US" w:eastAsia="zh-CN"/>
        </w:rPr>
        <w:t>投标人如在以往承接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项目过程中被记入“黑名单”，不得参加本次招标投标活动；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七</w:t>
      </w:r>
      <w:r>
        <w:rPr>
          <w:rFonts w:hint="eastAsia" w:asciiTheme="minorEastAsia" w:hAnsiTheme="minorEastAsia" w:eastAsiaTheme="minorEastAsia" w:cstheme="minorEastAsia"/>
          <w:sz w:val="28"/>
          <w:szCs w:val="28"/>
          <w:highlight w:val="none"/>
          <w:lang w:val="en-US" w:eastAsia="zh-CN"/>
        </w:rPr>
        <w:t>）本次招标</w:t>
      </w:r>
      <w:permStart w:id="15" w:edGrp="everyone"/>
      <w:r>
        <w:rPr>
          <w:rFonts w:hint="eastAsia" w:asciiTheme="minorEastAsia" w:hAnsiTheme="minorEastAsia" w:eastAsiaTheme="minorEastAsia" w:cstheme="minorEastAsia"/>
          <w:color w:val="FF0000"/>
          <w:sz w:val="28"/>
          <w:szCs w:val="28"/>
          <w:highlight w:val="none"/>
          <w:lang w:val="en-US" w:eastAsia="zh-CN"/>
        </w:rPr>
        <w:t>不接受</w:t>
      </w:r>
      <w:permEnd w:id="15"/>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。联合体投标的，应满足下列要求：</w:t>
      </w:r>
      <w:permStart w:id="16" w:edGrp="everyone"/>
      <w:r>
        <w:rPr>
          <w:rFonts w:hint="eastAsia" w:asciiTheme="minorEastAsia" w:hAnsiTheme="minorEastAsia" w:cstheme="minorEastAsia"/>
          <w:sz w:val="28"/>
          <w:szCs w:val="28"/>
          <w:highlight w:val="none"/>
          <w:u w:val="single"/>
          <w:lang w:val="en-US" w:eastAsia="zh-CN"/>
        </w:rPr>
        <w:t xml:space="preserve">   /   </w:t>
      </w:r>
      <w:permEnd w:id="16"/>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八</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）本项目委托代理人必须是投标单位正式人员，须提供投标单位公司为其缴纳的</w:t>
      </w:r>
      <w:permStart w:id="17" w:edGrp="everyone"/>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2023</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u w:val="single"/>
          <w:lang w:val="en-US" w:eastAsia="zh-CN"/>
        </w:rPr>
        <w:t>6</w:t>
      </w:r>
      <w:r>
        <w:rPr>
          <w:rFonts w:hint="eastAsia" w:asciiTheme="minorEastAsia" w:hAnsiTheme="minorEastAsia" w:eastAsiaTheme="minorEastAsia" w:cstheme="minorEastAsia"/>
          <w:color w:val="FF0000"/>
          <w:sz w:val="28"/>
          <w:szCs w:val="28"/>
          <w:highlight w:val="none"/>
          <w:lang w:val="en-US" w:eastAsia="zh-CN"/>
        </w:rPr>
        <w:t>月</w:t>
      </w:r>
      <w:permEnd w:id="17"/>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起任意</w:t>
      </w:r>
      <w:r>
        <w:rPr>
          <w:rFonts w:hint="eastAsia" w:asciiTheme="minorEastAsia" w:hAnsiTheme="minorEastAsia" w:eastAsiaTheme="minorEastAsia" w:cstheme="minorEastAsia"/>
          <w:color w:val="000000" w:themeColor="text1"/>
          <w:sz w:val="28"/>
          <w:szCs w:val="28"/>
          <w:highlight w:val="none"/>
          <w:u w:val="single"/>
          <w:lang w:val="en-US" w:eastAsia="zh-CN"/>
          <w14:textFill>
            <w14:solidFill>
              <w14:schemeClr w14:val="tx1"/>
            </w14:solidFill>
          </w14:textFill>
        </w:rPr>
        <w:t>3</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个月及以上养老保险证明，否则按无效投标处理。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投标者，请于投标文件递交截止时间前到亳州交通投资控股集团有限公司官网（www.bzjkjt.com）、安徽省招标投标信息网（www.ahtba.org.cn）或优质采云采购平台（www.youzhicai.com）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permStart w:id="18" w:edGrp="everyone"/>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2024</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5</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8</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18"/>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开标</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室（药都大道与希夷大道交叉口东北角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19" w:edGrp="everyone"/>
      <w:r>
        <w:rPr>
          <w:rFonts w:hint="eastAsia" w:asciiTheme="minorEastAsia" w:hAnsiTheme="minorEastAsia" w:cstheme="minorEastAsia"/>
          <w:color w:val="FF0000"/>
          <w:sz w:val="28"/>
          <w:szCs w:val="28"/>
          <w:highlight w:val="none"/>
          <w:lang w:val="en-US" w:eastAsia="zh-CN"/>
        </w:rPr>
        <w:t>不允许</w:t>
      </w:r>
      <w:permEnd w:id="19"/>
      <w:r>
        <w:rPr>
          <w:rFonts w:hint="default" w:asciiTheme="minorEastAsia" w:hAnsiTheme="minorEastAsia" w:eastAsiaTheme="minorEastAsia" w:cstheme="minorEastAsia"/>
          <w:sz w:val="28"/>
          <w:szCs w:val="28"/>
          <w:highlight w:val="none"/>
          <w:lang w:val="en-US" w:eastAsia="zh-CN"/>
        </w:rPr>
        <w:t>投标人以邮寄方式递交投标文件。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permStart w:id="20" w:edGrp="everyone"/>
      <w:r>
        <w:rPr>
          <w:rFonts w:hint="eastAsia" w:asciiTheme="minorEastAsia" w:hAnsiTheme="minorEastAsia" w:cstheme="minorEastAsia"/>
          <w:sz w:val="28"/>
          <w:szCs w:val="28"/>
          <w:highlight w:val="none"/>
          <w:u w:val="single"/>
          <w:lang w:val="en-US" w:eastAsia="zh-CN"/>
        </w:rPr>
        <w:t>200000元</w:t>
      </w:r>
      <w:r>
        <w:rPr>
          <w:rFonts w:hint="default" w:asciiTheme="minorEastAsia" w:hAnsiTheme="minorEastAsia" w:eastAsiaTheme="minorEastAsia" w:cstheme="minorEastAsia"/>
          <w:sz w:val="28"/>
          <w:szCs w:val="28"/>
          <w:highlight w:val="none"/>
          <w:lang w:val="en-US" w:eastAsia="zh-CN"/>
        </w:rPr>
        <w:t>（人民币）</w:t>
      </w:r>
      <w:permEnd w:id="20"/>
      <w:r>
        <w:rPr>
          <w:rFonts w:hint="default" w:asciiTheme="minorEastAsia" w:hAnsiTheme="minorEastAsia" w:eastAsiaTheme="minorEastAsia" w:cstheme="minorEastAsia"/>
          <w:sz w:val="28"/>
          <w:szCs w:val="28"/>
          <w:highlight w:val="none"/>
          <w:lang w:val="en-US" w:eastAsia="zh-CN"/>
        </w:rPr>
        <w:t>，缴纳方式详见招标文件。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招</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标</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1" w:edGrp="everyone"/>
      <w:r>
        <w:rPr>
          <w:rFonts w:hint="default" w:asciiTheme="minorEastAsia" w:hAnsiTheme="minorEastAsia" w:eastAsiaTheme="minorEastAsia" w:cstheme="minorEastAsia"/>
          <w:sz w:val="28"/>
          <w:szCs w:val="28"/>
          <w:highlight w:val="none"/>
          <w:lang w:val="en-US" w:eastAsia="zh-CN"/>
        </w:rPr>
        <w:t>安徽通康建设工程有限公司</w:t>
      </w:r>
    </w:p>
    <w:permEnd w:id="21"/>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permStart w:id="22" w:edGrp="everyone"/>
      <w:r>
        <w:rPr>
          <w:rFonts w:hint="default" w:asciiTheme="minorEastAsia" w:hAnsiTheme="minorEastAsia" w:eastAsiaTheme="minorEastAsia" w:cstheme="minorEastAsia"/>
          <w:sz w:val="28"/>
          <w:szCs w:val="28"/>
          <w:highlight w:val="none"/>
          <w:lang w:val="en-US" w:eastAsia="zh-CN"/>
        </w:rPr>
        <w:t>安徽省亳州市谯城区S309收费站</w:t>
      </w:r>
      <w:r>
        <w:rPr>
          <w:rFonts w:hint="eastAsia" w:asciiTheme="minorEastAsia" w:hAnsiTheme="minorEastAsia" w:cstheme="minorEastAsia"/>
          <w:sz w:val="28"/>
          <w:szCs w:val="28"/>
          <w:highlight w:val="none"/>
          <w:lang w:val="en-US" w:eastAsia="zh-CN"/>
        </w:rPr>
        <w:t xml:space="preserve">二楼法务部 </w:t>
      </w:r>
      <w:permEnd w:id="22"/>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3" w:edGrp="everyone"/>
      <w:r>
        <w:rPr>
          <w:rFonts w:hint="eastAsia" w:asciiTheme="minorEastAsia" w:hAnsiTheme="minorEastAsia" w:cstheme="minorEastAsia"/>
          <w:sz w:val="28"/>
          <w:szCs w:val="28"/>
          <w:highlight w:val="none"/>
          <w:lang w:val="en-US" w:eastAsia="zh-CN"/>
        </w:rPr>
        <w:t xml:space="preserve">李经理  </w:t>
      </w:r>
      <w:permEnd w:id="23"/>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24" w:edGrp="everyone"/>
      <w:r>
        <w:rPr>
          <w:rFonts w:hint="eastAsia" w:asciiTheme="minorEastAsia" w:hAnsiTheme="minorEastAsia" w:cstheme="minorEastAsia"/>
          <w:sz w:val="28"/>
          <w:szCs w:val="28"/>
          <w:highlight w:val="none"/>
          <w:lang w:val="en-US" w:eastAsia="zh-CN"/>
        </w:rPr>
        <w:t xml:space="preserve">15955497321  </w:t>
      </w:r>
      <w:permEnd w:id="24"/>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pPr>
        <w:wordWrap w:val="0"/>
        <w:spacing w:line="480" w:lineRule="exact"/>
        <w:ind w:firstLine="560" w:firstLineChars="200"/>
        <w:jc w:val="right"/>
        <w:rPr>
          <w:rFonts w:asciiTheme="minorEastAsia" w:hAnsiTheme="minorEastAsia" w:cstheme="minorEastAsia"/>
          <w:color w:val="FF0000"/>
          <w:sz w:val="28"/>
          <w:szCs w:val="28"/>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rPr>
        <w:t>安徽通康建设工程有限公司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cstheme="minorEastAsia"/>
          <w:sz w:val="28"/>
          <w:szCs w:val="28"/>
        </w:rPr>
        <w:t>202</w:t>
      </w:r>
      <w:r>
        <w:rPr>
          <w:rFonts w:hint="eastAsia" w:asciiTheme="minorEastAsia" w:hAnsiTheme="minorEastAsia" w:cstheme="minorEastAsia"/>
          <w:sz w:val="28"/>
          <w:szCs w:val="28"/>
          <w:lang w:val="en-US" w:eastAsia="zh-CN"/>
        </w:rPr>
        <w:t>4</w:t>
      </w:r>
      <w:r>
        <w:rPr>
          <w:rFonts w:hint="eastAsia" w:asciiTheme="minorEastAsia" w:hAnsiTheme="minorEastAsia" w:cstheme="minorEastAsia"/>
          <w:sz w:val="28"/>
          <w:szCs w:val="28"/>
        </w:rPr>
        <w:t>年</w:t>
      </w:r>
      <w:r>
        <w:rPr>
          <w:rFonts w:hint="eastAsia" w:asciiTheme="minorEastAsia" w:hAnsiTheme="minorEastAsia" w:cstheme="minorEastAsia"/>
          <w:sz w:val="28"/>
          <w:szCs w:val="28"/>
          <w:lang w:val="en-US" w:eastAsia="zh-CN"/>
        </w:rPr>
        <w:t>4</w:t>
      </w:r>
      <w:r>
        <w:rPr>
          <w:rFonts w:hint="eastAsia" w:asciiTheme="minorEastAsia" w:hAnsiTheme="minorEastAsia" w:cstheme="minorEastAsia"/>
          <w:sz w:val="28"/>
          <w:szCs w:val="28"/>
        </w:rPr>
        <w:t>月</w:t>
      </w:r>
      <w:r>
        <w:rPr>
          <w:rFonts w:hint="eastAsia" w:asciiTheme="minorEastAsia" w:hAnsiTheme="minorEastAsia" w:cstheme="minorEastAsia"/>
          <w:sz w:val="28"/>
          <w:szCs w:val="28"/>
          <w:lang w:val="en-US" w:eastAsia="zh-CN"/>
        </w:rPr>
        <w:t xml:space="preserve"> 26 </w:t>
      </w:r>
      <w:r>
        <w:rPr>
          <w:rFonts w:hint="eastAsia" w:asciiTheme="minorEastAsia" w:hAnsiTheme="minorEastAsia" w:cstheme="minorEastAsia"/>
          <w:sz w:val="28"/>
          <w:szCs w:val="28"/>
        </w:rPr>
        <w:t>日</w:t>
      </w: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tbl>
      <w:tblPr>
        <w:tblStyle w:val="15"/>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695"/>
        <w:gridCol w:w="481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1.1.5</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建设</w:t>
            </w:r>
            <w:r>
              <w:rPr>
                <w:rFonts w:hint="default" w:ascii="Times New Roman" w:hAnsi="Times New Roman" w:cs="Times New Roman"/>
                <w:szCs w:val="21"/>
                <w:highlight w:val="none"/>
              </w:rPr>
              <w:t>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计划工期</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napToGrid w:val="0"/>
              <w:spacing w:line="440" w:lineRule="exact"/>
              <w:jc w:val="left"/>
              <w:rPr>
                <w:rFonts w:hint="eastAsia" w:ascii="宋体" w:hAnsi="宋体" w:cs="宋体"/>
                <w:szCs w:val="21"/>
              </w:rPr>
            </w:pPr>
            <w:r>
              <w:rPr>
                <w:rFonts w:hint="eastAsia"/>
                <w:szCs w:val="21"/>
              </w:rPr>
              <w:t>1、投标人资格要求：详见招标公告。</w:t>
            </w:r>
          </w:p>
          <w:p>
            <w:pPr>
              <w:autoSpaceDE w:val="0"/>
              <w:autoSpaceDN w:val="0"/>
              <w:adjustRightInd w:val="0"/>
              <w:snapToGrid w:val="0"/>
              <w:spacing w:line="440" w:lineRule="exact"/>
              <w:jc w:val="left"/>
              <w:rPr>
                <w:rFonts w:hint="eastAsia" w:hAnsi="宋体" w:eastAsiaTheme="minorEastAsia"/>
                <w:color w:val="FF0000"/>
                <w:szCs w:val="21"/>
                <w:lang w:val="en-US" w:eastAsia="zh-CN"/>
              </w:rPr>
            </w:pPr>
            <w:permStart w:id="25" w:edGrp="everyone"/>
            <w:r>
              <w:rPr>
                <w:rFonts w:hint="eastAsia" w:hAnsi="宋体"/>
                <w:color w:val="FF0000"/>
                <w:szCs w:val="21"/>
                <w:lang w:val="en-US" w:eastAsia="zh-CN"/>
              </w:rPr>
              <w:t>2</w:t>
            </w:r>
            <w:r>
              <w:rPr>
                <w:rFonts w:hint="eastAsia" w:hAnsi="宋体"/>
                <w:color w:val="FF0000"/>
                <w:szCs w:val="21"/>
              </w:rPr>
              <w:t>、财务要求：</w:t>
            </w:r>
            <w:r>
              <w:rPr>
                <w:rFonts w:hint="eastAsia" w:hAnsi="宋体"/>
                <w:color w:val="FF0000"/>
                <w:szCs w:val="21"/>
                <w:lang w:val="en-US" w:eastAsia="zh-CN"/>
              </w:rPr>
              <w:t>/</w:t>
            </w:r>
          </w:p>
          <w:p>
            <w:pPr>
              <w:autoSpaceDE w:val="0"/>
              <w:autoSpaceDN w:val="0"/>
              <w:adjustRightInd w:val="0"/>
              <w:snapToGrid w:val="0"/>
              <w:spacing w:line="440" w:lineRule="exact"/>
              <w:ind w:firstLine="308" w:firstLineChars="147"/>
              <w:jc w:val="left"/>
              <w:rPr>
                <w:rFonts w:hint="eastAsia" w:hAnsi="宋体" w:eastAsiaTheme="minorEastAsia"/>
                <w:color w:val="FF0000"/>
                <w:szCs w:val="21"/>
                <w:lang w:eastAsia="zh-CN"/>
              </w:rPr>
            </w:pPr>
            <w:r>
              <w:rPr>
                <w:rFonts w:hint="eastAsia" w:hAnsi="宋体"/>
                <w:color w:val="FF0000"/>
                <w:szCs w:val="21"/>
              </w:rPr>
              <w:t>不需要</w:t>
            </w:r>
            <w:r>
              <w:rPr>
                <w:rFonts w:hint="eastAsia" w:hAnsi="宋体"/>
                <w:color w:val="FF0000"/>
                <w:szCs w:val="21"/>
                <w:lang w:eastAsia="zh-CN"/>
              </w:rPr>
              <w:t>☑</w:t>
            </w:r>
          </w:p>
          <w:p>
            <w:pPr>
              <w:autoSpaceDE w:val="0"/>
              <w:autoSpaceDN w:val="0"/>
              <w:adjustRightInd w:val="0"/>
              <w:snapToGrid w:val="0"/>
              <w:spacing w:line="440" w:lineRule="exact"/>
              <w:rPr>
                <w:rFonts w:hint="eastAsia" w:hAnsi="宋体"/>
                <w:szCs w:val="21"/>
              </w:rPr>
            </w:pPr>
            <w:r>
              <w:rPr>
                <w:rFonts w:hint="eastAsia" w:hAnsi="宋体"/>
                <w:color w:val="FF0000"/>
                <w:szCs w:val="21"/>
              </w:rPr>
              <w:t xml:space="preserve">   需  要□，提供</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p>
          <w:permEnd w:id="25"/>
          <w:p>
            <w:pPr>
              <w:autoSpaceDE w:val="0"/>
              <w:autoSpaceDN w:val="0"/>
              <w:adjustRightInd w:val="0"/>
              <w:snapToGrid w:val="0"/>
              <w:spacing w:line="440" w:lineRule="exact"/>
              <w:jc w:val="left"/>
              <w:rPr>
                <w:rFonts w:hint="eastAsia" w:ascii="Times New Roman" w:hAnsi="Times New Roman" w:cs="Times New Roman" w:eastAsiaTheme="minorEastAsia"/>
                <w:szCs w:val="21"/>
                <w:highlight w:val="none"/>
                <w:lang w:val="en-US" w:eastAsia="zh-CN"/>
              </w:rPr>
            </w:pPr>
            <w:r>
              <w:rPr>
                <w:rFonts w:hint="eastAsia"/>
                <w:lang w:val="en-US" w:eastAsia="zh-CN"/>
              </w:rPr>
              <w:t>3</w:t>
            </w:r>
            <w:r>
              <w:rPr>
                <w:rFonts w:hint="eastAsia"/>
              </w:rPr>
              <w:t>、其他要求：</w:t>
            </w:r>
            <w:r>
              <w:rPr>
                <w:rFonts w:hint="eastAsia"/>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1.9.1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permStart w:id="26"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ermEnd w:id="26"/>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1.10.1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 w:val="32"/>
                <w:szCs w:val="32"/>
                <w:highlight w:val="none"/>
              </w:rPr>
            </w:pPr>
            <w:permStart w:id="27"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不召开</w:t>
            </w: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召开</w:t>
            </w:r>
            <w:permEnd w:id="27"/>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投标人提出问题的截止时间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招标人书面澄清的时间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偏离</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r>
              <w:rPr>
                <w:rFonts w:hint="eastAsia" w:ascii="Times New Roman" w:hAnsi="Times New Roman" w:cs="Times New Roman"/>
                <w:szCs w:val="21"/>
                <w:highlight w:val="none"/>
                <w:lang w:val="en-US" w:eastAsia="zh-CN"/>
              </w:rPr>
              <w:t>的截止时间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距投标截止时间止</w:t>
            </w:r>
            <w:r>
              <w:rPr>
                <w:rFonts w:hint="eastAsia" w:ascii="Times New Roman" w:hAnsi="Times New Roman" w:cs="Times New Roman"/>
                <w:i w:val="0"/>
                <w:iCs w:val="0"/>
                <w:color w:val="auto"/>
                <w:szCs w:val="21"/>
                <w:highlight w:val="none"/>
                <w:u w:val="single"/>
                <w:lang w:val="en-US" w:eastAsia="zh-CN"/>
              </w:rPr>
              <w:t>3日</w:t>
            </w:r>
            <w:r>
              <w:rPr>
                <w:rFonts w:hint="eastAsia" w:ascii="Times New Roman" w:hAnsi="Times New Roman" w:cs="Times New Roman"/>
                <w:szCs w:val="21"/>
                <w:highlight w:val="none"/>
                <w:u w:val="none"/>
                <w:lang w:val="en-US" w:eastAsia="zh-CN"/>
              </w:rPr>
              <w:t>前，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投标人确认收到招标文件澄清的时间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投标截止时间前，招标文件的澄清将在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上进行发布。</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招标文件的澄清在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上的发布时间，视为投标人确认收到招标文件澄清的时间。</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所有参加本次项目招标的投标人须在网上自行查询，无需以纸质形式回复。如遇系统故障等原因不能进入</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投标人确认收到招标文件修改的时间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投标截止时间前，招标文件的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将在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上进行发布。</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上的发布时间，视为投标人确认收到招标文件</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的时间。</w:t>
            </w:r>
          </w:p>
          <w:p>
            <w:pPr>
              <w:keepNext w:val="0"/>
              <w:keepLines w:val="0"/>
              <w:pageBreakBefore w:val="0"/>
              <w:widowControl w:val="0"/>
              <w:tabs>
                <w:tab w:val="left" w:pos="309"/>
              </w:tabs>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所有参加本次项目招标的投标人须在网上自行查询，无需以纸质形式回复。如遇系统故障等原因不能进入</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投标人的书面澄清、说明和补正（但不得改变投标文件的实质性内容）。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p>
          <w:p>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lang w:eastAsia="zh-CN"/>
              </w:rPr>
            </w:pPr>
            <w:permStart w:id="28"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eastAsia" w:hAnsi="宋体"/>
                <w:color w:val="FF0000"/>
                <w:szCs w:val="21"/>
                <w:lang w:eastAsia="zh-CN"/>
              </w:rPr>
              <w:t>☑</w:t>
            </w:r>
          </w:p>
          <w:permEnd w:id="28"/>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default" w:ascii="Times New Roman" w:hAnsi="Times New Roman" w:cs="Times New Roman"/>
                <w:color w:val="FF0000"/>
                <w:szCs w:val="21"/>
                <w:highlight w:val="none"/>
              </w:rPr>
              <w:t>投标保证金的金额：</w:t>
            </w:r>
            <w:permStart w:id="29" w:edGrp="everyone"/>
            <w:r>
              <w:rPr>
                <w:rFonts w:hint="eastAsia" w:ascii="Times New Roman" w:hAnsi="Times New Roman" w:cs="Times New Roman"/>
                <w:color w:val="auto"/>
                <w:szCs w:val="21"/>
                <w:highlight w:val="none"/>
                <w:u w:val="single"/>
                <w:lang w:val="en-US" w:eastAsia="zh-CN"/>
              </w:rPr>
              <w:t xml:space="preserve">200000元 </w:t>
            </w:r>
            <w:permEnd w:id="29"/>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0" w:edGrp="everyone"/>
            <w:r>
              <w:rPr>
                <w:rFonts w:hint="eastAsia" w:ascii="Times New Roman" w:hAnsi="Times New Roman" w:cs="Times New Roman"/>
                <w:color w:val="FF0000"/>
                <w:szCs w:val="21"/>
                <w:highlight w:val="none"/>
                <w:lang w:val="en-US" w:eastAsia="zh-CN"/>
              </w:rPr>
              <w:t>BZJK-2024-034号保证金</w:t>
            </w:r>
            <w:permEnd w:id="30"/>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其他不予退还投标保证金的情形</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permStart w:id="31" w:edGrp="everyone"/>
            <w:permEnd w:id="31"/>
            <w:r>
              <w:rPr>
                <w:rFonts w:hint="eastAsia" w:ascii="Times New Roman" w:hAnsi="Times New Roman" w:cs="Times New Roman"/>
                <w:szCs w:val="21"/>
                <w:highlight w:val="none"/>
                <w:lang w:val="en-US" w:eastAsia="zh-CN"/>
              </w:rPr>
              <w:t>3.5.3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投标文件副本份数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正本1份、副本4份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3.6.5</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装订要求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wordWrap w:val="0"/>
              <w:spacing w:line="430" w:lineRule="exact"/>
              <w:ind w:firstLine="420" w:firstLineChars="200"/>
              <w:rPr>
                <w:rFonts w:ascii="Times New Roman" w:hAnsi="Times New Roman" w:cs="Times New Roman"/>
                <w:color w:val="FF0000"/>
                <w:szCs w:val="21"/>
              </w:rPr>
            </w:pPr>
            <w:permStart w:id="32" w:edGrp="everyone"/>
            <w:r>
              <w:rPr>
                <w:rFonts w:hint="eastAsia" w:ascii="Times New Roman" w:hAnsi="Times New Roman" w:cs="Times New Roman"/>
                <w:color w:val="FF0000"/>
                <w:szCs w:val="21"/>
              </w:rPr>
              <w:t>开标地址：亳州交通投资控股集团有限公司15楼开标室（药都大道与希夷大道交叉口东北角15楼）</w:t>
            </w:r>
          </w:p>
          <w:p>
            <w:pPr>
              <w:wordWrap w:val="0"/>
              <w:spacing w:line="430" w:lineRule="exact"/>
              <w:ind w:firstLine="420" w:firstLineChars="200"/>
              <w:rPr>
                <w:rFonts w:ascii="Times New Roman" w:hAnsi="Times New Roman" w:cs="Times New Roman"/>
                <w:color w:val="FF0000"/>
                <w:szCs w:val="21"/>
              </w:rPr>
            </w:pPr>
            <w:r>
              <w:rPr>
                <w:rFonts w:hint="eastAsia" w:ascii="Times New Roman" w:hAnsi="Times New Roman" w:cs="Times New Roman"/>
                <w:color w:val="FF0000"/>
                <w:szCs w:val="21"/>
              </w:rPr>
              <w:t>招标人：安徽通康建设工程有限公司</w:t>
            </w:r>
          </w:p>
          <w:p>
            <w:pPr>
              <w:wordWrap w:val="0"/>
              <w:spacing w:line="430" w:lineRule="exact"/>
              <w:ind w:firstLine="420" w:firstLineChars="200"/>
              <w:rPr>
                <w:rFonts w:ascii="Times New Roman" w:hAnsi="Times New Roman" w:cs="Times New Roman"/>
                <w:color w:val="FF0000"/>
                <w:szCs w:val="21"/>
              </w:rPr>
            </w:pPr>
            <w:r>
              <w:rPr>
                <w:rFonts w:hint="eastAsia" w:ascii="Times New Roman" w:hAnsi="Times New Roman" w:cs="Times New Roman"/>
                <w:color w:val="FF0000"/>
                <w:szCs w:val="21"/>
                <w:u w:val="single"/>
                <w:lang w:val="en-US" w:eastAsia="zh-CN"/>
              </w:rPr>
              <w:t>亳州逸合府一期</w:t>
            </w:r>
            <w:r>
              <w:rPr>
                <w:rFonts w:hint="eastAsia" w:ascii="Times New Roman" w:hAnsi="Times New Roman" w:cs="Times New Roman"/>
                <w:color w:val="FF0000"/>
                <w:szCs w:val="21"/>
                <w:u w:val="single"/>
              </w:rPr>
              <w:t>施工总承</w:t>
            </w:r>
            <w:r>
              <w:rPr>
                <w:rFonts w:hint="eastAsia" w:ascii="Times New Roman" w:hAnsi="Times New Roman" w:cs="Times New Roman"/>
                <w:color w:val="FF0000"/>
                <w:szCs w:val="21"/>
                <w:u w:val="single"/>
                <w:lang w:val="en-US" w:eastAsia="zh-CN"/>
              </w:rPr>
              <w:t>包项目脚手架工程专业分包</w:t>
            </w:r>
            <w:r>
              <w:rPr>
                <w:rFonts w:hint="eastAsia" w:ascii="Times New Roman" w:hAnsi="Times New Roman" w:cs="Times New Roman"/>
                <w:color w:val="FF0000"/>
                <w:szCs w:val="21"/>
              </w:rPr>
              <w:t>投标文件</w:t>
            </w:r>
          </w:p>
          <w:p>
            <w:pPr>
              <w:wordWrap w:val="0"/>
              <w:spacing w:line="430" w:lineRule="exact"/>
              <w:ind w:firstLine="420" w:firstLineChars="200"/>
              <w:rPr>
                <w:rFonts w:ascii="Times New Roman" w:hAnsi="Times New Roman" w:cs="Times New Roman"/>
                <w:color w:val="FF0000"/>
                <w:szCs w:val="21"/>
              </w:rPr>
            </w:pPr>
            <w:r>
              <w:rPr>
                <w:rFonts w:hint="eastAsia" w:ascii="Times New Roman" w:hAnsi="Times New Roman" w:cs="Times New Roman"/>
                <w:color w:val="FF0000"/>
                <w:szCs w:val="21"/>
              </w:rPr>
              <w:t>项目编号：BZJK-202</w:t>
            </w:r>
            <w:r>
              <w:rPr>
                <w:rFonts w:hint="eastAsia" w:ascii="Times New Roman" w:hAnsi="Times New Roman" w:cs="Times New Roman"/>
                <w:color w:val="FF0000"/>
                <w:szCs w:val="21"/>
                <w:lang w:val="en-US" w:eastAsia="zh-CN"/>
              </w:rPr>
              <w:t>4</w:t>
            </w:r>
            <w:r>
              <w:rPr>
                <w:rFonts w:hint="eastAsia" w:ascii="Times New Roman" w:hAnsi="Times New Roman" w:cs="Times New Roman"/>
                <w:color w:val="FF0000"/>
                <w:szCs w:val="21"/>
              </w:rPr>
              <w:t>-</w:t>
            </w:r>
            <w:r>
              <w:rPr>
                <w:rFonts w:hint="eastAsia" w:ascii="Times New Roman" w:hAnsi="Times New Roman" w:cs="Times New Roman"/>
                <w:color w:val="FF0000"/>
                <w:szCs w:val="21"/>
                <w:u w:val="single"/>
                <w:lang w:val="en-US" w:eastAsia="zh-CN"/>
              </w:rPr>
              <w:t xml:space="preserve">    </w:t>
            </w:r>
            <w:r>
              <w:rPr>
                <w:rFonts w:hint="eastAsia" w:ascii="Times New Roman" w:hAnsi="Times New Roman" w:cs="Times New Roman"/>
                <w:color w:val="FF0000"/>
                <w:szCs w:val="21"/>
              </w:rPr>
              <w:t>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rPr>
              <w:t>在</w:t>
            </w:r>
            <w:r>
              <w:rPr>
                <w:rFonts w:hint="eastAsia" w:ascii="Times New Roman" w:hAnsi="Times New Roman" w:cs="Times New Roman"/>
                <w:color w:val="FF0000"/>
                <w:szCs w:val="21"/>
                <w:u w:val="single"/>
                <w:lang w:val="en-US" w:eastAsia="zh-CN"/>
              </w:rPr>
              <w:t>2024</w:t>
            </w:r>
            <w:r>
              <w:rPr>
                <w:rFonts w:hint="eastAsia" w:ascii="Times New Roman" w:hAnsi="Times New Roman" w:cs="Times New Roman"/>
                <w:color w:val="FF0000"/>
                <w:szCs w:val="21"/>
              </w:rPr>
              <w:t>年</w:t>
            </w:r>
            <w:r>
              <w:rPr>
                <w:rFonts w:hint="eastAsia" w:ascii="Times New Roman" w:hAnsi="Times New Roman" w:cs="Times New Roman"/>
                <w:color w:val="FF0000"/>
                <w:szCs w:val="21"/>
                <w:u w:val="single"/>
                <w:lang w:val="en-US" w:eastAsia="zh-CN"/>
              </w:rPr>
              <w:t>5</w:t>
            </w:r>
            <w:r>
              <w:rPr>
                <w:rFonts w:hint="eastAsia" w:ascii="Times New Roman" w:hAnsi="Times New Roman" w:cs="Times New Roman"/>
                <w:color w:val="FF0000"/>
                <w:szCs w:val="21"/>
              </w:rPr>
              <w:t>月</w:t>
            </w:r>
            <w:r>
              <w:rPr>
                <w:rFonts w:hint="eastAsia" w:ascii="Times New Roman" w:hAnsi="Times New Roman" w:cs="Times New Roman"/>
                <w:color w:val="FF0000"/>
                <w:szCs w:val="21"/>
                <w:u w:val="single"/>
                <w:lang w:val="en-US" w:eastAsia="zh-CN"/>
              </w:rPr>
              <w:t xml:space="preserve">  </w:t>
            </w:r>
            <w:r>
              <w:rPr>
                <w:rFonts w:hint="eastAsia" w:ascii="Times New Roman" w:hAnsi="Times New Roman" w:cs="Times New Roman"/>
                <w:color w:val="FF0000"/>
                <w:szCs w:val="21"/>
              </w:rPr>
              <w:t>日</w:t>
            </w:r>
            <w:r>
              <w:rPr>
                <w:rFonts w:hint="eastAsia" w:ascii="Times New Roman" w:hAnsi="Times New Roman" w:cs="Times New Roman"/>
                <w:color w:val="FF0000"/>
                <w:szCs w:val="21"/>
                <w:u w:val="single"/>
                <w:lang w:val="en-US" w:eastAsia="zh-CN"/>
              </w:rPr>
              <w:t xml:space="preserve">  </w:t>
            </w:r>
            <w:r>
              <w:rPr>
                <w:rFonts w:hint="eastAsia" w:ascii="Times New Roman" w:hAnsi="Times New Roman" w:cs="Times New Roman"/>
                <w:color w:val="FF0000"/>
                <w:szCs w:val="21"/>
              </w:rPr>
              <w:t>时</w:t>
            </w:r>
            <w:r>
              <w:rPr>
                <w:rFonts w:hint="eastAsia" w:ascii="Times New Roman" w:hAnsi="Times New Roman" w:cs="Times New Roman"/>
                <w:color w:val="FF0000"/>
                <w:szCs w:val="21"/>
                <w:u w:val="single"/>
                <w:lang w:val="en-US" w:eastAsia="zh-CN"/>
              </w:rPr>
              <w:t>00</w:t>
            </w:r>
            <w:r>
              <w:rPr>
                <w:rFonts w:hint="eastAsia" w:ascii="Times New Roman" w:hAnsi="Times New Roman" w:cs="Times New Roman"/>
                <w:color w:val="FF0000"/>
                <w:szCs w:val="21"/>
              </w:rPr>
              <w:t>分前不得开启</w:t>
            </w:r>
            <w:permEnd w:id="32"/>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开标顺序：按签到正顺序开标。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评标委员会构成：5人以上单数（含5人）。</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评标委员会组建：按有关规定组建。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推荐的中标候选人数：1-3人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中标候选人公示媒介</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亳州交通投资控股集团有限公司官网（www.bzjkjt.com）、安徽省招标投标信息网（www.ahtba.org.cn）</w:t>
            </w:r>
            <w:r>
              <w:rPr>
                <w:rFonts w:hint="eastAsia" w:ascii="Times New Roman" w:hAnsi="Times New Roman" w:cs="Times New Roman"/>
                <w:color w:val="auto"/>
                <w:szCs w:val="21"/>
                <w:highlight w:val="none"/>
                <w:lang w:val="en-US" w:eastAsia="zh-CN"/>
              </w:rPr>
              <w:t>等网站上发布。</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3"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3"/>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34" w:edGrp="everyone"/>
            <w:r>
              <w:rPr>
                <w:rFonts w:hint="default" w:ascii="Times New Roman" w:hAnsi="Times New Roman" w:cs="Times New Roman"/>
                <w:color w:val="FF0000"/>
                <w:szCs w:val="21"/>
                <w:highlight w:val="none"/>
              </w:rPr>
              <w:t>中标后，投标保证金自动转为履约保证金，履约保证金不足部分由中标人在收到中标通知书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r>
              <w:rPr>
                <w:rFonts w:hint="eastAsia" w:ascii="Times New Roman" w:hAnsi="Times New Roman" w:cs="Times New Roman"/>
                <w:color w:val="FF0000"/>
                <w:szCs w:val="21"/>
                <w:highlight w:val="none"/>
                <w:lang w:val="en-US" w:eastAsia="zh-CN"/>
              </w:rPr>
              <w:t>或开具保函</w:t>
            </w:r>
            <w:r>
              <w:rPr>
                <w:rFonts w:hint="default" w:ascii="Times New Roman" w:hAnsi="Times New Roman" w:cs="Times New Roman"/>
                <w:color w:val="FF0000"/>
                <w:szCs w:val="21"/>
                <w:highlight w:val="none"/>
              </w:rPr>
              <w:t>。</w:t>
            </w:r>
            <w:permEnd w:id="34"/>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35" w:edGrp="everyone"/>
            <w:r>
              <w:rPr>
                <w:rFonts w:hint="eastAsia" w:ascii="Times New Roman" w:hAnsi="Times New Roman" w:cs="Times New Roman"/>
                <w:b/>
                <w:bCs/>
                <w:color w:val="FF0000"/>
                <w:szCs w:val="21"/>
                <w:highlight w:val="none"/>
                <w:lang w:val="en-US" w:eastAsia="zh-CN"/>
              </w:rPr>
              <w:t>中标价款的10%</w:t>
            </w:r>
            <w:permEnd w:id="35"/>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36"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color w:val="FF0000"/>
                <w:szCs w:val="21"/>
                <w:highlight w:val="none"/>
                <w:lang w:val="en-US" w:eastAsia="zh-CN"/>
              </w:rPr>
              <w:t>工程</w:t>
            </w:r>
            <w:r>
              <w:rPr>
                <w:rFonts w:hint="default" w:ascii="Times New Roman" w:hAnsi="Times New Roman" w:cs="Times New Roman"/>
                <w:color w:val="FF0000"/>
                <w:szCs w:val="21"/>
                <w:highlight w:val="none"/>
              </w:rPr>
              <w:t>竣工验收合格后</w:t>
            </w:r>
            <w:r>
              <w:rPr>
                <w:rFonts w:hint="eastAsia" w:ascii="Times New Roman" w:hAnsi="Times New Roman" w:cs="Times New Roman"/>
                <w:szCs w:val="21"/>
                <w:highlight w:val="none"/>
                <w:lang w:val="en-US" w:eastAsia="zh-CN"/>
              </w:rPr>
              <w:t>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36"/>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2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9.1</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宋体" w:hAnsi="宋体"/>
                <w:szCs w:val="21"/>
              </w:rPr>
            </w:pPr>
            <w:r>
              <w:rPr>
                <w:rFonts w:hint="eastAsia" w:ascii="宋体" w:hAnsi="宋体"/>
                <w:szCs w:val="21"/>
              </w:rPr>
              <w:t>投标人被视为充分熟悉本招标工程所在地的与招标投标及履行合同有关的各种情况，包括但不限于以下内容：</w:t>
            </w:r>
          </w:p>
          <w:p>
            <w:pPr>
              <w:spacing w:line="440" w:lineRule="exact"/>
              <w:rPr>
                <w:rFonts w:ascii="宋体" w:hAnsi="宋体"/>
                <w:szCs w:val="21"/>
              </w:rPr>
            </w:pPr>
            <w:r>
              <w:rPr>
                <w:rFonts w:hint="eastAsia" w:ascii="宋体" w:hAnsi="宋体"/>
                <w:szCs w:val="21"/>
              </w:rPr>
              <w:t>1.与本招标工程相关的国家法律法规、部门规章及规范性文件；</w:t>
            </w:r>
          </w:p>
          <w:p>
            <w:pPr>
              <w:spacing w:line="440" w:lineRule="exact"/>
              <w:rPr>
                <w:rFonts w:ascii="宋体" w:hAnsi="宋体"/>
                <w:szCs w:val="21"/>
              </w:rPr>
            </w:pPr>
            <w:r>
              <w:rPr>
                <w:rFonts w:hint="eastAsia" w:ascii="宋体" w:hAnsi="宋体"/>
                <w:szCs w:val="21"/>
              </w:rPr>
              <w:t>2.与本招标工程相关的行业标准、技术标准及</w:t>
            </w:r>
            <w:r>
              <w:rPr>
                <w:rFonts w:hint="eastAsia" w:ascii="宋体" w:hAnsi="宋体" w:cs="宋体"/>
                <w:szCs w:val="21"/>
              </w:rPr>
              <w:t>安徽省地方标准</w:t>
            </w:r>
            <w:r>
              <w:rPr>
                <w:rFonts w:hint="eastAsia" w:ascii="宋体" w:hAnsi="宋体"/>
                <w:szCs w:val="21"/>
              </w:rPr>
              <w:t>；</w:t>
            </w:r>
          </w:p>
          <w:p>
            <w:pPr>
              <w:spacing w:line="440" w:lineRule="exact"/>
              <w:rPr>
                <w:rFonts w:ascii="宋体" w:hAnsi="宋体"/>
                <w:szCs w:val="21"/>
              </w:rPr>
            </w:pPr>
            <w:r>
              <w:rPr>
                <w:rFonts w:hint="eastAsia" w:ascii="宋体" w:hAnsi="宋体"/>
                <w:szCs w:val="21"/>
              </w:rPr>
              <w:t>3.安徽省及亳州市建设行政主管部门等管理部门发布的与本招标工程相关的管理规定等；</w:t>
            </w:r>
          </w:p>
          <w:p>
            <w:pPr>
              <w:spacing w:line="440" w:lineRule="exact"/>
              <w:rPr>
                <w:rFonts w:ascii="宋体" w:hAnsi="宋体"/>
                <w:szCs w:val="21"/>
              </w:rPr>
            </w:pPr>
            <w:r>
              <w:rPr>
                <w:rFonts w:hint="eastAsia" w:ascii="宋体" w:hAnsi="宋体"/>
                <w:szCs w:val="21"/>
              </w:rPr>
              <w:t>4.亳州市公共资源交易监督管理局发布的相关管理规定；</w:t>
            </w:r>
          </w:p>
          <w:p>
            <w:pPr>
              <w:spacing w:line="440" w:lineRule="exact"/>
              <w:rPr>
                <w:rFonts w:ascii="宋体" w:hAnsi="宋体"/>
                <w:szCs w:val="21"/>
              </w:rPr>
            </w:pPr>
            <w:r>
              <w:rPr>
                <w:rFonts w:hint="eastAsia" w:ascii="宋体" w:hAnsi="宋体"/>
                <w:szCs w:val="21"/>
              </w:rPr>
              <w:t>5.工程建设地点所涉及的场地情况、基础条件等。</w:t>
            </w:r>
          </w:p>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eastAsia" w:ascii="Times New Roman" w:hAnsi="Times New Roman" w:cs="Times New Roman"/>
                <w:b/>
                <w:bCs/>
                <w:szCs w:val="21"/>
                <w:highlight w:val="none"/>
                <w:lang w:val="en-US" w:eastAsia="zh-CN"/>
              </w:rPr>
            </w:pPr>
            <w:r>
              <w:rPr>
                <w:rFonts w:hint="eastAsia" w:ascii="宋体" w:hAnsi="宋体"/>
                <w:szCs w:val="21"/>
              </w:rPr>
              <w:t>本招标文件不对上述情况一一进行描述。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9.2</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eastAsia" w:ascii="Times New Roman" w:hAnsi="Times New Roman" w:cs="Times New Roman"/>
                <w:b/>
                <w:bCs/>
                <w:szCs w:val="21"/>
                <w:highlight w:val="none"/>
                <w:lang w:val="en-US" w:eastAsia="zh-CN"/>
              </w:rPr>
            </w:pPr>
            <w:r>
              <w:rPr>
                <w:rFonts w:hint="eastAsia"/>
                <w:szCs w:val="21"/>
              </w:rPr>
              <w:t>招标文件（含答疑补充文件）、工程量清单及施工图纸等发布后，各投标人依据施工图纸、招标文件（含答疑补充文件）对工程量清单进行校核。如果对工程量清单有异议，请投标人按照本投标须知前附表规定的时间向招标人提出。在工程实施过程中，中标人按照施工图纸的要求进行施工，工程量不再变更。投标人如对施工图纸有异议（如图纸不完善，建筑图与结构图不一致、无节点大样图等），须按照本投标须知前附表规定的时间提出，否则，视为投标人投标时已充分考虑并纳入报价，中标人在施工过程中不得以上述理由提出费用变更。但建设单位可以委托设计单位补充设计以便项目实施。投标（中标）单位要对因没有校核施工图纸和工程量清单造成的后果承担一切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电子招标投标</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增11.2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不良行为记录</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（十四）其他不良行为。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default" w:ascii="Times New Roman" w:hAnsi="Times New Roman" w:cs="Times New Roman"/>
          <w:color w:val="000000"/>
          <w:highlight w:val="none"/>
          <w:lang w:val="en-US" w:eastAsia="zh-CN"/>
        </w:rPr>
      </w:pPr>
      <w:r>
        <w:rPr>
          <w:rFonts w:hint="eastAsia" w:ascii="黑体" w:hAnsi="黑体" w:eastAsia="黑体" w:cs="黑体"/>
          <w:color w:val="000000"/>
          <w:highlight w:val="none"/>
        </w:rPr>
        <w:t>说明：</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52045529"/>
      <w:bookmarkStart w:id="17" w:name="_Toc246996175"/>
      <w:bookmarkStart w:id="18" w:name="_Toc296602420"/>
      <w:bookmarkStart w:id="19" w:name="_Toc152042305"/>
      <w:bookmarkStart w:id="20" w:name="_Toc144974497"/>
      <w:bookmarkStart w:id="21" w:name="_Toc179632546"/>
      <w:bookmarkStart w:id="22" w:name="_Toc246996918"/>
      <w:bookmarkStart w:id="23" w:name="_Toc247085689"/>
      <w:r>
        <w:rPr>
          <w:rFonts w:hint="eastAsia"/>
        </w:rPr>
        <w:t>1. 总则</w:t>
      </w:r>
      <w:bookmarkEnd w:id="16"/>
      <w:bookmarkEnd w:id="17"/>
      <w:bookmarkEnd w:id="18"/>
      <w:bookmarkEnd w:id="19"/>
      <w:bookmarkEnd w:id="20"/>
      <w:bookmarkEnd w:id="21"/>
      <w:bookmarkEnd w:id="22"/>
      <w:bookmarkEnd w:id="23"/>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296602421"/>
      <w:bookmarkStart w:id="25" w:name="_Toc152045530"/>
      <w:bookmarkStart w:id="26" w:name="_Toc247085690"/>
      <w:bookmarkStart w:id="27" w:name="_Toc246996919"/>
      <w:bookmarkStart w:id="28" w:name="_Toc144974498"/>
      <w:bookmarkStart w:id="29" w:name="_Toc152042306"/>
      <w:bookmarkStart w:id="30" w:name="_Toc246996176"/>
      <w:bookmarkStart w:id="31" w:name="_Toc179632547"/>
      <w:r>
        <w:rPr>
          <w:rFonts w:hint="eastAsia"/>
        </w:rPr>
        <w:t>1.1 项目概况</w:t>
      </w:r>
      <w:bookmarkEnd w:id="24"/>
      <w:bookmarkEnd w:id="25"/>
      <w:bookmarkEnd w:id="26"/>
      <w:bookmarkEnd w:id="27"/>
      <w:bookmarkEnd w:id="28"/>
      <w:bookmarkEnd w:id="29"/>
      <w:bookmarkEnd w:id="30"/>
      <w:bookmarkEnd w:id="3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1.1.1根据《中华人民共和国招标投标法》等有关法律、法规和规章的规定，本招标项目已具备招标条件，现对本项目施工进行招标。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 本招标项目招标人：见投标人须知前附表。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1.1.3 本招标项目招标代理机构：见投标人须知前附表。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1.1.4 本招标项目名称：见投标人须知前附表。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1.1.5 本招标项目建设地点：见投标人须知前附表。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246996177"/>
      <w:bookmarkStart w:id="33" w:name="_Toc152045531"/>
      <w:bookmarkStart w:id="34" w:name="_Toc246996920"/>
      <w:bookmarkStart w:id="35" w:name="_Toc152042307"/>
      <w:bookmarkStart w:id="36" w:name="_Toc179632548"/>
      <w:bookmarkStart w:id="37" w:name="_Toc296602422"/>
      <w:bookmarkStart w:id="38" w:name="_Toc247085691"/>
      <w:bookmarkStart w:id="39" w:name="_Toc144974499"/>
      <w:r>
        <w:rPr>
          <w:rFonts w:hint="eastAsia"/>
        </w:rPr>
        <w:t>1.2 资金来源和落实情况</w:t>
      </w:r>
      <w:bookmarkEnd w:id="32"/>
      <w:bookmarkEnd w:id="33"/>
      <w:bookmarkEnd w:id="34"/>
      <w:bookmarkEnd w:id="35"/>
      <w:bookmarkEnd w:id="36"/>
      <w:bookmarkEnd w:id="37"/>
      <w:bookmarkEnd w:id="38"/>
      <w:bookmarkEnd w:id="3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1.2.1 本招标项目的资金来源及出资比例：见投标人须知前附表。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1.2.2 本招标项目的资金落实情况：见投标人须知前附表。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0" w:name="_Toc296602423"/>
      <w:bookmarkStart w:id="41" w:name="_Toc152042308"/>
      <w:bookmarkStart w:id="42" w:name="_Toc144974500"/>
      <w:bookmarkStart w:id="43" w:name="_Toc247085692"/>
      <w:bookmarkStart w:id="44" w:name="_Toc179632549"/>
      <w:bookmarkStart w:id="45" w:name="_Toc152045532"/>
      <w:bookmarkStart w:id="46" w:name="_Toc246996921"/>
      <w:bookmarkStart w:id="47" w:name="_Toc246996178"/>
      <w:r>
        <w:rPr>
          <w:rFonts w:hint="eastAsia"/>
        </w:rPr>
        <w:t>1.3 招标范围、计划工期、质量要求</w:t>
      </w:r>
      <w:bookmarkEnd w:id="40"/>
      <w:bookmarkEnd w:id="41"/>
      <w:bookmarkEnd w:id="42"/>
      <w:bookmarkEnd w:id="43"/>
      <w:bookmarkEnd w:id="44"/>
      <w:bookmarkEnd w:id="45"/>
      <w:bookmarkEnd w:id="46"/>
      <w:bookmarkEnd w:id="4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1.3.1 本次招标范围：见投标人须知前附表。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1.3.2 本招标项目的计划工期：见投标人须知前附表。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1.3.3 本招标项目的质量要求：见投标人须知前附表。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8" w:name="_Toc246996922"/>
      <w:bookmarkStart w:id="49" w:name="_Toc179632551"/>
      <w:bookmarkStart w:id="50" w:name="_Toc246996179"/>
      <w:bookmarkStart w:id="51" w:name="_Toc144974502"/>
      <w:bookmarkStart w:id="52" w:name="_Toc152042310"/>
      <w:bookmarkStart w:id="53" w:name="_Toc296602424"/>
      <w:bookmarkStart w:id="54" w:name="_Toc152045534"/>
      <w:bookmarkStart w:id="55" w:name="_Toc247085693"/>
      <w:r>
        <w:rPr>
          <w:rFonts w:hint="eastAsia"/>
        </w:rPr>
        <w:t>1.4 投标人资格要求</w:t>
      </w:r>
      <w:bookmarkEnd w:id="48"/>
      <w:bookmarkEnd w:id="49"/>
      <w:bookmarkEnd w:id="50"/>
      <w:bookmarkEnd w:id="51"/>
      <w:bookmarkEnd w:id="52"/>
      <w:bookmarkEnd w:id="53"/>
      <w:bookmarkEnd w:id="54"/>
      <w:bookmarkEnd w:id="55"/>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1.4.1 投标人应具备承担本项目施工的资质条件、能力和信誉。</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（1）资质条件：见投标人须知前附表；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（2）项目经理资格：见投标人须知前附表；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（3）财务要求：见投标人须知前附表；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（4）业绩要求：见投标人须知前附表；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（5）其他要求：见投标人须知前附表。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1.4.2 投标人不得存在下列情形之一：</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（1）为招标人不具有独立法人资格的附属机构（单位）；</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（2）为本招标项目前期准备提供设计或咨询服务的；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（3）为本招标项目的监理人；</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（4）为本招标项目的代建人；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（5）为本招标项目提供招标代理服务的；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（6）与本招标项目的监理人或代建人或招标代理机构同为一个法定代表人的；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（7）与本招标项目的监理人或代建人或招标代理机构相互控股或参股的；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（8）与本招标项目的监理人或代建人或招标代理机构相互任职或工作的；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（9）被责令停业的；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permStart w:id="37" w:edGrp="everyone"/>
      <w:r>
        <w:rPr>
          <w:rFonts w:hint="eastAsia"/>
        </w:rPr>
        <w:t>（10）投标时（以投标截止时间为准），无被亳州市市本级及县区各行业主管部门或公共资源交易监管部门限制投标的不良行为记录（有效期内）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（11）投标时（以投标截止时间为准），投标人存在被人社部门列入拖欠农民工工资黑名单的（有效期内）；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（12）投标时（以投标截止时间为准），因扬尘治理措施不到位被亳州市市本级及县区行业主管部门记不良行为记录的（有效期内）。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（13）  / 。</w:t>
      </w:r>
      <w:permEnd w:id="37"/>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1.4.3 单位负责人为同一人或者存在控股、管理关系的不同单位，不得同时参加本招标项目投标。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1.4.4  投标人须知前附表规定接受联合体投标的，除应符合本章第1.4.1项和投标人须知前附表的要求外，还应遵守以下规定：</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（1）联合体各方应按招标文件提供的格式签订联合体协议书，明确联合体牵头人和各方权利义务；</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（2）由同一专业的单位组成的联合体，按照资质等级较低的单位确定资质等级；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（3）联合体各方不得再以自己名义单独或参加其他联合体在同一标段中投标；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（4）联合体所有成员数量不得超过投标人须知前附表规定的数量；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（5）联合体各方应分别按照本招标文件的要求，由联合体牵头人负责对联合体各成员的资料进行统一汇总后一并提交给招标人；联合体牵头人所提交的投标文件应认为已代表了联合体各成员的真实情况；</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（6）尽管委任了联合体牵头人，但联合体各成员在投标、签约与履行合同过程中，仍负有连带的和各自的法律责任。</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6" w:name="_Toc152045535"/>
      <w:bookmarkStart w:id="57" w:name="_Toc144974503"/>
      <w:bookmarkStart w:id="58" w:name="_Toc246996180"/>
      <w:bookmarkStart w:id="59" w:name="_Toc296602425"/>
      <w:bookmarkStart w:id="60" w:name="_Toc246996923"/>
      <w:bookmarkStart w:id="61" w:name="_Toc247085694"/>
      <w:bookmarkStart w:id="62" w:name="_Toc152042311"/>
      <w:bookmarkStart w:id="63" w:name="_Toc179632552"/>
      <w:r>
        <w:rPr>
          <w:rFonts w:hint="eastAsia"/>
        </w:rPr>
        <w:t>1.5 费用承担</w:t>
      </w:r>
      <w:bookmarkEnd w:id="56"/>
      <w:bookmarkEnd w:id="57"/>
      <w:bookmarkEnd w:id="58"/>
      <w:bookmarkEnd w:id="59"/>
      <w:bookmarkEnd w:id="60"/>
      <w:bookmarkEnd w:id="61"/>
      <w:bookmarkEnd w:id="62"/>
      <w:bookmarkEnd w:id="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投标人准备和参加投标活动发生的费用自理。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4" w:name="_Toc179632553"/>
      <w:bookmarkStart w:id="65" w:name="_Toc246996924"/>
      <w:bookmarkStart w:id="66" w:name="_Toc246996181"/>
      <w:bookmarkStart w:id="67" w:name="_Toc144974504"/>
      <w:bookmarkStart w:id="68" w:name="_Toc296602426"/>
      <w:bookmarkStart w:id="69" w:name="_Toc247085695"/>
      <w:bookmarkStart w:id="70" w:name="_Toc152045536"/>
      <w:bookmarkStart w:id="71" w:name="_Toc152042312"/>
      <w:r>
        <w:rPr>
          <w:rFonts w:hint="eastAsia"/>
        </w:rPr>
        <w:t>1.6 保密</w:t>
      </w:r>
      <w:bookmarkEnd w:id="64"/>
      <w:bookmarkEnd w:id="65"/>
      <w:bookmarkEnd w:id="66"/>
      <w:bookmarkEnd w:id="67"/>
      <w:bookmarkEnd w:id="68"/>
      <w:bookmarkEnd w:id="69"/>
      <w:bookmarkEnd w:id="70"/>
      <w:bookmarkEnd w:id="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参与招标投标活动的各方应对招标文件和投标文件中的商业和技术等秘密保密，违者应对由此造成的后果承担法律责任。 </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2" w:name="_Toc144974505"/>
      <w:bookmarkStart w:id="73" w:name="_Toc152042313"/>
      <w:bookmarkStart w:id="74" w:name="_Toc247085696"/>
      <w:bookmarkStart w:id="75" w:name="_Toc246996925"/>
      <w:bookmarkStart w:id="76" w:name="_Toc296602427"/>
      <w:bookmarkStart w:id="77" w:name="_Toc179632554"/>
      <w:bookmarkStart w:id="78" w:name="_Toc246996182"/>
      <w:bookmarkStart w:id="79" w:name="_Toc152045537"/>
      <w:r>
        <w:rPr>
          <w:rFonts w:hint="eastAsia"/>
        </w:rPr>
        <w:t>1.7 语言</w:t>
      </w:r>
      <w:bookmarkEnd w:id="72"/>
      <w:r>
        <w:rPr>
          <w:rFonts w:hint="eastAsia"/>
        </w:rPr>
        <w:t>文字</w:t>
      </w:r>
      <w:bookmarkEnd w:id="73"/>
      <w:bookmarkEnd w:id="74"/>
      <w:bookmarkEnd w:id="75"/>
      <w:bookmarkEnd w:id="76"/>
      <w:bookmarkEnd w:id="77"/>
      <w:bookmarkEnd w:id="78"/>
      <w:bookmarkEnd w:id="79"/>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80" w:name="_Toc152045538"/>
      <w:bookmarkStart w:id="81" w:name="_Toc144974506"/>
      <w:bookmarkStart w:id="82" w:name="_Toc246996926"/>
      <w:bookmarkStart w:id="83" w:name="_Toc179632555"/>
      <w:bookmarkStart w:id="84" w:name="_Toc247085697"/>
      <w:bookmarkStart w:id="85" w:name="_Toc246996183"/>
      <w:bookmarkStart w:id="86" w:name="_Toc152042314"/>
      <w:r>
        <w:rPr>
          <w:rFonts w:hint="eastAsia"/>
        </w:rPr>
        <w:t>招标投标文件使用的语言文字为中文。专用术语使用外文的，应附有中文注释。</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7" w:name="_Toc296602428"/>
      <w:r>
        <w:rPr>
          <w:rFonts w:hint="eastAsia"/>
        </w:rPr>
        <w:t>1.8 计量单位</w:t>
      </w:r>
      <w:bookmarkEnd w:id="80"/>
      <w:bookmarkEnd w:id="81"/>
      <w:bookmarkEnd w:id="82"/>
      <w:bookmarkEnd w:id="83"/>
      <w:bookmarkEnd w:id="84"/>
      <w:bookmarkEnd w:id="85"/>
      <w:bookmarkEnd w:id="86"/>
      <w:bookmarkEnd w:id="8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所有计量均采用中华人民共和国法定计量单位。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8" w:name="_Toc247513962"/>
      <w:bookmarkStart w:id="89" w:name="_Toc144974507"/>
      <w:bookmarkStart w:id="90" w:name="_Toc296602429"/>
      <w:bookmarkStart w:id="91" w:name="_Toc247527563"/>
      <w:bookmarkStart w:id="92" w:name="_Toc152045539"/>
      <w:bookmarkStart w:id="93" w:name="_Toc247592876"/>
      <w:bookmarkStart w:id="94" w:name="_Toc152042315"/>
      <w:r>
        <w:rPr>
          <w:rFonts w:hint="eastAsia"/>
        </w:rPr>
        <w:t>1.9 踏勘现场</w:t>
      </w:r>
      <w:bookmarkEnd w:id="88"/>
      <w:bookmarkEnd w:id="89"/>
      <w:bookmarkEnd w:id="90"/>
      <w:bookmarkEnd w:id="91"/>
      <w:bookmarkEnd w:id="92"/>
      <w:bookmarkEnd w:id="93"/>
      <w:bookmarkEnd w:id="9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1.9.1 投标人须知前附表规定组织踏勘现场的，招标人按投标人须知前附表规定的时间、地点组织投标人踏勘项目现场。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1.9.2 投标人踏勘现场发生的费用自理。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1.9.3 除招标人的原因外，投标人自行负责在踏勘现场中所发生的人员伤亡和财产损失。</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1.9.4 招标人在踏勘现场中介绍的工程场地和相关的周边环境情况，供投标人在编制投标文件时参考，招标人不对投标人据此作出的判断和决策负责。</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247592877"/>
      <w:bookmarkStart w:id="96" w:name="_Toc152045540"/>
      <w:bookmarkStart w:id="97" w:name="_Toc296602430"/>
      <w:bookmarkStart w:id="98" w:name="_Toc144974508"/>
      <w:bookmarkStart w:id="99" w:name="_Toc247513963"/>
      <w:bookmarkStart w:id="100" w:name="_Toc247527564"/>
      <w:bookmarkStart w:id="101" w:name="_Toc152042316"/>
      <w:r>
        <w:rPr>
          <w:rFonts w:hint="eastAsia"/>
        </w:rPr>
        <w:t>1.10 投标预备会</w:t>
      </w:r>
      <w:bookmarkEnd w:id="95"/>
      <w:bookmarkEnd w:id="96"/>
      <w:bookmarkEnd w:id="97"/>
      <w:bookmarkEnd w:id="98"/>
      <w:bookmarkEnd w:id="99"/>
      <w:bookmarkEnd w:id="100"/>
      <w:bookmarkEnd w:id="10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1.10.1 投标人须知前附表规定召开投标预备会的，招标人按投标人须知前附表规定的时间和地点召开投标预备会，澄清投标人提出的问题。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1.10.2 投标人应在投标人须知前附表规定的时间前，以书面形式将提出的问题送达招标人，以便招标人在会议期间澄清。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1.10.3 投标预备会后，招标人在投标人须知前附表规定的时间内，将对投标人所提问题的澄清，以书面形式通知所有购买招标文件的投标人。该澄清内容为招标文件的组成部分。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2" w:name="_Toc296602431"/>
      <w:r>
        <w:rPr>
          <w:rFonts w:hint="eastAsia"/>
        </w:rPr>
        <w:t>1.11 偏离</w:t>
      </w:r>
      <w:bookmarkEnd w:id="10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投标人须知前附表允许投标文件偏离招标文件某些要求的，偏离应当符合招标文件规定的偏离范围和幅度。</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247085701"/>
      <w:bookmarkStart w:id="104" w:name="_Toc246996930"/>
      <w:bookmarkStart w:id="105" w:name="_Toc179632560"/>
      <w:bookmarkStart w:id="106" w:name="_Toc246996187"/>
      <w:bookmarkStart w:id="107" w:name="_Toc152042318"/>
      <w:bookmarkStart w:id="108" w:name="_Toc144974510"/>
      <w:bookmarkStart w:id="109" w:name="_Toc296602432"/>
      <w:bookmarkStart w:id="110" w:name="_Toc152045542"/>
      <w:r>
        <w:rPr>
          <w:rFonts w:hint="eastAsia"/>
        </w:rPr>
        <w:t>2. 招标文件</w:t>
      </w:r>
      <w:bookmarkEnd w:id="103"/>
      <w:bookmarkEnd w:id="104"/>
      <w:bookmarkEnd w:id="105"/>
      <w:bookmarkEnd w:id="106"/>
      <w:bookmarkEnd w:id="107"/>
      <w:bookmarkEnd w:id="108"/>
      <w:bookmarkEnd w:id="109"/>
      <w:bookmarkEnd w:id="11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144974511"/>
      <w:bookmarkStart w:id="112" w:name="_Toc246996188"/>
      <w:bookmarkStart w:id="113" w:name="_Toc246996931"/>
      <w:bookmarkStart w:id="114" w:name="_Toc152045543"/>
      <w:bookmarkStart w:id="115" w:name="_Toc179632561"/>
      <w:bookmarkStart w:id="116" w:name="_Toc296602433"/>
      <w:bookmarkStart w:id="117" w:name="_Toc152042319"/>
      <w:bookmarkStart w:id="118" w:name="_Toc247085702"/>
      <w:r>
        <w:rPr>
          <w:rFonts w:hint="eastAsia"/>
        </w:rPr>
        <w:t>2.1 招标文件的组成</w:t>
      </w:r>
      <w:bookmarkEnd w:id="111"/>
      <w:bookmarkEnd w:id="112"/>
      <w:bookmarkEnd w:id="113"/>
      <w:bookmarkEnd w:id="114"/>
      <w:bookmarkEnd w:id="115"/>
      <w:bookmarkEnd w:id="116"/>
      <w:bookmarkEnd w:id="117"/>
      <w:bookmarkEnd w:id="118"/>
    </w:p>
    <w:p>
      <w:pPr>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　　2.1.1 本招标文件包括：</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（1）招标公告（或投标邀请书）；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（2）投标人须知；</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（3）评标办法；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（4）合同条款及格式；</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（5）工程量清单；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（6）图纸；</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（7）技术标准和要求；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（8）投标文件格式。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2.1.2 根据本章第1.10款、第2.2款和第2.3款对招标文件所作的澄清、修改，构成招标文件的组成部分。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144974512"/>
      <w:bookmarkStart w:id="120" w:name="_Toc179632562"/>
      <w:bookmarkStart w:id="121" w:name="_Toc246996932"/>
      <w:bookmarkStart w:id="122" w:name="_Toc152045544"/>
      <w:bookmarkStart w:id="123" w:name="_Toc296602434"/>
      <w:bookmarkStart w:id="124" w:name="_Toc247085703"/>
      <w:bookmarkStart w:id="125" w:name="_Toc246996189"/>
      <w:bookmarkStart w:id="126" w:name="_Toc152042320"/>
      <w:r>
        <w:rPr>
          <w:rFonts w:hint="eastAsia"/>
        </w:rPr>
        <w:t>2.2 招标文件的澄清</w:t>
      </w:r>
      <w:bookmarkEnd w:id="119"/>
      <w:bookmarkEnd w:id="120"/>
      <w:bookmarkEnd w:id="121"/>
      <w:bookmarkEnd w:id="122"/>
      <w:bookmarkEnd w:id="123"/>
      <w:bookmarkEnd w:id="124"/>
      <w:bookmarkEnd w:id="125"/>
      <w:bookmarkEnd w:id="126"/>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2.2.1 投标人应仔细阅读和检查招标文件的全部内容。</w:t>
      </w:r>
      <w:r>
        <w:rPr>
          <w:rFonts w:hint="eastAsia" w:ascii="宋体" w:hAnsi="宋体"/>
          <w:szCs w:val="21"/>
        </w:rPr>
        <w:t>如发现缺页或附件不全，应及时向招标人提出，以便补齐。</w:t>
      </w:r>
      <w:r>
        <w:rPr>
          <w:rFonts w:hint="eastAsia"/>
        </w:rPr>
        <w:t>如有疑问，应在投标人须知前附表规定的时间前以书面形式（包括信函、电报、传真等可以有形地表现所载内容的形式，下同），要求招标人对招标文件予以澄清。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仿宋_GB2312" w:hAnsi="仿宋_GB2312" w:eastAsia="仿宋_GB2312"/>
          <w:sz w:val="32"/>
          <w:szCs w:val="32"/>
        </w:rPr>
      </w:pPr>
      <w:r>
        <w:rPr>
          <w:rFonts w:hint="eastAsia"/>
        </w:rPr>
        <w:t>2.2.2 招标文件的澄清将以书面形式发给所有购买招标文件的投标人，但不指明澄清问题的来源。如果澄清发出的时间距投标人须知前附表规定的投标截止时间不足</w:t>
      </w:r>
      <w:r>
        <w:rPr>
          <w:rFonts w:hint="eastAsia"/>
          <w:lang w:val="en-US" w:eastAsia="zh-CN"/>
        </w:rPr>
        <w:t>3</w:t>
      </w:r>
      <w:r>
        <w:rPr>
          <w:rFonts w:hint="eastAsia"/>
        </w:rPr>
        <w:t>天，并且澄清内容影响投标文件编制的，将相应延长投标截止时间。</w:t>
      </w:r>
      <w:r>
        <w:rPr>
          <w:rFonts w:hint="eastAsia" w:ascii="仿宋_GB2312" w:hAnsi="仿宋_GB2312" w:eastAsia="仿宋_GB2312"/>
          <w:sz w:val="32"/>
          <w:szCs w:val="32"/>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 投标人在收到澄清后，应在投标人须知前附表规定的时间内以书面形式通知招标人，确认已收到该澄清。</w:t>
      </w:r>
      <w:r>
        <w:rPr>
          <w:szCs w:val="21"/>
        </w:rPr>
        <w:t>投标人确认收到招标文件</w:t>
      </w:r>
      <w:r>
        <w:rPr>
          <w:rFonts w:hint="eastAsia"/>
          <w:szCs w:val="21"/>
        </w:rPr>
        <w:t>修改</w:t>
      </w:r>
      <w:r>
        <w:rPr>
          <w:szCs w:val="21"/>
        </w:rPr>
        <w:t>的时间</w:t>
      </w:r>
      <w:r>
        <w:rPr>
          <w:rFonts w:hint="eastAsia"/>
          <w:szCs w:val="21"/>
        </w:rPr>
        <w:t>要求详见投标须知前附表。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27" w:name="_Toc296602435"/>
      <w:bookmarkStart w:id="128" w:name="_Toc179632563"/>
      <w:bookmarkStart w:id="129" w:name="_Toc152045545"/>
      <w:bookmarkStart w:id="130" w:name="_Toc247085704"/>
      <w:bookmarkStart w:id="131" w:name="_Toc246996190"/>
      <w:bookmarkStart w:id="132" w:name="_Toc152042321"/>
      <w:bookmarkStart w:id="133" w:name="_Toc144974513"/>
      <w:bookmarkStart w:id="134" w:name="_Toc246996933"/>
      <w:r>
        <w:rPr>
          <w:rFonts w:hint="eastAsia"/>
        </w:rPr>
        <w:t>2.3 招标文件的修改</w:t>
      </w:r>
      <w:bookmarkEnd w:id="127"/>
      <w:bookmarkEnd w:id="128"/>
      <w:bookmarkEnd w:id="129"/>
      <w:bookmarkEnd w:id="130"/>
      <w:bookmarkEnd w:id="131"/>
      <w:bookmarkEnd w:id="132"/>
      <w:bookmarkEnd w:id="133"/>
      <w:bookmarkEnd w:id="13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2.3.1招标人可以书面形式修改招标文件，并通知所有已购买招标文件的投标人。但如果修改招标文件的时间距投标截止时间不足</w:t>
      </w:r>
      <w:r>
        <w:rPr>
          <w:rFonts w:hint="eastAsia"/>
          <w:lang w:val="en-US" w:eastAsia="zh-CN"/>
        </w:rPr>
        <w:t>3</w:t>
      </w:r>
      <w:r>
        <w:rPr>
          <w:rFonts w:hint="eastAsia"/>
        </w:rPr>
        <w:t>天，并且修改内容影响投标文件编制的，将相应延长投标截止时间。</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2.3.2 投标人收到修改内容后，应在投标人须知前附表规定的时间内以书面形式通知招标人，确认已收到该修改。</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246996191"/>
      <w:bookmarkStart w:id="136" w:name="_Toc152042322"/>
      <w:bookmarkStart w:id="137" w:name="_Toc296602436"/>
      <w:bookmarkStart w:id="138" w:name="_Toc144974514"/>
      <w:bookmarkStart w:id="139" w:name="_Toc247085705"/>
      <w:bookmarkStart w:id="140" w:name="_Toc246996934"/>
      <w:bookmarkStart w:id="141" w:name="_Toc152045546"/>
      <w:bookmarkStart w:id="142" w:name="_Toc179632564"/>
      <w:r>
        <w:rPr>
          <w:rFonts w:hint="eastAsia"/>
        </w:rPr>
        <w:t>3. 投标文件</w:t>
      </w:r>
      <w:bookmarkEnd w:id="135"/>
      <w:bookmarkEnd w:id="136"/>
      <w:bookmarkEnd w:id="137"/>
      <w:bookmarkEnd w:id="138"/>
      <w:bookmarkEnd w:id="139"/>
      <w:bookmarkEnd w:id="140"/>
      <w:bookmarkEnd w:id="141"/>
      <w:bookmarkEnd w:id="142"/>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3" w:name="_Toc296602437"/>
      <w:bookmarkStart w:id="144" w:name="_Toc246996192"/>
      <w:bookmarkStart w:id="145" w:name="_Toc152042323"/>
      <w:bookmarkStart w:id="146" w:name="_Toc247085706"/>
      <w:bookmarkStart w:id="147" w:name="_Toc144974515"/>
      <w:bookmarkStart w:id="148" w:name="_Toc179632565"/>
      <w:bookmarkStart w:id="149" w:name="_Toc152045547"/>
      <w:bookmarkStart w:id="150" w:name="_Toc246996935"/>
      <w:r>
        <w:rPr>
          <w:rFonts w:hint="eastAsia"/>
        </w:rPr>
        <w:t>3.1 投标文件的组成</w:t>
      </w:r>
      <w:bookmarkEnd w:id="143"/>
      <w:bookmarkEnd w:id="144"/>
      <w:bookmarkEnd w:id="145"/>
      <w:bookmarkEnd w:id="146"/>
      <w:bookmarkEnd w:id="147"/>
      <w:bookmarkEnd w:id="148"/>
      <w:bookmarkEnd w:id="149"/>
      <w:bookmarkEnd w:id="15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投标文件应包括下列内容：</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（1）投标函及投标函附录；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（2）法定代表人身份证明或附有法定代表人身份证明的授权委托书；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（3）投标保证金；</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（4）已标价工程量清单；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w:t>
      </w:r>
      <w:r>
        <w:rPr>
          <w:rFonts w:hint="eastAsia"/>
          <w:lang w:eastAsia="zh-CN"/>
        </w:rPr>
        <w:t>施工方案</w:t>
      </w:r>
      <w:r>
        <w:rPr>
          <w:rFonts w:hint="eastAsia"/>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（6）项目管理机构；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（7）资格审查资料；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（8）其他材料。</w:t>
      </w:r>
    </w:p>
    <w:p>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sz w:val="21"/>
          <w:szCs w:val="21"/>
        </w:rPr>
      </w:pPr>
      <w:bookmarkStart w:id="151" w:name="_Toc144974516"/>
      <w:bookmarkStart w:id="152" w:name="_Toc247085707"/>
      <w:bookmarkStart w:id="153" w:name="_Toc179632566"/>
      <w:bookmarkStart w:id="154" w:name="_Toc296602438"/>
      <w:bookmarkStart w:id="155" w:name="_Toc152042324"/>
      <w:bookmarkStart w:id="156" w:name="_Toc246996193"/>
      <w:bookmarkStart w:id="157" w:name="_Toc152045548"/>
      <w:bookmarkStart w:id="158" w:name="_Toc246996936"/>
      <w:r>
        <w:rPr>
          <w:rFonts w:hint="eastAsia"/>
        </w:rPr>
        <w:t>3.2 投标报价</w:t>
      </w:r>
      <w:bookmarkEnd w:id="151"/>
      <w:bookmarkEnd w:id="152"/>
      <w:bookmarkEnd w:id="153"/>
      <w:bookmarkEnd w:id="154"/>
      <w:bookmarkEnd w:id="155"/>
      <w:bookmarkEnd w:id="156"/>
      <w:bookmarkEnd w:id="157"/>
      <w:bookmarkEnd w:id="15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3.2.1 投标人应按第五章“工程量清单”的要求填写相应表格。</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3.2.2 投标人在投标截止时间前修改投标函中的投标报价总额，应同时修改“已标价工程量清单”中的相应报价，投标报价总额为各分项金额之和。此修改须符合本章第4.3款的有关要求。</w:t>
      </w:r>
      <w:bookmarkStart w:id="159" w:name="_Toc152045549"/>
      <w:bookmarkStart w:id="160" w:name="_Toc152042325"/>
      <w:bookmarkStart w:id="161" w:name="_Toc144974517"/>
      <w:bookmarkStart w:id="162" w:name="_Toc17963256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3.2.3 招标人设有最高投标限价的，投标人的投标报价不得超过最高投标限价，最高投标限价或其计算方法在投标人须知前附表中载明。</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3" w:name="_Toc246996937"/>
      <w:bookmarkStart w:id="164" w:name="_Toc246996194"/>
      <w:bookmarkStart w:id="165" w:name="_Toc296602439"/>
      <w:bookmarkStart w:id="166" w:name="_Toc247085708"/>
      <w:r>
        <w:rPr>
          <w:rFonts w:hint="eastAsia"/>
        </w:rPr>
        <w:t>3.3 投标有效期</w:t>
      </w:r>
      <w:bookmarkEnd w:id="159"/>
      <w:bookmarkEnd w:id="160"/>
      <w:bookmarkEnd w:id="161"/>
      <w:bookmarkEnd w:id="162"/>
      <w:bookmarkEnd w:id="163"/>
      <w:bookmarkEnd w:id="164"/>
      <w:bookmarkEnd w:id="165"/>
      <w:bookmarkEnd w:id="16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3.3.1 除投标人须知前附表另有规定外，投标有效期为60天。</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3.3.2在投标有效期内，投标人撤销或修改其投标文件的，应承担招标文件和法律规定的责任。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楷体_GB2312" w:hAnsi="宋体" w:eastAsia="楷体_GB2312"/>
          <w:szCs w:val="21"/>
        </w:rPr>
      </w:pPr>
      <w:r>
        <w:rPr>
          <w:rFonts w:hint="eastAsia"/>
        </w:rPr>
        <w:t>3.3.3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7" w:name="_Toc152042326"/>
      <w:bookmarkStart w:id="168" w:name="_Toc247085709"/>
      <w:bookmarkStart w:id="169" w:name="_Toc179632568"/>
      <w:bookmarkStart w:id="170" w:name="_Toc246996938"/>
      <w:bookmarkStart w:id="171" w:name="_Toc144974518"/>
      <w:bookmarkStart w:id="172" w:name="_Toc152045550"/>
      <w:bookmarkStart w:id="173" w:name="_Toc246996195"/>
      <w:bookmarkStart w:id="174" w:name="_Toc296602440"/>
      <w:r>
        <w:rPr>
          <w:rFonts w:hint="eastAsia"/>
        </w:rPr>
        <w:t>3.4 投标保证金</w:t>
      </w:r>
      <w:bookmarkEnd w:id="167"/>
      <w:bookmarkEnd w:id="168"/>
      <w:bookmarkEnd w:id="169"/>
      <w:bookmarkEnd w:id="170"/>
      <w:bookmarkEnd w:id="171"/>
      <w:bookmarkEnd w:id="172"/>
      <w:bookmarkEnd w:id="173"/>
      <w:bookmarkEnd w:id="17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3.4.1 投标人须知前附表规定递交投标保证金的，投标人在递交投标文件的同时，应按投标人须知前附表规定的金额、担保形式和第八章“投标文件格式”规定的或者事先经过招标人认可的投标保证金格式递交投标保证金，并作为其投标文件的组成部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3.4.2 投标人不按本章第3.4.1项要求提交投标保证金的，评标委员会将否决其投标。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b/>
        </w:rPr>
      </w:pPr>
      <w:r>
        <w:rPr>
          <w:rFonts w:hint="eastAsia"/>
        </w:rPr>
        <w:t xml:space="preserve">3.4.3 </w:t>
      </w:r>
      <w:r>
        <w:rPr>
          <w:rFonts w:hint="eastAsia" w:ascii="宋体" w:hAnsi="宋体" w:cs="宋体"/>
          <w:b/>
          <w:kern w:val="0"/>
          <w:szCs w:val="21"/>
        </w:rPr>
        <w:t>退还投标保证金的具体要求详见投标须知前附表。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3.4.4 有下列情形之一的，投标保证金将不予退还：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（1）投标人在规定的投标有效期内撤销或修改其投标文件；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（2）中标人在收到中标通知书后，无正当理由拒签合同协议书或未按招标文件规定提交履约担保；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（3）其他不予退还投标保证金的情形。</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5" w:name="_Toc296602441"/>
      <w:bookmarkStart w:id="176" w:name="_Toc144974520"/>
      <w:bookmarkStart w:id="177" w:name="_Toc179632570"/>
      <w:bookmarkStart w:id="178" w:name="_Toc247085710"/>
      <w:bookmarkStart w:id="179" w:name="_Toc246996939"/>
      <w:bookmarkStart w:id="180" w:name="_Toc152045552"/>
      <w:bookmarkStart w:id="181" w:name="_Toc246996196"/>
      <w:bookmarkStart w:id="182" w:name="_Toc152042328"/>
      <w:r>
        <w:rPr>
          <w:rFonts w:hint="eastAsia"/>
        </w:rPr>
        <w:t>3.5 资格审查资料</w:t>
      </w:r>
      <w:bookmarkEnd w:id="175"/>
      <w:bookmarkEnd w:id="176"/>
      <w:bookmarkEnd w:id="177"/>
      <w:bookmarkEnd w:id="178"/>
      <w:bookmarkEnd w:id="179"/>
      <w:bookmarkEnd w:id="180"/>
      <w:bookmarkEnd w:id="181"/>
      <w:bookmarkEnd w:id="18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3.5.1 “投标人基本情况表”应附投标人营业执照（统一社会信用代码）、资质证书和安全生产许可证等材料的复印件。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3.5.2 “近年财务状况表”应附经会计师事务所或审计机构审计的财务会计报表，包括资产负债表、现金流量表、利润表和财务情况说明书等复印件，具体年份要求见投标人须知前附表。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3.5.3 “近年完成的类似项目情况表”应附中标通知书和（或）合同协议书、工程竣工验收证书（或工程接收证书或工程竣工验收备案表）的复印件</w:t>
      </w:r>
      <w:r>
        <w:rPr>
          <w:rFonts w:hint="eastAsia"/>
          <w:lang w:eastAsia="zh-CN"/>
        </w:rPr>
        <w:t>（</w:t>
      </w:r>
      <w:r>
        <w:rPr>
          <w:rFonts w:hint="eastAsia"/>
          <w:lang w:val="en-US" w:eastAsia="zh-CN"/>
        </w:rPr>
        <w:t>如要求</w:t>
      </w:r>
      <w:r>
        <w:rPr>
          <w:rFonts w:hint="eastAsia"/>
          <w:lang w:eastAsia="zh-CN"/>
        </w:rPr>
        <w:t>）</w:t>
      </w:r>
      <w:r>
        <w:rPr>
          <w:rFonts w:hint="eastAsia"/>
        </w:rPr>
        <w:t>，具体要求见投标人须知前附表。每张表格只填写一个项目，并标明序号。</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3.5.4 “正在施工和新承接的项目情况表”应附中标通知书和（或）合同协议书复印件。每张表格只填写一个项目，并标明序号。</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3" w:name="_Toc296602442"/>
      <w:bookmarkStart w:id="184" w:name="_Toc144974521"/>
      <w:bookmarkStart w:id="185" w:name="_Toc246996940"/>
      <w:bookmarkStart w:id="186" w:name="_Toc152045553"/>
      <w:bookmarkStart w:id="187" w:name="_Toc152042329"/>
      <w:bookmarkStart w:id="188" w:name="_Toc179632571"/>
      <w:bookmarkStart w:id="189" w:name="_Toc246996197"/>
      <w:bookmarkStart w:id="190" w:name="_Toc247085711"/>
      <w:r>
        <w:rPr>
          <w:rFonts w:hint="eastAsia"/>
        </w:rPr>
        <w:t>3.6投标文件的编制</w:t>
      </w:r>
      <w:bookmarkEnd w:id="18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3.6.1投标文件应按第八章“投标文件格式”进行编写，如有必要，可以增加附页，作为投标文件的组成部分。其中，投标函附录</w:t>
      </w:r>
      <w:r>
        <w:rPr>
          <w:rFonts w:hint="eastAsia"/>
          <w:lang w:eastAsia="zh-CN"/>
        </w:rPr>
        <w:t>（</w:t>
      </w:r>
      <w:r>
        <w:rPr>
          <w:rFonts w:hint="eastAsia"/>
          <w:lang w:val="en-US" w:eastAsia="zh-CN"/>
        </w:rPr>
        <w:t>如要求</w:t>
      </w:r>
      <w:r>
        <w:rPr>
          <w:rFonts w:hint="eastAsia"/>
          <w:lang w:eastAsia="zh-CN"/>
        </w:rPr>
        <w:t>）</w:t>
      </w:r>
      <w:r>
        <w:rPr>
          <w:rFonts w:hint="eastAsia"/>
        </w:rPr>
        <w:t>在满足招标文件实质性要求的基础上，可以提出比招标文件要求更有利于招标人的承诺。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szCs w:val="21"/>
        </w:rPr>
      </w:pPr>
      <w:r>
        <w:rPr>
          <w:rFonts w:hint="eastAsia"/>
        </w:rPr>
        <w:t>3.6.2 投标文件应当对招标文件有关</w:t>
      </w:r>
      <w:r>
        <w:rPr>
          <w:rFonts w:hint="eastAsia"/>
          <w:szCs w:val="21"/>
        </w:rPr>
        <w:t>工期、投标有效期、质量要求、技术标准和要求、招标范围等实质性内容作出响应。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3.6.3投标文件应用不褪色的材料书写或打印，并由投标人的法定代表人或其委托代理人签字或盖单位章。委托代理人签字的，投标文件应附法定代表人签署的授权委托书。投标文件应尽量避免涂改、行间插字或删除。如果出现上述情况，改动之处应加盖单位章或由投标人的法定代表人或其授权的代理人签字确认。签字或盖章的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3.6.4 投标文件正本一份, 副本份数见投标人须知前附表。正本和副本的封面上应清楚地标记“正本”或“副本”的字样。当副本和正本不一致时，以正本为准。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3.6.5 投标文件的正本与副本应分别装订成册，具体装订要求见投标人须知前附表规定。</w:t>
      </w:r>
      <w:bookmarkEnd w:id="184"/>
      <w:bookmarkEnd w:id="185"/>
      <w:bookmarkEnd w:id="186"/>
      <w:bookmarkEnd w:id="187"/>
      <w:bookmarkEnd w:id="188"/>
      <w:bookmarkEnd w:id="189"/>
      <w:bookmarkEnd w:id="190"/>
      <w:bookmarkStart w:id="191" w:name="_Toc152042331"/>
      <w:bookmarkStart w:id="192" w:name="_Toc246996942"/>
      <w:bookmarkStart w:id="193" w:name="_Toc247085713"/>
      <w:bookmarkStart w:id="194" w:name="_Toc246996199"/>
      <w:bookmarkStart w:id="195" w:name="_Toc179632573"/>
      <w:bookmarkStart w:id="196" w:name="_Toc144974523"/>
      <w:bookmarkStart w:id="197" w:name="_Toc152045555"/>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98" w:name="_Toc296602443"/>
      <w:r>
        <w:rPr>
          <w:rFonts w:hint="eastAsia"/>
        </w:rPr>
        <w:t>4. 投标</w:t>
      </w:r>
      <w:bookmarkEnd w:id="191"/>
      <w:bookmarkEnd w:id="192"/>
      <w:bookmarkEnd w:id="193"/>
      <w:bookmarkEnd w:id="194"/>
      <w:bookmarkEnd w:id="195"/>
      <w:bookmarkEnd w:id="196"/>
      <w:bookmarkEnd w:id="197"/>
      <w:bookmarkEnd w:id="198"/>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9" w:name="_Toc246996200"/>
      <w:bookmarkStart w:id="200" w:name="_Toc144974524"/>
      <w:bookmarkStart w:id="201" w:name="_Toc152042332"/>
      <w:bookmarkStart w:id="202" w:name="_Toc247085714"/>
      <w:bookmarkStart w:id="203" w:name="_Toc179632574"/>
      <w:bookmarkStart w:id="204" w:name="_Toc152045556"/>
      <w:bookmarkStart w:id="205" w:name="_Toc246996943"/>
      <w:bookmarkStart w:id="206" w:name="_Toc296602444"/>
      <w:r>
        <w:rPr>
          <w:rFonts w:hint="eastAsia"/>
        </w:rPr>
        <w:t>4.1 投标文件的密封和标记</w:t>
      </w:r>
      <w:bookmarkEnd w:id="199"/>
      <w:bookmarkEnd w:id="200"/>
      <w:bookmarkEnd w:id="201"/>
      <w:bookmarkEnd w:id="202"/>
      <w:bookmarkEnd w:id="203"/>
      <w:bookmarkEnd w:id="204"/>
      <w:bookmarkEnd w:id="205"/>
      <w:bookmarkEnd w:id="206"/>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207" w:name="_Toc246996201"/>
      <w:bookmarkStart w:id="208" w:name="_Toc152045557"/>
      <w:bookmarkStart w:id="209" w:name="_Toc144974525"/>
      <w:bookmarkStart w:id="210" w:name="_Toc179632575"/>
      <w:bookmarkStart w:id="211" w:name="_Toc247085715"/>
      <w:bookmarkStart w:id="212" w:name="_Toc152042333"/>
      <w:bookmarkStart w:id="213" w:name="_Toc246996944"/>
      <w:r>
        <w:rPr>
          <w:rFonts w:hint="eastAsia"/>
        </w:rPr>
        <w:t>4.1.1 投标文件应进行包装、加贴封条，并在封套的封口处加盖投标人单位章。</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4.1.2 投标文件封套上应写明的内容见投标人须知前附表。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4.1.3 未按本章第4.1.1项或第4.1.2项要求密封和加写标记的投标文件，招标人应予拒收。</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4" w:name="_Toc296602445"/>
      <w:r>
        <w:rPr>
          <w:rFonts w:hint="eastAsia"/>
        </w:rPr>
        <w:t>4.2 投标文件的递交</w:t>
      </w:r>
      <w:bookmarkEnd w:id="207"/>
      <w:bookmarkEnd w:id="208"/>
      <w:bookmarkEnd w:id="209"/>
      <w:bookmarkEnd w:id="210"/>
      <w:bookmarkEnd w:id="211"/>
      <w:bookmarkEnd w:id="212"/>
      <w:bookmarkEnd w:id="213"/>
      <w:bookmarkEnd w:id="21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4.2.1 投标人应在本章第2.2.2项规定的投标截止时间前递交投标文件。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4.2.2 投标人递交投标文件的地点：见投标人须知前附表。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4.2.3 除投标人须知前附表另有规定外，投标人所递交的投标文件不予退还。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w:t>
      </w:r>
      <w:r>
        <w:rPr>
          <w:rFonts w:hint="eastAsia"/>
          <w:lang w:val="en-US" w:eastAsia="zh-CN"/>
        </w:rPr>
        <w:t>4</w:t>
      </w:r>
      <w:r>
        <w:rPr>
          <w:rFonts w:hint="eastAsia"/>
        </w:rPr>
        <w:t xml:space="preserve"> 逾期送达的或者未送达指定地点的投标文件，招标人不予受理。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5" w:name="_Toc246996202"/>
      <w:bookmarkStart w:id="216" w:name="_Toc296602446"/>
      <w:bookmarkStart w:id="217" w:name="_Toc179632576"/>
      <w:bookmarkStart w:id="218" w:name="_Toc144974526"/>
      <w:bookmarkStart w:id="219" w:name="_Toc152045558"/>
      <w:bookmarkStart w:id="220" w:name="_Toc247085716"/>
      <w:bookmarkStart w:id="221" w:name="_Toc246996945"/>
      <w:bookmarkStart w:id="222" w:name="_Toc152042334"/>
      <w:r>
        <w:rPr>
          <w:rFonts w:hint="eastAsia"/>
        </w:rPr>
        <w:t>4.3 投标文件的修改与撤回</w:t>
      </w:r>
      <w:bookmarkEnd w:id="215"/>
      <w:bookmarkEnd w:id="216"/>
      <w:bookmarkEnd w:id="217"/>
      <w:bookmarkEnd w:id="218"/>
      <w:bookmarkEnd w:id="219"/>
      <w:bookmarkEnd w:id="220"/>
      <w:bookmarkEnd w:id="221"/>
      <w:bookmarkEnd w:id="22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4.3.1 在本章第2.2.2项规定的投标截止时间前，投标人可以修改或撤回已递交的投标文件，但应以书面形式通知招标人。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4.3.2 投标人修改或撤回已递交投标文件的书面通知应按照本章第3.6.3项的要求签字或盖章。</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4.3.3 投标人撤回投标文件的，招标人自收到投标人书面撤回通知之日起5日内退还已收取的投标保证金。</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4.3.4 修改的内容为投标文件的组成部分。修改的投标文件应按照本章第3条、第4条规定进行编制、密封、标记和递交，并标明“修改”字样。</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23" w:name="_Toc152045559"/>
      <w:bookmarkStart w:id="224" w:name="_Toc246996203"/>
      <w:bookmarkStart w:id="225" w:name="_Toc179632577"/>
      <w:bookmarkStart w:id="226" w:name="_Toc246996946"/>
      <w:bookmarkStart w:id="227" w:name="_Toc247085717"/>
      <w:bookmarkStart w:id="228" w:name="_Toc296602447"/>
      <w:bookmarkStart w:id="229" w:name="_Toc144974527"/>
      <w:bookmarkStart w:id="230" w:name="_Toc152042335"/>
      <w:r>
        <w:rPr>
          <w:rFonts w:hint="eastAsia"/>
        </w:rPr>
        <w:t>5. 开标</w:t>
      </w:r>
      <w:bookmarkEnd w:id="223"/>
      <w:bookmarkEnd w:id="224"/>
      <w:bookmarkEnd w:id="225"/>
      <w:bookmarkEnd w:id="226"/>
      <w:bookmarkEnd w:id="227"/>
      <w:bookmarkEnd w:id="228"/>
      <w:bookmarkEnd w:id="229"/>
      <w:bookmarkEnd w:id="23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1" w:name="_Toc144974528"/>
      <w:bookmarkStart w:id="232" w:name="_Toc247085718"/>
      <w:bookmarkStart w:id="233" w:name="_Toc152042336"/>
      <w:bookmarkStart w:id="234" w:name="_Toc296602448"/>
      <w:bookmarkStart w:id="235" w:name="_Toc246996947"/>
      <w:bookmarkStart w:id="236" w:name="_Toc246996204"/>
      <w:bookmarkStart w:id="237" w:name="_Toc152045560"/>
      <w:bookmarkStart w:id="238" w:name="_Toc179632578"/>
      <w:r>
        <w:rPr>
          <w:rFonts w:hint="eastAsia"/>
        </w:rPr>
        <w:t>5.1 开标时间和地点</w:t>
      </w:r>
      <w:bookmarkEnd w:id="231"/>
      <w:bookmarkEnd w:id="232"/>
      <w:bookmarkEnd w:id="233"/>
      <w:bookmarkEnd w:id="234"/>
      <w:bookmarkEnd w:id="235"/>
      <w:bookmarkEnd w:id="236"/>
      <w:bookmarkEnd w:id="237"/>
      <w:bookmarkEnd w:id="2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招标人在本章第2.2.2项规定的投标截止时间（开标时间）和投标人须知前附表规定的地点公开开标，并邀请所有投标人的法定代表人或其委托代理人准时参加。</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9" w:name="_Toc152042337"/>
      <w:bookmarkStart w:id="240" w:name="_Toc296602449"/>
      <w:bookmarkStart w:id="241" w:name="_Toc247085719"/>
      <w:bookmarkStart w:id="242" w:name="_Toc152045561"/>
      <w:bookmarkStart w:id="243" w:name="_Toc246996205"/>
      <w:bookmarkStart w:id="244" w:name="_Toc246996948"/>
      <w:bookmarkStart w:id="245" w:name="_Toc179632579"/>
      <w:bookmarkStart w:id="246" w:name="_Toc144974529"/>
      <w:r>
        <w:rPr>
          <w:rFonts w:hint="eastAsia"/>
        </w:rPr>
        <w:t>5.2 开标程序</w:t>
      </w:r>
      <w:bookmarkEnd w:id="239"/>
      <w:bookmarkEnd w:id="240"/>
      <w:bookmarkEnd w:id="241"/>
      <w:bookmarkEnd w:id="242"/>
      <w:bookmarkEnd w:id="243"/>
      <w:bookmarkEnd w:id="244"/>
      <w:bookmarkEnd w:id="245"/>
      <w:bookmarkEnd w:id="24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5.2.1</w:t>
      </w:r>
      <w:r>
        <w:rPr>
          <w:rFonts w:hint="eastAsia"/>
        </w:rPr>
        <w:t>主持人按下列程序进行开标：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（1）宣布开标纪律；</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（2）公布在投标截止时间前递交投标文件的投标人名称，并点名确认投标人是否派人到场；</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（3）宣布开标人、唱标人、记录人、监标人等有关人员</w:t>
      </w:r>
      <w:r>
        <w:rPr>
          <w:rFonts w:hint="eastAsia"/>
          <w:lang w:eastAsia="zh-CN"/>
        </w:rPr>
        <w:t>（</w:t>
      </w:r>
      <w:r>
        <w:rPr>
          <w:rFonts w:hint="eastAsia"/>
          <w:lang w:val="en-US" w:eastAsia="zh-CN"/>
        </w:rPr>
        <w:t>如有</w:t>
      </w:r>
      <w:r>
        <w:rPr>
          <w:rFonts w:hint="eastAsia"/>
          <w:lang w:eastAsia="zh-CN"/>
        </w:rPr>
        <w:t>）</w:t>
      </w:r>
      <w:r>
        <w:rPr>
          <w:rFonts w:hint="eastAsia"/>
        </w:rPr>
        <w:t>姓名；</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（4）按照投标人须知前附表规定检查投标文件的密封情况；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（5）按照投标人须知前附表的规定确定并宣布投标文件开标顺序；</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（6）设有标底的，公布标底；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（7）按照宣布的开标顺序当众开标，公布投标人名称、投标保证金的递交情况、投标报价、质量目标、工期及其他内容，并记录在案；</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（8）规定最高投标限价计算方法的，计算并公布最高投标限价；</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（9）投标人代表、招标人代表、监标人、记录人等有关人员</w:t>
      </w:r>
      <w:r>
        <w:rPr>
          <w:rFonts w:hint="eastAsia"/>
          <w:lang w:eastAsia="zh-CN"/>
        </w:rPr>
        <w:t>（</w:t>
      </w:r>
      <w:r>
        <w:rPr>
          <w:rFonts w:hint="eastAsia"/>
          <w:lang w:val="en-US" w:eastAsia="zh-CN"/>
        </w:rPr>
        <w:t>如有</w:t>
      </w:r>
      <w:r>
        <w:rPr>
          <w:rFonts w:hint="eastAsia"/>
          <w:lang w:eastAsia="zh-CN"/>
        </w:rPr>
        <w:t>）</w:t>
      </w:r>
      <w:r>
        <w:rPr>
          <w:rFonts w:hint="eastAsia"/>
        </w:rPr>
        <w:t>在开标记录上签字确认；</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（10）开标结束。</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5.2.2如有询标事宜，评标委员会向投标人发起询标。投标人应在规定的时间内（从评标委员会发起询标起不超过30分钟）对询标内容进行答复，否则视为放弃答复。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7" w:name="_Toc296602450"/>
      <w:r>
        <w:rPr>
          <w:rFonts w:hint="eastAsia"/>
        </w:rPr>
        <w:t>5.3 开标异议</w:t>
      </w:r>
      <w:bookmarkEnd w:id="247"/>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投标人对开标有异议的，应当在开标现场提出，招标人当场作出答复，并制作记录。</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48" w:name="_Toc296602451"/>
      <w:bookmarkStart w:id="249" w:name="_Toc246996949"/>
      <w:bookmarkStart w:id="250" w:name="_Toc144974530"/>
      <w:bookmarkStart w:id="251" w:name="_Toc246996206"/>
      <w:bookmarkStart w:id="252" w:name="_Toc152042338"/>
      <w:bookmarkStart w:id="253" w:name="_Toc152045562"/>
      <w:bookmarkStart w:id="254" w:name="_Toc179632580"/>
      <w:bookmarkStart w:id="255" w:name="_Toc247085720"/>
      <w:r>
        <w:rPr>
          <w:rFonts w:hint="eastAsia"/>
        </w:rPr>
        <w:t>6. 评标</w:t>
      </w:r>
      <w:bookmarkEnd w:id="248"/>
      <w:bookmarkEnd w:id="249"/>
      <w:bookmarkEnd w:id="250"/>
      <w:bookmarkEnd w:id="251"/>
      <w:bookmarkEnd w:id="252"/>
      <w:bookmarkEnd w:id="253"/>
      <w:bookmarkEnd w:id="254"/>
      <w:bookmarkEnd w:id="255"/>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56" w:name="_Toc179632581"/>
      <w:bookmarkStart w:id="257" w:name="_Toc144974531"/>
      <w:bookmarkStart w:id="258" w:name="_Toc296602452"/>
      <w:bookmarkStart w:id="259" w:name="_Toc246996950"/>
      <w:bookmarkStart w:id="260" w:name="_Toc152042339"/>
      <w:bookmarkStart w:id="261" w:name="_Toc152045563"/>
      <w:bookmarkStart w:id="262" w:name="_Toc246996207"/>
      <w:bookmarkStart w:id="263" w:name="_Toc247085721"/>
      <w:r>
        <w:rPr>
          <w:rFonts w:hint="eastAsia"/>
        </w:rPr>
        <w:t>6.1 评标委员会</w:t>
      </w:r>
      <w:bookmarkEnd w:id="256"/>
      <w:bookmarkEnd w:id="257"/>
      <w:bookmarkEnd w:id="258"/>
      <w:bookmarkEnd w:id="259"/>
      <w:bookmarkEnd w:id="260"/>
      <w:bookmarkEnd w:id="261"/>
      <w:bookmarkEnd w:id="262"/>
      <w:bookmarkEnd w:id="2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6.1.2 评标委员会成员有下列情形之一的，应当回避：</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（1）投标人或投标人主要负责人的近亲属；</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（2）项目主管部门或者行政监督部门的人员；</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（3）与投标人有经济利益关系；</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（4）曾因在招标、评标以及其他与招标投标有关活动中从事违法行为而受过行政处罚或刑事处罚的；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（5）与投标人有其他利害关系。</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64" w:name="_Toc179632582"/>
      <w:bookmarkStart w:id="265" w:name="_Toc144974532"/>
      <w:bookmarkStart w:id="266" w:name="_Toc152045564"/>
      <w:bookmarkStart w:id="267" w:name="_Toc246996208"/>
      <w:bookmarkStart w:id="268" w:name="_Toc247085722"/>
      <w:bookmarkStart w:id="269" w:name="_Toc246996951"/>
      <w:bookmarkStart w:id="270" w:name="_Toc152042340"/>
      <w:bookmarkStart w:id="271" w:name="_Toc296602453"/>
      <w:r>
        <w:rPr>
          <w:rFonts w:hint="eastAsia"/>
        </w:rPr>
        <w:t>6.2 评标原则</w:t>
      </w:r>
      <w:bookmarkEnd w:id="264"/>
      <w:bookmarkEnd w:id="265"/>
      <w:bookmarkEnd w:id="266"/>
      <w:bookmarkEnd w:id="267"/>
      <w:bookmarkEnd w:id="268"/>
      <w:bookmarkEnd w:id="269"/>
      <w:bookmarkEnd w:id="270"/>
      <w:bookmarkEnd w:id="2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评标活动遵循公平、公正、科学和择优的原则。</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72" w:name="_Toc144974533"/>
      <w:bookmarkStart w:id="273" w:name="_Toc152045565"/>
      <w:bookmarkStart w:id="274" w:name="_Toc247085723"/>
      <w:bookmarkStart w:id="275" w:name="_Toc246996209"/>
      <w:bookmarkStart w:id="276" w:name="_Toc179632583"/>
      <w:bookmarkStart w:id="277" w:name="_Toc152042341"/>
      <w:bookmarkStart w:id="278" w:name="_Toc296602454"/>
      <w:bookmarkStart w:id="279" w:name="_Toc246996952"/>
      <w:r>
        <w:rPr>
          <w:rFonts w:hint="eastAsia"/>
        </w:rPr>
        <w:t>6.3 评标</w:t>
      </w:r>
      <w:bookmarkEnd w:id="272"/>
      <w:bookmarkEnd w:id="273"/>
      <w:bookmarkEnd w:id="274"/>
      <w:bookmarkEnd w:id="275"/>
      <w:bookmarkEnd w:id="276"/>
      <w:bookmarkEnd w:id="277"/>
      <w:bookmarkEnd w:id="278"/>
      <w:bookmarkEnd w:id="27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评标委员会按照第三章“评标办法”规定的方法、评审因素、标准和程序对投标文件进行评审。第三章“评标办法”没有规定的方法、评审因素和标准，不作为评标依据。</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80" w:name="_Toc144974534"/>
      <w:bookmarkStart w:id="281" w:name="_Toc246996953"/>
      <w:bookmarkStart w:id="282" w:name="_Toc247085724"/>
      <w:bookmarkStart w:id="283" w:name="_Toc246996210"/>
      <w:bookmarkStart w:id="284" w:name="_Toc296602455"/>
      <w:bookmarkStart w:id="285" w:name="_Toc179632584"/>
      <w:bookmarkStart w:id="286" w:name="_Toc152045566"/>
      <w:bookmarkStart w:id="287" w:name="_Toc152042342"/>
      <w:r>
        <w:rPr>
          <w:rFonts w:hint="eastAsia"/>
        </w:rPr>
        <w:t>7. 合同授予</w:t>
      </w:r>
      <w:bookmarkEnd w:id="280"/>
      <w:bookmarkEnd w:id="281"/>
      <w:bookmarkEnd w:id="282"/>
      <w:bookmarkEnd w:id="283"/>
      <w:bookmarkEnd w:id="284"/>
      <w:bookmarkEnd w:id="285"/>
      <w:bookmarkEnd w:id="286"/>
      <w:bookmarkEnd w:id="287"/>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88" w:name="_Toc247085725"/>
      <w:bookmarkStart w:id="289" w:name="_Toc144974535"/>
      <w:bookmarkStart w:id="290" w:name="_Toc179632585"/>
      <w:bookmarkStart w:id="291" w:name="_Toc152042343"/>
      <w:bookmarkStart w:id="292" w:name="_Toc246996211"/>
      <w:bookmarkStart w:id="293" w:name="_Toc246996954"/>
      <w:bookmarkStart w:id="294" w:name="_Toc152045567"/>
      <w:bookmarkStart w:id="295" w:name="_Toc296602456"/>
      <w:r>
        <w:rPr>
          <w:rFonts w:hint="eastAsia"/>
        </w:rPr>
        <w:t>7.1 定标方式</w:t>
      </w:r>
      <w:bookmarkEnd w:id="288"/>
      <w:bookmarkEnd w:id="289"/>
      <w:bookmarkEnd w:id="290"/>
      <w:bookmarkEnd w:id="291"/>
      <w:bookmarkEnd w:id="292"/>
      <w:bookmarkEnd w:id="293"/>
      <w:bookmarkEnd w:id="294"/>
      <w:bookmarkEnd w:id="29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除投标人须知前附表规定评标委员会直接确定中标人外，招标人依据评标委员会推荐的中标候选人确定中标人，评标委员会推荐中标候选人的人数见投标人须知前附表。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96" w:name="_Toc296602457"/>
      <w:r>
        <w:rPr>
          <w:rFonts w:hint="eastAsia"/>
        </w:rPr>
        <w:t>7.2 中标候选人公示</w:t>
      </w:r>
      <w:bookmarkEnd w:id="29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招标人在投标人须知前附表规定的媒介公示中标候选人。</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97" w:name="_Toc152042344"/>
      <w:bookmarkStart w:id="298" w:name="_Toc296602458"/>
      <w:bookmarkStart w:id="299" w:name="_Toc152045568"/>
      <w:bookmarkStart w:id="300" w:name="_Toc246996212"/>
      <w:bookmarkStart w:id="301" w:name="_Toc247085726"/>
      <w:bookmarkStart w:id="302" w:name="_Toc179632586"/>
      <w:bookmarkStart w:id="303" w:name="_Toc246996955"/>
      <w:bookmarkStart w:id="304" w:name="_Toc144974536"/>
      <w:r>
        <w:rPr>
          <w:rFonts w:hint="eastAsia"/>
        </w:rPr>
        <w:t>7.3 中标通知</w:t>
      </w:r>
      <w:bookmarkEnd w:id="297"/>
      <w:bookmarkEnd w:id="298"/>
      <w:bookmarkEnd w:id="299"/>
      <w:bookmarkEnd w:id="300"/>
      <w:bookmarkEnd w:id="301"/>
      <w:bookmarkEnd w:id="302"/>
      <w:bookmarkEnd w:id="303"/>
      <w:bookmarkEnd w:id="30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在本章第3.3款规定的投标有效期内，招标人以书面形式向中标人发出中标通知书，同时将中标结果通知未中标的投标人。</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05" w:name="_Toc246996956"/>
      <w:bookmarkStart w:id="306" w:name="_Toc179632587"/>
      <w:bookmarkStart w:id="307" w:name="_Toc144974537"/>
      <w:bookmarkStart w:id="308" w:name="_Toc152042345"/>
      <w:bookmarkStart w:id="309" w:name="_Toc246996213"/>
      <w:bookmarkStart w:id="310" w:name="_Toc296602459"/>
      <w:bookmarkStart w:id="311" w:name="_Toc247085727"/>
      <w:bookmarkStart w:id="312" w:name="_Toc152045569"/>
      <w:r>
        <w:rPr>
          <w:rFonts w:hint="eastAsia"/>
        </w:rPr>
        <w:t>7.4 履约担保</w:t>
      </w:r>
      <w:bookmarkEnd w:id="305"/>
      <w:bookmarkEnd w:id="306"/>
      <w:bookmarkEnd w:id="307"/>
      <w:bookmarkEnd w:id="308"/>
      <w:bookmarkEnd w:id="309"/>
      <w:bookmarkEnd w:id="310"/>
      <w:bookmarkEnd w:id="311"/>
      <w:bookmarkEnd w:id="31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7.4.1在签订合同前，中标人应按投标人须知前附表规定的担保形式和招标文件第四章“合同条款及格式”规定的或者事先经过招标人书面认可的履约担保格式向招标人提交履约担保。除投标人须知前附表另有规定外，履约担保金额为中标合同金额的10%。</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7.4.2 中标人不能按本章第7.4.1项要求提交履约担保的，视为放弃中标，其投标保证金不予退还，给招标人造成的损失超过投标保证金数额的，中标人还应当对超过部分予以赔偿。</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13" w:name="_Toc246996214"/>
      <w:bookmarkStart w:id="314" w:name="_Toc296602460"/>
      <w:bookmarkStart w:id="315" w:name="_Toc152045570"/>
      <w:bookmarkStart w:id="316" w:name="_Toc144974538"/>
      <w:bookmarkStart w:id="317" w:name="_Toc179632588"/>
      <w:bookmarkStart w:id="318" w:name="_Toc247085728"/>
      <w:bookmarkStart w:id="319" w:name="_Toc152042346"/>
      <w:bookmarkStart w:id="320" w:name="_Toc246996957"/>
      <w:r>
        <w:rPr>
          <w:rFonts w:hint="eastAsia"/>
        </w:rPr>
        <w:t>7.5 签订合同</w:t>
      </w:r>
      <w:bookmarkEnd w:id="313"/>
      <w:bookmarkEnd w:id="314"/>
      <w:bookmarkEnd w:id="315"/>
      <w:bookmarkEnd w:id="316"/>
      <w:bookmarkEnd w:id="317"/>
      <w:bookmarkEnd w:id="318"/>
      <w:bookmarkEnd w:id="319"/>
      <w:bookmarkEnd w:id="32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7.5.1招标人和中标人应当自中标通知书发出之日起30天内，根据招标文件和中标人的投标文件订立书面合同。中标人无正当理由拒签合同的，招标人取消其中标资格，其投标保证金不予退还；给招标人造成的损失超过投标保证金数额的，中标人还应当对超过部分予以赔偿。</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7.5.2 发出中标通知书后，招标人无正当理由拒签合同的，招标人向中标人退还投标保证金；给中标人造成损失的，还应当赔偿损失。</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21" w:name="_Toc296602461"/>
      <w:r>
        <w:rPr>
          <w:rFonts w:hint="eastAsia"/>
        </w:rPr>
        <w:t>8. 纪律和监督</w:t>
      </w:r>
      <w:bookmarkEnd w:id="321"/>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2" w:name="_Toc144974543"/>
      <w:bookmarkStart w:id="323" w:name="_Toc296590983"/>
      <w:bookmarkStart w:id="324" w:name="_Toc247085733"/>
      <w:bookmarkStart w:id="325" w:name="_Toc246996219"/>
      <w:bookmarkStart w:id="326" w:name="_Toc152042351"/>
      <w:bookmarkStart w:id="327" w:name="_Toc179632593"/>
      <w:bookmarkStart w:id="328" w:name="_Toc296602462"/>
      <w:bookmarkStart w:id="329" w:name="_Toc152045575"/>
      <w:bookmarkStart w:id="330" w:name="_Toc246996962"/>
      <w:r>
        <w:rPr>
          <w:rFonts w:hint="eastAsia"/>
        </w:rPr>
        <w:t>8.1 对招标人的纪律要求</w:t>
      </w:r>
      <w:bookmarkEnd w:id="322"/>
      <w:bookmarkEnd w:id="323"/>
      <w:bookmarkEnd w:id="324"/>
      <w:bookmarkEnd w:id="325"/>
      <w:bookmarkEnd w:id="326"/>
      <w:bookmarkEnd w:id="327"/>
      <w:bookmarkEnd w:id="328"/>
      <w:bookmarkEnd w:id="329"/>
      <w:bookmarkEnd w:id="33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招标人不得泄漏招标投标活动中应当保密的情况和资料，不得与投标人串通损害国家利益、社会公共利益或者他人合法权益。</w:t>
      </w:r>
    </w:p>
    <w:p>
      <w:pPr>
        <w:pStyle w:val="3"/>
        <w:bidi w:val="0"/>
        <w:rPr>
          <w:rFonts w:hint="eastAsia"/>
        </w:rPr>
      </w:pPr>
      <w:bookmarkStart w:id="331" w:name="_Toc246996220"/>
      <w:bookmarkStart w:id="332" w:name="_Toc152042352"/>
      <w:bookmarkStart w:id="333" w:name="_Toc179632594"/>
      <w:bookmarkStart w:id="334" w:name="_Toc246996963"/>
      <w:bookmarkStart w:id="335" w:name="_Toc144974544"/>
      <w:bookmarkStart w:id="336" w:name="_Toc296602463"/>
      <w:bookmarkStart w:id="337" w:name="_Toc152045576"/>
      <w:bookmarkStart w:id="338" w:name="_Toc247085734"/>
      <w:r>
        <w:rPr>
          <w:rFonts w:hint="eastAsia"/>
        </w:rPr>
        <w:t>8.2 对投标人的纪律要求</w:t>
      </w:r>
      <w:bookmarkEnd w:id="331"/>
      <w:bookmarkEnd w:id="332"/>
      <w:bookmarkEnd w:id="333"/>
      <w:bookmarkEnd w:id="334"/>
      <w:bookmarkEnd w:id="335"/>
      <w:bookmarkEnd w:id="336"/>
      <w:bookmarkEnd w:id="337"/>
      <w:bookmarkEnd w:id="3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39" w:name="_Toc179632595"/>
      <w:bookmarkStart w:id="340" w:name="_Toc144974545"/>
      <w:bookmarkStart w:id="341" w:name="_Toc246996964"/>
      <w:bookmarkStart w:id="342" w:name="_Toc152042353"/>
      <w:bookmarkStart w:id="343" w:name="_Toc152045577"/>
      <w:bookmarkStart w:id="344" w:name="_Toc296602464"/>
      <w:bookmarkStart w:id="345" w:name="_Toc246996221"/>
      <w:bookmarkStart w:id="346" w:name="_Toc247085735"/>
      <w:r>
        <w:rPr>
          <w:rFonts w:hint="eastAsia"/>
        </w:rPr>
        <w:t>8.3 对评标委员会成员的纪律要求</w:t>
      </w:r>
      <w:bookmarkEnd w:id="339"/>
      <w:bookmarkEnd w:id="340"/>
      <w:bookmarkEnd w:id="341"/>
      <w:bookmarkEnd w:id="342"/>
      <w:bookmarkEnd w:id="343"/>
      <w:bookmarkEnd w:id="344"/>
      <w:bookmarkEnd w:id="345"/>
      <w:bookmarkEnd w:id="34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47" w:name="_Toc246996222"/>
      <w:bookmarkStart w:id="348" w:name="_Toc179632596"/>
      <w:bookmarkStart w:id="349" w:name="_Toc296602465"/>
      <w:bookmarkStart w:id="350" w:name="_Toc246996965"/>
      <w:bookmarkStart w:id="351" w:name="_Toc152045578"/>
      <w:bookmarkStart w:id="352" w:name="_Toc247085736"/>
      <w:bookmarkStart w:id="353" w:name="_Toc152042354"/>
      <w:bookmarkStart w:id="354" w:name="_Toc144974546"/>
      <w:r>
        <w:rPr>
          <w:rFonts w:hint="eastAsia"/>
        </w:rPr>
        <w:t>8.4 对与评标活动有关的工作人员的纪律要求</w:t>
      </w:r>
      <w:bookmarkEnd w:id="347"/>
      <w:bookmarkEnd w:id="348"/>
      <w:bookmarkEnd w:id="349"/>
      <w:bookmarkEnd w:id="350"/>
      <w:bookmarkEnd w:id="351"/>
      <w:bookmarkEnd w:id="352"/>
      <w:bookmarkEnd w:id="35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355" w:name="_Toc152042355"/>
      <w:r>
        <w:rPr>
          <w:rFonts w:hint="eastAsia"/>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355"/>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56" w:name="_Toc179632597"/>
      <w:bookmarkStart w:id="357" w:name="_Toc152042356"/>
      <w:bookmarkStart w:id="358" w:name="_Toc296602466"/>
      <w:bookmarkStart w:id="359" w:name="_Toc247085737"/>
      <w:bookmarkStart w:id="360" w:name="_Toc152045579"/>
      <w:bookmarkStart w:id="361" w:name="_Toc246996223"/>
      <w:bookmarkStart w:id="362" w:name="_Toc246996966"/>
      <w:r>
        <w:rPr>
          <w:rFonts w:hint="eastAsia"/>
        </w:rPr>
        <w:t>8.5 投诉</w:t>
      </w:r>
      <w:bookmarkEnd w:id="354"/>
      <w:bookmarkEnd w:id="356"/>
      <w:bookmarkEnd w:id="357"/>
      <w:bookmarkEnd w:id="358"/>
      <w:bookmarkEnd w:id="359"/>
      <w:bookmarkEnd w:id="360"/>
      <w:bookmarkEnd w:id="361"/>
      <w:bookmarkEnd w:id="36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投标人和其他利害关系人认为本次招标活动违反法律、法规和规章规定的，有权向有关行政监督部门投诉。</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63" w:name="_Toc152042357"/>
      <w:bookmarkStart w:id="364" w:name="_Toc144974547"/>
      <w:bookmarkStart w:id="365" w:name="_Toc247085738"/>
      <w:bookmarkStart w:id="366" w:name="_Toc246996224"/>
      <w:bookmarkStart w:id="367" w:name="_Toc179632598"/>
      <w:bookmarkStart w:id="368" w:name="_Toc152045580"/>
      <w:bookmarkStart w:id="369" w:name="_Toc246996967"/>
      <w:bookmarkStart w:id="370" w:name="_Toc296602467"/>
      <w:r>
        <w:rPr>
          <w:rFonts w:hint="eastAsia"/>
        </w:rPr>
        <w:t>9. 需要补充的其他内容</w:t>
      </w:r>
      <w:bookmarkEnd w:id="363"/>
      <w:bookmarkEnd w:id="364"/>
      <w:bookmarkEnd w:id="365"/>
      <w:bookmarkEnd w:id="366"/>
      <w:bookmarkEnd w:id="367"/>
      <w:bookmarkEnd w:id="368"/>
      <w:bookmarkEnd w:id="369"/>
      <w:bookmarkEnd w:id="37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需要补充的其他内容：见投标人须知前附表。</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71" w:name="_Toc296602468"/>
      <w:r>
        <w:rPr>
          <w:rFonts w:hint="eastAsia"/>
        </w:rPr>
        <w:t>10．电子招标投标</w:t>
      </w:r>
      <w:bookmarkEnd w:id="371"/>
    </w:p>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default" w:ascii="黑体" w:hAnsi="黑体" w:eastAsia="黑体" w:cs="黑体"/>
          <w:color w:val="000000"/>
          <w:highlight w:val="none"/>
          <w:lang w:val="en-US" w:eastAsia="zh-CN"/>
        </w:rPr>
      </w:pPr>
      <w:r>
        <w:rPr>
          <w:rFonts w:hint="eastAsia"/>
        </w:rPr>
        <w:t>采用电子招标投标，对投标文件的编制、密封和标记、递交、开标、评标等的具体要求，见投标人须知前附表。</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（经评审的最低投标价法）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八</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38" w:edGrp="everyone" w:colFirst="3" w:colLast="3"/>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3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39"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安全生产许可证</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3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0"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1"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2"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3"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4"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45" w:edGrp="everyone" w:colFirst="3" w:colLast="3"/>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permEnd w:id="4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6"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permEnd w:id="4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7"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permEnd w:id="4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8"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工程质量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permEnd w:id="4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9"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permEnd w:id="4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0"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permEnd w:id="5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1"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w:t>
            </w:r>
            <w:r>
              <w:rPr>
                <w:rFonts w:hint="default" w:ascii="Times New Roman" w:hAnsi="Times New Roman" w:cs="Times New Roman" w:eastAsiaTheme="minorEastAsia"/>
                <w:kern w:val="0"/>
                <w:sz w:val="24"/>
                <w:szCs w:val="24"/>
                <w:highlight w:val="none"/>
                <w:lang w:val="en-US" w:eastAsia="zh-CN"/>
              </w:rPr>
              <w:t>第</w:t>
            </w:r>
            <w:r>
              <w:rPr>
                <w:rFonts w:hint="eastAsia" w:ascii="Times New Roman" w:hAnsi="Times New Roman" w:cs="Times New Roman"/>
                <w:kern w:val="0"/>
                <w:sz w:val="24"/>
                <w:szCs w:val="24"/>
                <w:highlight w:val="none"/>
                <w:lang w:val="en-US" w:eastAsia="zh-CN"/>
              </w:rPr>
              <w:t>四</w:t>
            </w:r>
            <w:r>
              <w:rPr>
                <w:rFonts w:hint="default" w:ascii="Times New Roman" w:hAnsi="Times New Roman" w:cs="Times New Roman" w:eastAsiaTheme="minorEastAsia"/>
                <w:kern w:val="0"/>
                <w:sz w:val="24"/>
                <w:szCs w:val="24"/>
                <w:highlight w:val="none"/>
                <w:lang w:val="en-US" w:eastAsia="zh-CN"/>
              </w:rPr>
              <w:t>章</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eastAsiaTheme="minorEastAsia"/>
                <w:kern w:val="0"/>
                <w:sz w:val="24"/>
                <w:szCs w:val="24"/>
                <w:highlight w:val="none"/>
                <w:lang w:val="en-US" w:eastAsia="zh-CN"/>
              </w:rPr>
              <w:t>合同条款及格式</w:t>
            </w:r>
            <w:r>
              <w:rPr>
                <w:rFonts w:hint="eastAsia" w:ascii="Times New Roman" w:hAnsi="Times New Roman" w:cs="Times New Roman"/>
                <w:kern w:val="0"/>
                <w:sz w:val="24"/>
                <w:szCs w:val="24"/>
                <w:highlight w:val="none"/>
                <w:lang w:val="en-US" w:eastAsia="zh-CN"/>
              </w:rPr>
              <w:t>”规定</w:t>
            </w:r>
          </w:p>
        </w:tc>
      </w:tr>
      <w:permEnd w:id="5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2"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已标价工程量清单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符合第五章“工程量清单”给出的范围及数量</w:t>
            </w:r>
          </w:p>
        </w:tc>
      </w:tr>
      <w:permEnd w:id="5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3"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技术标准和要求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符合第七章“技术标准和要求”规定</w:t>
            </w:r>
          </w:p>
        </w:tc>
      </w:tr>
      <w:permEnd w:id="53"/>
    </w:tbl>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w:t>
      </w:r>
      <w:r>
        <w:rPr>
          <w:rFonts w:hint="eastAsia" w:ascii="Times New Roman" w:hAnsi="Times New Roman" w:cs="Times New Roman"/>
          <w:kern w:val="0"/>
          <w:sz w:val="24"/>
          <w:szCs w:val="24"/>
          <w:highlight w:val="none"/>
          <w:lang w:val="en-US" w:eastAsia="zh-CN"/>
        </w:rPr>
        <w:t>经评审的最低投标价法。评标委员会对满足招标文件实质要求的投标文件，根据本章第2.2.款规定的量化因素及量化标准进行价格折算（如要求），按照经评审的投标价由低到高的顺序推荐中标候选人，或根据招标人授权直接确定中标人，但投标报价低于其成本的除外。经评审的投标价相等时，投标报价低的优先；投标报价也相等的，由招标人或其授权的评标委员会自行确定。</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2. 评审标准</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详细评审标准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详细评审标准：见评标办法前附表。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3.1 初步评审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第3.5.1项至第3.5.4项规定的有关证明和证件的原件，以便核验。评标委员会依据本章第2.1款规定的标准对投标文件进行初步评审。有一项不符合评审标准的，评标委员会应当否决其投标。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3.1.2 投标人有以下情形之一的，</w:t>
      </w:r>
      <w:r>
        <w:rPr>
          <w:rFonts w:hint="eastAsia" w:ascii="Times New Roman" w:hAnsi="Times New Roman" w:cs="Times New Roman"/>
          <w:kern w:val="0"/>
          <w:sz w:val="24"/>
          <w:szCs w:val="24"/>
          <w:highlight w:val="none"/>
          <w:lang w:val="en-US" w:eastAsia="zh-CN"/>
        </w:rPr>
        <w:t>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3.1.3投标报价有算术错误</w:t>
      </w:r>
      <w:r>
        <w:rPr>
          <w:rFonts w:hint="eastAsia" w:ascii="Times New Roman" w:hAnsi="Times New Roman" w:cs="Times New Roman"/>
          <w:kern w:val="0"/>
          <w:sz w:val="24"/>
          <w:szCs w:val="24"/>
          <w:highlight w:val="none"/>
          <w:lang w:val="en-US" w:eastAsia="zh-CN"/>
        </w:rPr>
        <w:t>的，</w:t>
      </w:r>
      <w:r>
        <w:rPr>
          <w:rFonts w:hint="default" w:ascii="Times New Roman" w:hAnsi="Times New Roman" w:cs="Times New Roman" w:eastAsiaTheme="minorEastAsia"/>
          <w:kern w:val="0"/>
          <w:sz w:val="24"/>
          <w:szCs w:val="24"/>
          <w:highlight w:val="none"/>
        </w:rPr>
        <w:t>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3.2 详细评审</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3.2.1 评标委员会</w:t>
      </w:r>
      <w:r>
        <w:rPr>
          <w:rFonts w:hint="eastAsia" w:ascii="Times New Roman" w:hAnsi="Times New Roman" w:cs="Times New Roman"/>
          <w:kern w:val="0"/>
          <w:sz w:val="24"/>
          <w:szCs w:val="24"/>
          <w:highlight w:val="none"/>
          <w:lang w:val="en-US" w:eastAsia="zh-CN"/>
        </w:rPr>
        <w:t>按本章第2.2.款规定的量化因素和标准进行价格折算，计算出评标价，并编制价格比较一览表。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3.2.2 评标委员会发现投标人的报价明显低于其他投标报价，或者在设有标底时明显低于标底，使得其投标报价可能低于其成本的，应当要求该投标人作出书面说明并提供相应的证明材料。投标人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投标文件的澄清和补正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所提交的投标文件中不明确的内容进行书面澄清或说明，或者对细微偏差进行补正。评标委员会不接受投标人主动提出的澄清、说明或补正。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（一）房屋建筑（装饰装修）、水利、交通工程项目：所有有效投标报价低于招标控制价的95%；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（二）市政公用工程、市政道路工程、相关配套工程、土地整理工程、农业综合开发工程项目：所有有效投标报价低于招标控制价的 90%；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（三）绿化工程项目：所有有效投标报价低于招标控制价的 85%。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（四）其他项目：所有有效投标报价低于招标控制价，且竞标人报价没有明显高于市场价或采购人预期。</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投标截止时间前递交投标文件的投标人数量少于三个或者所有投标被否决的，招标人应当依法重新招标。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pPr>
        <w:rPr>
          <w:rFonts w:hint="default" w:asciiTheme="majorEastAsia" w:hAnsiTheme="majorEastAsia" w:eastAsiaTheme="majorEastAsia" w:cstheme="majorEastAsia"/>
          <w:b/>
          <w:bCs/>
          <w:sz w:val="32"/>
          <w:szCs w:val="32"/>
          <w:highlight w:val="none"/>
          <w:lang w:val="en-US" w:eastAsia="zh-CN"/>
        </w:rPr>
      </w:pPr>
    </w:p>
    <w:p>
      <w:pPr>
        <w:rPr>
          <w:rFonts w:hint="eastAsia" w:ascii="宋体" w:hAnsi="宋体" w:eastAsia="宋体" w:cs="宋体"/>
          <w:b w:val="0"/>
          <w:bCs w:val="0"/>
          <w:sz w:val="24"/>
          <w:szCs w:val="24"/>
          <w:highlight w:val="none"/>
        </w:rPr>
      </w:pPr>
      <w:bookmarkStart w:id="372" w:name="_Toc152045589"/>
      <w:bookmarkStart w:id="373" w:name="_Toc247085747"/>
      <w:bookmarkStart w:id="374" w:name="_Toc246996975"/>
      <w:bookmarkStart w:id="375" w:name="_Toc246996232"/>
      <w:bookmarkStart w:id="376" w:name="_Toc179632607"/>
      <w:bookmarkStart w:id="377" w:name="_Toc144974556"/>
      <w:bookmarkStart w:id="378" w:name="_Toc296602477"/>
      <w:bookmarkStart w:id="379" w:name="_Toc152042366"/>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54"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ermEnd w:id="5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无预付款，按每月进度控制，招标人每月对中标人上月工程量进行审核，每月应完成工程量以招标人审定为准（不得滞后于合同约定的进度）。当月进度完成时，付款数额按审定工程量合格价款的80%支付；竣工验收通过后，工程款付至累计产值合格价款的90%；竣工验收备案及招标人与建设单位结算完毕后30日内付至最终竣工结算审核审定价款的97%，余款3%作为质量保修金。待质保期满后无质量问题无息退还。</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，否则招标人有权暂停付款。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55" w:edGrp="everyone"/>
            <w:r>
              <w:rPr>
                <w:rFonts w:hint="eastAsia" w:ascii="Times New Roman" w:hAnsi="Times New Roman" w:cs="Times New Roman"/>
                <w:kern w:val="0"/>
                <w:sz w:val="24"/>
                <w:szCs w:val="24"/>
                <w:highlight w:val="none"/>
                <w:shd w:val="clear" w:color="auto" w:fill="auto"/>
                <w:vertAlign w:val="baseline"/>
                <w:lang w:val="en-US" w:eastAsia="zh-CN"/>
              </w:rPr>
              <w:t>工程质量缺陷责任期</w:t>
            </w:r>
            <w:permEnd w:id="55"/>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56" w:edGrp="everyone"/>
            <w:r>
              <w:rPr>
                <w:rFonts w:hint="eastAsia" w:ascii="Times New Roman" w:hAnsi="Times New Roman" w:cs="Times New Roman"/>
                <w:i w:val="0"/>
                <w:iCs w:val="0"/>
                <w:color w:val="auto"/>
                <w:kern w:val="0"/>
                <w:sz w:val="24"/>
                <w:szCs w:val="24"/>
                <w:highlight w:val="none"/>
                <w:u w:val="none"/>
                <w:shd w:val="clear" w:color="auto" w:fill="auto"/>
                <w:vertAlign w:val="baseline"/>
                <w:lang w:val="en-US" w:eastAsia="zh-CN"/>
              </w:rPr>
              <w:t>自竣工验收合格之日起</w:t>
            </w:r>
            <w:r>
              <w:rPr>
                <w:rFonts w:hint="eastAsia" w:ascii="Times New Roman" w:hAnsi="Times New Roman" w:cs="Times New Roman"/>
                <w:i w:val="0"/>
                <w:iCs w:val="0"/>
                <w:color w:val="auto"/>
                <w:kern w:val="0"/>
                <w:sz w:val="24"/>
                <w:szCs w:val="24"/>
                <w:highlight w:val="none"/>
                <w:u w:val="single"/>
                <w:shd w:val="clear" w:color="auto" w:fill="auto"/>
                <w:vertAlign w:val="baseline"/>
                <w:lang w:val="en-US" w:eastAsia="zh-CN"/>
              </w:rPr>
              <w:t xml:space="preserve">  2  </w:t>
            </w:r>
            <w:r>
              <w:rPr>
                <w:rFonts w:hint="eastAsia" w:ascii="Times New Roman" w:hAnsi="Times New Roman" w:cs="Times New Roman"/>
                <w:i w:val="0"/>
                <w:iCs w:val="0"/>
                <w:color w:val="auto"/>
                <w:kern w:val="0"/>
                <w:sz w:val="24"/>
                <w:szCs w:val="24"/>
                <w:highlight w:val="none"/>
                <w:u w:val="none"/>
                <w:shd w:val="clear" w:color="auto" w:fill="auto"/>
                <w:vertAlign w:val="baseline"/>
                <w:lang w:val="en-US" w:eastAsia="zh-CN"/>
              </w:rPr>
              <w:t>年。</w:t>
            </w:r>
            <w:permEnd w:id="5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主要合同</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条款</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ermStart w:id="57" w:edGrp="everyone"/>
            <w:r>
              <w:rPr>
                <w:rFonts w:hint="eastAsia" w:ascii="Times New Roman" w:hAnsi="Times New Roman" w:cs="Times New Roman"/>
                <w:kern w:val="0"/>
                <w:sz w:val="24"/>
                <w:szCs w:val="24"/>
                <w:highlight w:val="none"/>
                <w:shd w:val="clear" w:color="auto" w:fill="auto"/>
                <w:vertAlign w:val="baseline"/>
                <w:lang w:val="en-US" w:eastAsia="zh-CN"/>
              </w:rPr>
              <w:t>1.中标人在每次付款时需按照招标人要求全额（当期审定工程量）提供符合本工程并满足财务所需的工程类增值税专用发票及进项税抵扣联（提供全额9%增值税专用发票），若中标人未按照本条约定出具符合要求的全额增值税发票的，招标人有权暂停支付，招标人不承担任何违约责任，由此产生的资金占用等费用由中标人自行承担。</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2.对中标人未按要求履约人员将处于500元/人/天的处罚，处罚金额将从当期工程款中予以扣除。</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3.由于建设单位未支付工程款等原因导致工程款未及时发放，中标人不得擅自采取停工、上访等措施，否则由此造成的招标人一切经济损失、法律责任由中标人承担。</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4.工程进度款与质量挂钩，若所报工程的质量达不到验收规范要求、形象进度与工程资料达不到合同要求，招标人有权暂缓支付该部分工程款，中标人应承担相应损失。</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5.中标人须按招标人要求建立健全劳资专管员制度，对施工人员进行实名制管理和登记，中标人每月上报本工程农民工工资清单。通过专户由银行打卡发放农民工工资并切实落实安全文明施工措施。中标人违反上述规定或者因拖欠工资出现农民工群体事件和讨薪事件发生的，招标人进行代付，对中标人进行代付金额双倍罚款。如中标人有人员因农民工工资投诉到市清欠办公室，或最终到建设单位、招标人办公室地点进行讨薪等，中标单位需承担违约金10000元/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6.对未按照清单要求工序施工或建设单位及招标人取消相关工序的，招标人有权按照清单价将此部分人工费予以扣除，中标人不得以此为由进行索赔。</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7.中标人应无条件配合招标人完成市标、省标、芍花杯黄山杯等奖项创建，包括不限于创建过程中的的洒水、清扫、覆盖、冲洗、硬化等施工，所需的一切辅助工作以及其他专业分包单位所需的配合工作。对在创建过程中配合不积极，或因脚手架单位相关原因创标失败，招标人有权按照2元/平方米进行扣除相关费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 xml:space="preserve">9.中标人不能在本合同约定的分包工作期限内结束工作(竣工或完工)的，每延误一日，向招标人支付20000元的违约金。超过7天仍未完工的，招标人有权解除合同，中标人承担合同价款15%的违约金。 </w:t>
            </w:r>
            <w:permEnd w:id="57"/>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工程量清单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val="en-US" w:eastAsia="zh-CN"/>
        </w:rPr>
        <w:t>工程量清单说明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1.1 本工程量清单是根据招标文件中包括的、有合同约束力的图纸以及有关工程量清单的国家标准、行业标准、合同条款中约定的工程量计算规则编制。约定计量规则中没有的子目，其工程量按照有合同约束力的图纸所标示尺寸的理论净量计算。计量采用中华人民共和国法定计量单位。</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1.2 本工程量清单应与招标文件中的投标人须知、通用合同条款、专用合同条款、技术标准和要求及图纸等一起阅读和理解。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1.3 本工程量清单仅是投标报价的共同基础，实际工程计量和工程价款的支付应遵循合同条款的约定和第七章“技术标准和要求”的有关规定。</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lang w:val="en-US" w:eastAsia="zh-CN"/>
        </w:rPr>
        <w:t>1.4 补充子目工程量计算规则及子目工作内容说明：</w:t>
      </w:r>
      <w:permStart w:id="58" w:edGrp="everyone"/>
      <w:r>
        <w:rPr>
          <w:rFonts w:hint="eastAsia" w:ascii="Times New Roman" w:hAnsi="Times New Roman" w:cs="Times New Roman"/>
          <w:kern w:val="0"/>
          <w:sz w:val="24"/>
          <w:szCs w:val="24"/>
          <w:highlight w:val="none"/>
          <w:u w:val="single"/>
          <w:lang w:val="en-US" w:eastAsia="zh-CN"/>
        </w:rPr>
        <w:t xml:space="preserve">     /      </w:t>
      </w:r>
      <w:permEnd w:id="58"/>
      <w:r>
        <w:rPr>
          <w:rFonts w:hint="eastAsia" w:ascii="Times New Roman" w:hAnsi="Times New Roman" w:cs="Times New Roman"/>
          <w:kern w:val="0"/>
          <w:sz w:val="24"/>
          <w:szCs w:val="24"/>
          <w:highlight w:val="none"/>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2. </w:t>
      </w:r>
      <w:r>
        <w:rPr>
          <w:rFonts w:hint="eastAsia" w:ascii="Times New Roman" w:hAnsi="Times New Roman" w:cs="Times New Roman"/>
          <w:b/>
          <w:bCs/>
          <w:kern w:val="0"/>
          <w:sz w:val="28"/>
          <w:szCs w:val="28"/>
          <w:highlight w:val="none"/>
          <w:lang w:val="en-US" w:eastAsia="zh-CN"/>
        </w:rPr>
        <w:t>投标报价说明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 工程量清单</w:t>
      </w:r>
      <w:bookmarkEnd w:id="372"/>
      <w:bookmarkEnd w:id="373"/>
      <w:bookmarkEnd w:id="374"/>
      <w:bookmarkEnd w:id="375"/>
      <w:bookmarkEnd w:id="376"/>
      <w:bookmarkEnd w:id="377"/>
      <w:bookmarkEnd w:id="378"/>
      <w:bookmarkEnd w:id="379"/>
      <w:r>
        <w:rPr>
          <w:rFonts w:hint="eastAsia" w:ascii="Times New Roman" w:hAnsi="Times New Roman" w:cs="Times New Roman"/>
          <w:kern w:val="0"/>
          <w:sz w:val="24"/>
          <w:szCs w:val="24"/>
          <w:highlight w:val="none"/>
          <w:lang w:val="en-US" w:eastAsia="zh-CN"/>
        </w:rPr>
        <w:t>中的每一子目须填入单价或价格，且只允许有一个报价。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 工程量清单中标价的单价或金额，应包括所需的人工费、材料和施工机具使用费和企业管理费、利润以及一定范围内的风险费用等。</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2.3 工程量清单中投标人没有填入单价或价格的子目，其费用视为已分摊在工程量清单中其他相关子目的单价或价格之中。</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lang w:val="en-US" w:eastAsia="zh-CN"/>
        </w:rPr>
        <w:t>2.4 暂列金额的数量及拟用子目的说明：</w:t>
      </w:r>
      <w:permStart w:id="59" w:edGrp="everyone"/>
      <w:r>
        <w:rPr>
          <w:rFonts w:hint="eastAsia" w:ascii="Times New Roman" w:hAnsi="Times New Roman" w:cs="Times New Roman"/>
          <w:kern w:val="0"/>
          <w:sz w:val="24"/>
          <w:szCs w:val="24"/>
          <w:highlight w:val="none"/>
          <w:u w:val="single"/>
          <w:lang w:val="en-US" w:eastAsia="zh-CN"/>
        </w:rPr>
        <w:t xml:space="preserve">      /     </w:t>
      </w:r>
      <w:permEnd w:id="59"/>
      <w:r>
        <w:rPr>
          <w:rFonts w:hint="eastAsia" w:ascii="Times New Roman" w:hAnsi="Times New Roman" w:cs="Times New Roman"/>
          <w:kern w:val="0"/>
          <w:sz w:val="24"/>
          <w:szCs w:val="24"/>
          <w:highlight w:val="none"/>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3</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其他说明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u w:val="none"/>
          <w:lang w:val="en-US" w:eastAsia="zh-CN"/>
        </w:rPr>
      </w:pPr>
      <w:permStart w:id="60" w:edGrp="everyone"/>
      <w:r>
        <w:rPr>
          <w:rFonts w:hint="eastAsia" w:ascii="Times New Roman" w:hAnsi="Times New Roman" w:cs="Times New Roman"/>
          <w:kern w:val="0"/>
          <w:sz w:val="24"/>
          <w:szCs w:val="24"/>
          <w:highlight w:val="none"/>
          <w:lang w:val="en-US" w:eastAsia="zh-CN"/>
        </w:rPr>
        <w:t xml:space="preserve">     /      </w:t>
      </w:r>
      <w:permEnd w:id="60"/>
      <w:r>
        <w:rPr>
          <w:rFonts w:hint="eastAsia" w:ascii="Times New Roman" w:hAnsi="Times New Roman" w:cs="Times New Roman"/>
          <w:kern w:val="0"/>
          <w:sz w:val="24"/>
          <w:szCs w:val="24"/>
          <w:highlight w:val="none"/>
          <w:u w:val="non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b/>
          <w:bCs/>
          <w:kern w:val="0"/>
          <w:sz w:val="28"/>
          <w:szCs w:val="28"/>
          <w:highlight w:val="none"/>
          <w:lang w:val="en-US" w:eastAsia="zh-CN"/>
        </w:rPr>
        <w:t>4</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工程量清单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permStart w:id="61" w:edGrp="everyone"/>
      <w:r>
        <w:rPr>
          <w:rFonts w:hint="eastAsia" w:ascii="Times New Roman" w:hAnsi="Times New Roman" w:cs="Times New Roman"/>
          <w:kern w:val="0"/>
          <w:sz w:val="24"/>
          <w:szCs w:val="24"/>
          <w:highlight w:val="none"/>
          <w:lang w:val="en-US" w:eastAsia="zh-CN"/>
        </w:rPr>
        <w:t>详见附件。</w:t>
      </w:r>
    </w:p>
    <w:permEnd w:id="61"/>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第六章 图纸</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val="en-US" w:eastAsia="zh-CN"/>
        </w:rPr>
        <w:t>图纸目录</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tbl>
      <w:tblPr>
        <w:tblStyle w:val="16"/>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3"/>
        <w:gridCol w:w="1273"/>
        <w:gridCol w:w="1273"/>
        <w:gridCol w:w="1273"/>
        <w:gridCol w:w="1273"/>
        <w:gridCol w:w="21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序号</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图名</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图号</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版本</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出图日期</w:t>
            </w: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permStart w:id="62" w:edGrp="everyone" w:colFirst="0" w:colLast="0"/>
            <w:permStart w:id="63" w:edGrp="everyone" w:colFirst="1" w:colLast="1"/>
            <w:r>
              <w:rPr>
                <w:rFonts w:hint="eastAsia" w:ascii="Times New Roman" w:hAnsi="Times New Roman" w:cs="Times New Roman"/>
                <w:kern w:val="0"/>
                <w:sz w:val="24"/>
                <w:szCs w:val="24"/>
                <w:highlight w:val="none"/>
                <w:vertAlign w:val="baseline"/>
                <w:lang w:val="en-US" w:eastAsia="zh-CN"/>
              </w:rPr>
              <w:t xml:space="preserve"> 1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r>
              <w:rPr>
                <w:rFonts w:hint="eastAsia"/>
                <w:szCs w:val="21"/>
              </w:rPr>
              <w:t>详见图纸</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r>
      <w:permEnd w:id="62"/>
      <w:permEnd w:id="6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图纸</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permStart w:id="64" w:edGrp="everyone"/>
      <w:r>
        <w:rPr>
          <w:rFonts w:hint="eastAsia" w:ascii="Times New Roman" w:hAnsi="Times New Roman" w:cs="Times New Roman"/>
          <w:kern w:val="0"/>
          <w:sz w:val="24"/>
          <w:szCs w:val="24"/>
          <w:highlight w:val="none"/>
          <w:lang w:val="en-US" w:eastAsia="zh-CN"/>
        </w:rPr>
        <w:t>详见附件。</w:t>
      </w:r>
    </w:p>
    <w:permEnd w:id="64"/>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第七章 技术标准和要求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Times New Roman" w:hAnsi="Times New Roman" w:eastAsia="黑体" w:cs="Times New Roman"/>
          <w:sz w:val="32"/>
          <w:szCs w:val="32"/>
          <w:lang w:val="en-US" w:eastAsia="zh-CN"/>
        </w:rPr>
      </w:pPr>
      <w:r>
        <w:rPr>
          <w:rFonts w:hint="eastAsia" w:ascii="Times New Roman" w:hAnsi="Times New Roman" w:eastAsia="黑体" w:cs="Times New Roman"/>
          <w:sz w:val="32"/>
          <w:szCs w:val="32"/>
          <w:lang w:val="en-US" w:eastAsia="zh-CN"/>
        </w:rPr>
        <w:t>一</w:t>
      </w:r>
      <w:r>
        <w:rPr>
          <w:rFonts w:hint="default" w:ascii="Times New Roman" w:hAnsi="Times New Roman" w:eastAsia="黑体" w:cs="Times New Roman"/>
          <w:sz w:val="32"/>
          <w:szCs w:val="32"/>
          <w:lang w:val="en-US" w:eastAsia="zh-CN"/>
        </w:rPr>
        <w:t>、</w:t>
      </w:r>
      <w:r>
        <w:rPr>
          <w:rFonts w:hint="eastAsia" w:ascii="Times New Roman" w:hAnsi="Times New Roman" w:eastAsia="黑体" w:cs="Times New Roman"/>
          <w:sz w:val="32"/>
          <w:szCs w:val="32"/>
          <w:lang w:val="en-US" w:eastAsia="zh-CN"/>
        </w:rPr>
        <w:t>工作内容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1）外脚手架(新型盘扣式镀锌脚手架，商铺及配套采用扣件式脚手架)采用包工、包料方式（含底部槽钢、预埋钢板、钢丝绳、钢跳板（外脚手架平台）、“工”字钢（按方案）、顶丝、油漆、铁丝、尼龙绳、悬挑卸料平台的组装、搭设及拆除（按建筑面积不少于1000㎡一个）、穿钢丝绳用的PVC塑料套管等与本分项工程有关的所有材料、工具，其中外架及防护用钢管的油漆喷刷需在场地外完成），安全网挂设、维修及无条件更换；</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bookmarkStart w:id="526" w:name="_GoBack"/>
      <w:r>
        <w:rPr>
          <w:rFonts w:hint="eastAsia" w:ascii="Times New Roman" w:hAnsi="Times New Roman" w:cs="Times New Roman"/>
          <w:color w:val="auto"/>
          <w:kern w:val="0"/>
          <w:sz w:val="24"/>
          <w:szCs w:val="24"/>
          <w:highlight w:val="none"/>
          <w:lang w:val="en-US" w:eastAsia="zh-CN"/>
        </w:rPr>
        <w:t>地下室含外墙板、墙体加固及地上主体满堂脚手架(扣件式钢管脚手架)</w:t>
      </w:r>
      <w:bookmarkEnd w:id="526"/>
      <w:r>
        <w:rPr>
          <w:rFonts w:hint="eastAsia" w:ascii="Times New Roman" w:hAnsi="Times New Roman" w:cs="Times New Roman"/>
          <w:color w:val="auto"/>
          <w:kern w:val="0"/>
          <w:sz w:val="24"/>
          <w:szCs w:val="24"/>
          <w:highlight w:val="none"/>
          <w:lang w:val="en-US" w:eastAsia="zh-CN"/>
        </w:rPr>
        <w:t>包料（钢管、扣件、顶托、底部槽钢）不包搭设和拆除；脚手架相关专项方案的编制、论证、相关的报验及检测等。</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包含所有与本工程外架脚手架有关的工作内容，如：安全防护围栏、临边临口防护、卸料平台、槽边脚手架防护、安全通道、水平挑网、密目网及安全网的挂设、主体结构部分钢管加固模板等所有安全防护设施的搭设及维护，悬挑工字钢固定环处木塞塞实，卸料平台的多次搭设，防护栏杆及防护棚搭设、外脚手架等外露钢管刷油漆，安全标志的悬挂、维护；包含外墙脚手架、各种安全防护脚手架及现场根据专项施工方案要求搭设的脚手架（含建筑物外伸的安全防护网等）、悬挑层工字钢预埋盒的拆除、悬挑层下落地式脚手架的重复搭设、各种操作防护棚、安全通道的搭设及拆除（含二次搭设）、防护板的安装及拆除、施工升降机（施工电梯）等垂直运输设备防护板铺设及平台板铺设、塔吊上下通道及隔层防护的搭设及拆除、洞口水平防护的竹笆（钢笆）的铺设及拆除、变压器（配电房）的安全防护等。所有材料看护自行负责，丢失招标人概不负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（3）包含基坑防护、临边洞口防护、加工区格挡、加工棚等（采用定型化），满足创建省级安全生产标准化示范工地和黄山杯要求。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（4）提供模板支撑系统、</w:t>
      </w:r>
      <w:r>
        <w:rPr>
          <w:rFonts w:hint="eastAsia" w:ascii="Times New Roman" w:hAnsi="Times New Roman" w:cs="Times New Roman"/>
          <w:strike w:val="0"/>
          <w:dstrike w:val="0"/>
          <w:kern w:val="0"/>
          <w:sz w:val="24"/>
          <w:szCs w:val="24"/>
          <w:highlight w:val="none"/>
          <w:lang w:val="en-US" w:eastAsia="zh-CN"/>
        </w:rPr>
        <w:t>模板加固</w:t>
      </w:r>
      <w:r>
        <w:rPr>
          <w:rFonts w:hint="eastAsia" w:ascii="Times New Roman" w:hAnsi="Times New Roman" w:cs="Times New Roman"/>
          <w:kern w:val="0"/>
          <w:sz w:val="24"/>
          <w:szCs w:val="24"/>
          <w:highlight w:val="none"/>
          <w:lang w:val="en-US" w:eastAsia="zh-CN"/>
        </w:rPr>
        <w:t>所需的钢管、扣件、顶托等材料（每栋楼至少三套，具体需符合项目现场施工要求）及外墙施工脚手架及四周防护。</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Times New Roman" w:hAnsi="Times New Roman" w:cs="Times New Roman"/>
          <w:sz w:val="32"/>
          <w:szCs w:val="32"/>
          <w:lang w:val="en-US" w:eastAsia="zh-CN"/>
        </w:rPr>
      </w:pPr>
      <w:r>
        <w:rPr>
          <w:rFonts w:hint="eastAsia" w:ascii="Times New Roman" w:hAnsi="Times New Roman" w:eastAsia="黑体" w:cs="Times New Roman"/>
          <w:sz w:val="32"/>
          <w:szCs w:val="32"/>
          <w:lang w:val="en-US" w:eastAsia="zh-CN"/>
        </w:rPr>
        <w:t>二</w:t>
      </w:r>
      <w:r>
        <w:rPr>
          <w:rFonts w:hint="default" w:ascii="Times New Roman" w:hAnsi="Times New Roman" w:eastAsia="黑体" w:cs="Times New Roman"/>
          <w:sz w:val="32"/>
          <w:szCs w:val="32"/>
          <w:lang w:val="en-US" w:eastAsia="zh-CN"/>
        </w:rPr>
        <w:t>、采购人要求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1.中标人应完成的工作包括图纸和答疑（包含招标人及建设单位答疑）所包含的所有内容，包括不限于承包范围、工程规范、措施费报价说明等合同约定的所有工作内容。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中标人应配备满足项目施工要求的现场管理人员（包括但不限于技术负责人、安全员、特种工），其中专职安全员不少于2名。主要管理人员现场每月现场履职时间需满足招标人要求（每月不少于22天，且施工期间所有岗位人员均不少于1人在场，停工期间根据招标人、业主要求安排人员值守，但不少于两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3.包测量放样、包机械、包工具、包工期、包质量、包安全、包文明施工、包税金、包风险、包通过相关部门验收并出具验收合格意见书等一切工程内容及相关工作内容。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4.因场地有限，招标人不提供工人生活区，由中标人自行解决，综合考虑在投标报价内。</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5.中标人</w:t>
      </w:r>
      <w:r>
        <w:rPr>
          <w:rFonts w:hint="default" w:ascii="Times New Roman" w:hAnsi="Times New Roman" w:cs="Times New Roman"/>
          <w:kern w:val="0"/>
          <w:sz w:val="24"/>
          <w:szCs w:val="24"/>
          <w:highlight w:val="none"/>
          <w:lang w:val="en-US" w:eastAsia="zh-CN"/>
        </w:rPr>
        <w:t>必须按相关规定办理人身意外伤害险，办理本款保险的一切费用均由</w:t>
      </w:r>
      <w:r>
        <w:rPr>
          <w:rFonts w:hint="eastAsia" w:ascii="Times New Roman" w:hAnsi="Times New Roman" w:cs="Times New Roman"/>
          <w:kern w:val="0"/>
          <w:sz w:val="24"/>
          <w:szCs w:val="24"/>
          <w:highlight w:val="none"/>
          <w:lang w:val="en-US" w:eastAsia="zh-CN"/>
        </w:rPr>
        <w:t>中标人</w:t>
      </w:r>
      <w:r>
        <w:rPr>
          <w:rFonts w:hint="default" w:ascii="Times New Roman" w:hAnsi="Times New Roman" w:cs="Times New Roman"/>
          <w:kern w:val="0"/>
          <w:sz w:val="24"/>
          <w:szCs w:val="24"/>
          <w:highlight w:val="none"/>
          <w:lang w:val="en-US" w:eastAsia="zh-CN"/>
        </w:rPr>
        <w:t>承担，不单独计量；</w:t>
      </w:r>
      <w:r>
        <w:rPr>
          <w:rFonts w:hint="eastAsia" w:ascii="Times New Roman" w:hAnsi="Times New Roman" w:cs="Times New Roman"/>
          <w:kern w:val="0"/>
          <w:sz w:val="24"/>
          <w:szCs w:val="24"/>
          <w:highlight w:val="none"/>
          <w:lang w:val="en-US" w:eastAsia="zh-CN"/>
        </w:rPr>
        <w:t>中标人</w:t>
      </w:r>
      <w:r>
        <w:rPr>
          <w:rFonts w:hint="default" w:ascii="Times New Roman" w:hAnsi="Times New Roman" w:cs="Times New Roman"/>
          <w:kern w:val="0"/>
          <w:sz w:val="24"/>
          <w:szCs w:val="24"/>
          <w:highlight w:val="none"/>
          <w:lang w:val="en-US" w:eastAsia="zh-CN"/>
        </w:rPr>
        <w:t>进场后一个月内需将该保险保单提交</w:t>
      </w:r>
      <w:r>
        <w:rPr>
          <w:rFonts w:hint="eastAsia" w:ascii="Times New Roman" w:hAnsi="Times New Roman" w:cs="Times New Roman"/>
          <w:kern w:val="0"/>
          <w:sz w:val="24"/>
          <w:szCs w:val="24"/>
          <w:highlight w:val="none"/>
          <w:lang w:val="en-US" w:eastAsia="zh-CN"/>
        </w:rPr>
        <w:t>招标人</w:t>
      </w:r>
      <w:r>
        <w:rPr>
          <w:rFonts w:hint="default" w:ascii="Times New Roman" w:hAnsi="Times New Roman" w:cs="Times New Roman"/>
          <w:kern w:val="0"/>
          <w:sz w:val="24"/>
          <w:szCs w:val="24"/>
          <w:highlight w:val="none"/>
          <w:lang w:val="en-US" w:eastAsia="zh-CN"/>
        </w:rPr>
        <w:t>核查与备案，否则</w:t>
      </w:r>
      <w:r>
        <w:rPr>
          <w:rFonts w:hint="eastAsia" w:ascii="Times New Roman" w:hAnsi="Times New Roman" w:cs="Times New Roman"/>
          <w:kern w:val="0"/>
          <w:sz w:val="24"/>
          <w:szCs w:val="24"/>
          <w:highlight w:val="none"/>
          <w:lang w:val="en-US" w:eastAsia="zh-CN"/>
        </w:rPr>
        <w:t>招标人</w:t>
      </w:r>
      <w:r>
        <w:rPr>
          <w:rFonts w:hint="default" w:ascii="Times New Roman" w:hAnsi="Times New Roman" w:cs="Times New Roman"/>
          <w:kern w:val="0"/>
          <w:sz w:val="24"/>
          <w:szCs w:val="24"/>
          <w:highlight w:val="none"/>
          <w:lang w:val="en-US" w:eastAsia="zh-CN"/>
        </w:rPr>
        <w:t>将为其代为办理保险，发生费用直接从</w:t>
      </w:r>
      <w:r>
        <w:rPr>
          <w:rFonts w:hint="eastAsia" w:ascii="Times New Roman" w:hAnsi="Times New Roman" w:cs="Times New Roman"/>
          <w:kern w:val="0"/>
          <w:sz w:val="24"/>
          <w:szCs w:val="24"/>
          <w:highlight w:val="none"/>
          <w:lang w:val="en-US" w:eastAsia="zh-CN"/>
        </w:rPr>
        <w:t>中标人</w:t>
      </w:r>
      <w:r>
        <w:rPr>
          <w:rFonts w:hint="default" w:ascii="Times New Roman" w:hAnsi="Times New Roman" w:cs="Times New Roman"/>
          <w:kern w:val="0"/>
          <w:sz w:val="24"/>
          <w:szCs w:val="24"/>
          <w:highlight w:val="none"/>
          <w:lang w:val="en-US" w:eastAsia="zh-CN"/>
        </w:rPr>
        <w:t>应得工程款中扣除</w:t>
      </w:r>
      <w:r>
        <w:rPr>
          <w:rFonts w:hint="eastAsia"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中标人须组织对设计图纸进行交底及会审，指出设计图纸上任何不符施工常规、惯例或规范之处，以及设计图纸中错、漏、碰问题，并做好综合平衡工作。开工前认真核查设计图纸，进行现场核对并提交图纸审查报告。</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7.本合同单价是按总包合同质量标准实施和完成本合同所列项目所有工作内容的费用, 除承包范围中注明的包含施工、辅助材料、小型机械等施工服务外，费用中还包括投标人为完成合同规定工程所包括工人工资等、投标人技术人员、安全员等管理人员的工资等、机械、设备、辅助材料及配件、水电气、安装、缺陷修复、利润、环保、安全、文明施工、调遣（进出场）、治安管理等费用，动力费用（燃油、电力等）；材料、设备二次倒运费用；工、料、机涨价引起的风险费用；测量复核、检验、验收等引起的临时停工费用；主管部门、业主、监理等检查引起的停工费用；各类社会保险及伤害险等保险费用；材料、周转料、机械设备的看护费用；管理费用；第三方配合费或其他在施工中需要投标人配合的费用，以及合同范围内的所有责任、义务和一般风险等。</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8、脚手架方案的编制及论证、内支撑体系所涉及高支模方案的编制及论证（含费用）及脚手架验收和检测费用等、确保达优标准等各项费用由中标单位自行承担。</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9、特种操作工人的证件办理，以及施工人员的安全帽、安全带全部由中标单位自理。</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八</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亳州逸合府一期施工总承包项目脚手架工程专业分包</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BZJK-2024-034号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rPr>
      </w:pPr>
      <w:bookmarkStart w:id="380" w:name="_Toc152042576"/>
      <w:bookmarkStart w:id="381" w:name="_Toc300835209"/>
      <w:bookmarkStart w:id="382" w:name="_Toc247527827"/>
      <w:bookmarkStart w:id="383" w:name="_Toc247514246"/>
      <w:bookmarkStart w:id="384" w:name="_Toc152045787"/>
      <w:bookmarkStart w:id="385" w:name="_Toc144974856"/>
      <w:r>
        <w:rPr>
          <w:rFonts w:hint="default" w:ascii="Times New Roman" w:hAnsi="Times New Roman" w:cs="Times New Roman"/>
        </w:rPr>
        <w:t>目    录</w:t>
      </w:r>
      <w:bookmarkEnd w:id="380"/>
      <w:bookmarkEnd w:id="381"/>
      <w:bookmarkEnd w:id="382"/>
      <w:bookmarkEnd w:id="383"/>
      <w:bookmarkEnd w:id="384"/>
      <w:bookmarkEnd w:id="385"/>
    </w:p>
    <w:p>
      <w:pPr>
        <w:spacing w:line="540" w:lineRule="exact"/>
        <w:rPr>
          <w:rFonts w:hint="default" w:ascii="Times New Roman" w:hAnsi="Times New Roman" w:cs="Times New Roman"/>
        </w:rPr>
      </w:pPr>
    </w:p>
    <w:p>
      <w:pPr>
        <w:spacing w:line="540" w:lineRule="exact"/>
        <w:rPr>
          <w:rFonts w:hint="default" w:ascii="Times New Roman" w:hAnsi="Times New Roman" w:cs="Times New Roman"/>
        </w:rPr>
      </w:pPr>
      <w:r>
        <w:rPr>
          <w:rFonts w:hint="default" w:ascii="Times New Roman" w:hAnsi="Times New Roman" w:cs="Times New Roman"/>
        </w:rPr>
        <w:t>一、投标函及投标函附录</w:t>
      </w:r>
    </w:p>
    <w:p>
      <w:pPr>
        <w:spacing w:line="540" w:lineRule="exact"/>
        <w:rPr>
          <w:rFonts w:hint="default" w:ascii="Times New Roman" w:hAnsi="Times New Roman" w:cs="Times New Roman"/>
        </w:rPr>
      </w:pPr>
      <w:r>
        <w:rPr>
          <w:rFonts w:hint="default" w:ascii="Times New Roman" w:hAnsi="Times New Roman" w:cs="Times New Roman"/>
        </w:rPr>
        <w:t>二、法定代表人身份证明</w:t>
      </w:r>
    </w:p>
    <w:p>
      <w:pPr>
        <w:spacing w:line="540" w:lineRule="exact"/>
        <w:rPr>
          <w:rFonts w:hint="default" w:ascii="Times New Roman" w:hAnsi="Times New Roman" w:cs="Times New Roman"/>
        </w:rPr>
      </w:pPr>
      <w:r>
        <w:rPr>
          <w:rFonts w:hint="eastAsia" w:ascii="Times New Roman" w:hAnsi="Times New Roman" w:cs="Times New Roman"/>
          <w:lang w:val="en-US" w:eastAsia="zh-CN"/>
        </w:rPr>
        <w:t>二、</w:t>
      </w:r>
      <w:r>
        <w:rPr>
          <w:rFonts w:hint="default" w:ascii="Times New Roman" w:hAnsi="Times New Roman" w:cs="Times New Roman"/>
        </w:rPr>
        <w:t>授权委托书</w:t>
      </w:r>
    </w:p>
    <w:p>
      <w:pPr>
        <w:spacing w:line="540" w:lineRule="exact"/>
        <w:rPr>
          <w:rFonts w:hint="default" w:ascii="Times New Roman" w:hAnsi="Times New Roman" w:cs="Times New Roman"/>
          <w:highlight w:val="none"/>
        </w:rPr>
      </w:pPr>
      <w:r>
        <w:rPr>
          <w:rFonts w:hint="default"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lang w:val="en-US" w:eastAsia="zh-CN"/>
        </w:rPr>
        <w:t>四</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已标价工程量清单</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五、施工方案</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六</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项目管理机构</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资格审查资料</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3"/>
        <w:jc w:val="center"/>
        <w:rPr>
          <w:rFonts w:hint="default" w:ascii="Times New Roman" w:hAnsi="Times New Roman" w:cs="Times New Roman"/>
        </w:rPr>
      </w:pPr>
      <w:bookmarkStart w:id="386" w:name="_Toc152042577"/>
      <w:bookmarkStart w:id="387" w:name="_Toc300835210"/>
      <w:bookmarkStart w:id="388" w:name="_Toc247514247"/>
      <w:bookmarkStart w:id="389" w:name="_Toc144974857"/>
      <w:bookmarkStart w:id="390" w:name="_Toc247527828"/>
      <w:bookmarkStart w:id="391" w:name="_Toc152045788"/>
      <w:r>
        <w:rPr>
          <w:rFonts w:hint="default" w:ascii="Times New Roman" w:hAnsi="Times New Roman" w:cs="Times New Roman"/>
        </w:rPr>
        <w:t>一、投标函及投标函附录</w:t>
      </w:r>
      <w:bookmarkEnd w:id="386"/>
      <w:bookmarkEnd w:id="387"/>
      <w:bookmarkEnd w:id="388"/>
      <w:bookmarkEnd w:id="389"/>
      <w:bookmarkEnd w:id="390"/>
      <w:bookmarkEnd w:id="391"/>
    </w:p>
    <w:p>
      <w:pPr>
        <w:spacing w:line="440" w:lineRule="exact"/>
        <w:rPr>
          <w:rFonts w:hint="default" w:ascii="Times New Roman" w:hAnsi="Times New Roman" w:eastAsia="黑体" w:cs="Times New Roman"/>
          <w:sz w:val="20"/>
          <w:szCs w:val="20"/>
        </w:rPr>
      </w:pPr>
    </w:p>
    <w:p>
      <w:pPr>
        <w:pStyle w:val="4"/>
        <w:rPr>
          <w:rFonts w:hint="default" w:ascii="Times New Roman" w:hAnsi="Times New Roman" w:cs="Times New Roman"/>
        </w:rPr>
      </w:pPr>
      <w:bookmarkStart w:id="392" w:name="_Toc247514248"/>
      <w:bookmarkStart w:id="393" w:name="_Toc152042578"/>
      <w:bookmarkStart w:id="394" w:name="_Toc300835211"/>
      <w:bookmarkStart w:id="395" w:name="_Toc247527829"/>
      <w:bookmarkStart w:id="396" w:name="_Toc152045789"/>
      <w:bookmarkStart w:id="397" w:name="_Toc144974858"/>
      <w:r>
        <w:rPr>
          <w:rFonts w:hint="default" w:ascii="Times New Roman" w:hAnsi="Times New Roman" w:cs="Times New Roman"/>
        </w:rPr>
        <w:t>（一）投标函</w:t>
      </w:r>
      <w:bookmarkEnd w:id="392"/>
      <w:bookmarkEnd w:id="393"/>
      <w:bookmarkEnd w:id="394"/>
      <w:bookmarkEnd w:id="395"/>
      <w:bookmarkEnd w:id="396"/>
      <w:bookmarkEnd w:id="397"/>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r>
        <w:rPr>
          <w:rFonts w:hint="eastAsia" w:ascii="Times New Roman" w:hAnsi="Times New Roman" w:cs="Times New Roman"/>
          <w:szCs w:val="21"/>
          <w:u w:val="single"/>
          <w:lang w:eastAsia="zh-CN"/>
        </w:rPr>
        <w:t>安徽通康建设工程有限公司</w:t>
      </w:r>
      <w:r>
        <w:rPr>
          <w:rFonts w:ascii="Times New Roman" w:hAnsi="Times New Roman" w:cs="Times New Roman"/>
          <w:szCs w:val="21"/>
        </w:rPr>
        <w:t>：</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1．我方已仔细研究了</w:t>
      </w:r>
      <w:r>
        <w:rPr>
          <w:rFonts w:hint="default" w:ascii="Times New Roman" w:hAnsi="Times New Roman" w:cs="Times New Roman"/>
          <w:szCs w:val="21"/>
          <w:u w:val="single"/>
          <w:lang w:val="en-US" w:eastAsia="zh-CN"/>
        </w:rPr>
        <w:t>亳州逸合府一期施工总承包项目脚手架工程专业分包</w:t>
      </w:r>
      <w:r>
        <w:rPr>
          <w:rFonts w:hint="default" w:ascii="Times New Roman" w:hAnsi="Times New Roman" w:cs="Times New Roman"/>
          <w:szCs w:val="21"/>
        </w:rPr>
        <w:t>招标文件的全部内容，愿意以</w:t>
      </w:r>
      <w:permStart w:id="65" w:edGrp="everyone"/>
      <w:r>
        <w:rPr>
          <w:rFonts w:hint="eastAsia" w:ascii="Times New Roman" w:hAnsi="Times New Roman" w:cs="Times New Roman"/>
          <w:szCs w:val="21"/>
          <w:lang w:val="en-US" w:eastAsia="zh-CN"/>
        </w:rPr>
        <w:t>人民币单价（大写）</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元每平方米</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u w:val="single"/>
          <w:lang w:val="en-US" w:eastAsia="zh-CN"/>
        </w:rPr>
        <w:t>元/m</w:t>
      </w:r>
      <w:r>
        <w:rPr>
          <w:rFonts w:hint="default" w:ascii="Times New Roman" w:hAnsi="Times New Roman" w:cs="Times New Roman"/>
          <w:szCs w:val="21"/>
          <w:u w:val="single"/>
          <w:vertAlign w:val="superscript"/>
          <w:lang w:val="en-US" w:eastAsia="zh-CN"/>
        </w:rPr>
        <w:t>2</w:t>
      </w:r>
      <w:r>
        <w:rPr>
          <w:rFonts w:hint="default" w:ascii="Times New Roman" w:hAnsi="Times New Roman" w:cs="Times New Roman"/>
          <w:szCs w:val="21"/>
        </w:rPr>
        <w:t>）</w:t>
      </w:r>
      <w:r>
        <w:rPr>
          <w:rFonts w:hint="eastAsia" w:ascii="Times New Roman" w:hAnsi="Times New Roman" w:cs="Times New Roman"/>
          <w:szCs w:val="21"/>
          <w:lang w:val="en-US" w:eastAsia="zh-CN"/>
        </w:rPr>
        <w:t>的投标报价（其中增值税税率：</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w:t>
      </w:r>
      <w:permEnd w:id="65"/>
      <w:r>
        <w:rPr>
          <w:rFonts w:hint="eastAsia" w:ascii="Times New Roman" w:hAnsi="Times New Roman" w:cs="Times New Roman"/>
          <w:szCs w:val="21"/>
          <w:lang w:val="en-US" w:eastAsia="zh-CN"/>
        </w:rPr>
        <w:t>，工期自招标人下达开工指令之日起2年</w:t>
      </w:r>
      <w:r>
        <w:rPr>
          <w:rFonts w:hint="eastAsia" w:ascii="Times New Roman" w:hAnsi="Times New Roman" w:cs="Times New Roman"/>
          <w:szCs w:val="21"/>
          <w:u w:val="none"/>
          <w:lang w:val="en-US" w:eastAsia="zh-CN"/>
        </w:rPr>
        <w:t>，按合同约定实施和完成承包工程，修补工程中的任何缺陷，工程质量达到符合国家、行业及地方现行相关规范合格标准</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 xml:space="preserve">      </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2．我方承诺在招标文件规定的投标有效期内不修改、撤销投标文件。</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3．随同本投标函提交投标保证金一份，金额为人民币（大写）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4．如我方中标：</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（1）我方承诺在收到中标通知书后，在中标通知书规定的期限内与你方签订合同。</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（2）随同本投标函递交的投标函附录属于合同文件的组成部分。</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（3）我方承诺按照招标文件规定向你方递交履约担保。</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（4）我方承诺在合同约定的期限内完成并移交全部合同工程。</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5．</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2</w:t>
      </w:r>
      <w:r>
        <w:rPr>
          <w:rFonts w:hint="default" w:ascii="Times New Roman" w:hAnsi="Times New Roman" w:cs="Times New Roman"/>
        </w:rPr>
        <w:t>项和第1.4.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pStyle w:val="4"/>
        <w:rPr>
          <w:rFonts w:hint="default" w:ascii="Times New Roman" w:hAnsi="Times New Roman" w:cs="Times New Roman"/>
        </w:rPr>
      </w:pPr>
      <w:bookmarkStart w:id="398" w:name="_Toc144974859"/>
      <w:bookmarkStart w:id="399" w:name="_Toc300835212"/>
      <w:bookmarkStart w:id="400" w:name="_Toc152045790"/>
      <w:bookmarkStart w:id="401" w:name="_Toc152042579"/>
      <w:bookmarkStart w:id="402" w:name="_Toc247527830"/>
      <w:bookmarkStart w:id="403" w:name="_Toc247514249"/>
    </w:p>
    <w:p>
      <w:pPr>
        <w:pStyle w:val="4"/>
        <w:rPr>
          <w:rFonts w:hint="default" w:ascii="Times New Roman" w:hAnsi="Times New Roman" w:cs="Times New Roman"/>
        </w:rPr>
      </w:pPr>
      <w:r>
        <w:rPr>
          <w:rFonts w:hint="default" w:ascii="Times New Roman" w:hAnsi="Times New Roman" w:cs="Times New Roman"/>
        </w:rPr>
        <w:t>（二）投标函附录</w:t>
      </w:r>
      <w:bookmarkEnd w:id="398"/>
      <w:bookmarkEnd w:id="399"/>
      <w:bookmarkEnd w:id="400"/>
      <w:bookmarkEnd w:id="401"/>
      <w:bookmarkEnd w:id="402"/>
      <w:bookmarkEnd w:id="403"/>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01"/>
        <w:gridCol w:w="2835"/>
        <w:gridCol w:w="14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序号</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条款名称</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约定内容</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1</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lang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负责人</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姓名：</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lang w:val="en-US" w:eastAsia="zh-CN"/>
              </w:rPr>
            </w:pPr>
            <w:r>
              <w:rPr>
                <w:rFonts w:hint="default" w:ascii="Times New Roman" w:hAnsi="Times New Roman" w:cs="Times New Roman"/>
                <w:szCs w:val="21"/>
                <w:lang w:val="en-US" w:eastAsia="zh-CN"/>
              </w:rPr>
              <w:t>身份证号：</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2</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工期</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lang w:val="en-US" w:eastAsia="zh-CN"/>
              </w:rPr>
              <w:t>自招标人下达开工指令之日起2年</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718" w:firstLineChars="342"/>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3</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缺陷责任期</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lang w:val="en-US" w:eastAsia="zh-CN"/>
              </w:rPr>
              <w:t>自竣工验收合格之日起2年</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bl>
    <w:p>
      <w:pPr>
        <w:spacing w:line="440" w:lineRule="exact"/>
        <w:rPr>
          <w:rFonts w:hint="default" w:ascii="Times New Roman" w:hAnsi="Times New Roman" w:eastAsia="黑体" w:cs="Times New Roman"/>
          <w:sz w:val="20"/>
          <w:szCs w:val="20"/>
        </w:rPr>
      </w:pPr>
      <w:r>
        <w:rPr>
          <w:rFonts w:hint="default" w:ascii="Times New Roman" w:hAnsi="Times New Roman" w:cs="Times New Roman"/>
          <w:szCs w:val="21"/>
        </w:rPr>
        <w:br w:type="page"/>
      </w:r>
    </w:p>
    <w:p>
      <w:pPr>
        <w:pStyle w:val="3"/>
        <w:jc w:val="center"/>
        <w:rPr>
          <w:rFonts w:hint="default" w:ascii="Times New Roman" w:hAnsi="Times New Roman" w:cs="Times New Roman"/>
        </w:rPr>
      </w:pPr>
      <w:bookmarkStart w:id="404" w:name="_Toc152045791"/>
      <w:bookmarkStart w:id="405" w:name="_Toc144974860"/>
      <w:bookmarkStart w:id="406" w:name="_Toc247527831"/>
      <w:bookmarkStart w:id="407" w:name="_Toc247514283"/>
      <w:bookmarkStart w:id="408" w:name="_Toc300835213"/>
      <w:bookmarkStart w:id="409" w:name="_Toc152042580"/>
      <w:r>
        <w:rPr>
          <w:rFonts w:hint="default" w:ascii="Times New Roman" w:hAnsi="Times New Roman" w:cs="Times New Roman"/>
        </w:rPr>
        <w:t>二、法定代表人身份证明</w:t>
      </w:r>
      <w:bookmarkEnd w:id="404"/>
      <w:bookmarkEnd w:id="405"/>
      <w:bookmarkEnd w:id="406"/>
      <w:bookmarkEnd w:id="407"/>
      <w:bookmarkEnd w:id="408"/>
      <w:bookmarkEnd w:id="409"/>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410" w:name="_Toc152045792"/>
      <w:bookmarkStart w:id="411" w:name="_Toc144974861"/>
      <w:bookmarkStart w:id="412" w:name="_Toc247514284"/>
      <w:bookmarkStart w:id="413" w:name="_Toc247527832"/>
      <w:bookmarkStart w:id="414" w:name="_Toc152042581"/>
      <w:bookmarkStart w:id="415" w:name="_Toc300835214"/>
      <w:r>
        <w:rPr>
          <w:rFonts w:hint="default" w:ascii="Times New Roman" w:hAnsi="Times New Roman" w:cs="Times New Roman"/>
        </w:rPr>
        <w:t>二、授权委托书</w:t>
      </w:r>
      <w:bookmarkEnd w:id="410"/>
      <w:bookmarkEnd w:id="411"/>
      <w:bookmarkEnd w:id="412"/>
      <w:bookmarkEnd w:id="413"/>
      <w:bookmarkEnd w:id="414"/>
      <w:bookmarkEnd w:id="415"/>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（姓名）为我方代理人。代理人根据授权，以我方名义签署、澄清、说明、补正、递交、撤回、修改</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（项目名称）投标文件、签订合同和处理有关事宜，其法律后果由我方承担。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附：法定代表人身份证明、委托代理人身份证复印件、委托代理人202</w:t>
      </w:r>
      <w:r>
        <w:rPr>
          <w:rFonts w:hint="eastAsia" w:ascii="Times New Roman" w:hAnsi="Times New Roman" w:cs="Times New Roman"/>
          <w:szCs w:val="21"/>
          <w:lang w:val="en-US" w:eastAsia="zh-CN"/>
        </w:rPr>
        <w:t>3</w:t>
      </w:r>
      <w:r>
        <w:rPr>
          <w:rFonts w:hint="default" w:ascii="Times New Roman" w:hAnsi="Times New Roman" w:cs="Times New Roman"/>
          <w:szCs w:val="21"/>
        </w:rPr>
        <w:t>年</w:t>
      </w:r>
      <w:r>
        <w:rPr>
          <w:rFonts w:hint="eastAsia" w:ascii="Times New Roman" w:hAnsi="Times New Roman" w:cs="Times New Roman"/>
          <w:szCs w:val="21"/>
          <w:lang w:val="en-US" w:eastAsia="zh-CN"/>
        </w:rPr>
        <w:t>6</w:t>
      </w:r>
      <w:r>
        <w:rPr>
          <w:rFonts w:hint="default" w:ascii="Times New Roman" w:hAnsi="Times New Roman" w:cs="Times New Roman"/>
          <w:szCs w:val="21"/>
        </w:rPr>
        <w:t>月以来任意连续3个月的养老保险证明复印件</w:t>
      </w:r>
      <w:r>
        <w:rPr>
          <w:rFonts w:hint="eastAsia" w:ascii="Times New Roman" w:hAnsi="Times New Roman" w:cs="Times New Roman"/>
          <w:szCs w:val="21"/>
          <w:lang w:eastAsia="zh-CN"/>
        </w:rPr>
        <w:t>。</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1575" w:firstLineChars="7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416" w:name="_Toc152042583"/>
      <w:bookmarkStart w:id="417" w:name="_Toc152045794"/>
      <w:bookmarkStart w:id="418" w:name="_Toc300835216"/>
      <w:bookmarkStart w:id="419" w:name="_Toc144974862"/>
      <w:bookmarkStart w:id="420" w:name="_Toc247527834"/>
      <w:bookmarkStart w:id="421" w:name="_Toc247514286"/>
      <w:r>
        <w:rPr>
          <w:rFonts w:hint="default" w:ascii="Times New Roman" w:hAnsi="Times New Roman" w:cs="Times New Roman"/>
          <w:lang w:val="en-US" w:eastAsia="zh-CN"/>
        </w:rPr>
        <w:t>三</w:t>
      </w:r>
      <w:r>
        <w:rPr>
          <w:rFonts w:hint="default" w:ascii="Times New Roman" w:hAnsi="Times New Roman" w:cs="Times New Roman"/>
        </w:rPr>
        <w:t>、投标保证金</w:t>
      </w:r>
      <w:bookmarkEnd w:id="416"/>
      <w:bookmarkEnd w:id="417"/>
      <w:bookmarkEnd w:id="418"/>
      <w:bookmarkEnd w:id="419"/>
      <w:bookmarkEnd w:id="420"/>
      <w:bookmarkEnd w:id="421"/>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422"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422"/>
    <w:p>
      <w:pPr>
        <w:rPr>
          <w:rFonts w:hint="default" w:ascii="Times New Roman" w:hAnsi="Times New Roman" w:cs="Times New Roman"/>
        </w:rPr>
      </w:pPr>
      <w:bookmarkStart w:id="423" w:name="_Toc247514287"/>
      <w:bookmarkStart w:id="424" w:name="_Toc152042584"/>
      <w:bookmarkStart w:id="425" w:name="_Toc247527835"/>
      <w:bookmarkStart w:id="426" w:name="_Toc152045795"/>
      <w:bookmarkStart w:id="427" w:name="_Toc144974863"/>
      <w:bookmarkStart w:id="428" w:name="_Toc300835218"/>
      <w:r>
        <w:rPr>
          <w:rFonts w:hint="default" w:ascii="Times New Roman" w:hAnsi="Times New Roman" w:cs="Times New Roman"/>
        </w:rPr>
        <w:br w:type="page"/>
      </w:r>
    </w:p>
    <w:p>
      <w:pPr>
        <w:pStyle w:val="3"/>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bookmarkEnd w:id="423"/>
      <w:bookmarkEnd w:id="424"/>
      <w:bookmarkEnd w:id="425"/>
      <w:bookmarkEnd w:id="426"/>
      <w:bookmarkEnd w:id="427"/>
      <w:bookmarkEnd w:id="428"/>
      <w:r>
        <w:rPr>
          <w:rFonts w:hint="eastAsia" w:ascii="Times New Roman" w:hAnsi="Times New Roman" w:cs="Times New Roman"/>
          <w:lang w:val="en-US" w:eastAsia="zh-CN"/>
        </w:rPr>
        <w:t>已标价工程量清单</w:t>
      </w:r>
    </w:p>
    <w:tbl>
      <w:tblPr>
        <w:tblStyle w:val="16"/>
        <w:tblpPr w:leftFromText="180" w:rightFromText="180" w:vertAnchor="text" w:horzAnchor="page" w:tblpX="1567" w:tblpY="911"/>
        <w:tblOverlap w:val="never"/>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18"/>
        <w:gridCol w:w="2018"/>
        <w:gridCol w:w="2156"/>
        <w:gridCol w:w="1740"/>
        <w:gridCol w:w="8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2" w:hRule="atLeast"/>
        </w:trPr>
        <w:tc>
          <w:tcPr>
            <w:tcW w:w="1008" w:type="pct"/>
            <w:vAlign w:val="center"/>
          </w:tcPr>
          <w:p>
            <w:pPr>
              <w:jc w:val="center"/>
              <w:rPr>
                <w:rFonts w:hint="eastAsia" w:ascii="Times New Roman" w:hAnsi="Times New Roman" w:cs="Times New Roman" w:eastAsiaTheme="minorEastAsia"/>
                <w:b/>
                <w:bCs/>
                <w:sz w:val="28"/>
                <w:szCs w:val="36"/>
                <w:vertAlign w:val="baseline"/>
                <w:lang w:val="en-US" w:eastAsia="zh-CN"/>
              </w:rPr>
            </w:pPr>
            <w:bookmarkStart w:id="429" w:name="_Toc247527836"/>
            <w:bookmarkStart w:id="430" w:name="_Toc247514288"/>
            <w:bookmarkStart w:id="431" w:name="_Toc144974864"/>
            <w:bookmarkStart w:id="432" w:name="_Toc152045796"/>
            <w:bookmarkStart w:id="433" w:name="_Toc300835221"/>
            <w:bookmarkStart w:id="434" w:name="_Toc152042585"/>
            <w:r>
              <w:rPr>
                <w:rFonts w:hint="eastAsia" w:ascii="Times New Roman" w:hAnsi="Times New Roman" w:cs="Times New Roman"/>
                <w:b/>
                <w:bCs/>
                <w:sz w:val="28"/>
                <w:szCs w:val="36"/>
                <w:vertAlign w:val="baseline"/>
                <w:lang w:val="en-US" w:eastAsia="zh-CN"/>
              </w:rPr>
              <w:t>名称</w:t>
            </w:r>
          </w:p>
        </w:tc>
        <w:tc>
          <w:tcPr>
            <w:tcW w:w="1184" w:type="pct"/>
            <w:vAlign w:val="center"/>
          </w:tcPr>
          <w:p>
            <w:pPr>
              <w:jc w:val="center"/>
              <w:rPr>
                <w:rFonts w:hint="eastAsia" w:ascii="Times New Roman" w:hAnsi="Times New Roman" w:cs="Times New Roman"/>
                <w:b/>
                <w:bCs/>
                <w:sz w:val="28"/>
                <w:szCs w:val="36"/>
                <w:vertAlign w:val="baseline"/>
                <w:lang w:val="en-US" w:eastAsia="zh-CN"/>
              </w:rPr>
            </w:pPr>
            <w:r>
              <w:rPr>
                <w:rFonts w:hint="eastAsia" w:ascii="Times New Roman" w:hAnsi="Times New Roman" w:cs="Times New Roman"/>
                <w:b/>
                <w:bCs/>
                <w:sz w:val="28"/>
                <w:szCs w:val="36"/>
                <w:vertAlign w:val="baseline"/>
                <w:lang w:val="en-US" w:eastAsia="zh-CN"/>
              </w:rPr>
              <w:t>暂定建筑面积</w:t>
            </w:r>
          </w:p>
          <w:p>
            <w:pPr>
              <w:jc w:val="center"/>
              <w:rPr>
                <w:rFonts w:hint="default" w:ascii="Times New Roman" w:hAnsi="Times New Roman" w:cs="Times New Roman"/>
                <w:b/>
                <w:bCs/>
                <w:sz w:val="28"/>
                <w:szCs w:val="36"/>
                <w:vertAlign w:val="baseline"/>
                <w:lang w:val="en-US" w:eastAsia="zh-CN"/>
              </w:rPr>
            </w:pPr>
            <w:r>
              <w:rPr>
                <w:rFonts w:hint="eastAsia" w:ascii="Times New Roman" w:hAnsi="Times New Roman" w:cs="Times New Roman"/>
                <w:b/>
                <w:bCs/>
                <w:sz w:val="28"/>
                <w:szCs w:val="36"/>
                <w:vertAlign w:val="baseline"/>
                <w:lang w:val="en-US" w:eastAsia="zh-CN"/>
              </w:rPr>
              <w:t>（单位：m</w:t>
            </w:r>
            <w:r>
              <w:rPr>
                <w:rFonts w:hint="eastAsia" w:ascii="Times New Roman" w:hAnsi="Times New Roman" w:cs="Times New Roman"/>
                <w:b/>
                <w:bCs/>
                <w:sz w:val="28"/>
                <w:szCs w:val="36"/>
                <w:vertAlign w:val="superscript"/>
                <w:lang w:val="en-US" w:eastAsia="zh-CN"/>
              </w:rPr>
              <w:t>2</w:t>
            </w:r>
            <w:r>
              <w:rPr>
                <w:rFonts w:hint="eastAsia" w:ascii="Times New Roman" w:hAnsi="Times New Roman" w:cs="Times New Roman"/>
                <w:b/>
                <w:bCs/>
                <w:sz w:val="28"/>
                <w:szCs w:val="36"/>
                <w:vertAlign w:val="baseline"/>
                <w:lang w:val="en-US" w:eastAsia="zh-CN"/>
              </w:rPr>
              <w:t>）</w:t>
            </w:r>
          </w:p>
        </w:tc>
        <w:tc>
          <w:tcPr>
            <w:tcW w:w="1265" w:type="pct"/>
            <w:vAlign w:val="center"/>
          </w:tcPr>
          <w:p>
            <w:pPr>
              <w:jc w:val="center"/>
              <w:rPr>
                <w:rFonts w:hint="eastAsia" w:ascii="Times New Roman" w:hAnsi="Times New Roman" w:cs="Times New Roman"/>
                <w:b/>
                <w:bCs/>
                <w:sz w:val="28"/>
                <w:szCs w:val="36"/>
                <w:vertAlign w:val="baseline"/>
                <w:lang w:val="en-US" w:eastAsia="zh-CN"/>
              </w:rPr>
            </w:pPr>
            <w:r>
              <w:rPr>
                <w:rFonts w:hint="eastAsia" w:ascii="Times New Roman" w:hAnsi="Times New Roman" w:cs="Times New Roman"/>
                <w:b/>
                <w:bCs/>
                <w:sz w:val="28"/>
                <w:szCs w:val="36"/>
                <w:vertAlign w:val="baseline"/>
                <w:lang w:val="en-US" w:eastAsia="zh-CN"/>
              </w:rPr>
              <w:t>含税单价</w:t>
            </w:r>
          </w:p>
          <w:p>
            <w:pPr>
              <w:jc w:val="center"/>
              <w:rPr>
                <w:rFonts w:hint="default" w:ascii="Times New Roman" w:hAnsi="Times New Roman" w:cs="Times New Roman"/>
                <w:b/>
                <w:bCs/>
                <w:sz w:val="28"/>
                <w:szCs w:val="36"/>
                <w:vertAlign w:val="baseline"/>
                <w:lang w:val="en-US" w:eastAsia="zh-CN"/>
              </w:rPr>
            </w:pPr>
            <w:r>
              <w:rPr>
                <w:rFonts w:hint="eastAsia" w:ascii="Times New Roman" w:hAnsi="Times New Roman" w:cs="Times New Roman"/>
                <w:b/>
                <w:bCs/>
                <w:sz w:val="28"/>
                <w:szCs w:val="36"/>
                <w:vertAlign w:val="baseline"/>
                <w:lang w:val="en-US" w:eastAsia="zh-CN"/>
              </w:rPr>
              <w:t>（单位：元/m</w:t>
            </w:r>
            <w:r>
              <w:rPr>
                <w:rFonts w:hint="eastAsia" w:ascii="Times New Roman" w:hAnsi="Times New Roman" w:cs="Times New Roman"/>
                <w:b/>
                <w:bCs/>
                <w:sz w:val="28"/>
                <w:szCs w:val="36"/>
                <w:vertAlign w:val="superscript"/>
                <w:lang w:val="en-US" w:eastAsia="zh-CN"/>
              </w:rPr>
              <w:t>2</w:t>
            </w:r>
            <w:r>
              <w:rPr>
                <w:rFonts w:hint="eastAsia" w:ascii="Times New Roman" w:hAnsi="Times New Roman" w:cs="Times New Roman"/>
                <w:b/>
                <w:bCs/>
                <w:sz w:val="28"/>
                <w:szCs w:val="36"/>
                <w:vertAlign w:val="baseline"/>
                <w:lang w:val="en-US" w:eastAsia="zh-CN"/>
              </w:rPr>
              <w:t>）</w:t>
            </w:r>
          </w:p>
        </w:tc>
        <w:tc>
          <w:tcPr>
            <w:tcW w:w="1021" w:type="pct"/>
            <w:vAlign w:val="center"/>
          </w:tcPr>
          <w:p>
            <w:pPr>
              <w:jc w:val="center"/>
              <w:rPr>
                <w:rFonts w:hint="eastAsia" w:ascii="Times New Roman" w:hAnsi="Times New Roman" w:cs="Times New Roman"/>
                <w:b/>
                <w:bCs/>
                <w:sz w:val="28"/>
                <w:szCs w:val="36"/>
                <w:vertAlign w:val="baseline"/>
                <w:lang w:val="en-US" w:eastAsia="zh-CN"/>
              </w:rPr>
            </w:pPr>
            <w:r>
              <w:rPr>
                <w:rFonts w:hint="eastAsia" w:ascii="Times New Roman" w:hAnsi="Times New Roman" w:cs="Times New Roman"/>
                <w:b/>
                <w:bCs/>
                <w:sz w:val="28"/>
                <w:szCs w:val="36"/>
                <w:vertAlign w:val="baseline"/>
                <w:lang w:val="en-US" w:eastAsia="zh-CN"/>
              </w:rPr>
              <w:t>含税总价</w:t>
            </w:r>
          </w:p>
          <w:p>
            <w:pPr>
              <w:jc w:val="center"/>
              <w:rPr>
                <w:rFonts w:hint="eastAsia" w:ascii="Times New Roman" w:hAnsi="Times New Roman" w:cs="Times New Roman"/>
                <w:b/>
                <w:bCs/>
                <w:sz w:val="28"/>
                <w:szCs w:val="36"/>
                <w:vertAlign w:val="baseline"/>
                <w:lang w:val="en-US" w:eastAsia="zh-CN"/>
              </w:rPr>
            </w:pPr>
            <w:r>
              <w:rPr>
                <w:rFonts w:hint="eastAsia" w:ascii="Times New Roman" w:hAnsi="Times New Roman" w:cs="Times New Roman"/>
                <w:b/>
                <w:bCs/>
                <w:sz w:val="28"/>
                <w:szCs w:val="36"/>
                <w:vertAlign w:val="baseline"/>
                <w:lang w:val="en-US" w:eastAsia="zh-CN"/>
              </w:rPr>
              <w:t>（单位：元）</w:t>
            </w:r>
          </w:p>
        </w:tc>
        <w:tc>
          <w:tcPr>
            <w:tcW w:w="520" w:type="pct"/>
            <w:vAlign w:val="center"/>
          </w:tcPr>
          <w:p>
            <w:pPr>
              <w:jc w:val="center"/>
              <w:rPr>
                <w:rFonts w:hint="eastAsia" w:ascii="Times New Roman" w:hAnsi="Times New Roman" w:cs="Times New Roman"/>
                <w:b/>
                <w:bCs/>
                <w:sz w:val="28"/>
                <w:szCs w:val="36"/>
                <w:vertAlign w:val="baseline"/>
                <w:lang w:val="en-US" w:eastAsia="zh-CN"/>
              </w:rPr>
            </w:pPr>
            <w:r>
              <w:rPr>
                <w:rFonts w:hint="eastAsia" w:ascii="Times New Roman" w:hAnsi="Times New Roman" w:cs="Times New Roman"/>
                <w:b/>
                <w:bCs/>
                <w:sz w:val="28"/>
                <w:szCs w:val="36"/>
                <w:vertAlign w:val="baseline"/>
                <w:lang w:val="en-US" w:eastAsia="zh-CN"/>
              </w:rPr>
              <w:t>税率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8" w:hRule="atLeast"/>
        </w:trPr>
        <w:tc>
          <w:tcPr>
            <w:tcW w:w="1008" w:type="pct"/>
            <w:vAlign w:val="center"/>
          </w:tcPr>
          <w:p>
            <w:pPr>
              <w:jc w:val="center"/>
              <w:rPr>
                <w:rFonts w:hint="default" w:ascii="Times New Roman" w:hAnsi="Times New Roman" w:cs="Times New Roman" w:eastAsiaTheme="minorEastAsia"/>
                <w:b/>
                <w:bCs/>
                <w:sz w:val="28"/>
                <w:szCs w:val="36"/>
                <w:vertAlign w:val="baseline"/>
                <w:lang w:val="en-US" w:eastAsia="zh-CN"/>
              </w:rPr>
            </w:pPr>
            <w:r>
              <w:rPr>
                <w:rFonts w:hint="eastAsia" w:ascii="Times New Roman" w:hAnsi="Times New Roman" w:cs="Times New Roman" w:eastAsiaTheme="minorEastAsia"/>
                <w:b w:val="0"/>
                <w:bCs w:val="0"/>
                <w:sz w:val="22"/>
                <w:szCs w:val="28"/>
                <w:vertAlign w:val="baseline"/>
                <w:lang w:val="en-US" w:eastAsia="zh-CN"/>
              </w:rPr>
              <w:t>脚手架工程、基坑防护、临边防护、主体结构部分钢管加固模板</w:t>
            </w:r>
            <w:r>
              <w:rPr>
                <w:rFonts w:hint="eastAsia" w:ascii="Times New Roman" w:hAnsi="Times New Roman" w:cs="Times New Roman"/>
                <w:b w:val="0"/>
                <w:bCs w:val="0"/>
                <w:sz w:val="22"/>
                <w:szCs w:val="28"/>
                <w:vertAlign w:val="baseline"/>
                <w:lang w:val="en-US" w:eastAsia="zh-CN"/>
              </w:rPr>
              <w:t>等</w:t>
            </w:r>
          </w:p>
        </w:tc>
        <w:tc>
          <w:tcPr>
            <w:tcW w:w="1184" w:type="pct"/>
            <w:vAlign w:val="center"/>
          </w:tcPr>
          <w:p>
            <w:pPr>
              <w:jc w:val="center"/>
              <w:rPr>
                <w:rFonts w:hint="default" w:ascii="Times New Roman" w:hAnsi="Times New Roman" w:cs="Times New Roman"/>
                <w:b/>
                <w:bCs/>
                <w:sz w:val="28"/>
                <w:szCs w:val="36"/>
                <w:vertAlign w:val="baseline"/>
              </w:rPr>
            </w:pPr>
            <w:r>
              <w:rPr>
                <w:rFonts w:hint="default" w:ascii="Times New Roman" w:hAnsi="Times New Roman" w:cs="Times New Roman"/>
                <w:b/>
                <w:bCs/>
                <w:sz w:val="28"/>
                <w:szCs w:val="36"/>
                <w:vertAlign w:val="baseline"/>
                <w:lang w:val="en-US" w:eastAsia="zh-CN"/>
              </w:rPr>
              <w:t>180700</w:t>
            </w:r>
          </w:p>
        </w:tc>
        <w:tc>
          <w:tcPr>
            <w:tcW w:w="1265" w:type="pct"/>
            <w:vAlign w:val="center"/>
          </w:tcPr>
          <w:p>
            <w:pPr>
              <w:jc w:val="center"/>
              <w:rPr>
                <w:rFonts w:hint="default" w:ascii="Times New Roman" w:hAnsi="Times New Roman" w:cs="Times New Roman"/>
                <w:b/>
                <w:bCs/>
                <w:sz w:val="28"/>
                <w:szCs w:val="36"/>
                <w:vertAlign w:val="baseline"/>
              </w:rPr>
            </w:pPr>
          </w:p>
        </w:tc>
        <w:tc>
          <w:tcPr>
            <w:tcW w:w="1021" w:type="pct"/>
            <w:vAlign w:val="center"/>
          </w:tcPr>
          <w:p>
            <w:pPr>
              <w:jc w:val="center"/>
              <w:rPr>
                <w:rFonts w:hint="default" w:ascii="Times New Roman" w:hAnsi="Times New Roman" w:cs="Times New Roman"/>
                <w:b/>
                <w:bCs/>
                <w:sz w:val="28"/>
                <w:szCs w:val="36"/>
                <w:vertAlign w:val="baseline"/>
              </w:rPr>
            </w:pPr>
          </w:p>
        </w:tc>
        <w:tc>
          <w:tcPr>
            <w:tcW w:w="520" w:type="pct"/>
            <w:vAlign w:val="center"/>
          </w:tcPr>
          <w:p>
            <w:pPr>
              <w:jc w:val="center"/>
              <w:rPr>
                <w:rFonts w:hint="default" w:ascii="Times New Roman" w:hAnsi="Times New Roman" w:cs="Times New Roman"/>
                <w:b/>
                <w:bCs/>
                <w:sz w:val="28"/>
                <w:szCs w:val="36"/>
                <w:vertAlign w:val="baseline"/>
              </w:rPr>
            </w:pPr>
          </w:p>
        </w:tc>
      </w:tr>
    </w:tbl>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五</w:t>
      </w:r>
      <w:r>
        <w:rPr>
          <w:rFonts w:hint="default" w:ascii="Times New Roman" w:hAnsi="Times New Roman" w:cs="Times New Roman"/>
          <w:highlight w:val="none"/>
        </w:rPr>
        <w:t>、</w:t>
      </w:r>
      <w:bookmarkEnd w:id="429"/>
      <w:bookmarkEnd w:id="430"/>
      <w:bookmarkEnd w:id="431"/>
      <w:bookmarkEnd w:id="432"/>
      <w:bookmarkEnd w:id="433"/>
      <w:bookmarkEnd w:id="434"/>
      <w:r>
        <w:rPr>
          <w:rFonts w:hint="eastAsia" w:ascii="Times New Roman" w:hAnsi="Times New Roman" w:cs="Times New Roman"/>
          <w:highlight w:val="none"/>
          <w:lang w:val="en-US" w:eastAsia="zh-CN"/>
        </w:rPr>
        <w:t>施工方案</w:t>
      </w:r>
    </w:p>
    <w:p>
      <w:pPr>
        <w:spacing w:line="440" w:lineRule="exact"/>
        <w:rPr>
          <w:rFonts w:hint="default" w:ascii="Times New Roman" w:hAnsi="Times New Roman" w:eastAsia="黑体" w:cs="Times New Roman"/>
          <w:szCs w:val="21"/>
          <w:highlight w:val="green"/>
        </w:rPr>
      </w:pPr>
    </w:p>
    <w:p>
      <w:pPr>
        <w:tabs>
          <w:tab w:val="left" w:pos="720"/>
        </w:tabs>
        <w:spacing w:line="440" w:lineRule="exact"/>
        <w:ind w:firstLine="420" w:firstLineChars="200"/>
        <w:rPr>
          <w:rFonts w:hint="default" w:ascii="Times New Roman" w:hAnsi="Times New Roman" w:cs="Times New Roman"/>
          <w:szCs w:val="21"/>
        </w:rPr>
      </w:pPr>
      <w:bookmarkStart w:id="435" w:name="_Toc300835223"/>
      <w:r>
        <w:rPr>
          <w:rFonts w:hint="default" w:ascii="Times New Roman" w:hAnsi="Times New Roman" w:cs="Times New Roman"/>
          <w:szCs w:val="21"/>
        </w:rPr>
        <w:t xml:space="preserve">1. </w:t>
      </w:r>
      <w:r>
        <w:rPr>
          <w:rFonts w:hint="default" w:ascii="Times New Roman" w:hAnsi="Times New Roman" w:cs="Times New Roman"/>
          <w:szCs w:val="21"/>
        </w:rPr>
        <w:tab/>
      </w:r>
      <w:r>
        <w:rPr>
          <w:rFonts w:hint="default" w:ascii="Times New Roman" w:hAnsi="Times New Roman" w:cs="Times New Roman"/>
          <w:szCs w:val="21"/>
        </w:rPr>
        <w:t>投标人编制</w:t>
      </w:r>
      <w:r>
        <w:rPr>
          <w:rFonts w:hint="eastAsia" w:ascii="Times New Roman" w:hAnsi="Times New Roman" w:cs="Times New Roman"/>
          <w:szCs w:val="21"/>
          <w:lang w:eastAsia="zh-CN"/>
        </w:rPr>
        <w:t>施工方案</w:t>
      </w:r>
      <w:r>
        <w:rPr>
          <w:rFonts w:hint="default" w:ascii="Times New Roman" w:hAnsi="Times New Roman" w:cs="Times New Roman"/>
          <w:szCs w:val="21"/>
        </w:rPr>
        <w:t>的要求：编制时应简明扼要地说明施工方法，工程质量、安全生产、文明施工、环境保护、冬雨季施工、工程进度、技术组织等主要措施。用图表形式阐明本项目的施工总平面、进度计划以及拟投入主要施工设备、劳动力、项目管理机构等。</w:t>
      </w:r>
    </w:p>
    <w:p>
      <w:pPr>
        <w:tabs>
          <w:tab w:val="left" w:pos="720"/>
        </w:tabs>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图表及格式要求：</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附表一  拟投入的主要施工设备表</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附表二  劳动力计划表</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附表三  进度计划</w:t>
      </w:r>
    </w:p>
    <w:p>
      <w:pPr>
        <w:rPr>
          <w:rFonts w:hint="default" w:ascii="Times New Roman" w:hAnsi="Times New Roman" w:cs="Times New Roman"/>
          <w:szCs w:val="21"/>
        </w:rPr>
      </w:pPr>
      <w:r>
        <w:rPr>
          <w:rFonts w:hint="default" w:ascii="Times New Roman" w:hAnsi="Times New Roman" w:cs="Times New Roman"/>
          <w:szCs w:val="21"/>
        </w:rPr>
        <w:br w:type="page"/>
      </w:r>
    </w:p>
    <w:p>
      <w:pPr>
        <w:pStyle w:val="4"/>
        <w:rPr>
          <w:rFonts w:hint="default" w:ascii="Times New Roman" w:hAnsi="Times New Roman" w:cs="Times New Roman"/>
        </w:rPr>
      </w:pPr>
      <w:bookmarkStart w:id="436" w:name="_Toc179632817"/>
      <w:bookmarkStart w:id="437" w:name="_Toc246997108"/>
      <w:bookmarkStart w:id="438" w:name="_Toc152045797"/>
      <w:bookmarkStart w:id="439" w:name="_Toc296602610"/>
      <w:bookmarkStart w:id="440" w:name="_Toc247085883"/>
      <w:bookmarkStart w:id="441" w:name="_Toc152042586"/>
      <w:bookmarkStart w:id="442" w:name="_Toc144974865"/>
      <w:bookmarkStart w:id="443" w:name="_Toc246996365"/>
      <w:r>
        <w:rPr>
          <w:rFonts w:hint="default" w:ascii="Times New Roman" w:hAnsi="Times New Roman" w:cs="Times New Roman"/>
        </w:rPr>
        <w:t>附表一：拟投入本项目的主要施工设备表</w:t>
      </w:r>
      <w:bookmarkEnd w:id="436"/>
      <w:bookmarkEnd w:id="437"/>
      <w:bookmarkEnd w:id="438"/>
      <w:bookmarkEnd w:id="439"/>
      <w:bookmarkEnd w:id="440"/>
      <w:bookmarkEnd w:id="441"/>
      <w:bookmarkEnd w:id="442"/>
      <w:bookmarkEnd w:id="443"/>
    </w:p>
    <w:tbl>
      <w:tblPr>
        <w:tblStyle w:val="15"/>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1086"/>
        <w:gridCol w:w="761"/>
        <w:gridCol w:w="990"/>
        <w:gridCol w:w="672"/>
        <w:gridCol w:w="738"/>
        <w:gridCol w:w="1212"/>
        <w:gridCol w:w="874"/>
        <w:gridCol w:w="1055"/>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rPr>
                <w:rFonts w:hint="default" w:ascii="Times New Roman" w:hAnsi="Times New Roman" w:cs="Times New Roman"/>
                <w:szCs w:val="21"/>
              </w:rPr>
            </w:pPr>
            <w:r>
              <w:rPr>
                <w:rFonts w:hint="default" w:ascii="Times New Roman" w:hAnsi="Times New Roman" w:cs="Times New Roman"/>
                <w:szCs w:val="21"/>
              </w:rPr>
              <w:t>序号</w:t>
            </w:r>
          </w:p>
        </w:tc>
        <w:tc>
          <w:tcPr>
            <w:tcW w:w="1086"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设备名称</w:t>
            </w:r>
          </w:p>
        </w:tc>
        <w:tc>
          <w:tcPr>
            <w:tcW w:w="76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型号</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规格</w:t>
            </w:r>
          </w:p>
        </w:tc>
        <w:tc>
          <w:tcPr>
            <w:tcW w:w="990"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数量</w:t>
            </w:r>
          </w:p>
        </w:tc>
        <w:tc>
          <w:tcPr>
            <w:tcW w:w="672"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国别</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产地</w:t>
            </w:r>
          </w:p>
        </w:tc>
        <w:tc>
          <w:tcPr>
            <w:tcW w:w="738"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制造</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年份</w:t>
            </w:r>
          </w:p>
        </w:tc>
        <w:tc>
          <w:tcPr>
            <w:tcW w:w="1212"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额定功率（kW）</w:t>
            </w:r>
          </w:p>
        </w:tc>
        <w:tc>
          <w:tcPr>
            <w:tcW w:w="874"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生产</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能力</w:t>
            </w:r>
          </w:p>
        </w:tc>
        <w:tc>
          <w:tcPr>
            <w:tcW w:w="1055"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用于施工部位</w:t>
            </w:r>
          </w:p>
        </w:tc>
        <w:tc>
          <w:tcPr>
            <w:tcW w:w="69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rPr>
            </w:pPr>
          </w:p>
        </w:tc>
        <w:tc>
          <w:tcPr>
            <w:tcW w:w="1086" w:type="dxa"/>
            <w:noWrap w:val="0"/>
            <w:vAlign w:val="center"/>
          </w:tcPr>
          <w:p>
            <w:pPr>
              <w:spacing w:line="440" w:lineRule="exact"/>
              <w:jc w:val="center"/>
              <w:rPr>
                <w:rFonts w:hint="default" w:ascii="Times New Roman" w:hAnsi="Times New Roman" w:cs="Times New Roman"/>
                <w:szCs w:val="21"/>
              </w:rPr>
            </w:pPr>
          </w:p>
        </w:tc>
        <w:tc>
          <w:tcPr>
            <w:tcW w:w="761" w:type="dxa"/>
            <w:noWrap w:val="0"/>
            <w:vAlign w:val="center"/>
          </w:tcPr>
          <w:p>
            <w:pPr>
              <w:spacing w:line="440" w:lineRule="exact"/>
              <w:jc w:val="center"/>
              <w:rPr>
                <w:rFonts w:hint="default" w:ascii="Times New Roman" w:hAnsi="Times New Roman" w:cs="Times New Roman"/>
                <w:szCs w:val="21"/>
              </w:rPr>
            </w:pPr>
          </w:p>
        </w:tc>
        <w:tc>
          <w:tcPr>
            <w:tcW w:w="990" w:type="dxa"/>
            <w:noWrap w:val="0"/>
            <w:vAlign w:val="center"/>
          </w:tcPr>
          <w:p>
            <w:pPr>
              <w:spacing w:line="440" w:lineRule="exact"/>
              <w:jc w:val="center"/>
              <w:rPr>
                <w:rFonts w:hint="default" w:ascii="Times New Roman" w:hAnsi="Times New Roman" w:cs="Times New Roman"/>
                <w:szCs w:val="21"/>
              </w:rPr>
            </w:pPr>
          </w:p>
        </w:tc>
        <w:tc>
          <w:tcPr>
            <w:tcW w:w="672" w:type="dxa"/>
            <w:noWrap w:val="0"/>
            <w:vAlign w:val="center"/>
          </w:tcPr>
          <w:p>
            <w:pPr>
              <w:spacing w:line="440" w:lineRule="exact"/>
              <w:jc w:val="center"/>
              <w:rPr>
                <w:rFonts w:hint="default" w:ascii="Times New Roman" w:hAnsi="Times New Roman" w:cs="Times New Roman"/>
                <w:szCs w:val="21"/>
              </w:rPr>
            </w:pPr>
          </w:p>
        </w:tc>
        <w:tc>
          <w:tcPr>
            <w:tcW w:w="738" w:type="dxa"/>
            <w:noWrap w:val="0"/>
            <w:vAlign w:val="center"/>
          </w:tcPr>
          <w:p>
            <w:pPr>
              <w:spacing w:line="440" w:lineRule="exact"/>
              <w:jc w:val="center"/>
              <w:rPr>
                <w:rFonts w:hint="default" w:ascii="Times New Roman" w:hAnsi="Times New Roman" w:cs="Times New Roman"/>
                <w:szCs w:val="21"/>
              </w:rPr>
            </w:pPr>
          </w:p>
        </w:tc>
        <w:tc>
          <w:tcPr>
            <w:tcW w:w="1212" w:type="dxa"/>
            <w:noWrap w:val="0"/>
            <w:vAlign w:val="center"/>
          </w:tcPr>
          <w:p>
            <w:pPr>
              <w:spacing w:line="440" w:lineRule="exact"/>
              <w:jc w:val="center"/>
              <w:rPr>
                <w:rFonts w:hint="default" w:ascii="Times New Roman" w:hAnsi="Times New Roman" w:cs="Times New Roman"/>
                <w:szCs w:val="21"/>
              </w:rPr>
            </w:pPr>
          </w:p>
        </w:tc>
        <w:tc>
          <w:tcPr>
            <w:tcW w:w="874" w:type="dxa"/>
            <w:noWrap w:val="0"/>
            <w:vAlign w:val="center"/>
          </w:tcPr>
          <w:p>
            <w:pPr>
              <w:spacing w:line="440" w:lineRule="exact"/>
              <w:jc w:val="center"/>
              <w:rPr>
                <w:rFonts w:hint="default" w:ascii="Times New Roman" w:hAnsi="Times New Roman" w:cs="Times New Roman"/>
                <w:szCs w:val="21"/>
              </w:rPr>
            </w:pPr>
          </w:p>
        </w:tc>
        <w:tc>
          <w:tcPr>
            <w:tcW w:w="1055" w:type="dxa"/>
            <w:noWrap w:val="0"/>
            <w:vAlign w:val="center"/>
          </w:tcPr>
          <w:p>
            <w:pPr>
              <w:spacing w:line="440" w:lineRule="exact"/>
              <w:jc w:val="center"/>
              <w:rPr>
                <w:rFonts w:hint="default" w:ascii="Times New Roman" w:hAnsi="Times New Roman" w:cs="Times New Roman"/>
                <w:szCs w:val="21"/>
              </w:rPr>
            </w:pPr>
          </w:p>
        </w:tc>
        <w:tc>
          <w:tcPr>
            <w:tcW w:w="691"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rPr>
            </w:pPr>
          </w:p>
        </w:tc>
        <w:tc>
          <w:tcPr>
            <w:tcW w:w="1086" w:type="dxa"/>
            <w:noWrap w:val="0"/>
            <w:vAlign w:val="center"/>
          </w:tcPr>
          <w:p>
            <w:pPr>
              <w:spacing w:line="440" w:lineRule="exact"/>
              <w:jc w:val="center"/>
              <w:rPr>
                <w:rFonts w:hint="default" w:ascii="Times New Roman" w:hAnsi="Times New Roman" w:cs="Times New Roman"/>
                <w:szCs w:val="21"/>
              </w:rPr>
            </w:pPr>
          </w:p>
        </w:tc>
        <w:tc>
          <w:tcPr>
            <w:tcW w:w="761" w:type="dxa"/>
            <w:noWrap w:val="0"/>
            <w:vAlign w:val="center"/>
          </w:tcPr>
          <w:p>
            <w:pPr>
              <w:spacing w:line="440" w:lineRule="exact"/>
              <w:jc w:val="center"/>
              <w:rPr>
                <w:rFonts w:hint="default" w:ascii="Times New Roman" w:hAnsi="Times New Roman" w:cs="Times New Roman"/>
                <w:szCs w:val="21"/>
              </w:rPr>
            </w:pPr>
          </w:p>
        </w:tc>
        <w:tc>
          <w:tcPr>
            <w:tcW w:w="990" w:type="dxa"/>
            <w:noWrap w:val="0"/>
            <w:vAlign w:val="center"/>
          </w:tcPr>
          <w:p>
            <w:pPr>
              <w:spacing w:line="440" w:lineRule="exact"/>
              <w:jc w:val="center"/>
              <w:rPr>
                <w:rFonts w:hint="default" w:ascii="Times New Roman" w:hAnsi="Times New Roman" w:cs="Times New Roman"/>
                <w:szCs w:val="21"/>
              </w:rPr>
            </w:pPr>
          </w:p>
        </w:tc>
        <w:tc>
          <w:tcPr>
            <w:tcW w:w="672" w:type="dxa"/>
            <w:noWrap w:val="0"/>
            <w:vAlign w:val="center"/>
          </w:tcPr>
          <w:p>
            <w:pPr>
              <w:spacing w:line="440" w:lineRule="exact"/>
              <w:jc w:val="center"/>
              <w:rPr>
                <w:rFonts w:hint="default" w:ascii="Times New Roman" w:hAnsi="Times New Roman" w:cs="Times New Roman"/>
                <w:szCs w:val="21"/>
              </w:rPr>
            </w:pPr>
          </w:p>
        </w:tc>
        <w:tc>
          <w:tcPr>
            <w:tcW w:w="738" w:type="dxa"/>
            <w:noWrap w:val="0"/>
            <w:vAlign w:val="center"/>
          </w:tcPr>
          <w:p>
            <w:pPr>
              <w:spacing w:line="440" w:lineRule="exact"/>
              <w:jc w:val="center"/>
              <w:rPr>
                <w:rFonts w:hint="default" w:ascii="Times New Roman" w:hAnsi="Times New Roman" w:cs="Times New Roman"/>
                <w:szCs w:val="21"/>
              </w:rPr>
            </w:pPr>
          </w:p>
        </w:tc>
        <w:tc>
          <w:tcPr>
            <w:tcW w:w="1212" w:type="dxa"/>
            <w:noWrap w:val="0"/>
            <w:vAlign w:val="center"/>
          </w:tcPr>
          <w:p>
            <w:pPr>
              <w:spacing w:line="440" w:lineRule="exact"/>
              <w:jc w:val="center"/>
              <w:rPr>
                <w:rFonts w:hint="default" w:ascii="Times New Roman" w:hAnsi="Times New Roman" w:cs="Times New Roman"/>
                <w:szCs w:val="21"/>
              </w:rPr>
            </w:pPr>
          </w:p>
        </w:tc>
        <w:tc>
          <w:tcPr>
            <w:tcW w:w="874" w:type="dxa"/>
            <w:noWrap w:val="0"/>
            <w:vAlign w:val="center"/>
          </w:tcPr>
          <w:p>
            <w:pPr>
              <w:spacing w:line="440" w:lineRule="exact"/>
              <w:jc w:val="center"/>
              <w:rPr>
                <w:rFonts w:hint="default" w:ascii="Times New Roman" w:hAnsi="Times New Roman" w:cs="Times New Roman"/>
                <w:szCs w:val="21"/>
              </w:rPr>
            </w:pPr>
          </w:p>
        </w:tc>
        <w:tc>
          <w:tcPr>
            <w:tcW w:w="1055" w:type="dxa"/>
            <w:noWrap w:val="0"/>
            <w:vAlign w:val="center"/>
          </w:tcPr>
          <w:p>
            <w:pPr>
              <w:spacing w:line="440" w:lineRule="exact"/>
              <w:jc w:val="center"/>
              <w:rPr>
                <w:rFonts w:hint="default" w:ascii="Times New Roman" w:hAnsi="Times New Roman" w:cs="Times New Roman"/>
                <w:szCs w:val="21"/>
              </w:rPr>
            </w:pPr>
          </w:p>
        </w:tc>
        <w:tc>
          <w:tcPr>
            <w:tcW w:w="691"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bl>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4"/>
        <w:rPr>
          <w:rFonts w:hint="default" w:ascii="Times New Roman" w:hAnsi="Times New Roman" w:cs="Times New Roman"/>
        </w:rPr>
      </w:pPr>
      <w:bookmarkStart w:id="444" w:name="_Toc246996366"/>
      <w:bookmarkStart w:id="445" w:name="_Toc179632819"/>
      <w:bookmarkStart w:id="446" w:name="_Toc152045799"/>
      <w:bookmarkStart w:id="447" w:name="_Toc152042588"/>
      <w:bookmarkStart w:id="448" w:name="_Toc296602611"/>
      <w:bookmarkStart w:id="449" w:name="_Toc144974867"/>
      <w:bookmarkStart w:id="450" w:name="_Toc247085884"/>
      <w:bookmarkStart w:id="451" w:name="_Toc246997109"/>
      <w:r>
        <w:rPr>
          <w:rFonts w:hint="default" w:ascii="Times New Roman" w:hAnsi="Times New Roman" w:cs="Times New Roman"/>
        </w:rPr>
        <w:t>附表二：劳动力计划表</w:t>
      </w:r>
      <w:bookmarkEnd w:id="444"/>
      <w:bookmarkEnd w:id="445"/>
      <w:bookmarkEnd w:id="446"/>
      <w:bookmarkEnd w:id="447"/>
      <w:bookmarkEnd w:id="448"/>
      <w:bookmarkEnd w:id="449"/>
      <w:bookmarkEnd w:id="450"/>
      <w:bookmarkEnd w:id="451"/>
    </w:p>
    <w:p>
      <w:pPr>
        <w:spacing w:line="440" w:lineRule="exact"/>
        <w:ind w:right="200"/>
        <w:jc w:val="right"/>
        <w:rPr>
          <w:rFonts w:hint="default" w:ascii="Times New Roman" w:hAnsi="Times New Roman" w:eastAsia="黑体" w:cs="Times New Roman"/>
          <w:szCs w:val="21"/>
        </w:rPr>
      </w:pPr>
      <w:r>
        <w:rPr>
          <w:rFonts w:hint="default" w:ascii="Times New Roman" w:hAnsi="Times New Roman" w:eastAsia="黑体" w:cs="Times New Roman"/>
          <w:szCs w:val="21"/>
        </w:rPr>
        <w:t>单位：人</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
        <w:gridCol w:w="1304"/>
        <w:gridCol w:w="1065"/>
        <w:gridCol w:w="1065"/>
        <w:gridCol w:w="1065"/>
        <w:gridCol w:w="1065"/>
        <w:gridCol w:w="1065"/>
        <w:gridCol w:w="1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工种</w:t>
            </w:r>
          </w:p>
        </w:tc>
        <w:tc>
          <w:tcPr>
            <w:tcW w:w="7693" w:type="dxa"/>
            <w:gridSpan w:val="7"/>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按工程施工阶段投入劳动力情况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p>
        </w:tc>
        <w:tc>
          <w:tcPr>
            <w:tcW w:w="1304"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4"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p>
        </w:tc>
        <w:tc>
          <w:tcPr>
            <w:tcW w:w="1304"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4"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bl>
    <w:p>
      <w:pPr>
        <w:pStyle w:val="9"/>
        <w:rPr>
          <w:rFonts w:hint="default" w:ascii="Times New Roman" w:hAnsi="Times New Roman" w:cs="Times New Roman"/>
        </w:rPr>
      </w:pPr>
      <w:bookmarkStart w:id="452" w:name="_Toc179632820"/>
      <w:bookmarkStart w:id="453" w:name="_Toc246997110"/>
      <w:bookmarkStart w:id="454" w:name="_Toc152045800"/>
      <w:bookmarkStart w:id="455" w:name="_Toc152042589"/>
      <w:bookmarkStart w:id="456" w:name="_Toc144974868"/>
      <w:bookmarkStart w:id="457" w:name="_Toc246996367"/>
    </w:p>
    <w:p>
      <w:pPr>
        <w:pStyle w:val="9"/>
        <w:rPr>
          <w:rFonts w:hint="default" w:ascii="Times New Roman" w:hAnsi="Times New Roman" w:cs="Times New Roman"/>
        </w:rPr>
      </w:pPr>
      <w:r>
        <w:rPr>
          <w:rFonts w:hint="default" w:ascii="Times New Roman" w:hAnsi="Times New Roman" w:cs="Times New Roman"/>
        </w:rPr>
        <w:br w:type="page"/>
      </w:r>
    </w:p>
    <w:p>
      <w:pPr>
        <w:pStyle w:val="4"/>
        <w:rPr>
          <w:rFonts w:hint="default" w:ascii="Times New Roman" w:hAnsi="Times New Roman" w:cs="Times New Roman"/>
        </w:rPr>
      </w:pPr>
      <w:bookmarkStart w:id="458" w:name="_Toc296602612"/>
      <w:bookmarkStart w:id="459" w:name="_Toc247085885"/>
      <w:r>
        <w:rPr>
          <w:rFonts w:hint="default" w:ascii="Times New Roman" w:hAnsi="Times New Roman" w:cs="Times New Roman"/>
        </w:rPr>
        <w:t>附表三：进度计划</w:t>
      </w:r>
      <w:bookmarkEnd w:id="452"/>
      <w:bookmarkEnd w:id="453"/>
      <w:bookmarkEnd w:id="454"/>
      <w:bookmarkEnd w:id="455"/>
      <w:bookmarkEnd w:id="456"/>
      <w:bookmarkEnd w:id="457"/>
      <w:bookmarkEnd w:id="458"/>
      <w:bookmarkEnd w:id="459"/>
    </w:p>
    <w:p>
      <w:pPr>
        <w:spacing w:line="440" w:lineRule="exact"/>
        <w:rPr>
          <w:rFonts w:hint="default" w:ascii="Times New Roman" w:hAnsi="Times New Roman" w:eastAsia="黑体" w:cs="Times New Roman"/>
          <w:sz w:val="20"/>
          <w:szCs w:val="20"/>
        </w:rPr>
      </w:pP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1. 投标人应递交施工进度网络图或施工进度表，说明按招标文件要求的计划工期进行施工的各个关键日期。</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施工进度表可采用网络图或横道图表示。</w:t>
      </w:r>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cs="Times New Roman"/>
          <w:szCs w:val="21"/>
        </w:rPr>
      </w:pPr>
      <w:r>
        <w:rPr>
          <w:sz w:val="20"/>
        </w:rPr>
        <w:br w:type="page"/>
      </w:r>
    </w:p>
    <w:bookmarkEnd w:id="435"/>
    <w:p>
      <w:pPr>
        <w:pStyle w:val="3"/>
        <w:jc w:val="center"/>
        <w:rPr>
          <w:szCs w:val="21"/>
        </w:rPr>
      </w:pPr>
      <w:bookmarkStart w:id="460" w:name="_Toc246997112"/>
      <w:bookmarkStart w:id="461" w:name="_Toc247085887"/>
      <w:bookmarkStart w:id="462" w:name="_Toc152042592"/>
      <w:bookmarkStart w:id="463" w:name="_Toc144974871"/>
      <w:bookmarkStart w:id="464" w:name="_Toc296602614"/>
      <w:bookmarkStart w:id="465" w:name="_Toc246996369"/>
      <w:bookmarkStart w:id="466" w:name="_Toc179632823"/>
      <w:bookmarkStart w:id="467" w:name="_Toc152045803"/>
      <w:bookmarkStart w:id="468" w:name="_Toc247514300"/>
      <w:bookmarkStart w:id="469" w:name="_Toc247527848"/>
      <w:bookmarkStart w:id="470" w:name="_Toc152045808"/>
      <w:bookmarkStart w:id="471" w:name="_Toc144974876"/>
      <w:bookmarkStart w:id="472" w:name="_Toc300835224"/>
      <w:bookmarkStart w:id="473" w:name="_Toc152042597"/>
      <w:r>
        <w:rPr>
          <w:rFonts w:hint="eastAsia"/>
        </w:rPr>
        <w:t>六</w:t>
      </w:r>
      <w:r>
        <w:t>、项目管理机构</w:t>
      </w:r>
      <w:bookmarkEnd w:id="460"/>
      <w:bookmarkEnd w:id="461"/>
      <w:bookmarkEnd w:id="462"/>
      <w:bookmarkEnd w:id="463"/>
      <w:bookmarkEnd w:id="464"/>
      <w:bookmarkEnd w:id="465"/>
      <w:bookmarkEnd w:id="466"/>
      <w:bookmarkEnd w:id="467"/>
    </w:p>
    <w:p>
      <w:pPr>
        <w:spacing w:line="440" w:lineRule="exact"/>
        <w:jc w:val="center"/>
        <w:rPr>
          <w:rFonts w:eastAsia="黑体"/>
          <w:sz w:val="23"/>
          <w:szCs w:val="23"/>
        </w:rPr>
      </w:pPr>
    </w:p>
    <w:p>
      <w:pPr>
        <w:pStyle w:val="4"/>
        <w:jc w:val="both"/>
      </w:pPr>
      <w:bookmarkStart w:id="474" w:name="_Toc296602615"/>
      <w:bookmarkStart w:id="475" w:name="_Toc246996370"/>
      <w:bookmarkStart w:id="476" w:name="_Toc247085888"/>
      <w:bookmarkStart w:id="477" w:name="_Toc246997113"/>
      <w:r>
        <w:t>（一）项目管理机构组成表</w:t>
      </w:r>
      <w:bookmarkEnd w:id="474"/>
      <w:bookmarkEnd w:id="475"/>
      <w:bookmarkEnd w:id="476"/>
      <w:bookmarkEnd w:id="477"/>
    </w:p>
    <w:p>
      <w:pPr>
        <w:spacing w:line="440" w:lineRule="exact"/>
        <w:jc w:val="center"/>
        <w:rPr>
          <w:rFonts w:eastAsia="黑体"/>
          <w:sz w:val="23"/>
          <w:szCs w:val="23"/>
        </w:rPr>
      </w:pP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pPr>
              <w:spacing w:line="440" w:lineRule="exact"/>
              <w:jc w:val="center"/>
              <w:rPr>
                <w:szCs w:val="21"/>
              </w:rPr>
            </w:pPr>
            <w:r>
              <w:rPr>
                <w:szCs w:val="21"/>
              </w:rPr>
              <w:t>职务</w:t>
            </w:r>
          </w:p>
        </w:tc>
        <w:tc>
          <w:tcPr>
            <w:tcW w:w="721" w:type="dxa"/>
            <w:vMerge w:val="restart"/>
            <w:noWrap w:val="0"/>
            <w:vAlign w:val="center"/>
          </w:tcPr>
          <w:p>
            <w:pPr>
              <w:spacing w:line="440" w:lineRule="exact"/>
              <w:jc w:val="center"/>
              <w:rPr>
                <w:szCs w:val="21"/>
              </w:rPr>
            </w:pPr>
            <w:r>
              <w:rPr>
                <w:szCs w:val="21"/>
              </w:rPr>
              <w:t>姓名</w:t>
            </w:r>
          </w:p>
        </w:tc>
        <w:tc>
          <w:tcPr>
            <w:tcW w:w="719" w:type="dxa"/>
            <w:vMerge w:val="restart"/>
            <w:noWrap w:val="0"/>
            <w:vAlign w:val="center"/>
          </w:tcPr>
          <w:p>
            <w:pPr>
              <w:spacing w:line="440" w:lineRule="exact"/>
              <w:jc w:val="center"/>
              <w:rPr>
                <w:szCs w:val="21"/>
              </w:rPr>
            </w:pPr>
            <w:r>
              <w:rPr>
                <w:szCs w:val="21"/>
              </w:rPr>
              <w:t>职称</w:t>
            </w:r>
          </w:p>
        </w:tc>
        <w:tc>
          <w:tcPr>
            <w:tcW w:w="5763" w:type="dxa"/>
            <w:gridSpan w:val="5"/>
            <w:noWrap w:val="0"/>
            <w:vAlign w:val="center"/>
          </w:tcPr>
          <w:p>
            <w:pPr>
              <w:spacing w:line="440" w:lineRule="exact"/>
              <w:jc w:val="center"/>
              <w:rPr>
                <w:szCs w:val="21"/>
              </w:rPr>
            </w:pPr>
            <w:r>
              <w:rPr>
                <w:szCs w:val="21"/>
              </w:rPr>
              <w:t>执业或职业资格证明</w:t>
            </w:r>
          </w:p>
        </w:tc>
        <w:tc>
          <w:tcPr>
            <w:tcW w:w="672" w:type="dxa"/>
            <w:noWrap w:val="0"/>
            <w:vAlign w:val="center"/>
          </w:tcPr>
          <w:p>
            <w:pPr>
              <w:spacing w:line="440" w:lineRule="exact"/>
              <w:jc w:val="center"/>
              <w:rPr>
                <w:szCs w:val="21"/>
              </w:rPr>
            </w:pPr>
            <w:r>
              <w:rPr>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pPr>
              <w:spacing w:line="440" w:lineRule="exact"/>
              <w:jc w:val="center"/>
              <w:rPr>
                <w:szCs w:val="21"/>
              </w:rPr>
            </w:pPr>
          </w:p>
        </w:tc>
        <w:tc>
          <w:tcPr>
            <w:tcW w:w="721" w:type="dxa"/>
            <w:vMerge w:val="continue"/>
            <w:noWrap w:val="0"/>
            <w:vAlign w:val="center"/>
          </w:tcPr>
          <w:p>
            <w:pPr>
              <w:spacing w:line="440" w:lineRule="exact"/>
              <w:jc w:val="center"/>
              <w:rPr>
                <w:szCs w:val="21"/>
              </w:rPr>
            </w:pPr>
          </w:p>
        </w:tc>
        <w:tc>
          <w:tcPr>
            <w:tcW w:w="719" w:type="dxa"/>
            <w:vMerge w:val="continue"/>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r>
              <w:rPr>
                <w:szCs w:val="21"/>
              </w:rPr>
              <w:t>证书名称</w:t>
            </w:r>
          </w:p>
        </w:tc>
        <w:tc>
          <w:tcPr>
            <w:tcW w:w="719" w:type="dxa"/>
            <w:noWrap w:val="0"/>
            <w:vAlign w:val="center"/>
          </w:tcPr>
          <w:p>
            <w:pPr>
              <w:spacing w:line="440" w:lineRule="exact"/>
              <w:jc w:val="center"/>
              <w:rPr>
                <w:szCs w:val="21"/>
              </w:rPr>
            </w:pPr>
            <w:r>
              <w:rPr>
                <w:szCs w:val="21"/>
              </w:rPr>
              <w:t>级别</w:t>
            </w:r>
          </w:p>
        </w:tc>
        <w:tc>
          <w:tcPr>
            <w:tcW w:w="721" w:type="dxa"/>
            <w:noWrap w:val="0"/>
            <w:vAlign w:val="center"/>
          </w:tcPr>
          <w:p>
            <w:pPr>
              <w:spacing w:line="440" w:lineRule="exact"/>
              <w:jc w:val="center"/>
              <w:rPr>
                <w:szCs w:val="21"/>
              </w:rPr>
            </w:pPr>
            <w:r>
              <w:rPr>
                <w:szCs w:val="21"/>
              </w:rPr>
              <w:t>证号</w:t>
            </w:r>
          </w:p>
        </w:tc>
        <w:tc>
          <w:tcPr>
            <w:tcW w:w="719" w:type="dxa"/>
            <w:noWrap w:val="0"/>
            <w:vAlign w:val="center"/>
          </w:tcPr>
          <w:p>
            <w:pPr>
              <w:spacing w:line="440" w:lineRule="exact"/>
              <w:jc w:val="center"/>
              <w:rPr>
                <w:szCs w:val="21"/>
              </w:rPr>
            </w:pPr>
            <w:r>
              <w:rPr>
                <w:szCs w:val="21"/>
              </w:rPr>
              <w:t>专业</w:t>
            </w:r>
          </w:p>
        </w:tc>
        <w:tc>
          <w:tcPr>
            <w:tcW w:w="2523" w:type="dxa"/>
            <w:noWrap w:val="0"/>
            <w:vAlign w:val="center"/>
          </w:tcPr>
          <w:p>
            <w:pPr>
              <w:spacing w:line="440" w:lineRule="exact"/>
              <w:jc w:val="center"/>
              <w:rPr>
                <w:szCs w:val="21"/>
              </w:rPr>
            </w:pPr>
            <w:r>
              <w:rPr>
                <w:szCs w:val="21"/>
              </w:rPr>
              <w:t>养老保险</w:t>
            </w: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2523" w:type="dxa"/>
            <w:noWrap w:val="0"/>
            <w:vAlign w:val="center"/>
          </w:tcPr>
          <w:p>
            <w:pPr>
              <w:spacing w:line="440" w:lineRule="exact"/>
              <w:jc w:val="center"/>
              <w:rPr>
                <w:szCs w:val="21"/>
              </w:rPr>
            </w:pP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bl>
    <w:p>
      <w:pPr>
        <w:topLinePunct/>
        <w:spacing w:line="440" w:lineRule="exact"/>
        <w:jc w:val="center"/>
        <w:rPr>
          <w:sz w:val="20"/>
        </w:rPr>
      </w:pPr>
    </w:p>
    <w:p>
      <w:pPr>
        <w:topLinePunct/>
        <w:spacing w:line="440" w:lineRule="exact"/>
        <w:jc w:val="center"/>
        <w:rPr>
          <w:rFonts w:hint="eastAsia"/>
          <w:sz w:val="20"/>
        </w:rPr>
      </w:pPr>
      <w:r>
        <w:rPr>
          <w:sz w:val="20"/>
        </w:rPr>
        <w:br w:type="page"/>
      </w:r>
    </w:p>
    <w:p>
      <w:pPr>
        <w:pStyle w:val="4"/>
        <w:jc w:val="both"/>
      </w:pPr>
      <w:bookmarkStart w:id="478" w:name="_Toc247085889"/>
      <w:bookmarkStart w:id="479" w:name="_Toc296602616"/>
      <w:bookmarkStart w:id="480" w:name="_Toc246996371"/>
      <w:bookmarkStart w:id="481" w:name="_Toc246997114"/>
      <w:r>
        <w:t>（二）</w:t>
      </w:r>
      <w:r>
        <w:rPr>
          <w:rFonts w:hint="eastAsia"/>
          <w:lang w:eastAsia="zh-CN"/>
        </w:rPr>
        <w:t>项目负责人</w:t>
      </w:r>
      <w:r>
        <w:t>简历表</w:t>
      </w:r>
      <w:bookmarkEnd w:id="478"/>
      <w:bookmarkEnd w:id="479"/>
      <w:bookmarkEnd w:id="480"/>
      <w:bookmarkEnd w:id="481"/>
    </w:p>
    <w:p>
      <w:pPr>
        <w:spacing w:line="400" w:lineRule="exact"/>
        <w:ind w:firstLine="420" w:firstLineChars="200"/>
        <w:rPr>
          <w:rFonts w:hint="eastAsia"/>
        </w:rPr>
      </w:pPr>
      <w:r>
        <w:rPr>
          <w:rFonts w:hint="eastAsia"/>
        </w:rPr>
        <w:t>应附注册建造师执业资格证书、身份证、职称证、学历证、养老保险复印件，管理过的项目业绩须附合同协议书复印件。</w:t>
      </w:r>
    </w:p>
    <w:p>
      <w:pPr>
        <w:topLinePunct/>
        <w:spacing w:line="440" w:lineRule="exact"/>
        <w:jc w:val="center"/>
        <w:rPr>
          <w:rFonts w:eastAsia="黑体"/>
          <w:sz w:val="23"/>
          <w:szCs w:val="23"/>
        </w:rPr>
      </w:pP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年 龄</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学历</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职 务</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rPr>
                <w:rFonts w:ascii="宋体" w:hAnsi="宋体"/>
                <w:szCs w:val="21"/>
              </w:rPr>
            </w:pPr>
            <w:r>
              <w:rPr>
                <w:rFonts w:ascii="宋体" w:hAnsi="宋体"/>
                <w:szCs w:val="21"/>
              </w:rPr>
              <w:t>毕业学校</w:t>
            </w:r>
          </w:p>
        </w:tc>
        <w:tc>
          <w:tcPr>
            <w:tcW w:w="7336" w:type="dxa"/>
            <w:gridSpan w:val="8"/>
            <w:noWrap w:val="0"/>
            <w:vAlign w:val="top"/>
          </w:tcPr>
          <w:p>
            <w:pPr>
              <w:spacing w:line="440" w:lineRule="exact"/>
              <w:rPr>
                <w:rFonts w:ascii="宋体" w:hAnsi="宋体"/>
                <w:szCs w:val="21"/>
              </w:rPr>
            </w:pPr>
            <w:r>
              <w:rPr>
                <w:rFonts w:ascii="宋体" w:hAnsi="宋体"/>
                <w:szCs w:val="21"/>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pPr>
              <w:spacing w:line="440" w:lineRule="exact"/>
              <w:rPr>
                <w:rFonts w:ascii="宋体" w:hAnsi="宋体"/>
                <w:szCs w:val="21"/>
              </w:rPr>
            </w:pPr>
            <w:r>
              <w:rPr>
                <w:rFonts w:ascii="宋体" w:hAnsi="宋体"/>
                <w:szCs w:val="21"/>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pPr>
              <w:spacing w:line="440" w:lineRule="exact"/>
              <w:rPr>
                <w:rFonts w:ascii="宋体" w:hAnsi="宋体"/>
                <w:szCs w:val="21"/>
              </w:rPr>
            </w:pPr>
            <w:r>
              <w:rPr>
                <w:rFonts w:ascii="宋体" w:hAnsi="宋体"/>
                <w:szCs w:val="21"/>
              </w:rPr>
              <w:t>时  间</w:t>
            </w:r>
          </w:p>
        </w:tc>
        <w:tc>
          <w:tcPr>
            <w:tcW w:w="3420" w:type="dxa"/>
            <w:gridSpan w:val="4"/>
            <w:noWrap w:val="0"/>
            <w:vAlign w:val="center"/>
          </w:tcPr>
          <w:p>
            <w:pPr>
              <w:spacing w:line="440" w:lineRule="exact"/>
              <w:rPr>
                <w:rFonts w:ascii="宋体" w:hAnsi="宋体"/>
                <w:szCs w:val="21"/>
              </w:rPr>
            </w:pPr>
            <w:r>
              <w:rPr>
                <w:rFonts w:ascii="宋体" w:hAnsi="宋体"/>
                <w:szCs w:val="21"/>
              </w:rPr>
              <w:t>参加过的类似项目</w:t>
            </w:r>
          </w:p>
        </w:tc>
        <w:tc>
          <w:tcPr>
            <w:tcW w:w="1261" w:type="dxa"/>
            <w:noWrap w:val="0"/>
            <w:vAlign w:val="center"/>
          </w:tcPr>
          <w:p>
            <w:pPr>
              <w:spacing w:line="440" w:lineRule="exact"/>
              <w:rPr>
                <w:rFonts w:ascii="宋体" w:hAnsi="宋体"/>
                <w:szCs w:val="21"/>
              </w:rPr>
            </w:pPr>
            <w:r>
              <w:rPr>
                <w:rFonts w:ascii="宋体" w:hAnsi="宋体"/>
                <w:szCs w:val="21"/>
              </w:rPr>
              <w:t>担任职务</w:t>
            </w:r>
          </w:p>
        </w:tc>
        <w:tc>
          <w:tcPr>
            <w:tcW w:w="2296" w:type="dxa"/>
            <w:gridSpan w:val="2"/>
            <w:noWrap w:val="0"/>
            <w:vAlign w:val="center"/>
          </w:tcPr>
          <w:p>
            <w:pPr>
              <w:spacing w:line="440" w:lineRule="exact"/>
              <w:rPr>
                <w:rFonts w:ascii="宋体" w:hAnsi="宋体"/>
                <w:szCs w:val="21"/>
              </w:rPr>
            </w:pPr>
            <w:r>
              <w:rPr>
                <w:rFonts w:ascii="宋体" w:hAnsi="宋体"/>
                <w:szCs w:val="21"/>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bl>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eastAsia"/>
        </w:rPr>
      </w:pPr>
      <w:bookmarkStart w:id="482" w:name="_Toc152042596"/>
      <w:bookmarkStart w:id="483" w:name="_Toc296602617"/>
      <w:bookmarkStart w:id="484" w:name="_Toc179632827"/>
      <w:bookmarkStart w:id="485" w:name="_Toc246997115"/>
      <w:bookmarkStart w:id="486" w:name="_Toc247085890"/>
      <w:bookmarkStart w:id="487" w:name="_Toc152045807"/>
      <w:bookmarkStart w:id="488" w:name="_Toc144974875"/>
      <w:bookmarkStart w:id="489" w:name="_Toc246996372"/>
      <w:r>
        <w:rPr>
          <w:rFonts w:hint="eastAsia"/>
        </w:rPr>
        <w:t>七</w:t>
      </w:r>
      <w:r>
        <w:t>、资格审查资料</w:t>
      </w:r>
      <w:bookmarkEnd w:id="482"/>
      <w:bookmarkEnd w:id="483"/>
      <w:bookmarkEnd w:id="484"/>
      <w:bookmarkEnd w:id="485"/>
      <w:bookmarkEnd w:id="486"/>
      <w:bookmarkEnd w:id="487"/>
      <w:bookmarkEnd w:id="488"/>
      <w:bookmarkEnd w:id="489"/>
    </w:p>
    <w:p>
      <w:pPr>
        <w:pStyle w:val="4"/>
        <w:jc w:val="both"/>
        <w:rPr>
          <w:rFonts w:hint="eastAsia"/>
        </w:rPr>
      </w:pPr>
      <w:bookmarkStart w:id="490" w:name="_Toc246996373"/>
      <w:bookmarkStart w:id="491" w:name="_Toc296602618"/>
      <w:bookmarkStart w:id="492" w:name="_Toc247085891"/>
      <w:bookmarkStart w:id="493" w:name="_Toc246997116"/>
      <w:bookmarkStart w:id="494" w:name="_Toc179632828"/>
      <w:r>
        <w:t>（一）投标人基本情况表</w:t>
      </w:r>
      <w:bookmarkEnd w:id="490"/>
      <w:bookmarkEnd w:id="491"/>
      <w:bookmarkEnd w:id="492"/>
      <w:bookmarkEnd w:id="493"/>
      <w:bookmarkEnd w:id="494"/>
    </w:p>
    <w:tbl>
      <w:tblPr>
        <w:tblStyle w:val="15"/>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ind w:firstLine="105" w:firstLineChars="50"/>
              <w:jc w:val="center"/>
              <w:rPr>
                <w:szCs w:val="21"/>
              </w:rPr>
            </w:pPr>
            <w:r>
              <w:rPr>
                <w:szCs w:val="21"/>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bookmarkEnd w:id="468"/>
    <w:bookmarkEnd w:id="469"/>
    <w:bookmarkEnd w:id="470"/>
    <w:bookmarkEnd w:id="471"/>
    <w:bookmarkEnd w:id="472"/>
    <w:bookmarkEnd w:id="473"/>
    <w:p>
      <w:pPr>
        <w:pStyle w:val="4"/>
        <w:rPr>
          <w:rFonts w:hint="default" w:ascii="Times New Roman" w:hAnsi="Times New Roman" w:cs="Times New Roman"/>
        </w:rPr>
      </w:pPr>
      <w:bookmarkStart w:id="495" w:name="_Toc152045809"/>
      <w:bookmarkStart w:id="496" w:name="_Toc152042598"/>
      <w:bookmarkStart w:id="497" w:name="_Toc247514301"/>
      <w:bookmarkStart w:id="498" w:name="_Toc300835225"/>
      <w:bookmarkStart w:id="499" w:name="_Toc144974877"/>
      <w:bookmarkStart w:id="500" w:name="_Toc247527849"/>
      <w:r>
        <w:rPr>
          <w:rFonts w:hint="default" w:ascii="Times New Roman" w:hAnsi="Times New Roman" w:cs="Times New Roman"/>
        </w:rPr>
        <w:t>（二）近年财务状况表</w:t>
      </w:r>
      <w:bookmarkEnd w:id="495"/>
      <w:bookmarkEnd w:id="496"/>
      <w:bookmarkEnd w:id="497"/>
      <w:bookmarkEnd w:id="498"/>
      <w:bookmarkEnd w:id="499"/>
      <w:bookmarkEnd w:id="500"/>
    </w:p>
    <w:p>
      <w:pPr>
        <w:topLinePunct/>
        <w:spacing w:line="440" w:lineRule="exact"/>
        <w:ind w:firstLine="420" w:firstLineChars="200"/>
        <w:rPr>
          <w:rFonts w:hint="eastAsia" w:ascii="Times New Roman" w:hAnsi="Times New Roman"/>
          <w:color w:val="000000"/>
        </w:rPr>
      </w:pPr>
      <w:r>
        <w:rPr>
          <w:rFonts w:hint="eastAsia" w:ascii="Times New Roman" w:hAnsi="Times New Roman"/>
          <w:color w:val="000000"/>
        </w:rPr>
        <w:t>“近年财务状况表”应附经会计师事务所或审计机构审计的财务会计报表，包括资产</w:t>
      </w:r>
      <w:r>
        <w:rPr>
          <w:rFonts w:hint="eastAsia" w:ascii="Times New Roman" w:hAnsi="Times New Roman"/>
          <w:color w:val="000000"/>
          <w:lang w:val="en-US" w:eastAsia="zh-CN"/>
        </w:rPr>
        <w:t>负</w:t>
      </w:r>
      <w:r>
        <w:rPr>
          <w:rFonts w:hint="eastAsia" w:ascii="Times New Roman" w:hAnsi="Times New Roman"/>
          <w:color w:val="000000"/>
        </w:rPr>
        <w:t>债表、现金流量表、利润表和财务情况说明书的复印件，具体年份要求见投标人须知前附表。</w:t>
      </w:r>
    </w:p>
    <w:p>
      <w:pPr>
        <w:topLinePunct/>
        <w:spacing w:line="440" w:lineRule="exact"/>
        <w:ind w:firstLine="420" w:firstLineChars="200"/>
        <w:rPr>
          <w:rFonts w:hint="default" w:ascii="Times New Roman" w:hAnsi="Times New Roman" w:eastAsia="黑体" w:cs="Times New Roman"/>
          <w:sz w:val="23"/>
          <w:szCs w:val="23"/>
        </w:rPr>
      </w:pPr>
      <w:r>
        <w:rPr>
          <w:rFonts w:hint="eastAsia" w:ascii="Times New Roman" w:hAnsi="Times New Roman"/>
          <w:color w:val="000000"/>
        </w:rPr>
        <w:t>投标人的成立时间少于投标人须知前附表规定年份的，应提供成立以来的财务状况表。</w:t>
      </w:r>
      <w:r>
        <w:rPr>
          <w:rFonts w:hint="default" w:ascii="Times New Roman" w:hAnsi="Times New Roman" w:eastAsia="黑体" w:cs="Times New Roman"/>
          <w:sz w:val="20"/>
          <w:szCs w:val="20"/>
        </w:rPr>
        <w:br w:type="page"/>
      </w:r>
    </w:p>
    <w:p>
      <w:pPr>
        <w:pStyle w:val="4"/>
        <w:rPr>
          <w:rFonts w:hint="default" w:ascii="Times New Roman" w:hAnsi="Times New Roman" w:cs="Times New Roman"/>
        </w:rPr>
      </w:pPr>
      <w:bookmarkStart w:id="501" w:name="_Toc152045810"/>
      <w:bookmarkStart w:id="502" w:name="_Toc300835226"/>
      <w:bookmarkStart w:id="503" w:name="_Toc152042599"/>
      <w:bookmarkStart w:id="504" w:name="_Toc144974878"/>
      <w:bookmarkStart w:id="505" w:name="_Toc247527850"/>
      <w:bookmarkStart w:id="506" w:name="_Toc247514302"/>
      <w:r>
        <w:rPr>
          <w:rFonts w:hint="default" w:ascii="Times New Roman" w:hAnsi="Times New Roman" w:cs="Times New Roman"/>
        </w:rPr>
        <w:t>（三）近年完成的类似项目情况表</w:t>
      </w:r>
      <w:bookmarkEnd w:id="501"/>
      <w:bookmarkEnd w:id="502"/>
      <w:bookmarkEnd w:id="503"/>
      <w:bookmarkEnd w:id="504"/>
      <w:bookmarkEnd w:id="505"/>
      <w:bookmarkEnd w:id="506"/>
    </w:p>
    <w:p>
      <w:pPr>
        <w:spacing w:line="440" w:lineRule="exact"/>
        <w:jc w:val="center"/>
        <w:rPr>
          <w:rFonts w:hint="default" w:ascii="Times New Roman" w:hAnsi="Times New Roman" w:eastAsia="黑体" w:cs="Times New Roman"/>
          <w:sz w:val="23"/>
          <w:szCs w:val="23"/>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rPr>
              <w:t>竣工</w:t>
            </w:r>
            <w:r>
              <w:rPr>
                <w:rFonts w:hint="default" w:ascii="Times New Roman" w:hAnsi="Times New Roman" w:cs="Times New Roman"/>
                <w:szCs w:val="21"/>
              </w:rPr>
              <w:t>日期</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269" w:type="dxa"/>
            <w:noWrap w:val="0"/>
            <w:vAlign w:val="center"/>
          </w:tcPr>
          <w:p>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507" w:name="_Toc247527851"/>
      <w:bookmarkStart w:id="508" w:name="_Toc144974879"/>
      <w:bookmarkStart w:id="509" w:name="_Toc152045811"/>
      <w:bookmarkStart w:id="510" w:name="_Toc152042600"/>
      <w:bookmarkStart w:id="511" w:name="_Toc247514303"/>
    </w:p>
    <w:p>
      <w:pPr>
        <w:spacing w:line="440" w:lineRule="exact"/>
        <w:rPr>
          <w:rFonts w:hint="default" w:ascii="Times New Roman" w:hAnsi="Times New Roman" w:cs="Times New Roman"/>
        </w:rPr>
      </w:pPr>
    </w:p>
    <w:p>
      <w:pPr>
        <w:pStyle w:val="4"/>
        <w:rPr>
          <w:rFonts w:hint="default" w:ascii="Times New Roman" w:hAnsi="Times New Roman" w:cs="Times New Roman"/>
        </w:rPr>
      </w:pPr>
      <w:bookmarkStart w:id="512" w:name="_Toc300835227"/>
      <w:r>
        <w:rPr>
          <w:rFonts w:hint="default" w:ascii="Times New Roman" w:hAnsi="Times New Roman" w:cs="Times New Roman"/>
        </w:rPr>
        <w:t>（四）正在实施的和新承接的项目情况表</w:t>
      </w:r>
      <w:bookmarkEnd w:id="507"/>
      <w:bookmarkEnd w:id="508"/>
      <w:bookmarkEnd w:id="509"/>
      <w:bookmarkEnd w:id="510"/>
      <w:bookmarkEnd w:id="511"/>
      <w:bookmarkEnd w:id="512"/>
    </w:p>
    <w:p>
      <w:pPr>
        <w:spacing w:line="440" w:lineRule="exact"/>
        <w:rPr>
          <w:rFonts w:hint="default" w:ascii="Times New Roman" w:hAnsi="Times New Roman" w:eastAsia="黑体" w:cs="Times New Roman"/>
          <w:sz w:val="20"/>
          <w:szCs w:val="20"/>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9"/>
        <w:gridCol w:w="64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签约合同价</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计划</w:t>
            </w:r>
            <w:r>
              <w:rPr>
                <w:rFonts w:hint="default" w:ascii="Times New Roman" w:hAnsi="Times New Roman" w:cs="Times New Roman"/>
              </w:rPr>
              <w:t>竣工</w:t>
            </w:r>
            <w:r>
              <w:rPr>
                <w:rFonts w:hint="default" w:ascii="Times New Roman" w:hAnsi="Times New Roman" w:cs="Times New Roman"/>
                <w:szCs w:val="21"/>
              </w:rPr>
              <w:t>日期</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119" w:type="dxa"/>
            <w:noWrap w:val="0"/>
            <w:vAlign w:val="center"/>
          </w:tcPr>
          <w:p>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40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40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513" w:name="_Toc152042601"/>
      <w:bookmarkStart w:id="514" w:name="_Toc247527852"/>
      <w:bookmarkStart w:id="515" w:name="_Toc152045812"/>
      <w:bookmarkStart w:id="516" w:name="_Toc144974880"/>
      <w:bookmarkStart w:id="517" w:name="_Toc247514304"/>
    </w:p>
    <w:p>
      <w:pPr>
        <w:spacing w:line="440" w:lineRule="exact"/>
        <w:rPr>
          <w:rFonts w:hint="default" w:ascii="Times New Roman" w:hAnsi="Times New Roman" w:cs="Times New Roman"/>
        </w:rPr>
      </w:pPr>
    </w:p>
    <w:bookmarkEnd w:id="513"/>
    <w:bookmarkEnd w:id="514"/>
    <w:bookmarkEnd w:id="515"/>
    <w:bookmarkEnd w:id="516"/>
    <w:bookmarkEnd w:id="517"/>
    <w:p>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pPr>
        <w:spacing w:line="440" w:lineRule="exact"/>
        <w:ind w:firstLine="420" w:firstLineChars="200"/>
        <w:rPr>
          <w:rFonts w:hint="default" w:ascii="Times New Roman" w:hAnsi="Times New Roman" w:eastAsiaTheme="minorEastAsia"/>
          <w:color w:val="000000"/>
          <w:lang w:val="en-US" w:eastAsia="zh-CN"/>
        </w:rPr>
      </w:pPr>
      <w:permStart w:id="66" w:edGrp="everyone"/>
      <w:r>
        <w:rPr>
          <w:rFonts w:ascii="Times New Roman" w:hAnsi="Times New Roman"/>
        </w:rPr>
        <w:t>注：</w:t>
      </w:r>
      <w:r>
        <w:rPr>
          <w:rFonts w:hint="eastAsia" w:ascii="Times New Roman" w:hAnsi="Times New Roman"/>
          <w:lang w:val="en-US" w:eastAsia="zh-CN"/>
        </w:rPr>
        <w:t>如有，按招标文件要求提供。</w:t>
      </w:r>
    </w:p>
    <w:permEnd w:id="66"/>
    <w:p>
      <w:pPr>
        <w:spacing w:line="440" w:lineRule="exact"/>
        <w:rPr>
          <w:rFonts w:hint="default" w:ascii="Times New Roman" w:hAnsi="Times New Roman" w:cs="Times New Roman"/>
        </w:rPr>
      </w:pPr>
      <w:r>
        <w:rPr>
          <w:rFonts w:hint="default" w:ascii="Times New Roman" w:hAnsi="Times New Roman" w:cs="Times New Roman"/>
        </w:rPr>
        <w:br w:type="page"/>
      </w:r>
      <w:bookmarkStart w:id="518" w:name="_Toc144974881"/>
      <w:bookmarkStart w:id="519" w:name="_Toc247530162"/>
      <w:bookmarkStart w:id="520" w:name="_Toc152045813"/>
      <w:bookmarkStart w:id="521" w:name="_Toc152042602"/>
      <w:bookmarkStart w:id="522" w:name="_Toc247514305"/>
      <w:bookmarkStart w:id="523" w:name="_Toc247527853"/>
    </w:p>
    <w:bookmarkEnd w:id="518"/>
    <w:bookmarkEnd w:id="519"/>
    <w:bookmarkEnd w:id="520"/>
    <w:bookmarkEnd w:id="521"/>
    <w:bookmarkEnd w:id="522"/>
    <w:bookmarkEnd w:id="523"/>
    <w:p>
      <w:pPr>
        <w:pStyle w:val="3"/>
        <w:jc w:val="center"/>
        <w:rPr>
          <w:rFonts w:hint="default" w:ascii="Times New Roman" w:hAnsi="Times New Roman" w:cs="Times New Roman"/>
        </w:rPr>
      </w:pPr>
      <w:bookmarkStart w:id="524" w:name="_Toc300835233"/>
      <w:bookmarkStart w:id="525" w:name="_Toc271821942"/>
      <w:r>
        <w:rPr>
          <w:rFonts w:hint="eastAsia" w:ascii="Times New Roman" w:hAnsi="Times New Roman" w:cs="Times New Roman"/>
          <w:lang w:val="en-US" w:eastAsia="zh-CN"/>
        </w:rPr>
        <w:t>八</w:t>
      </w:r>
      <w:r>
        <w:rPr>
          <w:rFonts w:hint="default" w:ascii="Times New Roman" w:hAnsi="Times New Roman" w:cs="Times New Roman"/>
        </w:rPr>
        <w:t>、其他资料</w:t>
      </w:r>
      <w:bookmarkEnd w:id="524"/>
      <w:bookmarkEnd w:id="525"/>
    </w:p>
    <w:p>
      <w:pPr>
        <w:ind w:firstLine="420" w:firstLineChars="200"/>
        <w:rPr>
          <w:rFonts w:hint="eastAsia" w:ascii="Times New Roman" w:hAnsi="Times New Roman" w:eastAsiaTheme="minorEastAsia"/>
          <w:lang w:eastAsia="zh-CN"/>
        </w:rPr>
      </w:pPr>
      <w:permStart w:id="67" w:edGrp="everyone"/>
      <w:r>
        <w:rPr>
          <w:rFonts w:hint="eastAsia" w:ascii="Times New Roman" w:hAnsi="Times New Roman"/>
        </w:rPr>
        <w:t>第</w:t>
      </w:r>
      <w:r>
        <w:rPr>
          <w:rFonts w:hint="eastAsia" w:ascii="Times New Roman" w:hAnsi="Times New Roman"/>
          <w:lang w:val="en-US" w:eastAsia="zh-CN"/>
        </w:rPr>
        <w:t>八</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ermEnd w:id="67"/>
    <w:p>
      <w:pPr>
        <w:spacing w:line="400" w:lineRule="exact"/>
        <w:rPr>
          <w:rFonts w:hint="default" w:ascii="Times New Roman" w:hAnsi="Times New Roman" w:cs="Times New Roman"/>
        </w:rPr>
      </w:pPr>
    </w:p>
    <w:p>
      <w:pPr>
        <w:pStyle w:val="5"/>
        <w:rPr>
          <w:rFonts w:hint="default" w:ascii="Times New Roman" w:hAnsi="Times New Roman" w:cs="Times New Roman"/>
        </w:rPr>
      </w:pPr>
    </w:p>
    <w:p>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hZmU1NzVmNjhkMDIxNjU5ZDRhNTBkNWVmYjUyMGYifQ=="/>
  </w:docVars>
  <w:rsids>
    <w:rsidRoot w:val="00000000"/>
    <w:rsid w:val="000A4B92"/>
    <w:rsid w:val="002609D3"/>
    <w:rsid w:val="002C069E"/>
    <w:rsid w:val="0040224D"/>
    <w:rsid w:val="00733B0B"/>
    <w:rsid w:val="00764376"/>
    <w:rsid w:val="00796B76"/>
    <w:rsid w:val="00850CC0"/>
    <w:rsid w:val="00A850CE"/>
    <w:rsid w:val="00B00F2F"/>
    <w:rsid w:val="00FF308E"/>
    <w:rsid w:val="011E6004"/>
    <w:rsid w:val="0145105E"/>
    <w:rsid w:val="01581C5E"/>
    <w:rsid w:val="019846E3"/>
    <w:rsid w:val="01CB0CDF"/>
    <w:rsid w:val="01CD2334"/>
    <w:rsid w:val="01D5650C"/>
    <w:rsid w:val="01E140D3"/>
    <w:rsid w:val="01F16263"/>
    <w:rsid w:val="02016132"/>
    <w:rsid w:val="021D348F"/>
    <w:rsid w:val="026E5FAB"/>
    <w:rsid w:val="02983D41"/>
    <w:rsid w:val="029F2BC9"/>
    <w:rsid w:val="02A31129"/>
    <w:rsid w:val="02A46690"/>
    <w:rsid w:val="02AC508C"/>
    <w:rsid w:val="02BE075F"/>
    <w:rsid w:val="02F4317E"/>
    <w:rsid w:val="0324584F"/>
    <w:rsid w:val="032652C7"/>
    <w:rsid w:val="033964DC"/>
    <w:rsid w:val="035021B2"/>
    <w:rsid w:val="03696450"/>
    <w:rsid w:val="038E65F9"/>
    <w:rsid w:val="03C10800"/>
    <w:rsid w:val="03C96DCC"/>
    <w:rsid w:val="03FB71CD"/>
    <w:rsid w:val="04127BBC"/>
    <w:rsid w:val="041515CF"/>
    <w:rsid w:val="04210376"/>
    <w:rsid w:val="04212D24"/>
    <w:rsid w:val="042C575E"/>
    <w:rsid w:val="04382327"/>
    <w:rsid w:val="043A6EF6"/>
    <w:rsid w:val="043F5557"/>
    <w:rsid w:val="044363A4"/>
    <w:rsid w:val="04885B47"/>
    <w:rsid w:val="04A52387"/>
    <w:rsid w:val="04B54547"/>
    <w:rsid w:val="04CD15E8"/>
    <w:rsid w:val="04CF4810"/>
    <w:rsid w:val="04D63FDF"/>
    <w:rsid w:val="04EB08D2"/>
    <w:rsid w:val="04EC7DA2"/>
    <w:rsid w:val="050252F6"/>
    <w:rsid w:val="055625ED"/>
    <w:rsid w:val="0572490A"/>
    <w:rsid w:val="057E3D65"/>
    <w:rsid w:val="058253F2"/>
    <w:rsid w:val="05872EB9"/>
    <w:rsid w:val="05933026"/>
    <w:rsid w:val="05BA17C0"/>
    <w:rsid w:val="05D9116E"/>
    <w:rsid w:val="061F0438"/>
    <w:rsid w:val="06225487"/>
    <w:rsid w:val="06292F58"/>
    <w:rsid w:val="063F4D83"/>
    <w:rsid w:val="064B59D4"/>
    <w:rsid w:val="064B6201"/>
    <w:rsid w:val="06501BB5"/>
    <w:rsid w:val="06624967"/>
    <w:rsid w:val="06626753"/>
    <w:rsid w:val="06714440"/>
    <w:rsid w:val="067240CC"/>
    <w:rsid w:val="06866D3C"/>
    <w:rsid w:val="06972E4E"/>
    <w:rsid w:val="06A31B6E"/>
    <w:rsid w:val="06A848F7"/>
    <w:rsid w:val="06B86823"/>
    <w:rsid w:val="06BF2153"/>
    <w:rsid w:val="06D375E0"/>
    <w:rsid w:val="06D9502E"/>
    <w:rsid w:val="06E329B2"/>
    <w:rsid w:val="06EB4F76"/>
    <w:rsid w:val="06ED1728"/>
    <w:rsid w:val="06F81D74"/>
    <w:rsid w:val="074267A8"/>
    <w:rsid w:val="074A7C93"/>
    <w:rsid w:val="075F4568"/>
    <w:rsid w:val="07666E00"/>
    <w:rsid w:val="07723470"/>
    <w:rsid w:val="077965A7"/>
    <w:rsid w:val="07832BA1"/>
    <w:rsid w:val="07972327"/>
    <w:rsid w:val="07A85930"/>
    <w:rsid w:val="07B920C3"/>
    <w:rsid w:val="07EE56D8"/>
    <w:rsid w:val="083726B7"/>
    <w:rsid w:val="08554A0D"/>
    <w:rsid w:val="08563EE1"/>
    <w:rsid w:val="086D3DA1"/>
    <w:rsid w:val="08774BE1"/>
    <w:rsid w:val="088F5820"/>
    <w:rsid w:val="08903F11"/>
    <w:rsid w:val="08932D8F"/>
    <w:rsid w:val="08ED571D"/>
    <w:rsid w:val="08F53A28"/>
    <w:rsid w:val="0922447E"/>
    <w:rsid w:val="0926237D"/>
    <w:rsid w:val="092D0C4C"/>
    <w:rsid w:val="096213E6"/>
    <w:rsid w:val="09641BD1"/>
    <w:rsid w:val="0967298A"/>
    <w:rsid w:val="098F4C8F"/>
    <w:rsid w:val="099948FD"/>
    <w:rsid w:val="09A71C3D"/>
    <w:rsid w:val="09AF2C22"/>
    <w:rsid w:val="09B32D8C"/>
    <w:rsid w:val="09C37FE6"/>
    <w:rsid w:val="09D236A1"/>
    <w:rsid w:val="09DB25D9"/>
    <w:rsid w:val="09DF226A"/>
    <w:rsid w:val="09EC69D2"/>
    <w:rsid w:val="0A074254"/>
    <w:rsid w:val="0A164DF4"/>
    <w:rsid w:val="0A195A3E"/>
    <w:rsid w:val="0A1E12A6"/>
    <w:rsid w:val="0A3B332D"/>
    <w:rsid w:val="0A500304"/>
    <w:rsid w:val="0A5234C1"/>
    <w:rsid w:val="0A704DEE"/>
    <w:rsid w:val="0A8B5261"/>
    <w:rsid w:val="0A8E5075"/>
    <w:rsid w:val="0AA913FB"/>
    <w:rsid w:val="0AAE6B76"/>
    <w:rsid w:val="0AB37F43"/>
    <w:rsid w:val="0AB930A2"/>
    <w:rsid w:val="0ADD0DF0"/>
    <w:rsid w:val="0AEB40E8"/>
    <w:rsid w:val="0B416906"/>
    <w:rsid w:val="0B5D1C2A"/>
    <w:rsid w:val="0B685C3C"/>
    <w:rsid w:val="0B7202E7"/>
    <w:rsid w:val="0B7407CB"/>
    <w:rsid w:val="0B991D46"/>
    <w:rsid w:val="0B9F686D"/>
    <w:rsid w:val="0BCF4871"/>
    <w:rsid w:val="0BDE31B0"/>
    <w:rsid w:val="0C110CA2"/>
    <w:rsid w:val="0C2E5244"/>
    <w:rsid w:val="0C773477"/>
    <w:rsid w:val="0C9F113B"/>
    <w:rsid w:val="0CD3448B"/>
    <w:rsid w:val="0CF072F3"/>
    <w:rsid w:val="0D2466BD"/>
    <w:rsid w:val="0D3A1668"/>
    <w:rsid w:val="0D5C2246"/>
    <w:rsid w:val="0D6A3C45"/>
    <w:rsid w:val="0D7F3B4D"/>
    <w:rsid w:val="0D84383E"/>
    <w:rsid w:val="0DA13B17"/>
    <w:rsid w:val="0DA277FF"/>
    <w:rsid w:val="0DB8057F"/>
    <w:rsid w:val="0DC57869"/>
    <w:rsid w:val="0DD331D8"/>
    <w:rsid w:val="0DDB677F"/>
    <w:rsid w:val="0E093A81"/>
    <w:rsid w:val="0E1201C4"/>
    <w:rsid w:val="0E3C08A3"/>
    <w:rsid w:val="0E626142"/>
    <w:rsid w:val="0E6D3EE4"/>
    <w:rsid w:val="0E8168AC"/>
    <w:rsid w:val="0E9601D9"/>
    <w:rsid w:val="0EDF4D5E"/>
    <w:rsid w:val="0EF860F0"/>
    <w:rsid w:val="0F024085"/>
    <w:rsid w:val="0F1438EF"/>
    <w:rsid w:val="0F463825"/>
    <w:rsid w:val="0F4B0F6A"/>
    <w:rsid w:val="0F575798"/>
    <w:rsid w:val="0F5F5CB1"/>
    <w:rsid w:val="0F6D192D"/>
    <w:rsid w:val="0F6E4AA0"/>
    <w:rsid w:val="0F886069"/>
    <w:rsid w:val="0FA819A2"/>
    <w:rsid w:val="0FCA08C0"/>
    <w:rsid w:val="0FCA14B6"/>
    <w:rsid w:val="0FE42DE8"/>
    <w:rsid w:val="0FFA6EBC"/>
    <w:rsid w:val="101038A7"/>
    <w:rsid w:val="101E2D38"/>
    <w:rsid w:val="10446D2F"/>
    <w:rsid w:val="104957CA"/>
    <w:rsid w:val="104D6EF3"/>
    <w:rsid w:val="105C0433"/>
    <w:rsid w:val="1069417C"/>
    <w:rsid w:val="106C1E4B"/>
    <w:rsid w:val="108A23D3"/>
    <w:rsid w:val="1095135B"/>
    <w:rsid w:val="10D35E97"/>
    <w:rsid w:val="11114551"/>
    <w:rsid w:val="112269D1"/>
    <w:rsid w:val="11356135"/>
    <w:rsid w:val="11800917"/>
    <w:rsid w:val="118955AD"/>
    <w:rsid w:val="11970BCB"/>
    <w:rsid w:val="1197226B"/>
    <w:rsid w:val="11AA0839"/>
    <w:rsid w:val="11C42470"/>
    <w:rsid w:val="11C71895"/>
    <w:rsid w:val="11CD444A"/>
    <w:rsid w:val="11E2334D"/>
    <w:rsid w:val="11F058CE"/>
    <w:rsid w:val="11FC3F3B"/>
    <w:rsid w:val="124D3BAD"/>
    <w:rsid w:val="125A52C4"/>
    <w:rsid w:val="12655D96"/>
    <w:rsid w:val="128E3C38"/>
    <w:rsid w:val="12BF2922"/>
    <w:rsid w:val="12C942C8"/>
    <w:rsid w:val="12DC5F5E"/>
    <w:rsid w:val="12DC7F8C"/>
    <w:rsid w:val="12E82A0B"/>
    <w:rsid w:val="131873D2"/>
    <w:rsid w:val="13274F9C"/>
    <w:rsid w:val="13417410"/>
    <w:rsid w:val="134A448A"/>
    <w:rsid w:val="134F7EA7"/>
    <w:rsid w:val="135107A8"/>
    <w:rsid w:val="136066CF"/>
    <w:rsid w:val="13657E31"/>
    <w:rsid w:val="136C3340"/>
    <w:rsid w:val="1387094F"/>
    <w:rsid w:val="139C08EB"/>
    <w:rsid w:val="13D35238"/>
    <w:rsid w:val="13D81B1F"/>
    <w:rsid w:val="14061B66"/>
    <w:rsid w:val="142B5FE2"/>
    <w:rsid w:val="14542872"/>
    <w:rsid w:val="147E2423"/>
    <w:rsid w:val="1487273A"/>
    <w:rsid w:val="148C28CB"/>
    <w:rsid w:val="14944440"/>
    <w:rsid w:val="14A059A0"/>
    <w:rsid w:val="14B97B05"/>
    <w:rsid w:val="14CD31B9"/>
    <w:rsid w:val="14DA6BBE"/>
    <w:rsid w:val="14E67563"/>
    <w:rsid w:val="14F926F4"/>
    <w:rsid w:val="15021B62"/>
    <w:rsid w:val="150A21BA"/>
    <w:rsid w:val="151779D1"/>
    <w:rsid w:val="1522437E"/>
    <w:rsid w:val="15283931"/>
    <w:rsid w:val="15382F40"/>
    <w:rsid w:val="158374C1"/>
    <w:rsid w:val="15A62ECC"/>
    <w:rsid w:val="15B14179"/>
    <w:rsid w:val="15C516BD"/>
    <w:rsid w:val="166266B1"/>
    <w:rsid w:val="16C724D4"/>
    <w:rsid w:val="16D411E7"/>
    <w:rsid w:val="16ED0036"/>
    <w:rsid w:val="170756D4"/>
    <w:rsid w:val="170F4587"/>
    <w:rsid w:val="176115DC"/>
    <w:rsid w:val="176D7525"/>
    <w:rsid w:val="17824660"/>
    <w:rsid w:val="178F2FF8"/>
    <w:rsid w:val="179121FE"/>
    <w:rsid w:val="17915931"/>
    <w:rsid w:val="17C41ABF"/>
    <w:rsid w:val="17CF596A"/>
    <w:rsid w:val="17F760BC"/>
    <w:rsid w:val="18175D56"/>
    <w:rsid w:val="18276B10"/>
    <w:rsid w:val="189B5F22"/>
    <w:rsid w:val="18A70256"/>
    <w:rsid w:val="18A944F8"/>
    <w:rsid w:val="18B73074"/>
    <w:rsid w:val="18DA76F1"/>
    <w:rsid w:val="19034C2D"/>
    <w:rsid w:val="1916127C"/>
    <w:rsid w:val="193D465D"/>
    <w:rsid w:val="193D4E12"/>
    <w:rsid w:val="196C0A11"/>
    <w:rsid w:val="196C6238"/>
    <w:rsid w:val="198A59D6"/>
    <w:rsid w:val="199D7E14"/>
    <w:rsid w:val="19A73D74"/>
    <w:rsid w:val="19AA5416"/>
    <w:rsid w:val="19CE7FF6"/>
    <w:rsid w:val="19D70C6D"/>
    <w:rsid w:val="19E2271F"/>
    <w:rsid w:val="1A075570"/>
    <w:rsid w:val="1A1C623A"/>
    <w:rsid w:val="1A270D5F"/>
    <w:rsid w:val="1A4D4CED"/>
    <w:rsid w:val="1A797469"/>
    <w:rsid w:val="1A7A1340"/>
    <w:rsid w:val="1A8850B8"/>
    <w:rsid w:val="1A9B5FFB"/>
    <w:rsid w:val="1AA066C8"/>
    <w:rsid w:val="1ADB0B95"/>
    <w:rsid w:val="1AF80851"/>
    <w:rsid w:val="1B0361BC"/>
    <w:rsid w:val="1B116412"/>
    <w:rsid w:val="1B262D26"/>
    <w:rsid w:val="1B2670F4"/>
    <w:rsid w:val="1B2D1E19"/>
    <w:rsid w:val="1B2D7FD6"/>
    <w:rsid w:val="1B3A5220"/>
    <w:rsid w:val="1B3B258E"/>
    <w:rsid w:val="1B652C95"/>
    <w:rsid w:val="1B70155F"/>
    <w:rsid w:val="1B723039"/>
    <w:rsid w:val="1B7700FA"/>
    <w:rsid w:val="1B894EBC"/>
    <w:rsid w:val="1B8C1172"/>
    <w:rsid w:val="1B9269B7"/>
    <w:rsid w:val="1BB12BB2"/>
    <w:rsid w:val="1BCE49E9"/>
    <w:rsid w:val="1BD12722"/>
    <w:rsid w:val="1BD15865"/>
    <w:rsid w:val="1BFE7E24"/>
    <w:rsid w:val="1C100B6A"/>
    <w:rsid w:val="1C2075D6"/>
    <w:rsid w:val="1C2B6CB4"/>
    <w:rsid w:val="1C3774BA"/>
    <w:rsid w:val="1C5D5F8B"/>
    <w:rsid w:val="1C6E241C"/>
    <w:rsid w:val="1CB07DF9"/>
    <w:rsid w:val="1CC3681B"/>
    <w:rsid w:val="1CF251D3"/>
    <w:rsid w:val="1CFF3217"/>
    <w:rsid w:val="1D0C3E62"/>
    <w:rsid w:val="1D1D0D81"/>
    <w:rsid w:val="1D5835F0"/>
    <w:rsid w:val="1D60106B"/>
    <w:rsid w:val="1D8C5045"/>
    <w:rsid w:val="1D9244F8"/>
    <w:rsid w:val="1D931CEA"/>
    <w:rsid w:val="1DC177D9"/>
    <w:rsid w:val="1DD05A59"/>
    <w:rsid w:val="1DFA5AEB"/>
    <w:rsid w:val="1E1A236E"/>
    <w:rsid w:val="1E225BB3"/>
    <w:rsid w:val="1E2A6113"/>
    <w:rsid w:val="1E2D212B"/>
    <w:rsid w:val="1E2E6E13"/>
    <w:rsid w:val="1E32182A"/>
    <w:rsid w:val="1E5A61EE"/>
    <w:rsid w:val="1E713E2F"/>
    <w:rsid w:val="1EA573D8"/>
    <w:rsid w:val="1EB0513B"/>
    <w:rsid w:val="1EB56ABF"/>
    <w:rsid w:val="1EB72F76"/>
    <w:rsid w:val="1EE36B2C"/>
    <w:rsid w:val="1EF342CB"/>
    <w:rsid w:val="1F020A44"/>
    <w:rsid w:val="1F041BC7"/>
    <w:rsid w:val="1F127B09"/>
    <w:rsid w:val="1F2354C8"/>
    <w:rsid w:val="1F36160E"/>
    <w:rsid w:val="1F3F33F9"/>
    <w:rsid w:val="1F5D00BF"/>
    <w:rsid w:val="1F640255"/>
    <w:rsid w:val="1F671677"/>
    <w:rsid w:val="1F722047"/>
    <w:rsid w:val="1F904945"/>
    <w:rsid w:val="1FAA6A2E"/>
    <w:rsid w:val="1FC11059"/>
    <w:rsid w:val="1FDC7161"/>
    <w:rsid w:val="1FE570E2"/>
    <w:rsid w:val="1FE7673E"/>
    <w:rsid w:val="1FF66B82"/>
    <w:rsid w:val="200E38F2"/>
    <w:rsid w:val="201E585F"/>
    <w:rsid w:val="2049266D"/>
    <w:rsid w:val="20534B67"/>
    <w:rsid w:val="20557DC5"/>
    <w:rsid w:val="205A5C16"/>
    <w:rsid w:val="205B7D6A"/>
    <w:rsid w:val="207C33EE"/>
    <w:rsid w:val="2081342E"/>
    <w:rsid w:val="209740BF"/>
    <w:rsid w:val="2099242E"/>
    <w:rsid w:val="20B0411F"/>
    <w:rsid w:val="20D658C9"/>
    <w:rsid w:val="20D95B5B"/>
    <w:rsid w:val="20DC2416"/>
    <w:rsid w:val="20F22231"/>
    <w:rsid w:val="21015C26"/>
    <w:rsid w:val="21121083"/>
    <w:rsid w:val="211518DD"/>
    <w:rsid w:val="212B2F31"/>
    <w:rsid w:val="21327DB2"/>
    <w:rsid w:val="213D6756"/>
    <w:rsid w:val="213D7BD8"/>
    <w:rsid w:val="214C4EC5"/>
    <w:rsid w:val="2153567F"/>
    <w:rsid w:val="21592826"/>
    <w:rsid w:val="217422B6"/>
    <w:rsid w:val="2188758A"/>
    <w:rsid w:val="21A61686"/>
    <w:rsid w:val="21C13A32"/>
    <w:rsid w:val="22266257"/>
    <w:rsid w:val="22270787"/>
    <w:rsid w:val="224D73DD"/>
    <w:rsid w:val="22592601"/>
    <w:rsid w:val="22603DB2"/>
    <w:rsid w:val="226D7B83"/>
    <w:rsid w:val="2293123C"/>
    <w:rsid w:val="22A570EC"/>
    <w:rsid w:val="22B660C8"/>
    <w:rsid w:val="232E56FD"/>
    <w:rsid w:val="23324785"/>
    <w:rsid w:val="233F5F96"/>
    <w:rsid w:val="23503E27"/>
    <w:rsid w:val="235F4D23"/>
    <w:rsid w:val="236D4028"/>
    <w:rsid w:val="23763FD0"/>
    <w:rsid w:val="238A4DFC"/>
    <w:rsid w:val="24226CC5"/>
    <w:rsid w:val="24312A4A"/>
    <w:rsid w:val="244A5E9A"/>
    <w:rsid w:val="244C4BB8"/>
    <w:rsid w:val="24691193"/>
    <w:rsid w:val="246C3A46"/>
    <w:rsid w:val="247152E7"/>
    <w:rsid w:val="24FF7718"/>
    <w:rsid w:val="251A7612"/>
    <w:rsid w:val="25237A22"/>
    <w:rsid w:val="252E0774"/>
    <w:rsid w:val="25481BCE"/>
    <w:rsid w:val="256E1E26"/>
    <w:rsid w:val="25812F8D"/>
    <w:rsid w:val="25814DB7"/>
    <w:rsid w:val="25824959"/>
    <w:rsid w:val="25826736"/>
    <w:rsid w:val="25987A23"/>
    <w:rsid w:val="25BB6066"/>
    <w:rsid w:val="25BC46FF"/>
    <w:rsid w:val="25C517A2"/>
    <w:rsid w:val="25CC2570"/>
    <w:rsid w:val="25EF41EA"/>
    <w:rsid w:val="25F5789E"/>
    <w:rsid w:val="25FD6A72"/>
    <w:rsid w:val="2608561B"/>
    <w:rsid w:val="26196938"/>
    <w:rsid w:val="26261861"/>
    <w:rsid w:val="26382AAC"/>
    <w:rsid w:val="26506FAD"/>
    <w:rsid w:val="26656277"/>
    <w:rsid w:val="26663117"/>
    <w:rsid w:val="267771CA"/>
    <w:rsid w:val="26807144"/>
    <w:rsid w:val="268A362E"/>
    <w:rsid w:val="269560EE"/>
    <w:rsid w:val="26AF686C"/>
    <w:rsid w:val="26CA60FC"/>
    <w:rsid w:val="26D16018"/>
    <w:rsid w:val="26DB3228"/>
    <w:rsid w:val="26DF6074"/>
    <w:rsid w:val="26E05716"/>
    <w:rsid w:val="26FE679C"/>
    <w:rsid w:val="27301EDB"/>
    <w:rsid w:val="27453115"/>
    <w:rsid w:val="276C029F"/>
    <w:rsid w:val="27867E0A"/>
    <w:rsid w:val="27982DD4"/>
    <w:rsid w:val="27DD09CE"/>
    <w:rsid w:val="27EC553C"/>
    <w:rsid w:val="280C4BFC"/>
    <w:rsid w:val="2813394B"/>
    <w:rsid w:val="281C1F63"/>
    <w:rsid w:val="281C54D8"/>
    <w:rsid w:val="283610D5"/>
    <w:rsid w:val="285F5293"/>
    <w:rsid w:val="28622D71"/>
    <w:rsid w:val="286E69FD"/>
    <w:rsid w:val="28C56178"/>
    <w:rsid w:val="28FA546B"/>
    <w:rsid w:val="28FE025E"/>
    <w:rsid w:val="29245F1A"/>
    <w:rsid w:val="29366359"/>
    <w:rsid w:val="29586D7A"/>
    <w:rsid w:val="29772B51"/>
    <w:rsid w:val="29791894"/>
    <w:rsid w:val="2984235F"/>
    <w:rsid w:val="29967FD2"/>
    <w:rsid w:val="29A52D8F"/>
    <w:rsid w:val="29C56C3A"/>
    <w:rsid w:val="29D85278"/>
    <w:rsid w:val="29E1380C"/>
    <w:rsid w:val="29E85046"/>
    <w:rsid w:val="2A017BFD"/>
    <w:rsid w:val="2A0A71F8"/>
    <w:rsid w:val="2A4913A2"/>
    <w:rsid w:val="2A8A1623"/>
    <w:rsid w:val="2A9154D8"/>
    <w:rsid w:val="2AA04C57"/>
    <w:rsid w:val="2AD750C3"/>
    <w:rsid w:val="2AE77D08"/>
    <w:rsid w:val="2AEA3011"/>
    <w:rsid w:val="2B252D72"/>
    <w:rsid w:val="2B3E0375"/>
    <w:rsid w:val="2B492499"/>
    <w:rsid w:val="2B652A8D"/>
    <w:rsid w:val="2B6C55DB"/>
    <w:rsid w:val="2B8D5640"/>
    <w:rsid w:val="2BF4029C"/>
    <w:rsid w:val="2C1C6937"/>
    <w:rsid w:val="2C202757"/>
    <w:rsid w:val="2C270D43"/>
    <w:rsid w:val="2C6436A6"/>
    <w:rsid w:val="2C78619D"/>
    <w:rsid w:val="2C7A2A8F"/>
    <w:rsid w:val="2C9023A5"/>
    <w:rsid w:val="2C937549"/>
    <w:rsid w:val="2C9D6A04"/>
    <w:rsid w:val="2CB62598"/>
    <w:rsid w:val="2CBC136A"/>
    <w:rsid w:val="2CD47877"/>
    <w:rsid w:val="2CFE607B"/>
    <w:rsid w:val="2D095409"/>
    <w:rsid w:val="2D3A3199"/>
    <w:rsid w:val="2D4B38E7"/>
    <w:rsid w:val="2D5470D9"/>
    <w:rsid w:val="2D551303"/>
    <w:rsid w:val="2D772574"/>
    <w:rsid w:val="2D8D31B7"/>
    <w:rsid w:val="2D8D5835"/>
    <w:rsid w:val="2DAB1C25"/>
    <w:rsid w:val="2DCC12FC"/>
    <w:rsid w:val="2DD66E3A"/>
    <w:rsid w:val="2DF17D73"/>
    <w:rsid w:val="2E652B8E"/>
    <w:rsid w:val="2E66167A"/>
    <w:rsid w:val="2E6C7EF1"/>
    <w:rsid w:val="2E6D69DB"/>
    <w:rsid w:val="2E6F6584"/>
    <w:rsid w:val="2E7823B0"/>
    <w:rsid w:val="2E933BCE"/>
    <w:rsid w:val="2E9C6490"/>
    <w:rsid w:val="2EA40069"/>
    <w:rsid w:val="2EAA3B87"/>
    <w:rsid w:val="2EB66E96"/>
    <w:rsid w:val="2EBC23A0"/>
    <w:rsid w:val="2EFA0191"/>
    <w:rsid w:val="2F436846"/>
    <w:rsid w:val="2F4556CE"/>
    <w:rsid w:val="2F6F3C93"/>
    <w:rsid w:val="2F754A27"/>
    <w:rsid w:val="2FB1448A"/>
    <w:rsid w:val="2FC802AE"/>
    <w:rsid w:val="301C41BF"/>
    <w:rsid w:val="302369A0"/>
    <w:rsid w:val="303474C0"/>
    <w:rsid w:val="305C41A9"/>
    <w:rsid w:val="30820205"/>
    <w:rsid w:val="308E41B5"/>
    <w:rsid w:val="30952C59"/>
    <w:rsid w:val="30FF4D69"/>
    <w:rsid w:val="3113559B"/>
    <w:rsid w:val="311978DB"/>
    <w:rsid w:val="312421F6"/>
    <w:rsid w:val="3127420C"/>
    <w:rsid w:val="31477BEB"/>
    <w:rsid w:val="315523B1"/>
    <w:rsid w:val="3198056E"/>
    <w:rsid w:val="31CD31BF"/>
    <w:rsid w:val="31E10F55"/>
    <w:rsid w:val="31F462C5"/>
    <w:rsid w:val="320B7F80"/>
    <w:rsid w:val="3219008D"/>
    <w:rsid w:val="32215B79"/>
    <w:rsid w:val="322241F2"/>
    <w:rsid w:val="3229379D"/>
    <w:rsid w:val="32294133"/>
    <w:rsid w:val="322D5AFA"/>
    <w:rsid w:val="32514C44"/>
    <w:rsid w:val="328916BE"/>
    <w:rsid w:val="32974C7A"/>
    <w:rsid w:val="32BB4ABE"/>
    <w:rsid w:val="32C8549C"/>
    <w:rsid w:val="32CA16D9"/>
    <w:rsid w:val="32E83928"/>
    <w:rsid w:val="32F45590"/>
    <w:rsid w:val="331C19F3"/>
    <w:rsid w:val="33380434"/>
    <w:rsid w:val="33773188"/>
    <w:rsid w:val="337E77C9"/>
    <w:rsid w:val="338F53C2"/>
    <w:rsid w:val="33925662"/>
    <w:rsid w:val="339B7AA1"/>
    <w:rsid w:val="33B7637D"/>
    <w:rsid w:val="33D4661F"/>
    <w:rsid w:val="33ED39C2"/>
    <w:rsid w:val="340F56DE"/>
    <w:rsid w:val="3425597D"/>
    <w:rsid w:val="342A5DF5"/>
    <w:rsid w:val="344851FD"/>
    <w:rsid w:val="349B5E0E"/>
    <w:rsid w:val="34A432B6"/>
    <w:rsid w:val="34AA020B"/>
    <w:rsid w:val="34BB748D"/>
    <w:rsid w:val="34BC17DA"/>
    <w:rsid w:val="34D015E3"/>
    <w:rsid w:val="34F85DA8"/>
    <w:rsid w:val="3509398E"/>
    <w:rsid w:val="3547266B"/>
    <w:rsid w:val="3554479E"/>
    <w:rsid w:val="357D63E5"/>
    <w:rsid w:val="357F00D0"/>
    <w:rsid w:val="35894506"/>
    <w:rsid w:val="35A377DB"/>
    <w:rsid w:val="35AE5EB4"/>
    <w:rsid w:val="35E7387F"/>
    <w:rsid w:val="35E81F7A"/>
    <w:rsid w:val="35F52BF3"/>
    <w:rsid w:val="360530D8"/>
    <w:rsid w:val="3605698A"/>
    <w:rsid w:val="36162F1C"/>
    <w:rsid w:val="363277D2"/>
    <w:rsid w:val="366244D5"/>
    <w:rsid w:val="36A82C1D"/>
    <w:rsid w:val="36B34449"/>
    <w:rsid w:val="36C342D9"/>
    <w:rsid w:val="370F2E93"/>
    <w:rsid w:val="370F32ED"/>
    <w:rsid w:val="374E35E0"/>
    <w:rsid w:val="37560CC6"/>
    <w:rsid w:val="375B0AFE"/>
    <w:rsid w:val="378D0CEB"/>
    <w:rsid w:val="379A026D"/>
    <w:rsid w:val="37A2207E"/>
    <w:rsid w:val="37A2434F"/>
    <w:rsid w:val="37ED6D6E"/>
    <w:rsid w:val="380C3B20"/>
    <w:rsid w:val="381039F4"/>
    <w:rsid w:val="38422CE2"/>
    <w:rsid w:val="38464281"/>
    <w:rsid w:val="386E21B0"/>
    <w:rsid w:val="38AE496C"/>
    <w:rsid w:val="38B54D45"/>
    <w:rsid w:val="38D242CD"/>
    <w:rsid w:val="393E0C7A"/>
    <w:rsid w:val="39470BCD"/>
    <w:rsid w:val="39821F75"/>
    <w:rsid w:val="398B5520"/>
    <w:rsid w:val="398C3DB7"/>
    <w:rsid w:val="39AB6275"/>
    <w:rsid w:val="39E17621"/>
    <w:rsid w:val="39F227B1"/>
    <w:rsid w:val="3A151290"/>
    <w:rsid w:val="3A201663"/>
    <w:rsid w:val="3A257964"/>
    <w:rsid w:val="3A292038"/>
    <w:rsid w:val="3A4A1178"/>
    <w:rsid w:val="3A4A33B1"/>
    <w:rsid w:val="3A524E6B"/>
    <w:rsid w:val="3A762A49"/>
    <w:rsid w:val="3A826354"/>
    <w:rsid w:val="3A9D28F5"/>
    <w:rsid w:val="3ACD43C9"/>
    <w:rsid w:val="3AFF2C64"/>
    <w:rsid w:val="3B2F69DB"/>
    <w:rsid w:val="3B79226F"/>
    <w:rsid w:val="3B904834"/>
    <w:rsid w:val="3B932344"/>
    <w:rsid w:val="3B9D20F5"/>
    <w:rsid w:val="3BB33F88"/>
    <w:rsid w:val="3BD93153"/>
    <w:rsid w:val="3BDA6996"/>
    <w:rsid w:val="3C0A3047"/>
    <w:rsid w:val="3C2E50FB"/>
    <w:rsid w:val="3C37637A"/>
    <w:rsid w:val="3C4A12AD"/>
    <w:rsid w:val="3C5125FC"/>
    <w:rsid w:val="3C690ECB"/>
    <w:rsid w:val="3C860AC6"/>
    <w:rsid w:val="3C960BC8"/>
    <w:rsid w:val="3C9848A1"/>
    <w:rsid w:val="3CA509B7"/>
    <w:rsid w:val="3CA509D1"/>
    <w:rsid w:val="3CD537E6"/>
    <w:rsid w:val="3CD93879"/>
    <w:rsid w:val="3D02592B"/>
    <w:rsid w:val="3D2571D3"/>
    <w:rsid w:val="3D7A2818"/>
    <w:rsid w:val="3D8106EA"/>
    <w:rsid w:val="3D834DF8"/>
    <w:rsid w:val="3DA352B1"/>
    <w:rsid w:val="3DBA61E7"/>
    <w:rsid w:val="3DD55956"/>
    <w:rsid w:val="3E100FFC"/>
    <w:rsid w:val="3E201534"/>
    <w:rsid w:val="3E492913"/>
    <w:rsid w:val="3E651EE9"/>
    <w:rsid w:val="3E784A78"/>
    <w:rsid w:val="3E8554F5"/>
    <w:rsid w:val="3EB65E71"/>
    <w:rsid w:val="3EC33032"/>
    <w:rsid w:val="3EC61DB3"/>
    <w:rsid w:val="3EF62661"/>
    <w:rsid w:val="3F3C595E"/>
    <w:rsid w:val="3F59346C"/>
    <w:rsid w:val="3F657308"/>
    <w:rsid w:val="3F7856B5"/>
    <w:rsid w:val="3F7970EE"/>
    <w:rsid w:val="3F8003ED"/>
    <w:rsid w:val="3FC519F7"/>
    <w:rsid w:val="3FD0326B"/>
    <w:rsid w:val="3FD34D1A"/>
    <w:rsid w:val="3FED63B1"/>
    <w:rsid w:val="40031733"/>
    <w:rsid w:val="40076D3D"/>
    <w:rsid w:val="400B1777"/>
    <w:rsid w:val="401F65F0"/>
    <w:rsid w:val="404470DB"/>
    <w:rsid w:val="404C2292"/>
    <w:rsid w:val="405D572D"/>
    <w:rsid w:val="408D1EA0"/>
    <w:rsid w:val="408E2DBF"/>
    <w:rsid w:val="409D2A1A"/>
    <w:rsid w:val="40A752D1"/>
    <w:rsid w:val="40B21FB5"/>
    <w:rsid w:val="40B95E2E"/>
    <w:rsid w:val="40C17F9E"/>
    <w:rsid w:val="40C43B66"/>
    <w:rsid w:val="40E247F7"/>
    <w:rsid w:val="40EE5966"/>
    <w:rsid w:val="410F1967"/>
    <w:rsid w:val="41335FC7"/>
    <w:rsid w:val="415978C8"/>
    <w:rsid w:val="415C1B4D"/>
    <w:rsid w:val="417843F2"/>
    <w:rsid w:val="41865B29"/>
    <w:rsid w:val="418A1799"/>
    <w:rsid w:val="41A61C3F"/>
    <w:rsid w:val="41B17185"/>
    <w:rsid w:val="41F05895"/>
    <w:rsid w:val="420C70DA"/>
    <w:rsid w:val="4226611D"/>
    <w:rsid w:val="425402BB"/>
    <w:rsid w:val="42564ADA"/>
    <w:rsid w:val="42747A95"/>
    <w:rsid w:val="427E52C8"/>
    <w:rsid w:val="429D02B3"/>
    <w:rsid w:val="42FA6BD0"/>
    <w:rsid w:val="42FB4E01"/>
    <w:rsid w:val="4301585B"/>
    <w:rsid w:val="431B31A4"/>
    <w:rsid w:val="43325808"/>
    <w:rsid w:val="433E1CAF"/>
    <w:rsid w:val="43412297"/>
    <w:rsid w:val="43413ED4"/>
    <w:rsid w:val="43594499"/>
    <w:rsid w:val="43636C3F"/>
    <w:rsid w:val="436E5353"/>
    <w:rsid w:val="438073DF"/>
    <w:rsid w:val="439D6340"/>
    <w:rsid w:val="43FD7280"/>
    <w:rsid w:val="441532B2"/>
    <w:rsid w:val="441C5686"/>
    <w:rsid w:val="441E55BD"/>
    <w:rsid w:val="442C59F4"/>
    <w:rsid w:val="442C5CE7"/>
    <w:rsid w:val="443F7EE3"/>
    <w:rsid w:val="44477A7A"/>
    <w:rsid w:val="445A5900"/>
    <w:rsid w:val="44831552"/>
    <w:rsid w:val="44A72CB4"/>
    <w:rsid w:val="44DC0CFE"/>
    <w:rsid w:val="44DC4FCA"/>
    <w:rsid w:val="44FD1C6D"/>
    <w:rsid w:val="453F207E"/>
    <w:rsid w:val="454276A8"/>
    <w:rsid w:val="45465AD9"/>
    <w:rsid w:val="4577525A"/>
    <w:rsid w:val="457C4AF8"/>
    <w:rsid w:val="45A100BA"/>
    <w:rsid w:val="45A31600"/>
    <w:rsid w:val="45E526C2"/>
    <w:rsid w:val="45EF5694"/>
    <w:rsid w:val="45F32D75"/>
    <w:rsid w:val="45FE4441"/>
    <w:rsid w:val="460934CE"/>
    <w:rsid w:val="461F685B"/>
    <w:rsid w:val="463A35BA"/>
    <w:rsid w:val="464478D6"/>
    <w:rsid w:val="46594972"/>
    <w:rsid w:val="46763AFA"/>
    <w:rsid w:val="46A86AC5"/>
    <w:rsid w:val="46AF0ACC"/>
    <w:rsid w:val="46B1257F"/>
    <w:rsid w:val="46CD2EA3"/>
    <w:rsid w:val="46E33C2A"/>
    <w:rsid w:val="46EB5C2E"/>
    <w:rsid w:val="47191F43"/>
    <w:rsid w:val="471B210D"/>
    <w:rsid w:val="47330BB1"/>
    <w:rsid w:val="474340E1"/>
    <w:rsid w:val="4754737E"/>
    <w:rsid w:val="476E5DEA"/>
    <w:rsid w:val="47914A33"/>
    <w:rsid w:val="479B0044"/>
    <w:rsid w:val="479C10BC"/>
    <w:rsid w:val="47A4380D"/>
    <w:rsid w:val="47A6297A"/>
    <w:rsid w:val="47B35BF8"/>
    <w:rsid w:val="47C041C7"/>
    <w:rsid w:val="47CB4E60"/>
    <w:rsid w:val="47CD1E0C"/>
    <w:rsid w:val="47D964DB"/>
    <w:rsid w:val="47FC33A5"/>
    <w:rsid w:val="48012A31"/>
    <w:rsid w:val="481D4366"/>
    <w:rsid w:val="485803F1"/>
    <w:rsid w:val="4865215C"/>
    <w:rsid w:val="486942C4"/>
    <w:rsid w:val="487B552A"/>
    <w:rsid w:val="48842F37"/>
    <w:rsid w:val="48A34F21"/>
    <w:rsid w:val="48B05292"/>
    <w:rsid w:val="48B76A74"/>
    <w:rsid w:val="48B971DC"/>
    <w:rsid w:val="48F556EA"/>
    <w:rsid w:val="491946D3"/>
    <w:rsid w:val="4924047E"/>
    <w:rsid w:val="49276380"/>
    <w:rsid w:val="4948117F"/>
    <w:rsid w:val="494B0B0D"/>
    <w:rsid w:val="497E20AD"/>
    <w:rsid w:val="49820EB7"/>
    <w:rsid w:val="499416E9"/>
    <w:rsid w:val="49A63EAD"/>
    <w:rsid w:val="49B4166E"/>
    <w:rsid w:val="49BA2C9E"/>
    <w:rsid w:val="49F72310"/>
    <w:rsid w:val="49FD2EE4"/>
    <w:rsid w:val="4A0B4FDE"/>
    <w:rsid w:val="4A232989"/>
    <w:rsid w:val="4A343D11"/>
    <w:rsid w:val="4A374C1E"/>
    <w:rsid w:val="4A497D35"/>
    <w:rsid w:val="4A8A37D8"/>
    <w:rsid w:val="4A8B4AB2"/>
    <w:rsid w:val="4AD9595B"/>
    <w:rsid w:val="4AF93EAE"/>
    <w:rsid w:val="4B0E551F"/>
    <w:rsid w:val="4B311212"/>
    <w:rsid w:val="4B3E6720"/>
    <w:rsid w:val="4B3E79B5"/>
    <w:rsid w:val="4B43535A"/>
    <w:rsid w:val="4B476348"/>
    <w:rsid w:val="4B625BF7"/>
    <w:rsid w:val="4BB21AF4"/>
    <w:rsid w:val="4BB54107"/>
    <w:rsid w:val="4BB67EEE"/>
    <w:rsid w:val="4BD17814"/>
    <w:rsid w:val="4BDC5109"/>
    <w:rsid w:val="4BE84FA7"/>
    <w:rsid w:val="4BF70C92"/>
    <w:rsid w:val="4BFD0513"/>
    <w:rsid w:val="4C005E77"/>
    <w:rsid w:val="4C1A02C6"/>
    <w:rsid w:val="4C2B76C1"/>
    <w:rsid w:val="4C3A54D0"/>
    <w:rsid w:val="4C5419A1"/>
    <w:rsid w:val="4C5429A3"/>
    <w:rsid w:val="4C645A11"/>
    <w:rsid w:val="4C87254B"/>
    <w:rsid w:val="4CDE4416"/>
    <w:rsid w:val="4D1C2C8C"/>
    <w:rsid w:val="4D1E77BE"/>
    <w:rsid w:val="4D245FC5"/>
    <w:rsid w:val="4D2B3B2C"/>
    <w:rsid w:val="4DA943B0"/>
    <w:rsid w:val="4DC515BB"/>
    <w:rsid w:val="4DCB5984"/>
    <w:rsid w:val="4DD64458"/>
    <w:rsid w:val="4E135BFA"/>
    <w:rsid w:val="4E1B2DDB"/>
    <w:rsid w:val="4E250E8C"/>
    <w:rsid w:val="4E3116D6"/>
    <w:rsid w:val="4E355E12"/>
    <w:rsid w:val="4E5D7C3A"/>
    <w:rsid w:val="4E8D762E"/>
    <w:rsid w:val="4E9B1112"/>
    <w:rsid w:val="4EA06365"/>
    <w:rsid w:val="4EBD3915"/>
    <w:rsid w:val="4ECD54B1"/>
    <w:rsid w:val="4ED4046B"/>
    <w:rsid w:val="4EDF4B15"/>
    <w:rsid w:val="4EF43B16"/>
    <w:rsid w:val="4F0E1E8F"/>
    <w:rsid w:val="4F2B6C13"/>
    <w:rsid w:val="4F3153D3"/>
    <w:rsid w:val="4F3A5808"/>
    <w:rsid w:val="4F5F3ED1"/>
    <w:rsid w:val="4F804E7C"/>
    <w:rsid w:val="4F85516A"/>
    <w:rsid w:val="4F944D8F"/>
    <w:rsid w:val="4FCA5221"/>
    <w:rsid w:val="4FED0FB9"/>
    <w:rsid w:val="507410D2"/>
    <w:rsid w:val="50A4392E"/>
    <w:rsid w:val="50A97681"/>
    <w:rsid w:val="50AE3B94"/>
    <w:rsid w:val="50AF7418"/>
    <w:rsid w:val="50E93575"/>
    <w:rsid w:val="50F04D4E"/>
    <w:rsid w:val="50F57385"/>
    <w:rsid w:val="50F6016F"/>
    <w:rsid w:val="50FB1FB9"/>
    <w:rsid w:val="51132FF4"/>
    <w:rsid w:val="51151213"/>
    <w:rsid w:val="513225F9"/>
    <w:rsid w:val="513F5114"/>
    <w:rsid w:val="51440384"/>
    <w:rsid w:val="515E6A1B"/>
    <w:rsid w:val="516A1F22"/>
    <w:rsid w:val="516B705C"/>
    <w:rsid w:val="5177537A"/>
    <w:rsid w:val="518806E3"/>
    <w:rsid w:val="51A1217B"/>
    <w:rsid w:val="51A47CAD"/>
    <w:rsid w:val="51BC2004"/>
    <w:rsid w:val="51C462A1"/>
    <w:rsid w:val="51CB0C5C"/>
    <w:rsid w:val="51CB74F6"/>
    <w:rsid w:val="51D13948"/>
    <w:rsid w:val="51EB5979"/>
    <w:rsid w:val="521A0101"/>
    <w:rsid w:val="52241967"/>
    <w:rsid w:val="52263E21"/>
    <w:rsid w:val="522D1CB6"/>
    <w:rsid w:val="52444C58"/>
    <w:rsid w:val="5263075C"/>
    <w:rsid w:val="52660A26"/>
    <w:rsid w:val="52717995"/>
    <w:rsid w:val="527328D7"/>
    <w:rsid w:val="528315FB"/>
    <w:rsid w:val="52910142"/>
    <w:rsid w:val="52990759"/>
    <w:rsid w:val="52B87033"/>
    <w:rsid w:val="52BE5917"/>
    <w:rsid w:val="52ED3633"/>
    <w:rsid w:val="52FA69A5"/>
    <w:rsid w:val="531B72EC"/>
    <w:rsid w:val="531E35FC"/>
    <w:rsid w:val="531E3DBA"/>
    <w:rsid w:val="532B1547"/>
    <w:rsid w:val="532C2C22"/>
    <w:rsid w:val="533E6E17"/>
    <w:rsid w:val="5343182D"/>
    <w:rsid w:val="53552E21"/>
    <w:rsid w:val="535D3886"/>
    <w:rsid w:val="536C4A63"/>
    <w:rsid w:val="539B26A9"/>
    <w:rsid w:val="53A201DA"/>
    <w:rsid w:val="53B22D34"/>
    <w:rsid w:val="53B6236C"/>
    <w:rsid w:val="53BD6F30"/>
    <w:rsid w:val="53F960E1"/>
    <w:rsid w:val="540540F5"/>
    <w:rsid w:val="542913B3"/>
    <w:rsid w:val="543F18BA"/>
    <w:rsid w:val="54883400"/>
    <w:rsid w:val="54932F58"/>
    <w:rsid w:val="54A81CB5"/>
    <w:rsid w:val="54C41B11"/>
    <w:rsid w:val="550E49C6"/>
    <w:rsid w:val="55A47D96"/>
    <w:rsid w:val="55C94049"/>
    <w:rsid w:val="55DA287E"/>
    <w:rsid w:val="55DD1819"/>
    <w:rsid w:val="55EE6DAD"/>
    <w:rsid w:val="56073162"/>
    <w:rsid w:val="5609127C"/>
    <w:rsid w:val="56243B92"/>
    <w:rsid w:val="563D619D"/>
    <w:rsid w:val="56413F2B"/>
    <w:rsid w:val="56537C47"/>
    <w:rsid w:val="566A7763"/>
    <w:rsid w:val="56A010C0"/>
    <w:rsid w:val="56B96B8E"/>
    <w:rsid w:val="56C747B5"/>
    <w:rsid w:val="56D42684"/>
    <w:rsid w:val="56DD2471"/>
    <w:rsid w:val="57210A6D"/>
    <w:rsid w:val="57362D58"/>
    <w:rsid w:val="5744214A"/>
    <w:rsid w:val="574B480A"/>
    <w:rsid w:val="57543081"/>
    <w:rsid w:val="5789649C"/>
    <w:rsid w:val="57A373F0"/>
    <w:rsid w:val="57C83C57"/>
    <w:rsid w:val="57FB2FB4"/>
    <w:rsid w:val="582028C2"/>
    <w:rsid w:val="582908A2"/>
    <w:rsid w:val="583D07DD"/>
    <w:rsid w:val="585F1862"/>
    <w:rsid w:val="58620D26"/>
    <w:rsid w:val="58706FB1"/>
    <w:rsid w:val="587C5983"/>
    <w:rsid w:val="58E8415E"/>
    <w:rsid w:val="58FF1A45"/>
    <w:rsid w:val="591C580B"/>
    <w:rsid w:val="5926497A"/>
    <w:rsid w:val="592A1893"/>
    <w:rsid w:val="595D3E12"/>
    <w:rsid w:val="59961EFB"/>
    <w:rsid w:val="59A11353"/>
    <w:rsid w:val="59B40569"/>
    <w:rsid w:val="5A0336C4"/>
    <w:rsid w:val="5A1D0D82"/>
    <w:rsid w:val="5A20315B"/>
    <w:rsid w:val="5A3E03AE"/>
    <w:rsid w:val="5A4C2893"/>
    <w:rsid w:val="5A5827FE"/>
    <w:rsid w:val="5A70211C"/>
    <w:rsid w:val="5AAB2A29"/>
    <w:rsid w:val="5AAB3211"/>
    <w:rsid w:val="5AAC7307"/>
    <w:rsid w:val="5AB86388"/>
    <w:rsid w:val="5ABF41C0"/>
    <w:rsid w:val="5AD07CB2"/>
    <w:rsid w:val="5AE37CAA"/>
    <w:rsid w:val="5AEF1DC1"/>
    <w:rsid w:val="5B3A7E78"/>
    <w:rsid w:val="5B3D442E"/>
    <w:rsid w:val="5B412C22"/>
    <w:rsid w:val="5B4B2EB1"/>
    <w:rsid w:val="5B570332"/>
    <w:rsid w:val="5B583D6C"/>
    <w:rsid w:val="5B5F0395"/>
    <w:rsid w:val="5B6300A3"/>
    <w:rsid w:val="5B6C0ED6"/>
    <w:rsid w:val="5B790B4E"/>
    <w:rsid w:val="5B7A2400"/>
    <w:rsid w:val="5B9B626D"/>
    <w:rsid w:val="5BA762EC"/>
    <w:rsid w:val="5BD32897"/>
    <w:rsid w:val="5BF50A44"/>
    <w:rsid w:val="5C295CCC"/>
    <w:rsid w:val="5C381A3A"/>
    <w:rsid w:val="5C5C135C"/>
    <w:rsid w:val="5C872DAA"/>
    <w:rsid w:val="5C974816"/>
    <w:rsid w:val="5CA97228"/>
    <w:rsid w:val="5CBA57BD"/>
    <w:rsid w:val="5CC5471C"/>
    <w:rsid w:val="5CDC5386"/>
    <w:rsid w:val="5CEE7B85"/>
    <w:rsid w:val="5CF73D69"/>
    <w:rsid w:val="5D202057"/>
    <w:rsid w:val="5D2578B0"/>
    <w:rsid w:val="5D4700C2"/>
    <w:rsid w:val="5D6C4615"/>
    <w:rsid w:val="5D7C5A81"/>
    <w:rsid w:val="5DD31E8F"/>
    <w:rsid w:val="5DDF2196"/>
    <w:rsid w:val="5DF704AE"/>
    <w:rsid w:val="5DF954B7"/>
    <w:rsid w:val="5DFF05CD"/>
    <w:rsid w:val="5E1672C2"/>
    <w:rsid w:val="5E1B6033"/>
    <w:rsid w:val="5E2612F9"/>
    <w:rsid w:val="5E534129"/>
    <w:rsid w:val="5E6E3C24"/>
    <w:rsid w:val="5E7255BD"/>
    <w:rsid w:val="5E7D74BF"/>
    <w:rsid w:val="5E937CCC"/>
    <w:rsid w:val="5EF83794"/>
    <w:rsid w:val="5F0173CC"/>
    <w:rsid w:val="5F1A1A93"/>
    <w:rsid w:val="5F287F7E"/>
    <w:rsid w:val="5F475677"/>
    <w:rsid w:val="5F484198"/>
    <w:rsid w:val="5F567498"/>
    <w:rsid w:val="5F7D71F9"/>
    <w:rsid w:val="5F8420E2"/>
    <w:rsid w:val="5F887220"/>
    <w:rsid w:val="5F9022AB"/>
    <w:rsid w:val="5FB81E56"/>
    <w:rsid w:val="5FD85FDC"/>
    <w:rsid w:val="5FEB78D3"/>
    <w:rsid w:val="5FEC00EE"/>
    <w:rsid w:val="600951D4"/>
    <w:rsid w:val="6010358A"/>
    <w:rsid w:val="601A25EF"/>
    <w:rsid w:val="60250EC1"/>
    <w:rsid w:val="603E7832"/>
    <w:rsid w:val="6044067F"/>
    <w:rsid w:val="60793AF7"/>
    <w:rsid w:val="6099592B"/>
    <w:rsid w:val="60A13AB9"/>
    <w:rsid w:val="60A7744C"/>
    <w:rsid w:val="60CF04AB"/>
    <w:rsid w:val="60DB5486"/>
    <w:rsid w:val="60E82C1A"/>
    <w:rsid w:val="60EC0541"/>
    <w:rsid w:val="60F65BD0"/>
    <w:rsid w:val="60FD245E"/>
    <w:rsid w:val="60FD6695"/>
    <w:rsid w:val="61033EA8"/>
    <w:rsid w:val="610A1613"/>
    <w:rsid w:val="61251167"/>
    <w:rsid w:val="61432D9E"/>
    <w:rsid w:val="61522EC3"/>
    <w:rsid w:val="61683AEB"/>
    <w:rsid w:val="618A70BC"/>
    <w:rsid w:val="61963F6D"/>
    <w:rsid w:val="61BD1F9D"/>
    <w:rsid w:val="61EA093B"/>
    <w:rsid w:val="62024DB4"/>
    <w:rsid w:val="62117D72"/>
    <w:rsid w:val="62140656"/>
    <w:rsid w:val="62210A89"/>
    <w:rsid w:val="62285DB7"/>
    <w:rsid w:val="626857C6"/>
    <w:rsid w:val="62923991"/>
    <w:rsid w:val="62966DA1"/>
    <w:rsid w:val="62F20D03"/>
    <w:rsid w:val="62F26EC0"/>
    <w:rsid w:val="62F75B83"/>
    <w:rsid w:val="63095375"/>
    <w:rsid w:val="6312135F"/>
    <w:rsid w:val="632A3D0D"/>
    <w:rsid w:val="633443AB"/>
    <w:rsid w:val="638857E1"/>
    <w:rsid w:val="63AB78F4"/>
    <w:rsid w:val="63C642C7"/>
    <w:rsid w:val="63C85688"/>
    <w:rsid w:val="63CD5666"/>
    <w:rsid w:val="63D01EF3"/>
    <w:rsid w:val="63D2038C"/>
    <w:rsid w:val="63E631E1"/>
    <w:rsid w:val="63F66CE6"/>
    <w:rsid w:val="640E7E19"/>
    <w:rsid w:val="647527CB"/>
    <w:rsid w:val="648A0F84"/>
    <w:rsid w:val="648E4974"/>
    <w:rsid w:val="648F4377"/>
    <w:rsid w:val="649E65A7"/>
    <w:rsid w:val="64B70C4D"/>
    <w:rsid w:val="64D14920"/>
    <w:rsid w:val="64EA382F"/>
    <w:rsid w:val="64ED3306"/>
    <w:rsid w:val="6511603A"/>
    <w:rsid w:val="652763A9"/>
    <w:rsid w:val="653B0F51"/>
    <w:rsid w:val="65434194"/>
    <w:rsid w:val="65477730"/>
    <w:rsid w:val="654912E0"/>
    <w:rsid w:val="656A4332"/>
    <w:rsid w:val="65733372"/>
    <w:rsid w:val="65744876"/>
    <w:rsid w:val="657845AE"/>
    <w:rsid w:val="65991D3E"/>
    <w:rsid w:val="659E280B"/>
    <w:rsid w:val="65B74A52"/>
    <w:rsid w:val="65BD55BD"/>
    <w:rsid w:val="65C53449"/>
    <w:rsid w:val="65F27286"/>
    <w:rsid w:val="6602655A"/>
    <w:rsid w:val="66037BA1"/>
    <w:rsid w:val="6609401E"/>
    <w:rsid w:val="660D45C7"/>
    <w:rsid w:val="66280ABB"/>
    <w:rsid w:val="6642669A"/>
    <w:rsid w:val="666717B3"/>
    <w:rsid w:val="6668032B"/>
    <w:rsid w:val="667C4290"/>
    <w:rsid w:val="66C95898"/>
    <w:rsid w:val="66F10A4A"/>
    <w:rsid w:val="66F8201A"/>
    <w:rsid w:val="671C5A04"/>
    <w:rsid w:val="673F01D2"/>
    <w:rsid w:val="676777C3"/>
    <w:rsid w:val="677D4B8A"/>
    <w:rsid w:val="67802ACE"/>
    <w:rsid w:val="67804B33"/>
    <w:rsid w:val="67C40A09"/>
    <w:rsid w:val="67D020A7"/>
    <w:rsid w:val="67D600B8"/>
    <w:rsid w:val="67DC1DB1"/>
    <w:rsid w:val="67E4087E"/>
    <w:rsid w:val="6821192D"/>
    <w:rsid w:val="68337E89"/>
    <w:rsid w:val="68337EE8"/>
    <w:rsid w:val="683A6C76"/>
    <w:rsid w:val="685C5B46"/>
    <w:rsid w:val="686756F8"/>
    <w:rsid w:val="688C0656"/>
    <w:rsid w:val="68AE1735"/>
    <w:rsid w:val="68B72950"/>
    <w:rsid w:val="68D60630"/>
    <w:rsid w:val="68F00432"/>
    <w:rsid w:val="68F8555D"/>
    <w:rsid w:val="691D712E"/>
    <w:rsid w:val="697E7396"/>
    <w:rsid w:val="69A009FE"/>
    <w:rsid w:val="69A729C5"/>
    <w:rsid w:val="69BF206E"/>
    <w:rsid w:val="69E46DF1"/>
    <w:rsid w:val="69E8174D"/>
    <w:rsid w:val="69EB7655"/>
    <w:rsid w:val="69F66247"/>
    <w:rsid w:val="69F820EF"/>
    <w:rsid w:val="69F86AAF"/>
    <w:rsid w:val="6A1F6154"/>
    <w:rsid w:val="6A2746CC"/>
    <w:rsid w:val="6A4F7CF0"/>
    <w:rsid w:val="6A5517EC"/>
    <w:rsid w:val="6A694BA1"/>
    <w:rsid w:val="6A734205"/>
    <w:rsid w:val="6ABC3292"/>
    <w:rsid w:val="6AC04F0B"/>
    <w:rsid w:val="6AD34458"/>
    <w:rsid w:val="6ADC4801"/>
    <w:rsid w:val="6ADF25FC"/>
    <w:rsid w:val="6B020CD0"/>
    <w:rsid w:val="6B1148AC"/>
    <w:rsid w:val="6B3E0351"/>
    <w:rsid w:val="6B42449D"/>
    <w:rsid w:val="6B4A5562"/>
    <w:rsid w:val="6B565807"/>
    <w:rsid w:val="6B633598"/>
    <w:rsid w:val="6B7A369F"/>
    <w:rsid w:val="6BAC2823"/>
    <w:rsid w:val="6BBD5024"/>
    <w:rsid w:val="6BF37DF1"/>
    <w:rsid w:val="6C630CE9"/>
    <w:rsid w:val="6C914CAA"/>
    <w:rsid w:val="6CB57E24"/>
    <w:rsid w:val="6CE66C8D"/>
    <w:rsid w:val="6CEC0F34"/>
    <w:rsid w:val="6CF73CA4"/>
    <w:rsid w:val="6D005FF7"/>
    <w:rsid w:val="6D05105B"/>
    <w:rsid w:val="6D207FCD"/>
    <w:rsid w:val="6D280C36"/>
    <w:rsid w:val="6D286C4C"/>
    <w:rsid w:val="6D2B5B01"/>
    <w:rsid w:val="6D381497"/>
    <w:rsid w:val="6D6A2DB3"/>
    <w:rsid w:val="6D6A69AA"/>
    <w:rsid w:val="6D79127B"/>
    <w:rsid w:val="6D832281"/>
    <w:rsid w:val="6DC237AE"/>
    <w:rsid w:val="6DF91502"/>
    <w:rsid w:val="6E01482E"/>
    <w:rsid w:val="6E0D1941"/>
    <w:rsid w:val="6E18292B"/>
    <w:rsid w:val="6E402C35"/>
    <w:rsid w:val="6E403BCF"/>
    <w:rsid w:val="6E424CF7"/>
    <w:rsid w:val="6E96703D"/>
    <w:rsid w:val="6E984122"/>
    <w:rsid w:val="6EC4761A"/>
    <w:rsid w:val="6ED26905"/>
    <w:rsid w:val="6ED924EF"/>
    <w:rsid w:val="6EE20566"/>
    <w:rsid w:val="6EEB6DD8"/>
    <w:rsid w:val="6EF513F6"/>
    <w:rsid w:val="6F1F0771"/>
    <w:rsid w:val="6F3669E2"/>
    <w:rsid w:val="6F3A0437"/>
    <w:rsid w:val="6F452492"/>
    <w:rsid w:val="6F4E1ABB"/>
    <w:rsid w:val="6F65489B"/>
    <w:rsid w:val="6F86274A"/>
    <w:rsid w:val="6F8A6B50"/>
    <w:rsid w:val="6F9E4E98"/>
    <w:rsid w:val="6FB536E7"/>
    <w:rsid w:val="6FC169C6"/>
    <w:rsid w:val="6FD20CED"/>
    <w:rsid w:val="700148B1"/>
    <w:rsid w:val="700708F2"/>
    <w:rsid w:val="70262445"/>
    <w:rsid w:val="70796EB7"/>
    <w:rsid w:val="70846EFD"/>
    <w:rsid w:val="70891E2B"/>
    <w:rsid w:val="709304FC"/>
    <w:rsid w:val="709661BE"/>
    <w:rsid w:val="70B21D55"/>
    <w:rsid w:val="70BA4068"/>
    <w:rsid w:val="70F06D61"/>
    <w:rsid w:val="70F36F46"/>
    <w:rsid w:val="71231B23"/>
    <w:rsid w:val="713B214A"/>
    <w:rsid w:val="714633CE"/>
    <w:rsid w:val="718621EE"/>
    <w:rsid w:val="71894FD2"/>
    <w:rsid w:val="71A3311F"/>
    <w:rsid w:val="71AA4E1C"/>
    <w:rsid w:val="72005730"/>
    <w:rsid w:val="72280301"/>
    <w:rsid w:val="7231753D"/>
    <w:rsid w:val="72386C6E"/>
    <w:rsid w:val="723A3057"/>
    <w:rsid w:val="72400885"/>
    <w:rsid w:val="724B6026"/>
    <w:rsid w:val="725273EA"/>
    <w:rsid w:val="725B1897"/>
    <w:rsid w:val="72603689"/>
    <w:rsid w:val="726C47BC"/>
    <w:rsid w:val="72CD2240"/>
    <w:rsid w:val="72DC19E2"/>
    <w:rsid w:val="72EC4E12"/>
    <w:rsid w:val="73373DED"/>
    <w:rsid w:val="73391B68"/>
    <w:rsid w:val="733F7A24"/>
    <w:rsid w:val="735C44F0"/>
    <w:rsid w:val="736A01CD"/>
    <w:rsid w:val="736B4D35"/>
    <w:rsid w:val="73741988"/>
    <w:rsid w:val="73814929"/>
    <w:rsid w:val="738F631E"/>
    <w:rsid w:val="7393399F"/>
    <w:rsid w:val="73984022"/>
    <w:rsid w:val="73C11347"/>
    <w:rsid w:val="73E2421D"/>
    <w:rsid w:val="74000D97"/>
    <w:rsid w:val="741331C3"/>
    <w:rsid w:val="74185CCF"/>
    <w:rsid w:val="741D2E7E"/>
    <w:rsid w:val="74694C3B"/>
    <w:rsid w:val="746A6AAD"/>
    <w:rsid w:val="747A4FBC"/>
    <w:rsid w:val="748B466B"/>
    <w:rsid w:val="749018A2"/>
    <w:rsid w:val="74D94903"/>
    <w:rsid w:val="74DC7834"/>
    <w:rsid w:val="74E271F1"/>
    <w:rsid w:val="75326EC3"/>
    <w:rsid w:val="7551327B"/>
    <w:rsid w:val="755F3E02"/>
    <w:rsid w:val="755F782E"/>
    <w:rsid w:val="75A16A9F"/>
    <w:rsid w:val="75BC6CCF"/>
    <w:rsid w:val="75E27D49"/>
    <w:rsid w:val="761867BE"/>
    <w:rsid w:val="76365AD0"/>
    <w:rsid w:val="765D57EA"/>
    <w:rsid w:val="7688585F"/>
    <w:rsid w:val="76F54CF0"/>
    <w:rsid w:val="76FD5906"/>
    <w:rsid w:val="77072866"/>
    <w:rsid w:val="770B684E"/>
    <w:rsid w:val="771D50F3"/>
    <w:rsid w:val="77204CB1"/>
    <w:rsid w:val="777C1603"/>
    <w:rsid w:val="77A14CDE"/>
    <w:rsid w:val="77AA2F7D"/>
    <w:rsid w:val="77C96BD3"/>
    <w:rsid w:val="78266CE5"/>
    <w:rsid w:val="7827421F"/>
    <w:rsid w:val="782B4A23"/>
    <w:rsid w:val="78302F8F"/>
    <w:rsid w:val="784117AB"/>
    <w:rsid w:val="78510397"/>
    <w:rsid w:val="78552936"/>
    <w:rsid w:val="78731F0E"/>
    <w:rsid w:val="78754CBA"/>
    <w:rsid w:val="787F25EA"/>
    <w:rsid w:val="78962FA5"/>
    <w:rsid w:val="78C148AC"/>
    <w:rsid w:val="78CA1FEE"/>
    <w:rsid w:val="78CB3FEB"/>
    <w:rsid w:val="78EA18A8"/>
    <w:rsid w:val="793B5CE2"/>
    <w:rsid w:val="795C411F"/>
    <w:rsid w:val="796834B3"/>
    <w:rsid w:val="797B3C8A"/>
    <w:rsid w:val="797F45FC"/>
    <w:rsid w:val="79970647"/>
    <w:rsid w:val="79D9682C"/>
    <w:rsid w:val="79DB75C0"/>
    <w:rsid w:val="79E37881"/>
    <w:rsid w:val="79E4486C"/>
    <w:rsid w:val="79EA2E0E"/>
    <w:rsid w:val="79ED08FA"/>
    <w:rsid w:val="7A067AFA"/>
    <w:rsid w:val="7A0C585A"/>
    <w:rsid w:val="7A2C7450"/>
    <w:rsid w:val="7A326B5A"/>
    <w:rsid w:val="7A553725"/>
    <w:rsid w:val="7A616D0A"/>
    <w:rsid w:val="7A7F2C76"/>
    <w:rsid w:val="7AAC462A"/>
    <w:rsid w:val="7AF84FA0"/>
    <w:rsid w:val="7AF909C6"/>
    <w:rsid w:val="7B6F1BD0"/>
    <w:rsid w:val="7B732126"/>
    <w:rsid w:val="7B755C15"/>
    <w:rsid w:val="7B7B20CE"/>
    <w:rsid w:val="7B8E1216"/>
    <w:rsid w:val="7B9A1345"/>
    <w:rsid w:val="7BCA6C86"/>
    <w:rsid w:val="7C044DA1"/>
    <w:rsid w:val="7C365DE1"/>
    <w:rsid w:val="7CA33449"/>
    <w:rsid w:val="7D0A0BA4"/>
    <w:rsid w:val="7D107AF3"/>
    <w:rsid w:val="7D4253C7"/>
    <w:rsid w:val="7D4C5341"/>
    <w:rsid w:val="7D4E5EE6"/>
    <w:rsid w:val="7D8901AD"/>
    <w:rsid w:val="7D8E577D"/>
    <w:rsid w:val="7D9A426A"/>
    <w:rsid w:val="7E006F08"/>
    <w:rsid w:val="7E1370A0"/>
    <w:rsid w:val="7E333E03"/>
    <w:rsid w:val="7E391FE6"/>
    <w:rsid w:val="7E916762"/>
    <w:rsid w:val="7EA916FD"/>
    <w:rsid w:val="7EAB552B"/>
    <w:rsid w:val="7EE53C64"/>
    <w:rsid w:val="7F541580"/>
    <w:rsid w:val="7F590594"/>
    <w:rsid w:val="7F667225"/>
    <w:rsid w:val="7F844A6E"/>
    <w:rsid w:val="7F956BE0"/>
    <w:rsid w:val="7FA40A1F"/>
    <w:rsid w:val="7FAA1C29"/>
    <w:rsid w:val="7FAC4830"/>
    <w:rsid w:val="7FB659E5"/>
    <w:rsid w:val="7FB7407D"/>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autoRedefine/>
    <w:qFormat/>
    <w:uiPriority w:val="0"/>
    <w:pPr>
      <w:keepNext/>
      <w:keepLines/>
      <w:spacing w:before="260" w:after="260" w:line="416" w:lineRule="auto"/>
      <w:outlineLvl w:val="2"/>
    </w:pPr>
    <w:rPr>
      <w:b/>
      <w:bCs/>
      <w:sz w:val="32"/>
      <w:szCs w:val="32"/>
    </w:rPr>
  </w:style>
  <w:style w:type="character" w:default="1" w:styleId="17">
    <w:name w:val="Default Paragraph Font"/>
    <w:autoRedefine/>
    <w:semiHidden/>
    <w:qFormat/>
    <w:uiPriority w:val="0"/>
  </w:style>
  <w:style w:type="table" w:default="1" w:styleId="15">
    <w:name w:val="Normal Table"/>
    <w:autoRedefine/>
    <w:semiHidden/>
    <w:qFormat/>
    <w:uiPriority w:val="0"/>
    <w:tblPr>
      <w:tblCellMar>
        <w:top w:w="0" w:type="dxa"/>
        <w:left w:w="108" w:type="dxa"/>
        <w:bottom w:w="0" w:type="dxa"/>
        <w:right w:w="108" w:type="dxa"/>
      </w:tblCellMar>
    </w:tblPr>
  </w:style>
  <w:style w:type="paragraph" w:styleId="5">
    <w:name w:val="annotation text"/>
    <w:basedOn w:val="1"/>
    <w:autoRedefine/>
    <w:qFormat/>
    <w:uiPriority w:val="0"/>
    <w:pPr>
      <w:jc w:val="left"/>
    </w:pPr>
    <w:rPr>
      <w:rFonts w:eastAsia="宋体"/>
      <w:kern w:val="2"/>
      <w:sz w:val="21"/>
      <w:szCs w:val="24"/>
      <w:lang w:val="en-US" w:eastAsia="zh-CN" w:bidi="ar-SA"/>
    </w:rPr>
  </w:style>
  <w:style w:type="paragraph" w:styleId="6">
    <w:name w:val="Body Text 3"/>
    <w:basedOn w:val="1"/>
    <w:autoRedefine/>
    <w:qFormat/>
    <w:uiPriority w:val="0"/>
    <w:rPr>
      <w:rFonts w:ascii="宋体"/>
      <w:sz w:val="24"/>
      <w:szCs w:val="20"/>
    </w:rPr>
  </w:style>
  <w:style w:type="paragraph" w:styleId="7">
    <w:name w:val="Body Text"/>
    <w:basedOn w:val="1"/>
    <w:autoRedefine/>
    <w:qFormat/>
    <w:uiPriority w:val="0"/>
    <w:pPr>
      <w:spacing w:after="120"/>
    </w:pPr>
  </w:style>
  <w:style w:type="paragraph" w:styleId="8">
    <w:name w:val="Body Text Indent"/>
    <w:basedOn w:val="1"/>
    <w:autoRedefine/>
    <w:qFormat/>
    <w:uiPriority w:val="0"/>
    <w:pPr>
      <w:spacing w:after="120" w:afterLines="0"/>
      <w:ind w:left="420" w:leftChars="200"/>
    </w:pPr>
  </w:style>
  <w:style w:type="paragraph" w:styleId="9">
    <w:name w:val="Plain Text"/>
    <w:basedOn w:val="1"/>
    <w:autoRedefine/>
    <w:qFormat/>
    <w:uiPriority w:val="0"/>
    <w:rPr>
      <w:rFonts w:ascii="宋体" w:hAnsi="Courier New"/>
      <w:szCs w:val="20"/>
    </w:rPr>
  </w:style>
  <w:style w:type="paragraph" w:styleId="10">
    <w:name w:val="footer"/>
    <w:basedOn w:val="1"/>
    <w:autoRedefine/>
    <w:qFormat/>
    <w:uiPriority w:val="0"/>
    <w:pPr>
      <w:tabs>
        <w:tab w:val="center" w:pos="4153"/>
        <w:tab w:val="right" w:pos="8306"/>
      </w:tabs>
      <w:snapToGrid w:val="0"/>
      <w:jc w:val="left"/>
    </w:pPr>
    <w:rPr>
      <w:sz w:val="18"/>
      <w:szCs w:val="18"/>
    </w:rPr>
  </w:style>
  <w:style w:type="paragraph" w:styleId="11">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autoRedefine/>
    <w:semiHidden/>
    <w:qFormat/>
    <w:uiPriority w:val="0"/>
    <w:pPr>
      <w:spacing w:line="440" w:lineRule="exact"/>
      <w:jc w:val="center"/>
    </w:pPr>
  </w:style>
  <w:style w:type="paragraph" w:styleId="13">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7"/>
    <w:autoRedefine/>
    <w:qFormat/>
    <w:uiPriority w:val="0"/>
    <w:pPr>
      <w:ind w:firstLine="420" w:firstLineChars="100"/>
    </w:pPr>
  </w:style>
  <w:style w:type="table" w:styleId="16">
    <w:name w:val="Table Grid"/>
    <w:basedOn w:val="1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autoRedefine/>
    <w:qFormat/>
    <w:uiPriority w:val="0"/>
  </w:style>
  <w:style w:type="paragraph" w:customStyle="1" w:styleId="19">
    <w:name w:val="样式 标题 2 + Times New Roman 四号 非加粗 段前: 5 磅 段后: 0 磅 行距: 固定值 20..."/>
    <w:basedOn w:val="3"/>
    <w:autoRedefine/>
    <w:qFormat/>
    <w:uiPriority w:val="0"/>
    <w:pPr>
      <w:spacing w:before="100" w:after="0" w:line="400" w:lineRule="exact"/>
    </w:pPr>
    <w:rPr>
      <w:rFonts w:ascii="Times New Roman" w:hAnsi="Times New Roman" w:cs="宋体"/>
      <w:b w:val="0"/>
      <w:bCs w:val="0"/>
      <w:sz w:val="28"/>
      <w:szCs w:val="20"/>
    </w:rPr>
  </w:style>
  <w:style w:type="paragraph" w:customStyle="1" w:styleId="20">
    <w:name w:val="样式 标题 3 + (中文) 黑体 小四 非加粗 段前: 7.8 磅 段后: 0 磅 行距: 固定值 20 磅"/>
    <w:basedOn w:val="4"/>
    <w:autoRedefine/>
    <w:qFormat/>
    <w:uiPriority w:val="0"/>
    <w:pPr>
      <w:spacing w:before="0" w:after="0" w:line="400" w:lineRule="exact"/>
    </w:pPr>
    <w:rPr>
      <w:rFonts w:eastAsia="黑体" w:cs="宋体"/>
      <w:b w:val="0"/>
      <w:bCs w:val="0"/>
      <w:sz w:val="24"/>
      <w:szCs w:val="20"/>
    </w:rPr>
  </w:style>
  <w:style w:type="paragraph" w:customStyle="1" w:styleId="21">
    <w:name w:val="5正文"/>
    <w:autoRedefine/>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2">
    <w:name w:val="列出段落1"/>
    <w:basedOn w:val="1"/>
    <w:autoRedefine/>
    <w:qFormat/>
    <w:uiPriority w:val="34"/>
    <w:pPr>
      <w:ind w:firstLine="420" w:firstLineChars="200"/>
    </w:pPr>
  </w:style>
  <w:style w:type="character" w:customStyle="1" w:styleId="23">
    <w:name w:val="font11"/>
    <w:basedOn w:val="17"/>
    <w:autoRedefine/>
    <w:qFormat/>
    <w:uiPriority w:val="0"/>
    <w:rPr>
      <w:rFonts w:ascii="Calibri" w:hAnsi="Calibri" w:cs="Calibri"/>
      <w:color w:val="000000"/>
      <w:sz w:val="21"/>
      <w:szCs w:val="21"/>
      <w:u w:val="none"/>
    </w:rPr>
  </w:style>
  <w:style w:type="character" w:customStyle="1" w:styleId="24">
    <w:name w:val="font21"/>
    <w:basedOn w:val="17"/>
    <w:autoRedefine/>
    <w:qFormat/>
    <w:uiPriority w:val="0"/>
    <w:rPr>
      <w:rFonts w:hint="eastAsia" w:ascii="宋体" w:hAnsi="宋体" w:eastAsia="宋体" w:cs="宋体"/>
      <w:color w:val="000000"/>
      <w:sz w:val="21"/>
      <w:szCs w:val="21"/>
      <w:u w:val="none"/>
    </w:rPr>
  </w:style>
  <w:style w:type="character" w:customStyle="1" w:styleId="25">
    <w:name w:val="font01"/>
    <w:basedOn w:val="17"/>
    <w:autoRedefine/>
    <w:qFormat/>
    <w:uiPriority w:val="0"/>
    <w:rPr>
      <w:rFonts w:ascii="Calibri" w:hAnsi="Calibri" w:cs="Calibri"/>
      <w:color w:val="000000"/>
      <w:sz w:val="21"/>
      <w:szCs w:val="21"/>
      <w:u w:val="none"/>
    </w:rPr>
  </w:style>
  <w:style w:type="character" w:customStyle="1" w:styleId="26">
    <w:name w:val="font31"/>
    <w:basedOn w:val="17"/>
    <w:autoRedefine/>
    <w:qFormat/>
    <w:uiPriority w:val="0"/>
    <w:rPr>
      <w:rFonts w:hint="default" w:ascii="Calibri" w:hAnsi="Calibri" w:cs="Calibri"/>
      <w:color w:val="000000"/>
      <w:sz w:val="21"/>
      <w:szCs w:val="21"/>
      <w:u w:val="none"/>
    </w:rPr>
  </w:style>
  <w:style w:type="paragraph" w:customStyle="1" w:styleId="27">
    <w:name w:val="Table Paragraph"/>
    <w:basedOn w:val="1"/>
    <w:autoRedefine/>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51</Pages>
  <Words>10788</Words>
  <Characters>12113</Characters>
  <Lines>0</Lines>
  <Paragraphs>0</Paragraphs>
  <TotalTime>0</TotalTime>
  <ScaleCrop>false</ScaleCrop>
  <LinksUpToDate>false</LinksUpToDate>
  <CharactersWithSpaces>13701</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2024-04-23T08:49:00Z</cp:lastPrinted>
  <dcterms:modified xsi:type="dcterms:W3CDTF">2024-04-26T09:23:49Z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3DC1C1C5EC6741F69426F536341F9981</vt:lpwstr>
  </property>
</Properties>
</file>