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permStart w:id="0" w:edGrp="everyone"/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（1）材料进场前需提供合格证、检测证明等相关材料，材料需运至项目现场，并卸至项目部指定位置；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（2）材料的运费、装卸费等均包含在投标报价中；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（3）中标人运至现场的材料，需确保材料符合国标及图纸要求，如因材料不符合国标及图纸要求造成材料退场的，每次罚款1万元；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（4）材料进场前需先提供样品，后期材料需与样品一致，如发现弄虚作假，以次充好等现象，发现一次罚款1万元，三次以上解除合同；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（5）招标人一般提前三天通知中标人供货，如因中标人原因未能按期供货，造成项目工期延误，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误期赔偿费按照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1万元/天。（特殊加工定制的材料除外）；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（6）工程量清单数量为预估数量，中标人按工程量清单数量供货，如发生货物剩余，由中标人回收，所产生的装卸运输费用由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中标人承担，招标人按照实际用量进行结算；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（7）中标人需指定一名专人负责现场供货期间材料采购、运输、卸货等。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10"/>
        <w:tblW w:w="140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365"/>
        <w:gridCol w:w="2757"/>
        <w:gridCol w:w="2378"/>
        <w:gridCol w:w="2392"/>
        <w:gridCol w:w="1660"/>
        <w:gridCol w:w="1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4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止水钢板、玻纤网、钢丝网招标清单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材料编号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规格型号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暂估材料用量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控制单价（不含税）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合价（不含税，单位：元）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热镀锌钢丝网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1mm厚（不大于10*10网孔）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11元/m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418000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耐碱玻璃纤维网格布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160g/㎡ 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999600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加强型耐碱网格布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300g/㎡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2.5元/m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107500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止水钢板（成品）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3×300mm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14000m 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33元/m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462000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1987100</w:t>
            </w:r>
          </w:p>
        </w:tc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Style w:val="15"/>
                <w:rFonts w:eastAsia="宋体"/>
                <w:lang w:val="en-US" w:eastAsia="zh-CN" w:bidi="ar"/>
              </w:rPr>
              <w:t>1.</w:t>
            </w:r>
            <w:r>
              <w:rPr>
                <w:rStyle w:val="16"/>
                <w:lang w:val="en-US" w:eastAsia="zh-CN" w:bidi="ar"/>
              </w:rPr>
              <w:t>上述材料为包含运费和装卸费的到场价格（控制单价为参考，超过合计总价做无效标处理）。2.结算时根据供货实际验收合格数量进行结算。</w:t>
            </w:r>
          </w:p>
        </w:tc>
      </w:tr>
      <w:permEnd w:id="0"/>
    </w:tbl>
    <w:p>
      <w:pPr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lNWI4MTg2YzFlM2M3OTJjYmEwNTgwNDM4NmYyMmQ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8965528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DD23CF6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501AF4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9E521D4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3A74C2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01"/>
    <w:basedOn w:val="12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6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JK_CH</cp:lastModifiedBy>
  <cp:lastPrinted>2021-05-25T08:19:00Z</cp:lastPrinted>
  <dcterms:modified xsi:type="dcterms:W3CDTF">2024-04-19T09:22:07Z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ECC8566045A84053B9B6B5C8CA024709</vt:lpwstr>
  </property>
</Properties>
</file>