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center"/>
        <w:rPr>
          <w:rFonts w:hint="eastAsia"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S309亳州段一级公路2024-2025年度公路养护工程设计</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0"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24</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035</w:t>
      </w:r>
      <w:r>
        <w:rPr>
          <w:rFonts w:ascii="Times New Roman" w:hAnsi="Times New Roman" w:eastAsia="楷体" w:cs="Times New Roman"/>
          <w:kern w:val="0"/>
          <w:sz w:val="28"/>
          <w:szCs w:val="28"/>
        </w:rPr>
        <w:t>号</w:t>
      </w:r>
      <w:permEnd w:id="0"/>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招标单位：安徽通达利交通建设管理有限公司</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shd w:val="clear" w:color="auto" w:fill="FFFFFF" w:themeFill="background1"/>
        </w:rPr>
        <w:t>二〇二四年四月二十</w:t>
      </w:r>
      <w:r>
        <w:rPr>
          <w:rFonts w:hint="eastAsia" w:ascii="Times New Roman" w:hAnsi="Times New Roman" w:eastAsia="楷体" w:cs="Times New Roman"/>
          <w:kern w:val="0"/>
          <w:sz w:val="32"/>
          <w:szCs w:val="32"/>
          <w:shd w:val="clear" w:color="auto" w:fill="FFFFFF" w:themeFill="background1"/>
          <w:lang w:val="en-US" w:eastAsia="zh-CN"/>
        </w:rPr>
        <w:t>六</w:t>
      </w:r>
      <w:r>
        <w:rPr>
          <w:rFonts w:hint="eastAsia" w:ascii="Times New Roman" w:hAnsi="Times New Roman" w:eastAsia="楷体" w:cs="Times New Roman"/>
          <w:kern w:val="0"/>
          <w:sz w:val="32"/>
          <w:szCs w:val="32"/>
          <w:shd w:val="clear" w:color="auto" w:fill="FFFFFF" w:themeFill="background1"/>
        </w:rPr>
        <w:t>日</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1" w:edGrp="everyone"/>
      <w:r>
        <w:rPr>
          <w:rFonts w:ascii="Times New Roman" w:hAnsi="Times New Roman" w:eastAsia="黑体" w:cs="Times New Roman"/>
          <w:kern w:val="0"/>
          <w:sz w:val="32"/>
          <w:szCs w:val="32"/>
        </w:rPr>
        <w:t>第一章 招标公告.......................................................................1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5</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（经评审的最低投标价法）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4</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5</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6</w:t>
      </w:r>
    </w:p>
    <w:permEnd w:id="1"/>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jc w:val="center"/>
        <w:rPr>
          <w:rFonts w:ascii="黑体" w:hAnsi="黑体" w:eastAsia="黑体" w:cs="黑体"/>
          <w:sz w:val="28"/>
          <w:szCs w:val="28"/>
        </w:rPr>
      </w:pPr>
      <w:bookmarkStart w:id="0" w:name="_Toc179632536"/>
      <w:bookmarkStart w:id="1" w:name="_Toc144974487"/>
      <w:bookmarkStart w:id="2" w:name="_Toc152045519"/>
      <w:bookmarkStart w:id="3" w:name="_Toc246996166"/>
      <w:bookmarkStart w:id="4" w:name="_Toc152042295"/>
      <w:bookmarkStart w:id="5" w:name="_Toc247085680"/>
      <w:bookmarkStart w:id="6" w:name="_Toc296602410"/>
      <w:bookmarkStart w:id="7" w:name="_Toc246996909"/>
      <w:r>
        <w:rPr>
          <w:rFonts w:hint="eastAsia" w:ascii="Times New Roman" w:hAnsi="Times New Roman" w:eastAsia="黑体" w:cs="Times New Roman"/>
          <w:sz w:val="28"/>
          <w:szCs w:val="28"/>
          <w:u w:val="single"/>
        </w:rPr>
        <w:t>S309亳州段一级公路2024-2025年度公路养护工程设计</w:t>
      </w:r>
      <w:r>
        <w:rPr>
          <w:rFonts w:hint="eastAsia" w:ascii="Times New Roman" w:hAnsi="Times New Roman" w:eastAsia="黑体" w:cs="Times New Roman"/>
          <w:sz w:val="28"/>
          <w:szCs w:val="28"/>
        </w:rPr>
        <w:t>招标公告</w:t>
      </w:r>
    </w:p>
    <w:p>
      <w:pPr>
        <w:wordWrap w:val="0"/>
        <w:spacing w:line="480" w:lineRule="exact"/>
        <w:ind w:firstLine="560" w:firstLineChars="200"/>
        <w:rPr>
          <w:rFonts w:ascii="黑体" w:hAnsi="黑体" w:eastAsia="黑体" w:cs="黑体"/>
          <w:sz w:val="28"/>
          <w:szCs w:val="28"/>
        </w:rPr>
      </w:pPr>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560" w:firstLineChars="200"/>
        <w:rPr>
          <w:rFonts w:hint="default" w:ascii="Times New Roman" w:hAnsi="Times New Roman" w:eastAsia="宋体" w:cs="Times New Roman"/>
          <w:sz w:val="28"/>
          <w:szCs w:val="28"/>
          <w:u w:val="single"/>
        </w:rPr>
      </w:pPr>
      <w:bookmarkStart w:id="8" w:name="_Toc246996910"/>
      <w:bookmarkStart w:id="9" w:name="_Toc144974488"/>
      <w:bookmarkStart w:id="10" w:name="_Toc152042296"/>
      <w:bookmarkStart w:id="11" w:name="_Toc296602411"/>
      <w:bookmarkStart w:id="12" w:name="_Toc247085681"/>
      <w:bookmarkStart w:id="13" w:name="_Toc246996167"/>
      <w:bookmarkStart w:id="14" w:name="_Toc179632537"/>
      <w:bookmarkStart w:id="15" w:name="_Toc152045520"/>
      <w:r>
        <w:rPr>
          <w:rFonts w:hint="default" w:ascii="Times New Roman" w:hAnsi="Times New Roman" w:eastAsia="宋体" w:cs="Times New Roman"/>
          <w:sz w:val="28"/>
          <w:szCs w:val="28"/>
        </w:rPr>
        <w:t>（一）项目名称：</w:t>
      </w:r>
      <w:r>
        <w:rPr>
          <w:rFonts w:hint="default" w:ascii="Times New Roman" w:hAnsi="Times New Roman" w:eastAsia="宋体" w:cs="Times New Roman"/>
          <w:sz w:val="28"/>
          <w:szCs w:val="28"/>
          <w:u w:val="single"/>
        </w:rPr>
        <w:t>S309亳州段一级公路2024-2025年度公路养护工程设计</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（二）项目编号：</w:t>
      </w:r>
      <w:permStart w:id="2" w:edGrp="everyone"/>
      <w:r>
        <w:rPr>
          <w:rFonts w:hint="default" w:ascii="Times New Roman" w:hAnsi="Times New Roman" w:eastAsia="宋体" w:cs="Times New Roman"/>
          <w:kern w:val="0"/>
          <w:sz w:val="28"/>
          <w:szCs w:val="28"/>
        </w:rPr>
        <w:t>BZJK-2024-</w:t>
      </w:r>
      <w:r>
        <w:rPr>
          <w:rFonts w:hint="default" w:ascii="Times New Roman" w:hAnsi="Times New Roman" w:eastAsia="宋体" w:cs="Times New Roman"/>
          <w:kern w:val="0"/>
          <w:sz w:val="28"/>
          <w:szCs w:val="28"/>
          <w:u w:val="single"/>
          <w:lang w:val="en-US" w:eastAsia="zh-CN"/>
        </w:rPr>
        <w:t>035</w:t>
      </w:r>
      <w:r>
        <w:rPr>
          <w:rFonts w:hint="default" w:ascii="Times New Roman" w:hAnsi="Times New Roman" w:eastAsia="宋体" w:cs="Times New Roman"/>
          <w:kern w:val="0"/>
          <w:sz w:val="28"/>
          <w:szCs w:val="28"/>
        </w:rPr>
        <w:t>号</w:t>
      </w:r>
      <w:permEnd w:id="2"/>
    </w:p>
    <w:p>
      <w:pPr>
        <w:wordWrap w:val="0"/>
        <w:spacing w:line="480" w:lineRule="exact"/>
        <w:ind w:firstLine="560" w:firstLineChars="200"/>
        <w:rPr>
          <w:rFonts w:hint="default" w:ascii="Times New Roman" w:hAnsi="Times New Roman" w:eastAsia="宋体" w:cs="Times New Roman"/>
          <w:sz w:val="28"/>
          <w:szCs w:val="28"/>
          <w:u w:val="single"/>
        </w:rPr>
      </w:pPr>
      <w:r>
        <w:rPr>
          <w:rFonts w:hint="default" w:ascii="Times New Roman" w:hAnsi="Times New Roman" w:eastAsia="宋体" w:cs="Times New Roman"/>
          <w:sz w:val="28"/>
          <w:szCs w:val="28"/>
        </w:rPr>
        <w:t>（三）资金来源：</w:t>
      </w:r>
      <w:r>
        <w:rPr>
          <w:rFonts w:hint="default" w:ascii="Times New Roman" w:hAnsi="Times New Roman" w:eastAsia="宋体" w:cs="Times New Roman"/>
          <w:sz w:val="28"/>
          <w:szCs w:val="28"/>
          <w:u w:val="single"/>
        </w:rPr>
        <w:t>企业自筹</w:t>
      </w:r>
    </w:p>
    <w:p>
      <w:pPr>
        <w:wordWrap w:val="0"/>
        <w:spacing w:line="480" w:lineRule="exact"/>
        <w:ind w:firstLine="560" w:firstLineChars="200"/>
        <w:rPr>
          <w:rFonts w:hint="default" w:ascii="Times New Roman" w:hAnsi="Times New Roman" w:eastAsia="宋体" w:cs="Times New Roman"/>
          <w:sz w:val="28"/>
          <w:szCs w:val="28"/>
          <w:u w:val="single"/>
        </w:rPr>
      </w:pPr>
      <w:r>
        <w:rPr>
          <w:rFonts w:hint="default" w:ascii="Times New Roman" w:hAnsi="Times New Roman" w:eastAsia="宋体" w:cs="Times New Roman"/>
          <w:sz w:val="28"/>
          <w:szCs w:val="28"/>
        </w:rPr>
        <w:t>（四）招标人：</w:t>
      </w:r>
      <w:r>
        <w:rPr>
          <w:rFonts w:hint="default" w:ascii="Times New Roman" w:hAnsi="Times New Roman" w:eastAsia="宋体" w:cs="Times New Roman"/>
          <w:sz w:val="28"/>
          <w:szCs w:val="28"/>
          <w:u w:val="single"/>
        </w:rPr>
        <w:t>安徽通达利交通建设管理有限公司</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项目已具备招标条件，现对该项目的施工进行公开招标。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项目概况：项目概况：309省道（原307亳州段）一级公路，起点位于亳州市蒙城县与蚌埠市怀远县交界处，终点位于亳州市谯城区亳柘路，全长153.2公里，道路等级为一级公路标准，双向4车道，沥青混凝土路面，全线设大桥2座，中桥22座，小桥25座，涵洞34道。</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（二）招标范围：309省道一级公路2024-2025年度的公路养护工程项目</w:t>
      </w:r>
      <w:r>
        <w:rPr>
          <w:rFonts w:hint="default" w:ascii="Times New Roman" w:hAnsi="Times New Roman" w:eastAsia="宋体" w:cs="Times New Roman"/>
          <w:b/>
          <w:bCs/>
          <w:sz w:val="28"/>
          <w:szCs w:val="28"/>
        </w:rPr>
        <w:t>现状调查及勘察测绘、道路及桥梁检测评定</w:t>
      </w:r>
      <w:r>
        <w:rPr>
          <w:rFonts w:hint="default" w:ascii="Times New Roman" w:hAnsi="Times New Roman" w:eastAsia="宋体" w:cs="Times New Roman"/>
          <w:sz w:val="28"/>
          <w:szCs w:val="28"/>
        </w:rPr>
        <w:t>、</w:t>
      </w:r>
      <w:r>
        <w:rPr>
          <w:rFonts w:hint="default" w:ascii="Times New Roman" w:hAnsi="Times New Roman" w:eastAsia="宋体" w:cs="Times New Roman"/>
          <w:b/>
          <w:bCs/>
          <w:sz w:val="28"/>
          <w:szCs w:val="28"/>
        </w:rPr>
        <w:t>方案和施工图设计，全线2座大桥智能化健康监测、309省道养护应急储备中心可研方案（其中道路和桥梁检测评定、可研方案编制由中标单位委托具有相应资质的单位开展工作和出具报告）</w:t>
      </w:r>
      <w:r>
        <w:rPr>
          <w:rFonts w:hint="default" w:ascii="Times New Roman" w:hAnsi="Times New Roman" w:eastAsia="宋体" w:cs="Times New Roman"/>
          <w:sz w:val="28"/>
          <w:szCs w:val="28"/>
        </w:rPr>
        <w:t>，所提供的服务方案和施工图文件应符合公路现状，按技术处理后能够恢复原有道路设计水平的标准。要求提供的设计成果包括但不限于：道路及桥梁检测报告、养护建议方案、施工图设计文件、概预算文件等。</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（三）质量标准：符合国家、行业、地方现行相关规范合格标准，满足发包人要求。道路及桥梁检测评定按照《公路技术状况评定标准》（JTG 5210-2018）、《公路桥梁技术状况评定标准》（JTG/T H21-2011)《公路桥涵养护规范》（JTG 5120-2021）开展。</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（四）服务期限：自合同签订之日起</w:t>
      </w:r>
      <w:r>
        <w:rPr>
          <w:rFonts w:hint="default" w:ascii="Times New Roman" w:hAnsi="Times New Roman" w:eastAsia="宋体" w:cs="Times New Roman"/>
          <w:sz w:val="28"/>
          <w:szCs w:val="28"/>
          <w:u w:val="single"/>
        </w:rPr>
        <w:t xml:space="preserve"> 2 </w:t>
      </w:r>
      <w:r>
        <w:rPr>
          <w:rFonts w:hint="default" w:ascii="Times New Roman" w:hAnsi="Times New Roman" w:eastAsia="宋体" w:cs="Times New Roman"/>
          <w:sz w:val="28"/>
          <w:szCs w:val="28"/>
        </w:rPr>
        <w:t>年。</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2024年度设计服务周期：自签订合同之日起15日历天内完成全线现状调查及勘察测绘、道路及桥梁检测评定工作，勘测和评定报告出具之日起15日历天内出具养护方案，经招标人确认养护方案之日起30日历天内完成施工图设计文件和预算编制。</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2025设计服务周期：参照2024年度执行，具体以后期双方协商为准。</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全线2座大桥智能化健康监测、309省道养护应急储备中心可研方案根据招标人要求开展。</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（五）最高投标限价（含税）：60万元。投标人按固定总价投标报价。本项目投标报价应为完成</w:t>
      </w:r>
      <w:r>
        <w:rPr>
          <w:rFonts w:hint="eastAsia" w:ascii="Times New Roman" w:hAnsi="Times New Roman" w:eastAsia="宋体" w:cs="Times New Roman"/>
          <w:sz w:val="28"/>
          <w:szCs w:val="28"/>
          <w:lang w:val="en-US" w:eastAsia="zh-CN"/>
        </w:rPr>
        <w:t>2024年、2025年两年度</w:t>
      </w:r>
      <w:r>
        <w:rPr>
          <w:rFonts w:hint="default" w:ascii="Times New Roman" w:hAnsi="Times New Roman" w:eastAsia="宋体" w:cs="Times New Roman"/>
          <w:sz w:val="28"/>
          <w:szCs w:val="28"/>
        </w:rPr>
        <w:t>309省道一级公路</w:t>
      </w:r>
      <w:r>
        <w:rPr>
          <w:rFonts w:hint="default" w:ascii="Times New Roman" w:hAnsi="Times New Roman" w:eastAsia="宋体" w:cs="Times New Roman"/>
          <w:b/>
          <w:bCs/>
          <w:sz w:val="28"/>
          <w:szCs w:val="28"/>
        </w:rPr>
        <w:t>现状调查及勘察测绘、道路及桥梁检测评定</w:t>
      </w:r>
      <w:r>
        <w:rPr>
          <w:rFonts w:hint="default" w:ascii="Times New Roman" w:hAnsi="Times New Roman" w:eastAsia="宋体" w:cs="Times New Roman"/>
          <w:sz w:val="28"/>
          <w:szCs w:val="28"/>
        </w:rPr>
        <w:t>、</w:t>
      </w:r>
      <w:r>
        <w:rPr>
          <w:rFonts w:hint="default" w:ascii="Times New Roman" w:hAnsi="Times New Roman" w:eastAsia="宋体" w:cs="Times New Roman"/>
          <w:b/>
          <w:bCs/>
          <w:sz w:val="28"/>
          <w:szCs w:val="28"/>
        </w:rPr>
        <w:t>方案和施工图设计，全线2座大桥智能化健康监测、309省道养护应急储备中心可研方案</w:t>
      </w:r>
      <w:r>
        <w:rPr>
          <w:rFonts w:hint="default" w:ascii="Times New Roman" w:hAnsi="Times New Roman" w:eastAsia="宋体" w:cs="Times New Roman"/>
          <w:sz w:val="28"/>
          <w:szCs w:val="28"/>
        </w:rPr>
        <w:t>等阶段工作内容以及审查、报批、专家论证、建议、缺陷责任期等后期服务所需的全部费用，中标后不予调整，其他未尽事宜应统一考虑在报价内。投标报价超出限价或低于成本价的，按无效投标处理；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（一）本次招标要求投标人须具有独立法人资格，具备独立承担民事责任的能力；</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（二）资质要求：投标人应具备工程设计综合甲级资质或工程设计公路行业甲级资质或工程设计公路行业（公路）专业甲级资质。</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（三）业绩要求：投标人须提供2021年1月1日至今已完成的一级及以上等级公路养护工程设计业绩或项目包含一级及以上等级公路养护工程设计的业绩，具体要求如下，以下业绩均须提供：</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1.路面养护工程设计：单项业绩至少20公里。</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2.桥梁养护工程设计：单项业绩至少完成2座中桥或大桥。</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注：提供业绩合同复印件装订入投标文件中。业绩合同不能反映上述评审因素的，应提供施工图批复文件复印件。</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（四）拟派人员要求：</w:t>
      </w:r>
    </w:p>
    <w:p>
      <w:pPr>
        <w:spacing w:line="56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1.总设计负责人：须具有高级及以上工程师职称证书；</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2.路面养护工程、桥梁养护工程项目设计负责人：各1名，须具有中级及以上工程师职称证书。</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（1）投标人被人民法院列入失信被执行人的；</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（2）投标人被市场监督管理部门列入企业经营异常名录的；</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（3）投标人被税务部门列入重大税收违法案件当事人名单的；</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注：以上情形以“信用中国”（www.creditchina.gov.cn）发布的为准，有限制期限的按规定期限执行（以现场查询为准）。</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（六）投标人如在以往承接交控集团及下属企业项目过程中被记入“黑名单”，不得参加本次招标投标活动；</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（七）本次招标</w:t>
      </w:r>
      <w:r>
        <w:rPr>
          <w:rFonts w:hint="default" w:ascii="Times New Roman" w:hAnsi="Times New Roman" w:eastAsia="宋体" w:cs="Times New Roman"/>
          <w:color w:val="FF0000"/>
          <w:sz w:val="28"/>
          <w:szCs w:val="28"/>
          <w:u w:val="single"/>
        </w:rPr>
        <w:t>不接受</w:t>
      </w:r>
      <w:r>
        <w:rPr>
          <w:rFonts w:hint="default" w:ascii="Times New Roman" w:hAnsi="Times New Roman" w:eastAsia="宋体" w:cs="Times New Roman"/>
          <w:sz w:val="28"/>
          <w:szCs w:val="28"/>
        </w:rPr>
        <w:t>联合体投标。</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color w:val="000000" w:themeColor="text1"/>
          <w:sz w:val="28"/>
          <w:szCs w:val="28"/>
        </w:rPr>
        <w:t>（八）本项目委托代理人必须是投标单位正式人员，须提供投标单位公司为其缴纳的</w:t>
      </w:r>
      <w:r>
        <w:rPr>
          <w:rFonts w:hint="default" w:ascii="Times New Roman" w:hAnsi="Times New Roman" w:eastAsia="宋体" w:cs="Times New Roman"/>
          <w:color w:val="FF0000"/>
          <w:sz w:val="28"/>
          <w:szCs w:val="28"/>
        </w:rPr>
        <w:t>2023年6月</w:t>
      </w:r>
      <w:r>
        <w:rPr>
          <w:rFonts w:hint="default" w:ascii="Times New Roman" w:hAnsi="Times New Roman" w:eastAsia="宋体" w:cs="Times New Roman"/>
          <w:color w:val="000000" w:themeColor="text1"/>
          <w:sz w:val="28"/>
          <w:szCs w:val="28"/>
        </w:rPr>
        <w:t>起任意3个月及以上养老保险证明，否则按无效投标处理。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（一）开标时间（投标截止时间）：</w:t>
      </w:r>
      <w:r>
        <w:rPr>
          <w:rFonts w:asciiTheme="minorEastAsia" w:hAnsiTheme="minorEastAsia" w:cstheme="minorEastAsia"/>
          <w:b/>
          <w:bCs/>
          <w:sz w:val="28"/>
          <w:szCs w:val="28"/>
          <w:u w:val="single"/>
        </w:rPr>
        <w:t>2024</w:t>
      </w:r>
      <w:r>
        <w:rPr>
          <w:rFonts w:asciiTheme="minorEastAsia" w:hAnsiTheme="minorEastAsia" w:cstheme="minorEastAsia"/>
          <w:b/>
          <w:bCs/>
          <w:sz w:val="28"/>
          <w:szCs w:val="28"/>
        </w:rPr>
        <w:t>年</w:t>
      </w:r>
      <w:r>
        <w:rPr>
          <w:rFonts w:hint="eastAsia" w:asciiTheme="minorEastAsia" w:hAnsiTheme="minorEastAsia" w:cstheme="minorEastAsia"/>
          <w:b/>
          <w:bCs/>
          <w:sz w:val="28"/>
          <w:szCs w:val="28"/>
          <w:u w:val="single"/>
        </w:rPr>
        <w:t>5</w:t>
      </w:r>
      <w:r>
        <w:rPr>
          <w:rFonts w:asciiTheme="minorEastAsia" w:hAnsiTheme="minorEastAsia" w:cstheme="minorEastAsia"/>
          <w:b/>
          <w:bCs/>
          <w:sz w:val="28"/>
          <w:szCs w:val="28"/>
        </w:rPr>
        <w:t>月</w:t>
      </w:r>
      <w:r>
        <w:rPr>
          <w:rFonts w:hint="eastAsia" w:asciiTheme="minorEastAsia" w:hAnsiTheme="minorEastAsia" w:cstheme="minorEastAsia"/>
          <w:b/>
          <w:bCs/>
          <w:sz w:val="28"/>
          <w:szCs w:val="28"/>
          <w:u w:val="single"/>
          <w:lang w:val="en-US" w:eastAsia="zh-CN"/>
        </w:rPr>
        <w:t>8</w:t>
      </w:r>
      <w:r>
        <w:rPr>
          <w:rFonts w:asciiTheme="minorEastAsia" w:hAnsiTheme="minorEastAsia" w:cstheme="minorEastAsia"/>
          <w:b/>
          <w:bCs/>
          <w:sz w:val="28"/>
          <w:szCs w:val="28"/>
        </w:rPr>
        <w:t>日</w:t>
      </w:r>
      <w:r>
        <w:rPr>
          <w:rFonts w:hint="eastAsia" w:asciiTheme="minorEastAsia" w:hAnsiTheme="minorEastAsia" w:cstheme="minorEastAsia"/>
          <w:b/>
          <w:bCs/>
          <w:sz w:val="28"/>
          <w:szCs w:val="28"/>
          <w:u w:val="single"/>
          <w:lang w:val="en-US" w:eastAsia="zh-CN"/>
        </w:rPr>
        <w:t>15</w:t>
      </w:r>
      <w:r>
        <w:rPr>
          <w:rFonts w:asciiTheme="minorEastAsia" w:hAnsiTheme="minorEastAsia" w:cstheme="minorEastAsia"/>
          <w:b/>
          <w:bCs/>
          <w:sz w:val="28"/>
          <w:szCs w:val="28"/>
        </w:rPr>
        <w:t>时</w:t>
      </w:r>
      <w:r>
        <w:rPr>
          <w:rFonts w:asciiTheme="minorEastAsia" w:hAnsiTheme="minorEastAsia" w:cstheme="minorEastAsia"/>
          <w:b/>
          <w:bCs/>
          <w:sz w:val="28"/>
          <w:szCs w:val="28"/>
          <w:u w:val="single"/>
        </w:rPr>
        <w:t>00</w:t>
      </w:r>
      <w:r>
        <w:rPr>
          <w:rFonts w:asciiTheme="minorEastAsia" w:hAnsiTheme="minorEastAsia" w:cstheme="minorEastAsia"/>
          <w:b/>
          <w:bCs/>
          <w:sz w:val="28"/>
          <w:szCs w:val="28"/>
        </w:rPr>
        <w:t>分</w:t>
      </w:r>
      <w:r>
        <w:rPr>
          <w:rFonts w:hint="eastAsia" w:asciiTheme="minorEastAsia" w:hAnsiTheme="minorEastAsia" w:cstheme="minorEastAsia"/>
          <w:sz w:val="28"/>
          <w:szCs w:val="28"/>
        </w:rPr>
        <w:t>（北京时间）；</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（二）开标地点：亳州交通投资控股集团有限公司15楼开标室（药都大道与希夷大道交叉口东北角15楼）；</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（四）本次招标</w:t>
      </w:r>
      <w:r>
        <w:rPr>
          <w:rFonts w:hint="eastAsia" w:asciiTheme="minorEastAsia" w:hAnsiTheme="minorEastAsia" w:cstheme="minorEastAsia"/>
          <w:sz w:val="28"/>
          <w:szCs w:val="28"/>
          <w:u w:val="single"/>
        </w:rPr>
        <w:t>不允许</w:t>
      </w:r>
      <w:r>
        <w:rPr>
          <w:rFonts w:hint="eastAsia" w:asciiTheme="minorEastAsia" w:hAnsiTheme="minorEastAsia" w:cstheme="minorEastAsia"/>
          <w:sz w:val="28"/>
          <w:szCs w:val="28"/>
        </w:rPr>
        <w:t>投标人以邮寄方式递交投标文件。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r>
        <w:rPr>
          <w:rFonts w:hint="eastAsia" w:asciiTheme="minorEastAsia" w:hAnsiTheme="minorEastAsia" w:cstheme="minorEastAsia"/>
          <w:sz w:val="28"/>
          <w:szCs w:val="28"/>
          <w:u w:val="single"/>
        </w:rPr>
        <w:t>10000元</w:t>
      </w:r>
      <w:r>
        <w:rPr>
          <w:rFonts w:asciiTheme="minorEastAsia" w:hAnsiTheme="minorEastAsia" w:cstheme="minorEastAsia"/>
          <w:sz w:val="28"/>
          <w:szCs w:val="28"/>
        </w:rPr>
        <w:t>，缴纳方式详见招标文件。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招 标 人：安徽通达利交通建设管理有限公司</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地    址：安徽省亳州市谯城区大杨镇省道309线亳州收费站</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联 系 人：韩工</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电    话：19155257528</w:t>
      </w:r>
    </w:p>
    <w:p>
      <w:pPr>
        <w:wordWrap w:val="0"/>
        <w:spacing w:line="480" w:lineRule="exact"/>
        <w:ind w:firstLine="560" w:firstLineChars="200"/>
        <w:rPr>
          <w:rFonts w:hint="default" w:ascii="Times New Roman" w:hAnsi="Times New Roman" w:eastAsia="宋体" w:cs="Times New Roman"/>
          <w:sz w:val="28"/>
          <w:szCs w:val="28"/>
        </w:rPr>
      </w:pP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招标平台：亳州交控集团招投标中心</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地    址：亳州市谯城区药都大道1289号</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联 系 人：田工、张工</w:t>
      </w:r>
    </w:p>
    <w:p>
      <w:pPr>
        <w:wordWrap w:val="0"/>
        <w:spacing w:line="480" w:lineRule="exact"/>
        <w:ind w:firstLine="560" w:firstLineChars="200"/>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电    话：0558-5190035</w:t>
      </w: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亳州交通投资控股集团有限公司</w:t>
      </w:r>
    </w:p>
    <w:p>
      <w:pPr>
        <w:wordWrap w:val="0"/>
        <w:spacing w:line="480" w:lineRule="exact"/>
        <w:ind w:firstLine="560" w:firstLineChars="200"/>
        <w:jc w:val="righ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2024年4月2</w:t>
      </w:r>
      <w:r>
        <w:rPr>
          <w:rFonts w:hint="eastAsia" w:ascii="Times New Roman" w:hAnsi="Times New Roman" w:eastAsia="仿宋_GB2312" w:cs="Times New Roman"/>
          <w:sz w:val="28"/>
          <w:szCs w:val="28"/>
          <w:lang w:val="en-US" w:eastAsia="zh-CN"/>
        </w:rPr>
        <w:t>6</w:t>
      </w:r>
      <w:r>
        <w:rPr>
          <w:rFonts w:hint="eastAsia" w:ascii="Times New Roman" w:hAnsi="Times New Roman" w:eastAsia="仿宋_GB2312" w:cs="Times New Roman"/>
          <w:sz w:val="28"/>
          <w:szCs w:val="28"/>
        </w:rPr>
        <w:t xml:space="preserve">日    </w:t>
      </w:r>
    </w:p>
    <w:p>
      <w:pPr>
        <w:spacing w:line="480" w:lineRule="exact"/>
        <w:ind w:firstLine="640" w:firstLineChars="200"/>
        <w:jc w:val="right"/>
        <w:rPr>
          <w:rFonts w:ascii="Times New Roman" w:hAnsi="Times New Roman" w:eastAsia="仿宋_GB2312" w:cs="Times New Roman"/>
          <w:kern w:val="0"/>
          <w:sz w:val="32"/>
          <w:szCs w:val="32"/>
        </w:rPr>
      </w:pPr>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28"/>
          <w:szCs w:val="28"/>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7"/>
        <w:tblW w:w="8522" w:type="dxa"/>
        <w:tblInd w:w="0" w:type="dxa"/>
        <w:tblLayout w:type="fixed"/>
        <w:tblCellMar>
          <w:top w:w="0" w:type="dxa"/>
          <w:left w:w="108" w:type="dxa"/>
          <w:bottom w:w="0" w:type="dxa"/>
          <w:right w:w="108" w:type="dxa"/>
        </w:tblCellMar>
      </w:tblPr>
      <w:tblGrid>
        <w:gridCol w:w="1008"/>
        <w:gridCol w:w="2695"/>
        <w:gridCol w:w="481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1.9.1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Cs w:val="21"/>
              </w:rPr>
            </w:pPr>
            <w:r>
              <w:rPr>
                <w:rFonts w:ascii="Times New Roman" w:hAnsi="Times New Roman" w:eastAsia="仿宋_GB2312" w:cs="Times New Roman"/>
                <w:szCs w:val="24"/>
              </w:rPr>
              <w:sym w:font="Wingdings" w:char="00FE"/>
            </w:r>
            <w:r>
              <w:rPr>
                <w:rFonts w:ascii="Times New Roman" w:hAnsi="Times New Roman" w:cs="Times New Roman"/>
                <w:sz w:val="21"/>
                <w:szCs w:val="21"/>
              </w:rPr>
              <w:t>不</w:t>
            </w:r>
            <w:r>
              <w:rPr>
                <w:rFonts w:hint="eastAsia" w:ascii="Times New Roman" w:hAnsi="Times New Roman" w:cs="Times New Roman"/>
                <w:sz w:val="21"/>
                <w:szCs w:val="21"/>
              </w:rPr>
              <w:t>组织，自行踏勘现场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1.10.1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 w:val="32"/>
                <w:szCs w:val="32"/>
              </w:rPr>
            </w:pPr>
            <w:r>
              <w:rPr>
                <w:rFonts w:ascii="Times New Roman" w:hAnsi="Times New Roman" w:eastAsia="仿宋_GB2312" w:cs="Times New Roman"/>
                <w:szCs w:val="24"/>
              </w:rPr>
              <w:sym w:font="Wingdings" w:char="00FE"/>
            </w:r>
            <w:r>
              <w:rPr>
                <w:rFonts w:ascii="Times New Roman" w:hAnsi="Times New Roman" w:cs="Times New Roman"/>
                <w:sz w:val="21"/>
                <w:szCs w:val="21"/>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偏离</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投标人要求澄清招标文件</w:t>
            </w:r>
            <w:r>
              <w:rPr>
                <w:rFonts w:hint="eastAsia" w:ascii="Times New Roman" w:hAnsi="Times New Roman" w:cs="Times New Roman"/>
                <w:szCs w:val="21"/>
              </w:rPr>
              <w:t>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距投标截止时间止</w:t>
            </w:r>
            <w:r>
              <w:rPr>
                <w:rFonts w:hint="eastAsia" w:ascii="Times New Roman" w:hAnsi="Times New Roman" w:cs="Times New Roman"/>
                <w:szCs w:val="21"/>
                <w:u w:val="single"/>
              </w:rPr>
              <w:t>3日</w:t>
            </w:r>
            <w:r>
              <w:rPr>
                <w:rFonts w:hint="eastAsia" w:ascii="Times New Roman" w:hAnsi="Times New Roman" w:cs="Times New Roman"/>
                <w:szCs w:val="21"/>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tabs>
                <w:tab w:val="left" w:pos="309"/>
              </w:tabs>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投标保证金的形式：银行汇款或转账</w:t>
            </w:r>
          </w:p>
          <w:p>
            <w:pPr>
              <w:wordWrap w:val="0"/>
              <w:spacing w:line="400" w:lineRule="exact"/>
              <w:rPr>
                <w:rFonts w:ascii="Times New Roman" w:hAnsi="Times New Roman" w:cs="Times New Roman"/>
                <w:szCs w:val="21"/>
              </w:rPr>
            </w:pPr>
            <w:r>
              <w:rPr>
                <w:rFonts w:ascii="Times New Roman" w:hAnsi="Times New Roman" w:cs="Times New Roman"/>
                <w:szCs w:val="21"/>
              </w:rPr>
              <w:t>投标保证金的金额：</w:t>
            </w:r>
          </w:p>
          <w:p>
            <w:pPr>
              <w:wordWrap w:val="0"/>
              <w:spacing w:line="400" w:lineRule="exact"/>
              <w:rPr>
                <w:rFonts w:ascii="Times New Roman" w:hAnsi="Times New Roman" w:cs="Times New Roman"/>
                <w:szCs w:val="21"/>
              </w:rPr>
            </w:pPr>
            <w:r>
              <w:rPr>
                <w:rFonts w:ascii="Times New Roman" w:hAnsi="Times New Roman" w:cs="Times New Roman"/>
                <w:szCs w:val="21"/>
              </w:rPr>
              <w:t>人民币（大写）</w:t>
            </w:r>
            <w:r>
              <w:rPr>
                <w:rFonts w:hint="eastAsia" w:ascii="Times New Roman" w:hAnsi="Times New Roman" w:cs="Times New Roman"/>
                <w:szCs w:val="21"/>
                <w:u w:val="single"/>
              </w:rPr>
              <w:t>壹万元整</w:t>
            </w:r>
            <w:r>
              <w:rPr>
                <w:rFonts w:ascii="Times New Roman" w:hAnsi="Times New Roman" w:cs="Times New Roman"/>
                <w:szCs w:val="21"/>
              </w:rPr>
              <w:t>，</w:t>
            </w:r>
          </w:p>
          <w:p>
            <w:pPr>
              <w:wordWrap w:val="0"/>
              <w:spacing w:line="400" w:lineRule="exact"/>
              <w:ind w:firstLine="630" w:firstLineChars="300"/>
              <w:rPr>
                <w:rFonts w:ascii="Times New Roman" w:hAnsi="Times New Roman" w:cs="Times New Roman"/>
                <w:i/>
                <w:iCs/>
                <w:color w:val="FF0000"/>
                <w:szCs w:val="21"/>
                <w:u w:val="single"/>
              </w:rPr>
            </w:pPr>
            <w:r>
              <w:rPr>
                <w:rFonts w:ascii="Times New Roman" w:hAnsi="Times New Roman" w:cs="Times New Roman"/>
                <w:szCs w:val="21"/>
              </w:rPr>
              <w:t>（小写）</w:t>
            </w:r>
            <w:r>
              <w:rPr>
                <w:rFonts w:hint="eastAsia" w:ascii="Times New Roman" w:hAnsi="Times New Roman" w:cs="Times New Roman"/>
                <w:szCs w:val="21"/>
                <w:u w:val="single"/>
              </w:rPr>
              <w:t>10000元</w:t>
            </w:r>
            <w:r>
              <w:rPr>
                <w:rFonts w:ascii="Times New Roman" w:hAnsi="Times New Roman" w:cs="Times New Roman"/>
                <w:szCs w:val="21"/>
              </w:rPr>
              <w:t>。</w:t>
            </w:r>
          </w:p>
          <w:p>
            <w:pPr>
              <w:wordWrap w:val="0"/>
              <w:spacing w:line="40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0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r>
              <w:rPr>
                <w:rFonts w:hint="eastAsia" w:ascii="Times New Roman" w:hAnsi="Times New Roman" w:cs="Times New Roman"/>
                <w:i w:val="0"/>
                <w:iCs w:val="0"/>
                <w:color w:val="FF0000"/>
                <w:szCs w:val="21"/>
                <w:u w:val="single"/>
              </w:rPr>
              <w:t>BZJK-2024-</w:t>
            </w:r>
            <w:r>
              <w:rPr>
                <w:rFonts w:hint="eastAsia" w:ascii="Times New Roman" w:hAnsi="Times New Roman" w:cs="Times New Roman"/>
                <w:i w:val="0"/>
                <w:iCs w:val="0"/>
                <w:color w:val="FF0000"/>
                <w:szCs w:val="21"/>
                <w:u w:val="single"/>
                <w:lang w:val="en-US" w:eastAsia="zh-CN"/>
              </w:rPr>
              <w:t>035</w:t>
            </w:r>
            <w:r>
              <w:rPr>
                <w:rFonts w:hint="eastAsia" w:ascii="Times New Roman" w:hAnsi="Times New Roman" w:cs="Times New Roman"/>
                <w:i w:val="0"/>
                <w:iCs w:val="0"/>
                <w:color w:val="FF0000"/>
                <w:szCs w:val="21"/>
                <w:u w:val="single"/>
              </w:rPr>
              <w:t>号保证金</w:t>
            </w:r>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0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0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0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w:t>
            </w:r>
            <w:r>
              <w:rPr>
                <w:rFonts w:hint="eastAsia" w:ascii="Times New Roman" w:hAnsi="Times New Roman" w:cs="Times New Roman"/>
                <w:szCs w:val="21"/>
              </w:rPr>
              <w:t>10个工作</w:t>
            </w:r>
            <w:r>
              <w:rPr>
                <w:rFonts w:ascii="Times New Roman" w:hAnsi="Times New Roman" w:cs="Times New Roman"/>
                <w:szCs w:val="21"/>
              </w:rPr>
              <w:t>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在10个工作</w:t>
            </w:r>
            <w:r>
              <w:rPr>
                <w:rFonts w:ascii="Times New Roman" w:hAnsi="Times New Roman" w:cs="Times New Roman"/>
                <w:szCs w:val="21"/>
              </w:rPr>
              <w:t>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3" w:edGrp="everyone"/>
            <w:permEnd w:id="3"/>
            <w:r>
              <w:rPr>
                <w:rFonts w:hint="eastAsia" w:ascii="Times New Roman" w:hAnsi="Times New Roman" w:cs="Times New Roman"/>
                <w:szCs w:val="21"/>
              </w:rPr>
              <w:t>3.5.3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正本1份、副本4份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装订要求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（1）所有正本与副本封装在一个密封袋中，且在投标文件封面标明“正本”或“副本”的字样；</w:t>
            </w:r>
          </w:p>
          <w:p>
            <w:pPr>
              <w:wordWrap w:val="0"/>
              <w:spacing w:line="430" w:lineRule="exact"/>
              <w:rPr>
                <w:rFonts w:ascii="Times New Roman" w:hAnsi="Times New Roman" w:cs="Times New Roman"/>
                <w:szCs w:val="21"/>
              </w:rPr>
            </w:pPr>
            <w:r>
              <w:rPr>
                <w:rFonts w:ascii="Times New Roman" w:hAnsi="Times New Roman" w:cs="Times New Roman"/>
                <w:szCs w:val="21"/>
              </w:rPr>
              <w:t>（2）投标文件应按要求密封，密封袋封口加盖投标单位印章；</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招标人名称：</w:t>
            </w:r>
            <w:r>
              <w:rPr>
                <w:rFonts w:hint="eastAsia" w:ascii="Times New Roman" w:hAnsi="Times New Roman" w:cs="Times New Roman"/>
                <w:szCs w:val="21"/>
                <w:u w:val="single"/>
              </w:rPr>
              <w:t>安徽通达利交通建设管理有限公司</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开标地址：</w:t>
            </w:r>
            <w:r>
              <w:rPr>
                <w:rFonts w:hint="eastAsia" w:ascii="Times New Roman" w:hAnsi="Times New Roman" w:cs="Times New Roman"/>
                <w:szCs w:val="21"/>
                <w:u w:val="single"/>
              </w:rPr>
              <w:t>亳州交通投资控股集团有限公司15楼开标室（药都大道与希夷大道交叉口东北角15楼）</w:t>
            </w:r>
            <w:bookmarkStart w:id="439" w:name="_GoBack"/>
            <w:bookmarkEnd w:id="439"/>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u w:val="single"/>
              </w:rPr>
              <w:t>S309亳州段一级公路2024-2025年度公路养护工程设计</w:t>
            </w:r>
            <w:r>
              <w:rPr>
                <w:rFonts w:hint="eastAsia" w:ascii="Times New Roman" w:hAnsi="Times New Roman" w:cs="Times New Roman"/>
                <w:szCs w:val="21"/>
              </w:rPr>
              <w:t>投标文件</w:t>
            </w:r>
          </w:p>
          <w:p>
            <w:pPr>
              <w:wordWrap w:val="0"/>
              <w:spacing w:line="400" w:lineRule="exact"/>
              <w:ind w:firstLine="420" w:firstLineChars="200"/>
              <w:rPr>
                <w:rFonts w:ascii="Times New Roman" w:hAnsi="Times New Roman" w:cs="Times New Roman"/>
                <w:color w:val="FF0000"/>
                <w:szCs w:val="21"/>
              </w:rPr>
            </w:pPr>
            <w:r>
              <w:rPr>
                <w:rFonts w:hint="eastAsia" w:ascii="Times New Roman" w:hAnsi="Times New Roman" w:cs="Times New Roman"/>
                <w:szCs w:val="21"/>
              </w:rPr>
              <w:t>招标项目编号：</w:t>
            </w:r>
            <w:r>
              <w:rPr>
                <w:rFonts w:hint="eastAsia" w:ascii="Times New Roman" w:hAnsi="Times New Roman" w:cs="Times New Roman"/>
                <w:color w:val="FF0000"/>
                <w:szCs w:val="21"/>
                <w:u w:val="single"/>
              </w:rPr>
              <w:t>BZJK-2024-</w:t>
            </w:r>
            <w:r>
              <w:rPr>
                <w:rFonts w:hint="eastAsia" w:ascii="Times New Roman" w:hAnsi="Times New Roman" w:cs="Times New Roman"/>
                <w:color w:val="FF0000"/>
                <w:szCs w:val="21"/>
                <w:u w:val="single"/>
                <w:lang w:val="en-US" w:eastAsia="zh-CN"/>
              </w:rPr>
              <w:t>035</w:t>
            </w:r>
            <w:r>
              <w:rPr>
                <w:rFonts w:hint="eastAsia" w:ascii="Times New Roman" w:hAnsi="Times New Roman" w:cs="Times New Roman"/>
                <w:color w:val="FF0000"/>
                <w:szCs w:val="21"/>
                <w:u w:val="single"/>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szCs w:val="21"/>
              </w:rPr>
              <w:t>在</w:t>
            </w:r>
            <w:r>
              <w:rPr>
                <w:rFonts w:hint="eastAsia" w:ascii="Times New Roman" w:hAnsi="Times New Roman" w:cs="Times New Roman"/>
                <w:szCs w:val="21"/>
                <w:u w:val="single"/>
              </w:rPr>
              <w:t>2024</w:t>
            </w:r>
            <w:r>
              <w:rPr>
                <w:rFonts w:hint="eastAsia" w:ascii="Times New Roman" w:hAnsi="Times New Roman" w:cs="Times New Roman"/>
                <w:szCs w:val="21"/>
              </w:rPr>
              <w:t>年</w:t>
            </w:r>
            <w:r>
              <w:rPr>
                <w:rFonts w:hint="eastAsia" w:ascii="Times New Roman" w:hAnsi="Times New Roman" w:cs="Times New Roman"/>
                <w:szCs w:val="21"/>
                <w:u w:val="single"/>
              </w:rPr>
              <w:t>5</w:t>
            </w:r>
            <w:r>
              <w:rPr>
                <w:rFonts w:hint="eastAsia" w:ascii="Times New Roman" w:hAnsi="Times New Roman" w:cs="Times New Roman"/>
                <w:szCs w:val="21"/>
              </w:rPr>
              <w:t>月</w:t>
            </w:r>
            <w:r>
              <w:rPr>
                <w:rFonts w:hint="eastAsia" w:ascii="Times New Roman" w:hAnsi="Times New Roman" w:cs="Times New Roman"/>
                <w:szCs w:val="21"/>
                <w:u w:val="single"/>
                <w:lang w:val="en-US" w:eastAsia="zh-CN"/>
              </w:rPr>
              <w:t>8</w:t>
            </w:r>
            <w:r>
              <w:rPr>
                <w:rFonts w:hint="eastAsia" w:ascii="Times New Roman" w:hAnsi="Times New Roman" w:cs="Times New Roman"/>
                <w:szCs w:val="21"/>
              </w:rPr>
              <w:t>日</w:t>
            </w:r>
            <w:r>
              <w:rPr>
                <w:rFonts w:hint="eastAsia" w:ascii="Times New Roman" w:hAnsi="Times New Roman" w:cs="Times New Roman"/>
                <w:szCs w:val="21"/>
                <w:u w:val="single"/>
                <w:lang w:val="en-US" w:eastAsia="zh-CN"/>
              </w:rPr>
              <w:t>15</w:t>
            </w:r>
            <w:r>
              <w:rPr>
                <w:rFonts w:hint="eastAsia" w:ascii="Times New Roman" w:hAnsi="Times New Roman" w:cs="Times New Roman"/>
                <w:szCs w:val="21"/>
              </w:rPr>
              <w:t>时</w:t>
            </w:r>
            <w:r>
              <w:rPr>
                <w:rFonts w:hint="eastAsia" w:ascii="Times New Roman" w:hAnsi="Times New Roman" w:cs="Times New Roman"/>
                <w:szCs w:val="21"/>
                <w:u w:val="single"/>
              </w:rPr>
              <w:t>00</w:t>
            </w:r>
            <w:r>
              <w:rPr>
                <w:rFonts w:hint="eastAsia" w:ascii="Times New Roman" w:hAnsi="Times New Roman" w:cs="Times New Roman"/>
                <w:szCs w:val="21"/>
              </w:rPr>
              <w:t>分前不得开启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评标委员会构成：5人以上单数（含5人）。</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评标委员会组建：按有关规定组建。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r>
              <w:rPr>
                <w:rFonts w:ascii="Times New Roman" w:hAnsi="Times New Roman" w:eastAsia="仿宋_GB2312" w:cs="Times New Roman"/>
                <w:sz w:val="24"/>
              </w:rPr>
              <w:sym w:font="Wingdings" w:char="00FE"/>
            </w:r>
            <w:r>
              <w:rPr>
                <w:rFonts w:ascii="Times New Roman" w:hAnsi="Times New Roman" w:cs="Times New Roman"/>
                <w:szCs w:val="21"/>
              </w:rPr>
              <w:t>否</w:t>
            </w:r>
            <w:r>
              <w:rPr>
                <w:rFonts w:hint="eastAsia" w:ascii="Times New Roman" w:hAnsi="Times New Roman" w:cs="Times New Roman"/>
                <w:szCs w:val="21"/>
              </w:rPr>
              <w:t>，推荐的中标候选人数：1-3人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中标候选人公示媒介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亳州交通投资控股集团有限公司官网（www.bzjkjt.com）、安徽省招标投标信息网（www.ahtba.org.cn）等网站上发布。</w:t>
            </w:r>
          </w:p>
          <w:p>
            <w:pPr>
              <w:wordWrap w:val="0"/>
              <w:spacing w:line="430" w:lineRule="exact"/>
              <w:rPr>
                <w:rFonts w:ascii="Times New Roman" w:hAnsi="Times New Roman" w:cs="Times New Roman"/>
                <w:szCs w:val="21"/>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hint="eastAsia" w:ascii="Times New Roman" w:hAnsi="Times New Roman" w:cs="Times New Roman"/>
                <w:szCs w:val="21"/>
              </w:rPr>
              <w:t>要求</w:t>
            </w:r>
          </w:p>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4" w:edGrp="everyone"/>
            <w:r>
              <w:rPr>
                <w:rFonts w:ascii="Times New Roman" w:hAnsi="Times New Roman" w:cs="Times New Roman"/>
                <w:color w:val="FF0000"/>
                <w:szCs w:val="21"/>
              </w:rPr>
              <w:t>中标后，投标保证金自动转为履约保证金，履约保证金不足部分由中标人在收到中标通知书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0日历天</w:t>
            </w:r>
            <w:r>
              <w:rPr>
                <w:rFonts w:ascii="Times New Roman" w:hAnsi="Times New Roman" w:cs="Times New Roman"/>
                <w:color w:val="FF0000"/>
                <w:szCs w:val="21"/>
              </w:rPr>
              <w:t>内从其基本账户开户行银行汇款。</w:t>
            </w:r>
            <w:permEnd w:id="4"/>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5" w:edGrp="everyone"/>
            <w:r>
              <w:rPr>
                <w:rFonts w:hint="eastAsia" w:ascii="Times New Roman" w:hAnsi="Times New Roman" w:cs="Times New Roman"/>
                <w:b/>
                <w:bCs/>
                <w:color w:val="FF0000"/>
                <w:szCs w:val="21"/>
              </w:rPr>
              <w:t>中标价款的10%</w:t>
            </w:r>
            <w:permEnd w:id="5"/>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6" w:edGrp="everyone"/>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服务期满30日历天内</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6"/>
          </w:p>
        </w:tc>
      </w:tr>
      <w:tr>
        <w:tblPrEx>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9.1</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wordWrap w:val="0"/>
              <w:spacing w:line="430" w:lineRule="exact"/>
              <w:rPr>
                <w:rFonts w:ascii="Times New Roman" w:hAnsi="Times New Roman" w:cs="Times New Roman"/>
                <w:b/>
                <w:bCs/>
                <w:szCs w:val="21"/>
              </w:rPr>
            </w:pPr>
            <w:r>
              <w:rPr>
                <w:rFonts w:hint="eastAsia" w:ascii="宋体" w:hAnsi="宋体"/>
                <w:szCs w:val="21"/>
              </w:rPr>
              <w:t>本招标文件不对上述情况一一进行描述。</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9.2</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b/>
                <w:bCs/>
                <w:szCs w:val="21"/>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10</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电子招标投标</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r>
    </w:tbl>
    <w:p>
      <w:pPr>
        <w:wordWrap w:val="0"/>
        <w:spacing w:line="400" w:lineRule="exact"/>
        <w:ind w:firstLine="420" w:firstLineChars="200"/>
        <w:rPr>
          <w:rFonts w:ascii="Times New Roman" w:hAnsi="Times New Roman" w:cs="Times New Roman"/>
          <w:color w:val="000000"/>
        </w:rPr>
      </w:pPr>
      <w:r>
        <w:rPr>
          <w:rFonts w:hint="eastAsia" w:ascii="黑体" w:hAnsi="黑体" w:eastAsia="黑体" w:cs="黑体"/>
          <w:color w:val="000000"/>
        </w:rPr>
        <w:t>说明：</w:t>
      </w:r>
    </w:p>
    <w:p>
      <w:pPr>
        <w:pStyle w:val="3"/>
        <w:spacing w:line="240" w:lineRule="auto"/>
      </w:pPr>
      <w:bookmarkStart w:id="16" w:name="_Toc296602420"/>
      <w:bookmarkStart w:id="17" w:name="_Toc179632546"/>
      <w:bookmarkStart w:id="18" w:name="_Toc246996918"/>
      <w:bookmarkStart w:id="19" w:name="_Toc246996175"/>
      <w:bookmarkStart w:id="20" w:name="_Toc152042305"/>
      <w:bookmarkStart w:id="21" w:name="_Toc152045529"/>
      <w:bookmarkStart w:id="22" w:name="_Toc144974497"/>
      <w:bookmarkStart w:id="23" w:name="_Toc247085689"/>
      <w:r>
        <w:rPr>
          <w:rFonts w:hint="eastAsia"/>
        </w:rPr>
        <w:t>1. 总则</w:t>
      </w:r>
      <w:bookmarkEnd w:id="16"/>
      <w:bookmarkEnd w:id="17"/>
      <w:bookmarkEnd w:id="18"/>
      <w:bookmarkEnd w:id="19"/>
      <w:bookmarkEnd w:id="20"/>
      <w:bookmarkEnd w:id="21"/>
      <w:bookmarkEnd w:id="22"/>
      <w:bookmarkEnd w:id="23"/>
    </w:p>
    <w:p>
      <w:pPr>
        <w:pStyle w:val="4"/>
        <w:spacing w:line="240" w:lineRule="auto"/>
      </w:pPr>
      <w:bookmarkStart w:id="24" w:name="_Toc152045530"/>
      <w:bookmarkStart w:id="25" w:name="_Toc246996919"/>
      <w:bookmarkStart w:id="26" w:name="_Toc179632547"/>
      <w:bookmarkStart w:id="27" w:name="_Toc152042306"/>
      <w:bookmarkStart w:id="28" w:name="_Toc247085690"/>
      <w:bookmarkStart w:id="29" w:name="_Toc296602421"/>
      <w:bookmarkStart w:id="30" w:name="_Toc246996176"/>
      <w:bookmarkStart w:id="31" w:name="_Toc144974498"/>
      <w:r>
        <w:rPr>
          <w:rFonts w:hint="eastAsia"/>
        </w:rPr>
        <w:t>1.1 项目概况</w:t>
      </w:r>
      <w:bookmarkEnd w:id="24"/>
      <w:bookmarkEnd w:id="25"/>
      <w:bookmarkEnd w:id="26"/>
      <w:bookmarkEnd w:id="27"/>
      <w:bookmarkEnd w:id="28"/>
      <w:bookmarkEnd w:id="29"/>
      <w:bookmarkEnd w:id="30"/>
      <w:bookmarkEnd w:id="31"/>
    </w:p>
    <w:p>
      <w:pPr>
        <w:ind w:firstLine="420" w:firstLineChars="200"/>
      </w:pPr>
      <w:r>
        <w:rPr>
          <w:rFonts w:hint="eastAsia"/>
        </w:rPr>
        <w:t>1.1.1根据《中华人民共和国招标投标法》等有关法律、法规和规章的规定，本招标项目已具备招标条件，现对本项目施工进行招标。</w:t>
      </w:r>
    </w:p>
    <w:p>
      <w:pPr>
        <w:ind w:firstLine="420" w:firstLineChars="200"/>
      </w:pPr>
      <w:r>
        <w:rPr>
          <w:rFonts w:hint="eastAsia"/>
        </w:rPr>
        <w:t>1.1.2 本招标项目招标人：见投标人须知前附表。</w:t>
      </w:r>
    </w:p>
    <w:p>
      <w:pPr>
        <w:ind w:firstLine="420" w:firstLineChars="200"/>
      </w:pPr>
      <w:r>
        <w:rPr>
          <w:rFonts w:hint="eastAsia"/>
        </w:rPr>
        <w:t>1.1.3 本招标项目招标代理机构：见投标人须知前附表。</w:t>
      </w:r>
    </w:p>
    <w:p>
      <w:pPr>
        <w:ind w:firstLine="420" w:firstLineChars="200"/>
      </w:pPr>
      <w:r>
        <w:rPr>
          <w:rFonts w:hint="eastAsia"/>
        </w:rPr>
        <w:t>1.1.4 本招标项目名称：见投标人须知前附表。</w:t>
      </w:r>
    </w:p>
    <w:p>
      <w:pPr>
        <w:ind w:firstLine="420" w:firstLineChars="200"/>
      </w:pPr>
      <w:r>
        <w:rPr>
          <w:rFonts w:hint="eastAsia"/>
        </w:rPr>
        <w:t>1.1.5 本招标项目建设地点：见投标人须知前附表。</w:t>
      </w:r>
    </w:p>
    <w:p>
      <w:pPr>
        <w:pStyle w:val="4"/>
        <w:spacing w:line="240" w:lineRule="auto"/>
      </w:pPr>
      <w:bookmarkStart w:id="32" w:name="_Toc179632548"/>
      <w:bookmarkStart w:id="33" w:name="_Toc144974499"/>
      <w:bookmarkStart w:id="34" w:name="_Toc246996177"/>
      <w:bookmarkStart w:id="35" w:name="_Toc152045531"/>
      <w:bookmarkStart w:id="36" w:name="_Toc296602422"/>
      <w:bookmarkStart w:id="37" w:name="_Toc246996920"/>
      <w:bookmarkStart w:id="38" w:name="_Toc152042307"/>
      <w:bookmarkStart w:id="39" w:name="_Toc247085691"/>
      <w:r>
        <w:rPr>
          <w:rFonts w:hint="eastAsia"/>
        </w:rPr>
        <w:t>1.2 资金来源和落实情况</w:t>
      </w:r>
      <w:bookmarkEnd w:id="32"/>
      <w:bookmarkEnd w:id="33"/>
      <w:bookmarkEnd w:id="34"/>
      <w:bookmarkEnd w:id="35"/>
      <w:bookmarkEnd w:id="36"/>
      <w:bookmarkEnd w:id="37"/>
      <w:bookmarkEnd w:id="38"/>
      <w:bookmarkEnd w:id="39"/>
    </w:p>
    <w:p>
      <w:pPr>
        <w:ind w:firstLine="420" w:firstLineChars="200"/>
      </w:pPr>
      <w:r>
        <w:rPr>
          <w:rFonts w:hint="eastAsia"/>
        </w:rPr>
        <w:t>1.2.1 本招标项目的资金来源及出资比例：见投标人须知前附表。</w:t>
      </w:r>
    </w:p>
    <w:p>
      <w:pPr>
        <w:ind w:firstLine="420" w:firstLineChars="200"/>
      </w:pPr>
      <w:r>
        <w:rPr>
          <w:rFonts w:hint="eastAsia"/>
        </w:rPr>
        <w:t>1.2.2 本招标项目的资金落实情况：见投标人须知前附表。</w:t>
      </w:r>
    </w:p>
    <w:p>
      <w:pPr>
        <w:pStyle w:val="4"/>
        <w:spacing w:line="240" w:lineRule="auto"/>
      </w:pPr>
      <w:bookmarkStart w:id="40" w:name="_Toc246996921"/>
      <w:bookmarkStart w:id="41" w:name="_Toc246996178"/>
      <w:bookmarkStart w:id="42" w:name="_Toc152042308"/>
      <w:bookmarkStart w:id="43" w:name="_Toc144974500"/>
      <w:bookmarkStart w:id="44" w:name="_Toc152045532"/>
      <w:bookmarkStart w:id="45" w:name="_Toc247085692"/>
      <w:bookmarkStart w:id="46" w:name="_Toc296602423"/>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ind w:firstLine="420" w:firstLineChars="200"/>
      </w:pPr>
      <w:r>
        <w:rPr>
          <w:rFonts w:hint="eastAsia"/>
        </w:rPr>
        <w:t>1.3.1 本次招标范围：见投标人须知前附表。</w:t>
      </w:r>
    </w:p>
    <w:p>
      <w:pPr>
        <w:ind w:firstLine="420" w:firstLineChars="200"/>
      </w:pPr>
      <w:r>
        <w:rPr>
          <w:rFonts w:hint="eastAsia"/>
        </w:rPr>
        <w:t>1.3.2 本招标项目的计划工期：见投标人须知前附表。</w:t>
      </w:r>
    </w:p>
    <w:p>
      <w:pPr>
        <w:ind w:firstLine="420" w:firstLineChars="200"/>
      </w:pPr>
      <w:r>
        <w:rPr>
          <w:rFonts w:hint="eastAsia"/>
        </w:rPr>
        <w:t>1.3.3 本招标项目的质量要求：见投标人须知前附表。</w:t>
      </w:r>
    </w:p>
    <w:p>
      <w:pPr>
        <w:pStyle w:val="4"/>
        <w:spacing w:line="240" w:lineRule="auto"/>
      </w:pPr>
      <w:bookmarkStart w:id="48" w:name="_Toc296602424"/>
      <w:bookmarkStart w:id="49" w:name="_Toc152045534"/>
      <w:bookmarkStart w:id="50" w:name="_Toc246996179"/>
      <w:bookmarkStart w:id="51" w:name="_Toc144974502"/>
      <w:bookmarkStart w:id="52" w:name="_Toc247085693"/>
      <w:bookmarkStart w:id="53" w:name="_Toc152042310"/>
      <w:bookmarkStart w:id="54" w:name="_Toc179632551"/>
      <w:bookmarkStart w:id="55" w:name="_Toc246996922"/>
      <w:r>
        <w:rPr>
          <w:rFonts w:hint="eastAsia"/>
        </w:rPr>
        <w:t>1.4 投标人资格要求</w:t>
      </w:r>
      <w:bookmarkEnd w:id="48"/>
      <w:bookmarkEnd w:id="49"/>
      <w:bookmarkEnd w:id="50"/>
      <w:bookmarkEnd w:id="51"/>
      <w:bookmarkEnd w:id="52"/>
      <w:bookmarkEnd w:id="53"/>
      <w:bookmarkEnd w:id="54"/>
      <w:bookmarkEnd w:id="55"/>
    </w:p>
    <w:p>
      <w:pPr>
        <w:ind w:firstLine="359" w:firstLineChars="171"/>
      </w:pPr>
      <w:r>
        <w:rPr>
          <w:rFonts w:hint="eastAsia"/>
        </w:rPr>
        <w:t>1.4.1 投标人应具备承担本项目施工的资质条件、能力和信誉。</w:t>
      </w:r>
    </w:p>
    <w:p>
      <w:pPr>
        <w:ind w:firstLine="359" w:firstLineChars="171"/>
      </w:pPr>
      <w:r>
        <w:rPr>
          <w:rFonts w:hint="eastAsia"/>
        </w:rPr>
        <w:t>（1）资质条件：见投标人须知前附表；</w:t>
      </w:r>
    </w:p>
    <w:p>
      <w:pPr>
        <w:ind w:firstLine="359" w:firstLineChars="171"/>
      </w:pPr>
      <w:r>
        <w:rPr>
          <w:rFonts w:hint="eastAsia"/>
        </w:rPr>
        <w:t>（2）项目经理资格：见投标人须知前附表；</w:t>
      </w:r>
    </w:p>
    <w:p>
      <w:pPr>
        <w:ind w:firstLine="359" w:firstLineChars="171"/>
      </w:pPr>
      <w:r>
        <w:rPr>
          <w:rFonts w:hint="eastAsia"/>
        </w:rPr>
        <w:t>（3）财务要求：见投标人须知前附表；</w:t>
      </w:r>
    </w:p>
    <w:p>
      <w:pPr>
        <w:ind w:firstLine="359" w:firstLineChars="171"/>
      </w:pPr>
      <w:r>
        <w:rPr>
          <w:rFonts w:hint="eastAsia"/>
        </w:rPr>
        <w:t>（4）业绩要求：见投标人须知前附表；</w:t>
      </w:r>
    </w:p>
    <w:p>
      <w:pPr>
        <w:ind w:firstLine="359" w:firstLineChars="171"/>
      </w:pPr>
      <w:r>
        <w:rPr>
          <w:rFonts w:hint="eastAsia"/>
        </w:rPr>
        <w:t>（5）其他要求：见投标人须知前附表。</w:t>
      </w:r>
    </w:p>
    <w:p>
      <w:pPr>
        <w:ind w:firstLine="359" w:firstLineChars="171"/>
      </w:pPr>
      <w:r>
        <w:rPr>
          <w:rFonts w:hint="eastAsia"/>
        </w:rPr>
        <w:t>1.4.2 投标人不得存在下列情形之一：</w:t>
      </w:r>
    </w:p>
    <w:p>
      <w:pPr>
        <w:ind w:firstLine="359" w:firstLineChars="171"/>
      </w:pPr>
      <w:r>
        <w:rPr>
          <w:rFonts w:hint="eastAsia"/>
        </w:rPr>
        <w:t>（1）为招标人不具有独立法人资格的附属机构（单位）；</w:t>
      </w:r>
    </w:p>
    <w:p>
      <w:pPr>
        <w:ind w:firstLine="359" w:firstLineChars="171"/>
      </w:pPr>
      <w:r>
        <w:rPr>
          <w:rFonts w:hint="eastAsia"/>
        </w:rPr>
        <w:t xml:space="preserve">（2）为本招标项目前期准备提供设计或咨询服务的； </w:t>
      </w:r>
    </w:p>
    <w:p>
      <w:pPr>
        <w:ind w:firstLine="359" w:firstLineChars="171"/>
      </w:pPr>
      <w:r>
        <w:rPr>
          <w:rFonts w:hint="eastAsia"/>
        </w:rPr>
        <w:t>（3）为本招标项目的监理人；</w:t>
      </w:r>
    </w:p>
    <w:p>
      <w:pPr>
        <w:ind w:firstLine="359" w:firstLineChars="171"/>
      </w:pPr>
      <w:r>
        <w:rPr>
          <w:rFonts w:hint="eastAsia"/>
        </w:rPr>
        <w:t xml:space="preserve">（4）为本招标项目的代建人； </w:t>
      </w:r>
    </w:p>
    <w:p>
      <w:pPr>
        <w:ind w:firstLine="359" w:firstLineChars="171"/>
      </w:pPr>
      <w:r>
        <w:rPr>
          <w:rFonts w:hint="eastAsia"/>
        </w:rPr>
        <w:t xml:space="preserve">（5）为本招标项目提供招标代理服务的； </w:t>
      </w:r>
    </w:p>
    <w:p>
      <w:pPr>
        <w:ind w:firstLine="359" w:firstLineChars="171"/>
      </w:pPr>
      <w:r>
        <w:rPr>
          <w:rFonts w:hint="eastAsia"/>
        </w:rPr>
        <w:t>（6）与本招标项目的监理人或代建人或招标代理机构同为一个法定代表人的；</w:t>
      </w:r>
    </w:p>
    <w:p>
      <w:pPr>
        <w:ind w:firstLine="359" w:firstLineChars="171"/>
      </w:pPr>
      <w:r>
        <w:rPr>
          <w:rFonts w:hint="eastAsia"/>
        </w:rPr>
        <w:t>（7）与本招标项目的监理人或代建人或招标代理机构相互控股或参股的；</w:t>
      </w:r>
    </w:p>
    <w:p>
      <w:pPr>
        <w:ind w:firstLine="359" w:firstLineChars="171"/>
      </w:pPr>
      <w:r>
        <w:rPr>
          <w:rFonts w:hint="eastAsia"/>
        </w:rPr>
        <w:t>（8）与本招标项目的监理人或代建人或招标代理机构相互任职或工作的；</w:t>
      </w:r>
    </w:p>
    <w:p>
      <w:pPr>
        <w:ind w:firstLine="359" w:firstLineChars="171"/>
      </w:pPr>
      <w:r>
        <w:rPr>
          <w:rFonts w:hint="eastAsia"/>
        </w:rPr>
        <w:t xml:space="preserve">（9）被责令停业的； </w:t>
      </w:r>
    </w:p>
    <w:p>
      <w:pPr>
        <w:ind w:firstLine="359" w:firstLineChars="171"/>
      </w:pPr>
      <w:permStart w:id="7" w:edGrp="everyone"/>
      <w:r>
        <w:rPr>
          <w:rFonts w:hint="eastAsia"/>
        </w:rPr>
        <w:t>（10）投标时（以投标截止时间为准），无被亳州市市本级及县区各行业主管部门或公共资源交易监管部门限制投标的不良行为记录（有效期内）</w:t>
      </w:r>
    </w:p>
    <w:p>
      <w:pPr>
        <w:ind w:firstLine="359" w:firstLineChars="171"/>
      </w:pPr>
      <w:r>
        <w:rPr>
          <w:rFonts w:hint="eastAsia"/>
        </w:rPr>
        <w:t>（11）投标时（以投标截止时间为准），投标人存在被人社部门列入拖欠农民工工资黑名单的（有效期内）；</w:t>
      </w:r>
    </w:p>
    <w:p>
      <w:pPr>
        <w:ind w:firstLine="359" w:firstLineChars="171"/>
      </w:pPr>
      <w:r>
        <w:rPr>
          <w:rFonts w:hint="eastAsia"/>
        </w:rPr>
        <w:t>（12）投标时（以投标截止时间为准），因扬尘治理措施不到位被亳州市市本级及县区行业主管部门记不良行为记录的（有效期内）。</w:t>
      </w:r>
    </w:p>
    <w:p>
      <w:pPr>
        <w:ind w:firstLine="359" w:firstLineChars="171"/>
      </w:pPr>
      <w:r>
        <w:rPr>
          <w:rFonts w:hint="eastAsia"/>
        </w:rPr>
        <w:t>（13）  / 。</w:t>
      </w:r>
      <w:permEnd w:id="7"/>
      <w:r>
        <w:rPr>
          <w:rFonts w:hint="eastAsia"/>
        </w:rPr>
        <w:t xml:space="preserve"> </w:t>
      </w:r>
    </w:p>
    <w:p>
      <w:pPr>
        <w:ind w:firstLine="420" w:firstLineChars="200"/>
      </w:pPr>
      <w:r>
        <w:rPr>
          <w:rFonts w:hint="eastAsia"/>
        </w:rPr>
        <w:t>1.4.3 单位负责人为同一人或者存在控股、管理关系的不同单位，不得同时参加本招标项目投标。</w:t>
      </w:r>
    </w:p>
    <w:p>
      <w:pPr>
        <w:ind w:firstLine="420" w:firstLineChars="200"/>
      </w:pPr>
      <w:r>
        <w:rPr>
          <w:rFonts w:hint="eastAsia"/>
        </w:rPr>
        <w:t>1.4.4  投标人须知前附表规定接受联合体投标的，除应符合本章第1.4.1项和投标人须知前附表的要求外，还应遵守以下规定：</w:t>
      </w:r>
    </w:p>
    <w:p>
      <w:pPr>
        <w:ind w:firstLine="420" w:firstLineChars="200"/>
      </w:pPr>
      <w:r>
        <w:rPr>
          <w:rFonts w:hint="eastAsia"/>
        </w:rPr>
        <w:t>（1）联合体各方应按招标文件提供的格式签订联合体协议书，明确联合体牵头人和各方权利义务；</w:t>
      </w:r>
    </w:p>
    <w:p>
      <w:pPr>
        <w:ind w:firstLine="420" w:firstLineChars="200"/>
      </w:pPr>
      <w:r>
        <w:rPr>
          <w:rFonts w:hint="eastAsia"/>
        </w:rPr>
        <w:t>（2）由同一专业的单位组成的联合体，按照资质等级较低的单位确定资质等级；</w:t>
      </w:r>
    </w:p>
    <w:p>
      <w:pPr>
        <w:ind w:firstLine="420" w:firstLineChars="200"/>
      </w:pPr>
      <w:r>
        <w:rPr>
          <w:rFonts w:hint="eastAsia"/>
        </w:rPr>
        <w:t>（3）联合体各方不得再以自己名义单独或参加其他联合体在同一标段中投标；</w:t>
      </w:r>
    </w:p>
    <w:p>
      <w:pPr>
        <w:ind w:firstLine="420" w:firstLineChars="200"/>
      </w:pPr>
      <w:r>
        <w:rPr>
          <w:rFonts w:hint="eastAsia"/>
        </w:rPr>
        <w:t>（4）联合体所有成员数量不得超过投标人须知前附表规定的数量；</w:t>
      </w:r>
    </w:p>
    <w:p>
      <w:pPr>
        <w:ind w:firstLine="420" w:firstLineChars="200"/>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ind w:firstLine="420" w:firstLineChars="200"/>
      </w:pPr>
      <w:r>
        <w:rPr>
          <w:rFonts w:hint="eastAsia"/>
        </w:rPr>
        <w:t>（6）尽管委任了联合体牵头人，但联合体各成员在投标、签约与履行合同过程中，仍负有连带的和各自的法律责任。</w:t>
      </w:r>
    </w:p>
    <w:p>
      <w:pPr>
        <w:pStyle w:val="4"/>
        <w:spacing w:line="240" w:lineRule="auto"/>
      </w:pPr>
      <w:bookmarkStart w:id="56" w:name="_Toc152042311"/>
      <w:bookmarkStart w:id="57" w:name="_Toc246996923"/>
      <w:bookmarkStart w:id="58" w:name="_Toc179632552"/>
      <w:bookmarkStart w:id="59" w:name="_Toc152045535"/>
      <w:bookmarkStart w:id="60" w:name="_Toc296602425"/>
      <w:bookmarkStart w:id="61" w:name="_Toc246996180"/>
      <w:bookmarkStart w:id="62" w:name="_Toc247085694"/>
      <w:bookmarkStart w:id="63" w:name="_Toc144974503"/>
      <w:r>
        <w:rPr>
          <w:rFonts w:hint="eastAsia"/>
        </w:rPr>
        <w:t>1.5 费用承担</w:t>
      </w:r>
      <w:bookmarkEnd w:id="56"/>
      <w:bookmarkEnd w:id="57"/>
      <w:bookmarkEnd w:id="58"/>
      <w:bookmarkEnd w:id="59"/>
      <w:bookmarkEnd w:id="60"/>
      <w:bookmarkEnd w:id="61"/>
      <w:bookmarkEnd w:id="62"/>
      <w:bookmarkEnd w:id="63"/>
    </w:p>
    <w:p>
      <w:pPr>
        <w:ind w:firstLine="420" w:firstLineChars="200"/>
      </w:pPr>
      <w:r>
        <w:rPr>
          <w:rFonts w:hint="eastAsia"/>
        </w:rPr>
        <w:t>投标人准备和参加投标活动发生的费用自理。</w:t>
      </w:r>
    </w:p>
    <w:p>
      <w:pPr>
        <w:pStyle w:val="4"/>
        <w:spacing w:line="240" w:lineRule="auto"/>
      </w:pPr>
      <w:bookmarkStart w:id="64" w:name="_Toc296602426"/>
      <w:bookmarkStart w:id="65" w:name="_Toc179632553"/>
      <w:bookmarkStart w:id="66" w:name="_Toc152045536"/>
      <w:bookmarkStart w:id="67" w:name="_Toc246996924"/>
      <w:bookmarkStart w:id="68" w:name="_Toc246996181"/>
      <w:bookmarkStart w:id="69" w:name="_Toc247085695"/>
      <w:bookmarkStart w:id="70" w:name="_Toc144974504"/>
      <w:bookmarkStart w:id="71" w:name="_Toc152042312"/>
      <w:r>
        <w:rPr>
          <w:rFonts w:hint="eastAsia"/>
        </w:rPr>
        <w:t>1.6 保密</w:t>
      </w:r>
      <w:bookmarkEnd w:id="64"/>
      <w:bookmarkEnd w:id="65"/>
      <w:bookmarkEnd w:id="66"/>
      <w:bookmarkEnd w:id="67"/>
      <w:bookmarkEnd w:id="68"/>
      <w:bookmarkEnd w:id="69"/>
      <w:bookmarkEnd w:id="70"/>
      <w:bookmarkEnd w:id="71"/>
    </w:p>
    <w:p>
      <w:pPr>
        <w:ind w:firstLine="420" w:firstLineChars="200"/>
      </w:pPr>
      <w:r>
        <w:rPr>
          <w:rFonts w:hint="eastAsia"/>
        </w:rPr>
        <w:t xml:space="preserve">参与招标投标活动的各方应对招标文件和投标文件中的商业和技术等秘密保密，违者应对由此造成的后果承担法律责任。 </w:t>
      </w:r>
    </w:p>
    <w:p>
      <w:pPr>
        <w:pStyle w:val="4"/>
        <w:spacing w:line="240" w:lineRule="auto"/>
      </w:pPr>
      <w:bookmarkStart w:id="72" w:name="_Toc144974505"/>
      <w:bookmarkStart w:id="73" w:name="_Toc246996182"/>
      <w:bookmarkStart w:id="74" w:name="_Toc152045537"/>
      <w:bookmarkStart w:id="75" w:name="_Toc179632554"/>
      <w:bookmarkStart w:id="76" w:name="_Toc246996925"/>
      <w:bookmarkStart w:id="77" w:name="_Toc152042313"/>
      <w:bookmarkStart w:id="78" w:name="_Toc247085696"/>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ind w:firstLine="420" w:firstLineChars="200"/>
      </w:pPr>
      <w:bookmarkStart w:id="80" w:name="_Toc152042314"/>
      <w:bookmarkStart w:id="81" w:name="_Toc246996926"/>
      <w:bookmarkStart w:id="82" w:name="_Toc247085697"/>
      <w:bookmarkStart w:id="83" w:name="_Toc246996183"/>
      <w:bookmarkStart w:id="84" w:name="_Toc179632555"/>
      <w:bookmarkStart w:id="85" w:name="_Toc152045538"/>
      <w:bookmarkStart w:id="86" w:name="_Toc144974506"/>
      <w:r>
        <w:rPr>
          <w:rFonts w:hint="eastAsia"/>
        </w:rPr>
        <w:t>招标投标文件使用的语言文字为中文。专用术语使用外文的，应附有中文注释。</w:t>
      </w:r>
    </w:p>
    <w:p>
      <w:pPr>
        <w:pStyle w:val="4"/>
        <w:spacing w:line="240" w:lineRule="auto"/>
      </w:pPr>
      <w:bookmarkStart w:id="87" w:name="_Toc296602428"/>
      <w:r>
        <w:rPr>
          <w:rFonts w:hint="eastAsia"/>
        </w:rPr>
        <w:t>1.8 计量单位</w:t>
      </w:r>
      <w:bookmarkEnd w:id="80"/>
      <w:bookmarkEnd w:id="81"/>
      <w:bookmarkEnd w:id="82"/>
      <w:bookmarkEnd w:id="83"/>
      <w:bookmarkEnd w:id="84"/>
      <w:bookmarkEnd w:id="85"/>
      <w:bookmarkEnd w:id="86"/>
      <w:bookmarkEnd w:id="87"/>
    </w:p>
    <w:p>
      <w:pPr>
        <w:ind w:firstLine="420" w:firstLineChars="200"/>
      </w:pPr>
      <w:r>
        <w:rPr>
          <w:rFonts w:hint="eastAsia"/>
        </w:rPr>
        <w:t>所有计量均采用中华人民共和国法定计量单位。</w:t>
      </w:r>
    </w:p>
    <w:p>
      <w:pPr>
        <w:pStyle w:val="4"/>
        <w:spacing w:line="240" w:lineRule="auto"/>
      </w:pPr>
      <w:bookmarkStart w:id="88" w:name="_Toc296602429"/>
      <w:bookmarkStart w:id="89" w:name="_Toc152045539"/>
      <w:bookmarkStart w:id="90" w:name="_Toc247527563"/>
      <w:bookmarkStart w:id="91" w:name="_Toc152042315"/>
      <w:bookmarkStart w:id="92" w:name="_Toc144974507"/>
      <w:bookmarkStart w:id="93" w:name="_Toc247592876"/>
      <w:bookmarkStart w:id="94" w:name="_Toc247513962"/>
      <w:r>
        <w:rPr>
          <w:rFonts w:hint="eastAsia"/>
        </w:rPr>
        <w:t>1.9 踏勘现场</w:t>
      </w:r>
      <w:bookmarkEnd w:id="88"/>
      <w:bookmarkEnd w:id="89"/>
      <w:bookmarkEnd w:id="90"/>
      <w:bookmarkEnd w:id="91"/>
      <w:bookmarkEnd w:id="92"/>
      <w:bookmarkEnd w:id="93"/>
      <w:bookmarkEnd w:id="94"/>
    </w:p>
    <w:p>
      <w:pPr>
        <w:ind w:firstLine="420" w:firstLineChars="200"/>
      </w:pPr>
      <w:r>
        <w:rPr>
          <w:rFonts w:hint="eastAsia"/>
        </w:rPr>
        <w:t xml:space="preserve">1.9.1 投标人须知前附表规定组织踏勘现场的，招标人按投标人须知前附表规定的时间、地点组织投标人踏勘项目现场。 </w:t>
      </w:r>
    </w:p>
    <w:p>
      <w:pPr>
        <w:ind w:firstLine="420" w:firstLineChars="200"/>
      </w:pPr>
      <w:r>
        <w:rPr>
          <w:rFonts w:hint="eastAsia"/>
        </w:rPr>
        <w:t>1.9.2 投标人踏勘现场发生的费用自理。</w:t>
      </w:r>
    </w:p>
    <w:p>
      <w:pPr>
        <w:ind w:firstLine="420" w:firstLineChars="200"/>
      </w:pPr>
      <w:r>
        <w:rPr>
          <w:rFonts w:hint="eastAsia"/>
        </w:rPr>
        <w:t>1.9.3 除招标人的原因外，投标人自行负责在踏勘现场中所发生的人员伤亡和财产损失。</w:t>
      </w:r>
    </w:p>
    <w:p>
      <w:pPr>
        <w:ind w:firstLine="420" w:firstLineChars="200"/>
      </w:pPr>
      <w:r>
        <w:rPr>
          <w:rFonts w:hint="eastAsia"/>
        </w:rPr>
        <w:t>1.9.4 招标人在踏勘现场中介绍的工程场地和相关的周边环境情况，供投标人在编制投标文件时参考，招标人不对投标人据此作出的判断和决策负责。</w:t>
      </w:r>
    </w:p>
    <w:p>
      <w:pPr>
        <w:pStyle w:val="4"/>
        <w:spacing w:line="240" w:lineRule="auto"/>
      </w:pPr>
      <w:bookmarkStart w:id="95" w:name="_Toc247527564"/>
      <w:bookmarkStart w:id="96" w:name="_Toc144974508"/>
      <w:bookmarkStart w:id="97" w:name="_Toc296602430"/>
      <w:bookmarkStart w:id="98" w:name="_Toc152045540"/>
      <w:bookmarkStart w:id="99" w:name="_Toc152042316"/>
      <w:bookmarkStart w:id="100" w:name="_Toc247592877"/>
      <w:bookmarkStart w:id="101" w:name="_Toc247513963"/>
      <w:r>
        <w:rPr>
          <w:rFonts w:hint="eastAsia"/>
        </w:rPr>
        <w:t>1.10 投标预备会</w:t>
      </w:r>
      <w:bookmarkEnd w:id="95"/>
      <w:bookmarkEnd w:id="96"/>
      <w:bookmarkEnd w:id="97"/>
      <w:bookmarkEnd w:id="98"/>
      <w:bookmarkEnd w:id="99"/>
      <w:bookmarkEnd w:id="100"/>
      <w:bookmarkEnd w:id="101"/>
    </w:p>
    <w:p>
      <w:pPr>
        <w:ind w:firstLine="420" w:firstLineChars="200"/>
      </w:pPr>
      <w:r>
        <w:rPr>
          <w:rFonts w:hint="eastAsia"/>
        </w:rPr>
        <w:t>1.10.1 投标人须知前附表规定召开投标预备会的，招标人按投标人须知前附表规定的时间和地点召开投标预备会，澄清投标人提出的问题。</w:t>
      </w:r>
    </w:p>
    <w:p>
      <w:pPr>
        <w:ind w:firstLine="420" w:firstLineChars="200"/>
      </w:pPr>
      <w:r>
        <w:rPr>
          <w:rFonts w:hint="eastAsia"/>
        </w:rPr>
        <w:t>1.10.2 投标人应在投标人须知前附表规定的时间前，以书面形式将提出的问题送达招标人，以便招标人在会议期间澄清。</w:t>
      </w:r>
    </w:p>
    <w:p>
      <w:pPr>
        <w:ind w:firstLine="420" w:firstLineChars="200"/>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spacing w:line="240" w:lineRule="auto"/>
      </w:pPr>
      <w:bookmarkStart w:id="102" w:name="_Toc296602431"/>
      <w:r>
        <w:rPr>
          <w:rFonts w:hint="eastAsia"/>
        </w:rPr>
        <w:t>1.11 偏离</w:t>
      </w:r>
      <w:bookmarkEnd w:id="102"/>
    </w:p>
    <w:p>
      <w:pPr>
        <w:ind w:firstLine="420" w:firstLineChars="200"/>
      </w:pPr>
      <w:r>
        <w:rPr>
          <w:rFonts w:hint="eastAsia"/>
        </w:rPr>
        <w:t>投标人须知前附表允许投标文件偏离招标文件某些要求的，偏离应当符合招标文件规定的偏离范围和幅度。</w:t>
      </w:r>
    </w:p>
    <w:p>
      <w:pPr>
        <w:pStyle w:val="3"/>
        <w:spacing w:line="240" w:lineRule="auto"/>
      </w:pPr>
      <w:bookmarkStart w:id="103" w:name="_Toc152045542"/>
      <w:bookmarkStart w:id="104" w:name="_Toc144974510"/>
      <w:bookmarkStart w:id="105" w:name="_Toc246996930"/>
      <w:bookmarkStart w:id="106" w:name="_Toc296602432"/>
      <w:bookmarkStart w:id="107" w:name="_Toc247085701"/>
      <w:bookmarkStart w:id="108" w:name="_Toc179632560"/>
      <w:bookmarkStart w:id="109" w:name="_Toc152042318"/>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spacing w:line="240" w:lineRule="auto"/>
      </w:pPr>
      <w:bookmarkStart w:id="111" w:name="_Toc179632561"/>
      <w:bookmarkStart w:id="112" w:name="_Toc152042319"/>
      <w:bookmarkStart w:id="113" w:name="_Toc246996188"/>
      <w:bookmarkStart w:id="114" w:name="_Toc247085702"/>
      <w:bookmarkStart w:id="115" w:name="_Toc152045543"/>
      <w:bookmarkStart w:id="116" w:name="_Toc296602433"/>
      <w:bookmarkStart w:id="117" w:name="_Toc246996931"/>
      <w:bookmarkStart w:id="118" w:name="_Toc144974511"/>
      <w:r>
        <w:rPr>
          <w:rFonts w:hint="eastAsia"/>
        </w:rPr>
        <w:t>2.1 招标文件的组成</w:t>
      </w:r>
      <w:bookmarkEnd w:id="111"/>
      <w:bookmarkEnd w:id="112"/>
      <w:bookmarkEnd w:id="113"/>
      <w:bookmarkEnd w:id="114"/>
      <w:bookmarkEnd w:id="115"/>
      <w:bookmarkEnd w:id="116"/>
      <w:bookmarkEnd w:id="117"/>
      <w:bookmarkEnd w:id="118"/>
    </w:p>
    <w:p>
      <w:r>
        <w:rPr>
          <w:rFonts w:hint="eastAsia"/>
        </w:rPr>
        <w:t>　　2.1.1 本招标文件包括：</w:t>
      </w:r>
    </w:p>
    <w:p>
      <w:pPr>
        <w:ind w:firstLine="359" w:firstLineChars="171"/>
      </w:pPr>
      <w:r>
        <w:rPr>
          <w:rFonts w:hint="eastAsia"/>
        </w:rPr>
        <w:t>（1）招标公告（或投标邀请书）；</w:t>
      </w:r>
    </w:p>
    <w:p>
      <w:pPr>
        <w:ind w:firstLine="359" w:firstLineChars="171"/>
      </w:pPr>
      <w:r>
        <w:rPr>
          <w:rFonts w:hint="eastAsia"/>
        </w:rPr>
        <w:t>（2）投标人须知；</w:t>
      </w:r>
    </w:p>
    <w:p>
      <w:pPr>
        <w:ind w:firstLine="359" w:firstLineChars="171"/>
      </w:pPr>
      <w:r>
        <w:rPr>
          <w:rFonts w:hint="eastAsia"/>
        </w:rPr>
        <w:t>（3）评标办法；</w:t>
      </w:r>
    </w:p>
    <w:p>
      <w:pPr>
        <w:ind w:firstLine="359" w:firstLineChars="171"/>
      </w:pPr>
      <w:r>
        <w:rPr>
          <w:rFonts w:hint="eastAsia"/>
        </w:rPr>
        <w:t>（4）合同条款及格式；</w:t>
      </w:r>
    </w:p>
    <w:p>
      <w:pPr>
        <w:ind w:firstLine="359" w:firstLineChars="171"/>
      </w:pPr>
      <w:r>
        <w:rPr>
          <w:rFonts w:hint="eastAsia"/>
        </w:rPr>
        <w:t xml:space="preserve">（5）工程量清单； </w:t>
      </w:r>
    </w:p>
    <w:p>
      <w:pPr>
        <w:ind w:firstLine="359" w:firstLineChars="171"/>
      </w:pPr>
      <w:r>
        <w:rPr>
          <w:rFonts w:hint="eastAsia"/>
        </w:rPr>
        <w:t>（6）图纸；</w:t>
      </w:r>
    </w:p>
    <w:p>
      <w:pPr>
        <w:ind w:firstLine="359" w:firstLineChars="171"/>
      </w:pPr>
      <w:r>
        <w:rPr>
          <w:rFonts w:hint="eastAsia"/>
        </w:rPr>
        <w:t xml:space="preserve">（7）技术标准和要求； </w:t>
      </w:r>
    </w:p>
    <w:p>
      <w:pPr>
        <w:ind w:firstLine="359" w:firstLineChars="171"/>
      </w:pPr>
      <w:r>
        <w:rPr>
          <w:rFonts w:hint="eastAsia"/>
        </w:rPr>
        <w:t>（8）投标文件格式。</w:t>
      </w:r>
    </w:p>
    <w:p>
      <w:pPr>
        <w:ind w:firstLine="420" w:firstLineChars="200"/>
      </w:pPr>
      <w:r>
        <w:rPr>
          <w:rFonts w:hint="eastAsia"/>
        </w:rPr>
        <w:t>2.1.2 根据本章第1.10款、第2.2款和第2.3款对招标文件所作的澄清、修改，构成招标文件的组成部分。</w:t>
      </w:r>
    </w:p>
    <w:p>
      <w:pPr>
        <w:pStyle w:val="4"/>
        <w:spacing w:line="240" w:lineRule="auto"/>
      </w:pPr>
      <w:bookmarkStart w:id="119" w:name="_Toc179632562"/>
      <w:bookmarkStart w:id="120" w:name="_Toc296602434"/>
      <w:bookmarkStart w:id="121" w:name="_Toc246996189"/>
      <w:bookmarkStart w:id="122" w:name="_Toc246996932"/>
      <w:bookmarkStart w:id="123" w:name="_Toc247085703"/>
      <w:bookmarkStart w:id="124" w:name="_Toc144974512"/>
      <w:bookmarkStart w:id="125" w:name="_Toc152042320"/>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ind w:firstLine="420" w:firstLineChars="200"/>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ind w:firstLine="420" w:firstLineChars="200"/>
        <w:rPr>
          <w:rFonts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3天，并且澄清内容影响投标文件编制的，将相应延长投标截止时间。</w:t>
      </w:r>
      <w:r>
        <w:rPr>
          <w:rFonts w:hint="eastAsia" w:ascii="仿宋_GB2312" w:hAnsi="仿宋_GB2312" w:eastAsia="仿宋_GB2312"/>
          <w:sz w:val="32"/>
          <w:szCs w:val="32"/>
        </w:rPr>
        <w:t xml:space="preserve"> </w:t>
      </w:r>
    </w:p>
    <w:p>
      <w:pPr>
        <w:ind w:firstLine="420" w:firstLineChars="200"/>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spacing w:line="240" w:lineRule="auto"/>
      </w:pPr>
      <w:bookmarkStart w:id="127" w:name="_Toc296602435"/>
      <w:bookmarkStart w:id="128" w:name="_Toc179632563"/>
      <w:bookmarkStart w:id="129" w:name="_Toc247085704"/>
      <w:bookmarkStart w:id="130" w:name="_Toc246996190"/>
      <w:bookmarkStart w:id="131" w:name="_Toc246996933"/>
      <w:bookmarkStart w:id="132" w:name="_Toc152045545"/>
      <w:bookmarkStart w:id="133" w:name="_Toc152042321"/>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ind w:firstLine="420" w:firstLineChars="200"/>
      </w:pPr>
      <w:r>
        <w:rPr>
          <w:rFonts w:hint="eastAsia"/>
        </w:rPr>
        <w:t>2.3.1招标人可以书面形式修改招标文件，并通知所有已购买招标文件的投标人。但如果修改招标文件的时间距投标截止时间不足3天，并且修改内容影响投标文件编制的，将相应延长投标截止时间。</w:t>
      </w:r>
    </w:p>
    <w:p>
      <w:pPr>
        <w:ind w:firstLine="420" w:firstLineChars="200"/>
      </w:pPr>
      <w:r>
        <w:rPr>
          <w:rFonts w:hint="eastAsia"/>
        </w:rPr>
        <w:t>2.3.2 投标人收到修改内容后，应在投标人须知前附表规定的时间内以书面形式通知招标人，确认已收到该修改。</w:t>
      </w:r>
    </w:p>
    <w:p>
      <w:pPr>
        <w:pStyle w:val="3"/>
        <w:spacing w:line="240" w:lineRule="auto"/>
      </w:pPr>
      <w:bookmarkStart w:id="135" w:name="_Toc246996191"/>
      <w:bookmarkStart w:id="136" w:name="_Toc144974514"/>
      <w:bookmarkStart w:id="137" w:name="_Toc152045546"/>
      <w:bookmarkStart w:id="138" w:name="_Toc247085705"/>
      <w:bookmarkStart w:id="139" w:name="_Toc152042322"/>
      <w:bookmarkStart w:id="140" w:name="_Toc179632564"/>
      <w:bookmarkStart w:id="141" w:name="_Toc296602436"/>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spacing w:line="240" w:lineRule="auto"/>
      </w:pPr>
      <w:bookmarkStart w:id="143" w:name="_Toc179632565"/>
      <w:bookmarkStart w:id="144" w:name="_Toc152042323"/>
      <w:bookmarkStart w:id="145" w:name="_Toc246996192"/>
      <w:bookmarkStart w:id="146" w:name="_Toc144974515"/>
      <w:bookmarkStart w:id="147" w:name="_Toc247085706"/>
      <w:bookmarkStart w:id="148" w:name="_Toc296602437"/>
      <w:bookmarkStart w:id="149" w:name="_Toc152045547"/>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ind w:firstLine="420" w:firstLineChars="200"/>
      </w:pPr>
      <w:r>
        <w:rPr>
          <w:rFonts w:hint="eastAsia"/>
        </w:rPr>
        <w:t>投标文件应包括下列内容：</w:t>
      </w:r>
    </w:p>
    <w:p>
      <w:pPr>
        <w:ind w:firstLine="359" w:firstLineChars="171"/>
      </w:pPr>
      <w:r>
        <w:rPr>
          <w:rFonts w:hint="eastAsia"/>
        </w:rPr>
        <w:t>（1）投标函及投标函附录；</w:t>
      </w:r>
    </w:p>
    <w:p>
      <w:pPr>
        <w:ind w:firstLine="359" w:firstLineChars="171"/>
      </w:pPr>
      <w:r>
        <w:rPr>
          <w:rFonts w:hint="eastAsia"/>
        </w:rPr>
        <w:t>（2）法定代表人身份证明或附有法定代表人身份证明的授权委托书；</w:t>
      </w:r>
    </w:p>
    <w:p>
      <w:pPr>
        <w:ind w:firstLine="359" w:firstLineChars="171"/>
      </w:pPr>
      <w:r>
        <w:rPr>
          <w:rFonts w:hint="eastAsia"/>
        </w:rPr>
        <w:t>（3）投标保证金；</w:t>
      </w:r>
    </w:p>
    <w:p>
      <w:pPr>
        <w:ind w:firstLine="359" w:firstLineChars="171"/>
      </w:pPr>
      <w:r>
        <w:rPr>
          <w:rFonts w:hint="eastAsia"/>
        </w:rPr>
        <w:t>（4）已标价工程量清单；</w:t>
      </w:r>
    </w:p>
    <w:p>
      <w:pPr>
        <w:ind w:firstLine="359" w:firstLineChars="171"/>
      </w:pPr>
      <w:r>
        <w:rPr>
          <w:rFonts w:hint="eastAsia"/>
        </w:rPr>
        <w:t>（5）施工组织设计；</w:t>
      </w:r>
    </w:p>
    <w:p>
      <w:pPr>
        <w:ind w:firstLine="359" w:firstLineChars="171"/>
      </w:pPr>
      <w:r>
        <w:rPr>
          <w:rFonts w:hint="eastAsia"/>
        </w:rPr>
        <w:t>（6）项目管理机构；</w:t>
      </w:r>
    </w:p>
    <w:p>
      <w:pPr>
        <w:ind w:firstLine="359" w:firstLineChars="171"/>
      </w:pPr>
      <w:r>
        <w:rPr>
          <w:rFonts w:hint="eastAsia"/>
        </w:rPr>
        <w:t>（7）资格审查资料；</w:t>
      </w:r>
    </w:p>
    <w:p>
      <w:pPr>
        <w:ind w:firstLine="359" w:firstLineChars="171"/>
      </w:pPr>
      <w:r>
        <w:rPr>
          <w:rFonts w:hint="eastAsia"/>
        </w:rPr>
        <w:t>（8）其他材料。</w:t>
      </w:r>
    </w:p>
    <w:p>
      <w:pPr>
        <w:pStyle w:val="4"/>
        <w:spacing w:line="240" w:lineRule="auto"/>
        <w:rPr>
          <w:rFonts w:ascii="宋体" w:hAnsi="宋体"/>
          <w:sz w:val="21"/>
          <w:szCs w:val="21"/>
        </w:rPr>
      </w:pPr>
      <w:bookmarkStart w:id="151" w:name="_Toc179632566"/>
      <w:bookmarkStart w:id="152" w:name="_Toc247085707"/>
      <w:bookmarkStart w:id="153" w:name="_Toc152042324"/>
      <w:bookmarkStart w:id="154" w:name="_Toc296602438"/>
      <w:bookmarkStart w:id="155" w:name="_Toc246996936"/>
      <w:bookmarkStart w:id="156" w:name="_Toc144974516"/>
      <w:bookmarkStart w:id="157" w:name="_Toc152045548"/>
      <w:bookmarkStart w:id="158" w:name="_Toc246996193"/>
      <w:r>
        <w:rPr>
          <w:rFonts w:hint="eastAsia"/>
        </w:rPr>
        <w:t>3.2 投标报价</w:t>
      </w:r>
      <w:bookmarkEnd w:id="151"/>
      <w:bookmarkEnd w:id="152"/>
      <w:bookmarkEnd w:id="153"/>
      <w:bookmarkEnd w:id="154"/>
      <w:bookmarkEnd w:id="155"/>
      <w:bookmarkEnd w:id="156"/>
      <w:bookmarkEnd w:id="157"/>
      <w:bookmarkEnd w:id="158"/>
    </w:p>
    <w:p>
      <w:pPr>
        <w:ind w:firstLine="420" w:firstLineChars="200"/>
      </w:pPr>
      <w:r>
        <w:rPr>
          <w:rFonts w:hint="eastAsia"/>
        </w:rPr>
        <w:t>3.2.1 投标人应按第五章“工程量清单”的要求填写相应表格。</w:t>
      </w:r>
    </w:p>
    <w:p>
      <w:pPr>
        <w:ind w:firstLine="420" w:firstLineChars="200"/>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52045549"/>
      <w:bookmarkStart w:id="161" w:name="_Toc179632567"/>
      <w:bookmarkStart w:id="162" w:name="_Toc144974517"/>
    </w:p>
    <w:p>
      <w:pPr>
        <w:ind w:firstLine="420" w:firstLineChars="200"/>
      </w:pPr>
      <w:r>
        <w:rPr>
          <w:rFonts w:hint="eastAsia"/>
        </w:rPr>
        <w:t>3.2.3 招标人设有最高投标限价的，投标人的投标报价不得超过最高投标限价，最高投标限价或其计算方法在投标人须知前附表中载明。</w:t>
      </w:r>
    </w:p>
    <w:p>
      <w:pPr>
        <w:pStyle w:val="4"/>
        <w:spacing w:line="240" w:lineRule="auto"/>
      </w:pPr>
      <w:bookmarkStart w:id="163" w:name="_Toc246996194"/>
      <w:bookmarkStart w:id="164" w:name="_Toc296602439"/>
      <w:bookmarkStart w:id="165" w:name="_Toc247085708"/>
      <w:bookmarkStart w:id="166" w:name="_Toc246996937"/>
      <w:r>
        <w:rPr>
          <w:rFonts w:hint="eastAsia"/>
        </w:rPr>
        <w:t>3.3 投标有效期</w:t>
      </w:r>
      <w:bookmarkEnd w:id="159"/>
      <w:bookmarkEnd w:id="160"/>
      <w:bookmarkEnd w:id="161"/>
      <w:bookmarkEnd w:id="162"/>
      <w:bookmarkEnd w:id="163"/>
      <w:bookmarkEnd w:id="164"/>
      <w:bookmarkEnd w:id="165"/>
      <w:bookmarkEnd w:id="166"/>
    </w:p>
    <w:p>
      <w:pPr>
        <w:ind w:firstLine="420" w:firstLineChars="200"/>
      </w:pPr>
      <w:r>
        <w:rPr>
          <w:rFonts w:hint="eastAsia"/>
        </w:rPr>
        <w:t>3.3.1 除投标人须知前附表另有规定外，投标有效期为60天。</w:t>
      </w:r>
    </w:p>
    <w:p>
      <w:pPr>
        <w:ind w:firstLine="420" w:firstLineChars="200"/>
      </w:pPr>
      <w:r>
        <w:rPr>
          <w:rFonts w:hint="eastAsia"/>
        </w:rPr>
        <w:t>3.3.2在投标有效期内，投标人撤销或修改其投标文件的，应承担招标文件和法律规定的责任。</w:t>
      </w:r>
    </w:p>
    <w:p>
      <w:pPr>
        <w:ind w:firstLine="420" w:firstLineChars="200"/>
        <w:rPr>
          <w:rFonts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spacing w:line="240" w:lineRule="auto"/>
      </w:pPr>
      <w:bookmarkStart w:id="167" w:name="_Toc246996195"/>
      <w:bookmarkStart w:id="168" w:name="_Toc144974518"/>
      <w:bookmarkStart w:id="169" w:name="_Toc152045550"/>
      <w:bookmarkStart w:id="170" w:name="_Toc247085709"/>
      <w:bookmarkStart w:id="171" w:name="_Toc296602440"/>
      <w:bookmarkStart w:id="172" w:name="_Toc246996938"/>
      <w:bookmarkStart w:id="173" w:name="_Toc152042326"/>
      <w:bookmarkStart w:id="174" w:name="_Toc179632568"/>
      <w:r>
        <w:rPr>
          <w:rFonts w:hint="eastAsia"/>
        </w:rPr>
        <w:t>3.4 投标保证金</w:t>
      </w:r>
      <w:bookmarkEnd w:id="167"/>
      <w:bookmarkEnd w:id="168"/>
      <w:bookmarkEnd w:id="169"/>
      <w:bookmarkEnd w:id="170"/>
      <w:bookmarkEnd w:id="171"/>
      <w:bookmarkEnd w:id="172"/>
      <w:bookmarkEnd w:id="173"/>
      <w:bookmarkEnd w:id="174"/>
    </w:p>
    <w:p>
      <w:pPr>
        <w:ind w:firstLine="420" w:firstLineChars="200"/>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ind w:firstLine="420" w:firstLineChars="200"/>
      </w:pPr>
      <w:r>
        <w:rPr>
          <w:rFonts w:hint="eastAsia"/>
        </w:rPr>
        <w:t>3.4.2 投标人不按本章第3.4.1项要求提交投标保证金的，评标委员会将否决其投标。</w:t>
      </w:r>
    </w:p>
    <w:p>
      <w:pPr>
        <w:ind w:firstLine="420" w:firstLineChars="200"/>
        <w:rPr>
          <w:b/>
        </w:rPr>
      </w:pPr>
      <w:r>
        <w:rPr>
          <w:rFonts w:hint="eastAsia"/>
        </w:rPr>
        <w:t xml:space="preserve">3.4.3 </w:t>
      </w:r>
      <w:r>
        <w:rPr>
          <w:rFonts w:hint="eastAsia" w:ascii="宋体" w:hAnsi="宋体" w:cs="宋体"/>
          <w:b/>
          <w:kern w:val="0"/>
          <w:szCs w:val="21"/>
        </w:rPr>
        <w:t>退还投标保证金的具体要求详见投标须知前附表。</w:t>
      </w:r>
    </w:p>
    <w:p>
      <w:pPr>
        <w:ind w:firstLine="420" w:firstLineChars="200"/>
      </w:pPr>
      <w:r>
        <w:rPr>
          <w:rFonts w:hint="eastAsia"/>
        </w:rPr>
        <w:t>3.4.4 有下列情形之一的，投标保证金将不予退还：</w:t>
      </w:r>
    </w:p>
    <w:p>
      <w:pPr>
        <w:ind w:firstLine="420" w:firstLineChars="200"/>
      </w:pPr>
      <w:r>
        <w:rPr>
          <w:rFonts w:hint="eastAsia"/>
        </w:rPr>
        <w:t>（1）投标人在规定的投标有效期内撤销或修改其投标文件；</w:t>
      </w:r>
    </w:p>
    <w:p>
      <w:pPr>
        <w:ind w:firstLine="420" w:firstLineChars="200"/>
      </w:pPr>
      <w:r>
        <w:rPr>
          <w:rFonts w:hint="eastAsia"/>
        </w:rPr>
        <w:t>（2）中标人在收到中标通知书后，无正当理由拒签合同协议书或未按招标文件规定提交履约担保；</w:t>
      </w:r>
    </w:p>
    <w:p>
      <w:pPr>
        <w:ind w:firstLine="420" w:firstLineChars="200"/>
      </w:pPr>
      <w:r>
        <w:rPr>
          <w:rFonts w:hint="eastAsia"/>
        </w:rPr>
        <w:t>（3）其他不予退还投标保证金的情形。</w:t>
      </w:r>
    </w:p>
    <w:p>
      <w:pPr>
        <w:pStyle w:val="4"/>
        <w:spacing w:line="240" w:lineRule="auto"/>
      </w:pPr>
      <w:bookmarkStart w:id="175" w:name="_Toc179632570"/>
      <w:bookmarkStart w:id="176" w:name="_Toc144974520"/>
      <w:bookmarkStart w:id="177" w:name="_Toc152042328"/>
      <w:bookmarkStart w:id="178" w:name="_Toc246996939"/>
      <w:bookmarkStart w:id="179" w:name="_Toc152045552"/>
      <w:bookmarkStart w:id="180" w:name="_Toc247085710"/>
      <w:bookmarkStart w:id="181" w:name="_Toc246996196"/>
      <w:bookmarkStart w:id="182" w:name="_Toc296602441"/>
      <w:r>
        <w:rPr>
          <w:rFonts w:hint="eastAsia"/>
        </w:rPr>
        <w:t>3.5 资格审查资料</w:t>
      </w:r>
      <w:bookmarkEnd w:id="175"/>
      <w:bookmarkEnd w:id="176"/>
      <w:bookmarkEnd w:id="177"/>
      <w:bookmarkEnd w:id="178"/>
      <w:bookmarkEnd w:id="179"/>
      <w:bookmarkEnd w:id="180"/>
      <w:bookmarkEnd w:id="181"/>
      <w:bookmarkEnd w:id="182"/>
    </w:p>
    <w:p>
      <w:pPr>
        <w:ind w:firstLine="420" w:firstLineChars="200"/>
      </w:pPr>
      <w:r>
        <w:rPr>
          <w:rFonts w:hint="eastAsia"/>
        </w:rPr>
        <w:t>3.5.1 “投标人基本情况表”应附投标人营业执照（统一社会信用代码）、资质证书和安全生产许可证等材料的复印件。</w:t>
      </w:r>
    </w:p>
    <w:p>
      <w:pPr>
        <w:ind w:firstLine="420" w:firstLineChars="200"/>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ind w:firstLine="420" w:firstLineChars="200"/>
      </w:pPr>
      <w:r>
        <w:rPr>
          <w:rFonts w:hint="eastAsia"/>
        </w:rPr>
        <w:t>3.5.3 “近年完成的类似项目情况表”应附中标通知书和（或）合同协议书、工程竣工验收证书（或工程接收证书或工程竣工验收备案表）的复印件（如要求），具体要求见投标人须知前附表。每张表格只填写一个项目，并标明序号。</w:t>
      </w:r>
    </w:p>
    <w:p>
      <w:pPr>
        <w:ind w:firstLine="420" w:firstLineChars="200"/>
      </w:pPr>
      <w:r>
        <w:rPr>
          <w:rFonts w:hint="eastAsia"/>
        </w:rPr>
        <w:t>3.5.4 “正在施工和新承接的项目情况表”应附中标通知书和（或）合同协议书复印件。每张表格只填写一个项目，并标明序号。</w:t>
      </w:r>
    </w:p>
    <w:p>
      <w:pPr>
        <w:pStyle w:val="4"/>
        <w:spacing w:line="240" w:lineRule="auto"/>
      </w:pPr>
      <w:bookmarkStart w:id="183" w:name="_Toc296602442"/>
      <w:bookmarkStart w:id="184" w:name="_Toc179632571"/>
      <w:bookmarkStart w:id="185" w:name="_Toc144974521"/>
      <w:bookmarkStart w:id="186" w:name="_Toc246996940"/>
      <w:bookmarkStart w:id="187" w:name="_Toc152042329"/>
      <w:bookmarkStart w:id="188" w:name="_Toc152045553"/>
      <w:bookmarkStart w:id="189" w:name="_Toc246996197"/>
      <w:bookmarkStart w:id="190" w:name="_Toc247085711"/>
      <w:r>
        <w:rPr>
          <w:rFonts w:hint="eastAsia"/>
        </w:rPr>
        <w:t>3.6投标文件的编制</w:t>
      </w:r>
      <w:bookmarkEnd w:id="183"/>
    </w:p>
    <w:p>
      <w:pPr>
        <w:ind w:firstLine="420" w:firstLineChars="200"/>
      </w:pPr>
      <w:r>
        <w:rPr>
          <w:rFonts w:hint="eastAsia"/>
        </w:rPr>
        <w:t>3.6.1投标文件应按第八章“投标文件格式”进行编写，如有必要，可以增加附页，作为投标文件的组成部分。其中，投标函附录（如要求）在满足招标文件实质性要求的基础上，可以提出比招标文件要求更有利于招标人的承诺。</w:t>
      </w:r>
    </w:p>
    <w:p>
      <w:pPr>
        <w:ind w:firstLine="420" w:firstLineChars="200"/>
        <w:rPr>
          <w:szCs w:val="21"/>
        </w:rPr>
      </w:pPr>
      <w:r>
        <w:rPr>
          <w:rFonts w:hint="eastAsia"/>
        </w:rPr>
        <w:t>3.6.2 投标文件应当对招标文件有关</w:t>
      </w:r>
      <w:r>
        <w:rPr>
          <w:rFonts w:hint="eastAsia"/>
          <w:szCs w:val="21"/>
        </w:rPr>
        <w:t>工期、投标有效期、质量要求、技术标准和要求、招标范围等实质性内容作出响应。</w:t>
      </w:r>
    </w:p>
    <w:p>
      <w:pPr>
        <w:ind w:firstLine="420" w:firstLineChars="200"/>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ind w:firstLine="420" w:firstLineChars="200"/>
      </w:pPr>
      <w:r>
        <w:rPr>
          <w:rFonts w:hint="eastAsia"/>
        </w:rPr>
        <w:t>3.6.4 投标文件正本一份, 副本份数见投标人须知前附表。正本和副本的封面上应清楚地标记“正本”或“副本”的字样。当副本和正本不一致时，以正本为准。</w:t>
      </w:r>
    </w:p>
    <w:p>
      <w:pPr>
        <w:ind w:firstLine="420" w:firstLineChars="200"/>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52045555"/>
      <w:bookmarkStart w:id="192" w:name="_Toc144974523"/>
      <w:bookmarkStart w:id="193" w:name="_Toc246996199"/>
      <w:bookmarkStart w:id="194" w:name="_Toc179632573"/>
      <w:bookmarkStart w:id="195" w:name="_Toc246996942"/>
      <w:bookmarkStart w:id="196" w:name="_Toc247085713"/>
      <w:bookmarkStart w:id="197" w:name="_Toc152042331"/>
    </w:p>
    <w:p>
      <w:pPr>
        <w:pStyle w:val="3"/>
        <w:spacing w:line="240" w:lineRule="auto"/>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spacing w:line="240" w:lineRule="auto"/>
      </w:pPr>
      <w:bookmarkStart w:id="199" w:name="_Toc246996200"/>
      <w:bookmarkStart w:id="200" w:name="_Toc296602444"/>
      <w:bookmarkStart w:id="201" w:name="_Toc152045556"/>
      <w:bookmarkStart w:id="202" w:name="_Toc152042332"/>
      <w:bookmarkStart w:id="203" w:name="_Toc179632574"/>
      <w:bookmarkStart w:id="204" w:name="_Toc246996943"/>
      <w:bookmarkStart w:id="205" w:name="_Toc247085714"/>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ind w:firstLine="420" w:firstLineChars="200"/>
      </w:pPr>
      <w:bookmarkStart w:id="207" w:name="_Toc246996201"/>
      <w:bookmarkStart w:id="208" w:name="_Toc179632575"/>
      <w:bookmarkStart w:id="209" w:name="_Toc246996944"/>
      <w:bookmarkStart w:id="210" w:name="_Toc152042333"/>
      <w:bookmarkStart w:id="211" w:name="_Toc152045557"/>
      <w:bookmarkStart w:id="212" w:name="_Toc247085715"/>
      <w:bookmarkStart w:id="213" w:name="_Toc144974525"/>
      <w:r>
        <w:rPr>
          <w:rFonts w:hint="eastAsia"/>
        </w:rPr>
        <w:t>4.1.1 投标文件应进行包装、加贴封条，并在封套的封口处加盖投标人单位章。</w:t>
      </w:r>
    </w:p>
    <w:p>
      <w:pPr>
        <w:ind w:firstLine="420" w:firstLineChars="200"/>
      </w:pPr>
      <w:r>
        <w:rPr>
          <w:rFonts w:hint="eastAsia"/>
        </w:rPr>
        <w:t>4.1.2 投标文件封套上应写明的内容见投标人须知前附表。</w:t>
      </w:r>
    </w:p>
    <w:p>
      <w:pPr>
        <w:ind w:firstLine="420" w:firstLineChars="200"/>
      </w:pPr>
      <w:r>
        <w:rPr>
          <w:rFonts w:hint="eastAsia"/>
        </w:rPr>
        <w:t>4.1.3 未按本章第4.1.1项或第4.1.2项要求密封和加写标记的投标文件，招标人应予拒收。</w:t>
      </w:r>
    </w:p>
    <w:p>
      <w:pPr>
        <w:pStyle w:val="4"/>
        <w:spacing w:line="240" w:lineRule="auto"/>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ind w:firstLine="420" w:firstLineChars="200"/>
      </w:pPr>
      <w:r>
        <w:rPr>
          <w:rFonts w:hint="eastAsia"/>
        </w:rPr>
        <w:t>4.2.1 投标人应在本章第2.2.2项规定的投标截止时间前递交投标文件。</w:t>
      </w:r>
    </w:p>
    <w:p>
      <w:pPr>
        <w:ind w:firstLine="420" w:firstLineChars="200"/>
      </w:pPr>
      <w:r>
        <w:rPr>
          <w:rFonts w:hint="eastAsia"/>
        </w:rPr>
        <w:t>4.2.2 投标人递交投标文件的地点：见投标人须知前附表。</w:t>
      </w:r>
    </w:p>
    <w:p>
      <w:pPr>
        <w:ind w:firstLine="420" w:firstLineChars="200"/>
      </w:pPr>
      <w:r>
        <w:rPr>
          <w:rFonts w:hint="eastAsia"/>
        </w:rPr>
        <w:t>4.2.3 除投标人须知前附表另有规定外，投标人所递交的投标文件不予退还。</w:t>
      </w:r>
    </w:p>
    <w:p>
      <w:pPr>
        <w:ind w:firstLine="420" w:firstLineChars="200"/>
      </w:pPr>
      <w:r>
        <w:rPr>
          <w:rFonts w:hint="eastAsia"/>
        </w:rPr>
        <w:t>4.2.4 逾期送达的或者未送达指定地点的投标文件，招标人不予受理。</w:t>
      </w:r>
    </w:p>
    <w:p>
      <w:pPr>
        <w:pStyle w:val="4"/>
        <w:spacing w:line="240" w:lineRule="auto"/>
      </w:pPr>
      <w:bookmarkStart w:id="215" w:name="_Toc246996202"/>
      <w:bookmarkStart w:id="216" w:name="_Toc152042334"/>
      <w:bookmarkStart w:id="217" w:name="_Toc144974526"/>
      <w:bookmarkStart w:id="218" w:name="_Toc296602446"/>
      <w:bookmarkStart w:id="219" w:name="_Toc152045558"/>
      <w:bookmarkStart w:id="220" w:name="_Toc179632576"/>
      <w:bookmarkStart w:id="221" w:name="_Toc24708571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ind w:firstLine="420" w:firstLineChars="200"/>
      </w:pPr>
      <w:r>
        <w:rPr>
          <w:rFonts w:hint="eastAsia"/>
        </w:rPr>
        <w:t>4.3.1 在本章第2.2.2项规定的投标截止时间前，投标人可以修改或撤回已递交的投标文件，但应以书面形式通知招标人。</w:t>
      </w:r>
    </w:p>
    <w:p>
      <w:pPr>
        <w:ind w:firstLine="420" w:firstLineChars="200"/>
      </w:pPr>
      <w:r>
        <w:rPr>
          <w:rFonts w:hint="eastAsia"/>
        </w:rPr>
        <w:t>4.3.2 投标人修改或撤回已递交投标文件的书面通知应按照本章第3.6.3项的要求签字或盖章。</w:t>
      </w:r>
    </w:p>
    <w:p>
      <w:pPr>
        <w:ind w:firstLine="420" w:firstLineChars="200"/>
      </w:pPr>
      <w:r>
        <w:rPr>
          <w:rFonts w:hint="eastAsia"/>
        </w:rPr>
        <w:t>4.3.3 投标人撤回投标文件的，招标人自收到投标人书面撤回通知之日起5日内退还已收取的投标保证金。</w:t>
      </w:r>
    </w:p>
    <w:p>
      <w:pPr>
        <w:ind w:firstLine="420" w:firstLineChars="200"/>
      </w:pPr>
      <w:r>
        <w:rPr>
          <w:rFonts w:hint="eastAsia"/>
        </w:rPr>
        <w:t>4.3.4 修改的内容为投标文件的组成部分。修改的投标文件应按照本章第3条、第4条规定进行编制、密封、标记和递交，并标明“修改”字样。</w:t>
      </w:r>
    </w:p>
    <w:p>
      <w:pPr>
        <w:pStyle w:val="3"/>
        <w:spacing w:line="240" w:lineRule="auto"/>
      </w:pPr>
      <w:bookmarkStart w:id="223" w:name="_Toc152045559"/>
      <w:bookmarkStart w:id="224" w:name="_Toc246996203"/>
      <w:bookmarkStart w:id="225" w:name="_Toc296602447"/>
      <w:bookmarkStart w:id="226" w:name="_Toc144974527"/>
      <w:bookmarkStart w:id="227" w:name="_Toc179632577"/>
      <w:bookmarkStart w:id="228" w:name="_Toc246996946"/>
      <w:bookmarkStart w:id="229" w:name="_Toc152042335"/>
      <w:bookmarkStart w:id="230" w:name="_Toc247085717"/>
      <w:r>
        <w:rPr>
          <w:rFonts w:hint="eastAsia"/>
        </w:rPr>
        <w:t>5. 开标</w:t>
      </w:r>
      <w:bookmarkEnd w:id="223"/>
      <w:bookmarkEnd w:id="224"/>
      <w:bookmarkEnd w:id="225"/>
      <w:bookmarkEnd w:id="226"/>
      <w:bookmarkEnd w:id="227"/>
      <w:bookmarkEnd w:id="228"/>
      <w:bookmarkEnd w:id="229"/>
      <w:bookmarkEnd w:id="230"/>
    </w:p>
    <w:p>
      <w:pPr>
        <w:pStyle w:val="4"/>
        <w:spacing w:line="240" w:lineRule="auto"/>
      </w:pPr>
      <w:bookmarkStart w:id="231" w:name="_Toc246996204"/>
      <w:bookmarkStart w:id="232" w:name="_Toc152045560"/>
      <w:bookmarkStart w:id="233" w:name="_Toc246996947"/>
      <w:bookmarkStart w:id="234" w:name="_Toc152042336"/>
      <w:bookmarkStart w:id="235" w:name="_Toc247085718"/>
      <w:bookmarkStart w:id="236" w:name="_Toc144974528"/>
      <w:bookmarkStart w:id="237" w:name="_Toc296602448"/>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ind w:firstLine="420" w:firstLineChars="200"/>
      </w:pPr>
      <w:r>
        <w:rPr>
          <w:rFonts w:hint="eastAsia"/>
        </w:rPr>
        <w:t>招标人在本章第2.2.2项规定的投标截止时间（开标时间）和投标人须知前附表规定的地点公开开标，并邀请所有投标人的法定代表人或其委托代理人准时参加。</w:t>
      </w:r>
    </w:p>
    <w:p>
      <w:pPr>
        <w:pStyle w:val="4"/>
        <w:spacing w:line="240" w:lineRule="auto"/>
      </w:pPr>
      <w:bookmarkStart w:id="239" w:name="_Toc152042337"/>
      <w:bookmarkStart w:id="240" w:name="_Toc152045561"/>
      <w:bookmarkStart w:id="241" w:name="_Toc246996205"/>
      <w:bookmarkStart w:id="242" w:name="_Toc296602449"/>
      <w:bookmarkStart w:id="243" w:name="_Toc144974529"/>
      <w:bookmarkStart w:id="244" w:name="_Toc246996948"/>
      <w:bookmarkStart w:id="245" w:name="_Toc247085719"/>
      <w:bookmarkStart w:id="246" w:name="_Toc179632579"/>
      <w:r>
        <w:rPr>
          <w:rFonts w:hint="eastAsia"/>
        </w:rPr>
        <w:t>5.2 开标程序</w:t>
      </w:r>
      <w:bookmarkEnd w:id="239"/>
      <w:bookmarkEnd w:id="240"/>
      <w:bookmarkEnd w:id="241"/>
      <w:bookmarkEnd w:id="242"/>
      <w:bookmarkEnd w:id="243"/>
      <w:bookmarkEnd w:id="244"/>
      <w:bookmarkEnd w:id="245"/>
      <w:bookmarkEnd w:id="246"/>
    </w:p>
    <w:p>
      <w:pPr>
        <w:ind w:firstLine="420" w:firstLineChars="200"/>
      </w:pPr>
      <w:r>
        <w:rPr>
          <w:rFonts w:hint="eastAsia"/>
        </w:rPr>
        <w:t>5.2.1主持人按下列程序进行开标：</w:t>
      </w:r>
    </w:p>
    <w:p>
      <w:pPr>
        <w:ind w:firstLine="359" w:firstLineChars="171"/>
      </w:pPr>
      <w:r>
        <w:rPr>
          <w:rFonts w:hint="eastAsia"/>
        </w:rPr>
        <w:t>（1）宣布开标纪律；</w:t>
      </w:r>
    </w:p>
    <w:p>
      <w:pPr>
        <w:ind w:firstLine="359" w:firstLineChars="171"/>
      </w:pPr>
      <w:r>
        <w:rPr>
          <w:rFonts w:hint="eastAsia"/>
        </w:rPr>
        <w:t>（2）公布在投标截止时间前递交投标文件的投标人名称，并点名确认投标人是否派人到场；</w:t>
      </w:r>
    </w:p>
    <w:p>
      <w:pPr>
        <w:ind w:firstLine="359" w:firstLineChars="171"/>
      </w:pPr>
      <w:r>
        <w:rPr>
          <w:rFonts w:hint="eastAsia"/>
        </w:rPr>
        <w:t>（3）宣布开标人、唱标人、记录人、监标人等有关人员（如有）姓名；</w:t>
      </w:r>
    </w:p>
    <w:p>
      <w:pPr>
        <w:ind w:firstLine="359" w:firstLineChars="171"/>
      </w:pPr>
      <w:r>
        <w:rPr>
          <w:rFonts w:hint="eastAsia"/>
        </w:rPr>
        <w:t>（4）按照投标人须知前附表规定检查投标文件的密封情况；</w:t>
      </w:r>
    </w:p>
    <w:p>
      <w:pPr>
        <w:ind w:firstLine="359" w:firstLineChars="171"/>
      </w:pPr>
      <w:r>
        <w:rPr>
          <w:rFonts w:hint="eastAsia"/>
        </w:rPr>
        <w:t>（5）按照投标人须知前附表的规定确定并宣布投标文件开标顺序；</w:t>
      </w:r>
    </w:p>
    <w:p>
      <w:pPr>
        <w:ind w:firstLine="359" w:firstLineChars="171"/>
      </w:pPr>
      <w:r>
        <w:rPr>
          <w:rFonts w:hint="eastAsia"/>
        </w:rPr>
        <w:t>（6）设有标底的，公布标底；</w:t>
      </w:r>
    </w:p>
    <w:p>
      <w:pPr>
        <w:ind w:firstLine="359" w:firstLineChars="171"/>
      </w:pPr>
      <w:r>
        <w:rPr>
          <w:rFonts w:hint="eastAsia"/>
        </w:rPr>
        <w:t>（7）按照宣布的开标顺序当众开标，公布投标人名称、投标保证金的递交情况、投标报价、质量目标、工期及其他内容，并记录在案；</w:t>
      </w:r>
    </w:p>
    <w:p>
      <w:pPr>
        <w:ind w:firstLine="359" w:firstLineChars="171"/>
      </w:pPr>
      <w:r>
        <w:rPr>
          <w:rFonts w:hint="eastAsia"/>
        </w:rPr>
        <w:t>（8）规定最高投标限价计算方法的，计算并公布最高投标限价；</w:t>
      </w:r>
    </w:p>
    <w:p>
      <w:pPr>
        <w:ind w:firstLine="359" w:firstLineChars="171"/>
      </w:pPr>
      <w:r>
        <w:rPr>
          <w:rFonts w:hint="eastAsia"/>
        </w:rPr>
        <w:t>（9）投标人代表、招标人代表、监标人、记录人等有关人员（如有）在开标记录上签字确认；</w:t>
      </w:r>
    </w:p>
    <w:p>
      <w:pPr>
        <w:ind w:firstLine="359" w:firstLineChars="171"/>
      </w:pPr>
      <w:r>
        <w:rPr>
          <w:rFonts w:hint="eastAsia"/>
        </w:rPr>
        <w:t>（10）开标结束。</w:t>
      </w:r>
    </w:p>
    <w:p>
      <w:pPr>
        <w:ind w:firstLine="359" w:firstLineChars="171"/>
      </w:pPr>
      <w:r>
        <w:rPr>
          <w:rFonts w:hint="eastAsia"/>
        </w:rPr>
        <w:t>5.2.2如有询标事宜，评标委员会向投标人发起询标。投标人应在规定的时间内（从评标委员会发起询标起不超过30分钟）对询标内容进行答复，否则视为放弃答复。</w:t>
      </w:r>
    </w:p>
    <w:p>
      <w:pPr>
        <w:pStyle w:val="4"/>
        <w:spacing w:line="240" w:lineRule="auto"/>
      </w:pPr>
      <w:bookmarkStart w:id="247" w:name="_Toc296602450"/>
      <w:r>
        <w:rPr>
          <w:rFonts w:hint="eastAsia"/>
        </w:rPr>
        <w:t>5.3 开标异议</w:t>
      </w:r>
      <w:bookmarkEnd w:id="247"/>
    </w:p>
    <w:p>
      <w:pPr>
        <w:ind w:firstLine="359" w:firstLineChars="171"/>
      </w:pPr>
      <w:r>
        <w:rPr>
          <w:rFonts w:hint="eastAsia"/>
        </w:rPr>
        <w:t>投标人对开标有异议的，应当在开标现场提出，招标人当场作出答复，并制作记录。</w:t>
      </w:r>
    </w:p>
    <w:p>
      <w:pPr>
        <w:pStyle w:val="3"/>
        <w:spacing w:line="240" w:lineRule="auto"/>
      </w:pPr>
      <w:bookmarkStart w:id="248" w:name="_Toc246996949"/>
      <w:bookmarkStart w:id="249" w:name="_Toc179632580"/>
      <w:bookmarkStart w:id="250" w:name="_Toc152042338"/>
      <w:bookmarkStart w:id="251" w:name="_Toc144974530"/>
      <w:bookmarkStart w:id="252" w:name="_Toc296602451"/>
      <w:bookmarkStart w:id="253" w:name="_Toc246996206"/>
      <w:bookmarkStart w:id="254" w:name="_Toc152045562"/>
      <w:bookmarkStart w:id="255" w:name="_Toc247085720"/>
      <w:r>
        <w:rPr>
          <w:rFonts w:hint="eastAsia"/>
        </w:rPr>
        <w:t>6. 评标</w:t>
      </w:r>
      <w:bookmarkEnd w:id="248"/>
      <w:bookmarkEnd w:id="249"/>
      <w:bookmarkEnd w:id="250"/>
      <w:bookmarkEnd w:id="251"/>
      <w:bookmarkEnd w:id="252"/>
      <w:bookmarkEnd w:id="253"/>
      <w:bookmarkEnd w:id="254"/>
      <w:bookmarkEnd w:id="255"/>
    </w:p>
    <w:p>
      <w:pPr>
        <w:pStyle w:val="4"/>
        <w:spacing w:line="240" w:lineRule="auto"/>
      </w:pPr>
      <w:bookmarkStart w:id="256" w:name="_Toc246996950"/>
      <w:bookmarkStart w:id="257" w:name="_Toc296602452"/>
      <w:bookmarkStart w:id="258" w:name="_Toc152045563"/>
      <w:bookmarkStart w:id="259" w:name="_Toc247085721"/>
      <w:bookmarkStart w:id="260" w:name="_Toc152042339"/>
      <w:bookmarkStart w:id="261" w:name="_Toc144974531"/>
      <w:bookmarkStart w:id="262" w:name="_Toc246996207"/>
      <w:bookmarkStart w:id="263" w:name="_Toc179632581"/>
      <w:r>
        <w:rPr>
          <w:rFonts w:hint="eastAsia"/>
        </w:rPr>
        <w:t>6.1 评标委员会</w:t>
      </w:r>
      <w:bookmarkEnd w:id="256"/>
      <w:bookmarkEnd w:id="257"/>
      <w:bookmarkEnd w:id="258"/>
      <w:bookmarkEnd w:id="259"/>
      <w:bookmarkEnd w:id="260"/>
      <w:bookmarkEnd w:id="261"/>
      <w:bookmarkEnd w:id="262"/>
      <w:bookmarkEnd w:id="263"/>
    </w:p>
    <w:p>
      <w:pPr>
        <w:ind w:firstLine="420" w:firstLineChars="200"/>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ind w:firstLine="420" w:firstLineChars="200"/>
      </w:pPr>
      <w:r>
        <w:rPr>
          <w:rFonts w:hint="eastAsia"/>
        </w:rPr>
        <w:t>6.1.2 评标委员会成员有下列情形之一的，应当回避：</w:t>
      </w:r>
    </w:p>
    <w:p>
      <w:pPr>
        <w:ind w:firstLine="359" w:firstLineChars="171"/>
      </w:pPr>
      <w:r>
        <w:rPr>
          <w:rFonts w:hint="eastAsia"/>
        </w:rPr>
        <w:t>（1）投标人或投标人主要负责人的近亲属；</w:t>
      </w:r>
    </w:p>
    <w:p>
      <w:pPr>
        <w:ind w:firstLine="359" w:firstLineChars="171"/>
      </w:pPr>
      <w:r>
        <w:rPr>
          <w:rFonts w:hint="eastAsia"/>
        </w:rPr>
        <w:t>（2）项目主管部门或者行政监督部门的人员；</w:t>
      </w:r>
    </w:p>
    <w:p>
      <w:pPr>
        <w:ind w:firstLine="359" w:firstLineChars="171"/>
      </w:pPr>
      <w:r>
        <w:rPr>
          <w:rFonts w:hint="eastAsia"/>
        </w:rPr>
        <w:t>（3）与投标人有经济利益关系；</w:t>
      </w:r>
    </w:p>
    <w:p>
      <w:pPr>
        <w:ind w:firstLine="359" w:firstLineChars="171"/>
      </w:pPr>
      <w:r>
        <w:rPr>
          <w:rFonts w:hint="eastAsia"/>
        </w:rPr>
        <w:t>（4）曾因在招标、评标以及其他与招标投标有关活动中从事违法行为而受过行政处罚或刑事处罚的；</w:t>
      </w:r>
    </w:p>
    <w:p>
      <w:pPr>
        <w:ind w:firstLine="359" w:firstLineChars="171"/>
      </w:pPr>
      <w:r>
        <w:rPr>
          <w:rFonts w:hint="eastAsia"/>
        </w:rPr>
        <w:t>（5）与投标人有其他利害关系。</w:t>
      </w:r>
    </w:p>
    <w:p>
      <w:pPr>
        <w:pStyle w:val="4"/>
        <w:spacing w:line="240" w:lineRule="auto"/>
      </w:pPr>
      <w:bookmarkStart w:id="264" w:name="_Toc152042340"/>
      <w:bookmarkStart w:id="265" w:name="_Toc179632582"/>
      <w:bookmarkStart w:id="266" w:name="_Toc246996951"/>
      <w:bookmarkStart w:id="267" w:name="_Toc152045564"/>
      <w:bookmarkStart w:id="268" w:name="_Toc144974532"/>
      <w:bookmarkStart w:id="269" w:name="_Toc247085722"/>
      <w:bookmarkStart w:id="270" w:name="_Toc246996208"/>
      <w:bookmarkStart w:id="271" w:name="_Toc296602453"/>
      <w:r>
        <w:rPr>
          <w:rFonts w:hint="eastAsia"/>
        </w:rPr>
        <w:t>6.2 评标原则</w:t>
      </w:r>
      <w:bookmarkEnd w:id="264"/>
      <w:bookmarkEnd w:id="265"/>
      <w:bookmarkEnd w:id="266"/>
      <w:bookmarkEnd w:id="267"/>
      <w:bookmarkEnd w:id="268"/>
      <w:bookmarkEnd w:id="269"/>
      <w:bookmarkEnd w:id="270"/>
      <w:bookmarkEnd w:id="271"/>
    </w:p>
    <w:p>
      <w:pPr>
        <w:ind w:firstLine="420" w:firstLineChars="200"/>
      </w:pPr>
      <w:r>
        <w:rPr>
          <w:rFonts w:hint="eastAsia"/>
        </w:rPr>
        <w:t>评标活动遵循公平、公正、科学和择优的原则。</w:t>
      </w:r>
    </w:p>
    <w:p>
      <w:pPr>
        <w:pStyle w:val="4"/>
        <w:spacing w:line="240" w:lineRule="auto"/>
      </w:pPr>
      <w:bookmarkStart w:id="272" w:name="_Toc247085723"/>
      <w:bookmarkStart w:id="273" w:name="_Toc179632583"/>
      <w:bookmarkStart w:id="274" w:name="_Toc296602454"/>
      <w:bookmarkStart w:id="275" w:name="_Toc246996209"/>
      <w:bookmarkStart w:id="276" w:name="_Toc152042341"/>
      <w:bookmarkStart w:id="277" w:name="_Toc152045565"/>
      <w:bookmarkStart w:id="278" w:name="_Toc246996952"/>
      <w:bookmarkStart w:id="279" w:name="_Toc144974533"/>
      <w:r>
        <w:rPr>
          <w:rFonts w:hint="eastAsia"/>
        </w:rPr>
        <w:t>6.3 评标</w:t>
      </w:r>
      <w:bookmarkEnd w:id="272"/>
      <w:bookmarkEnd w:id="273"/>
      <w:bookmarkEnd w:id="274"/>
      <w:bookmarkEnd w:id="275"/>
      <w:bookmarkEnd w:id="276"/>
      <w:bookmarkEnd w:id="277"/>
      <w:bookmarkEnd w:id="278"/>
      <w:bookmarkEnd w:id="279"/>
    </w:p>
    <w:p>
      <w:pPr>
        <w:ind w:firstLine="420" w:firstLineChars="200"/>
      </w:pPr>
      <w:r>
        <w:rPr>
          <w:rFonts w:hint="eastAsia"/>
        </w:rPr>
        <w:t>评标委员会按照第三章“评标办法”规定的方法、评审因素、标准和程序对投标文件进行评审。第三章“评标办法”没有规定的方法、评审因素和标准，不作为评标依据。</w:t>
      </w:r>
    </w:p>
    <w:p>
      <w:pPr>
        <w:pStyle w:val="3"/>
        <w:spacing w:line="240" w:lineRule="auto"/>
      </w:pPr>
      <w:bookmarkStart w:id="280" w:name="_Toc179632584"/>
      <w:bookmarkStart w:id="281" w:name="_Toc296602455"/>
      <w:bookmarkStart w:id="282" w:name="_Toc152045566"/>
      <w:bookmarkStart w:id="283" w:name="_Toc152042342"/>
      <w:bookmarkStart w:id="284" w:name="_Toc246996953"/>
      <w:bookmarkStart w:id="285" w:name="_Toc247085724"/>
      <w:bookmarkStart w:id="286" w:name="_Toc246996210"/>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4"/>
        <w:spacing w:line="240" w:lineRule="auto"/>
      </w:pPr>
      <w:bookmarkStart w:id="288" w:name="_Toc152045567"/>
      <w:bookmarkStart w:id="289" w:name="_Toc152042343"/>
      <w:bookmarkStart w:id="290" w:name="_Toc296602456"/>
      <w:bookmarkStart w:id="291" w:name="_Toc246996211"/>
      <w:bookmarkStart w:id="292" w:name="_Toc247085725"/>
      <w:bookmarkStart w:id="293" w:name="_Toc179632585"/>
      <w:bookmarkStart w:id="294" w:name="_Toc144974535"/>
      <w:bookmarkStart w:id="295" w:name="_Toc246996954"/>
      <w:r>
        <w:rPr>
          <w:rFonts w:hint="eastAsia"/>
        </w:rPr>
        <w:t>7.1 定标方式</w:t>
      </w:r>
      <w:bookmarkEnd w:id="288"/>
      <w:bookmarkEnd w:id="289"/>
      <w:bookmarkEnd w:id="290"/>
      <w:bookmarkEnd w:id="291"/>
      <w:bookmarkEnd w:id="292"/>
      <w:bookmarkEnd w:id="293"/>
      <w:bookmarkEnd w:id="294"/>
      <w:bookmarkEnd w:id="295"/>
    </w:p>
    <w:p>
      <w:pPr>
        <w:ind w:firstLine="420" w:firstLineChars="200"/>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spacing w:line="240" w:lineRule="auto"/>
      </w:pPr>
      <w:bookmarkStart w:id="296" w:name="_Toc296602457"/>
      <w:r>
        <w:rPr>
          <w:rFonts w:hint="eastAsia"/>
        </w:rPr>
        <w:t>7.2 中标候选人公示</w:t>
      </w:r>
      <w:bookmarkEnd w:id="296"/>
    </w:p>
    <w:p>
      <w:pPr>
        <w:ind w:firstLine="420" w:firstLineChars="200"/>
      </w:pPr>
      <w:r>
        <w:rPr>
          <w:rFonts w:hint="eastAsia"/>
        </w:rPr>
        <w:t>招标人在投标人须知前附表规定的媒介公示中标候选人。</w:t>
      </w:r>
    </w:p>
    <w:p>
      <w:pPr>
        <w:pStyle w:val="4"/>
        <w:spacing w:line="240" w:lineRule="auto"/>
      </w:pPr>
      <w:bookmarkStart w:id="297" w:name="_Toc246996955"/>
      <w:bookmarkStart w:id="298" w:name="_Toc179632586"/>
      <w:bookmarkStart w:id="299" w:name="_Toc144974536"/>
      <w:bookmarkStart w:id="300" w:name="_Toc152045568"/>
      <w:bookmarkStart w:id="301" w:name="_Toc296602458"/>
      <w:bookmarkStart w:id="302" w:name="_Toc152042344"/>
      <w:bookmarkStart w:id="303" w:name="_Toc246996212"/>
      <w:bookmarkStart w:id="304" w:name="_Toc247085726"/>
      <w:r>
        <w:rPr>
          <w:rFonts w:hint="eastAsia"/>
        </w:rPr>
        <w:t>7.3 中标通知</w:t>
      </w:r>
      <w:bookmarkEnd w:id="297"/>
      <w:bookmarkEnd w:id="298"/>
      <w:bookmarkEnd w:id="299"/>
      <w:bookmarkEnd w:id="300"/>
      <w:bookmarkEnd w:id="301"/>
      <w:bookmarkEnd w:id="302"/>
      <w:bookmarkEnd w:id="303"/>
      <w:bookmarkEnd w:id="304"/>
    </w:p>
    <w:p>
      <w:pPr>
        <w:ind w:firstLine="420" w:firstLineChars="200"/>
      </w:pPr>
      <w:r>
        <w:rPr>
          <w:rFonts w:hint="eastAsia"/>
        </w:rPr>
        <w:t>在本章第3.3款规定的投标有效期内，招标人以书面形式向中标人发出中标通知书，同时将中标结果通知未中标的投标人。</w:t>
      </w:r>
    </w:p>
    <w:p>
      <w:pPr>
        <w:pStyle w:val="4"/>
        <w:spacing w:line="240" w:lineRule="auto"/>
      </w:pPr>
      <w:bookmarkStart w:id="305" w:name="_Toc247085727"/>
      <w:bookmarkStart w:id="306" w:name="_Toc246996956"/>
      <w:bookmarkStart w:id="307" w:name="_Toc152045569"/>
      <w:bookmarkStart w:id="308" w:name="_Toc144974537"/>
      <w:bookmarkStart w:id="309" w:name="_Toc296602459"/>
      <w:bookmarkStart w:id="310" w:name="_Toc152042345"/>
      <w:bookmarkStart w:id="311" w:name="_Toc179632587"/>
      <w:bookmarkStart w:id="312" w:name="_Toc246996213"/>
      <w:r>
        <w:rPr>
          <w:rFonts w:hint="eastAsia"/>
        </w:rPr>
        <w:t>7.4 履约担保</w:t>
      </w:r>
      <w:bookmarkEnd w:id="305"/>
      <w:bookmarkEnd w:id="306"/>
      <w:bookmarkEnd w:id="307"/>
      <w:bookmarkEnd w:id="308"/>
      <w:bookmarkEnd w:id="309"/>
      <w:bookmarkEnd w:id="310"/>
      <w:bookmarkEnd w:id="311"/>
      <w:bookmarkEnd w:id="312"/>
    </w:p>
    <w:p>
      <w:pPr>
        <w:ind w:firstLine="420" w:firstLineChars="200"/>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ind w:firstLine="420" w:firstLineChars="200"/>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spacing w:line="240" w:lineRule="auto"/>
      </w:pPr>
      <w:bookmarkStart w:id="313" w:name="_Toc296602460"/>
      <w:bookmarkStart w:id="314" w:name="_Toc144974538"/>
      <w:bookmarkStart w:id="315" w:name="_Toc246996957"/>
      <w:bookmarkStart w:id="316" w:name="_Toc246996214"/>
      <w:bookmarkStart w:id="317" w:name="_Toc152042346"/>
      <w:bookmarkStart w:id="318" w:name="_Toc179632588"/>
      <w:bookmarkStart w:id="319" w:name="_Toc152045570"/>
      <w:bookmarkStart w:id="320" w:name="_Toc247085728"/>
      <w:r>
        <w:rPr>
          <w:rFonts w:hint="eastAsia"/>
        </w:rPr>
        <w:t>7.5 签订合同</w:t>
      </w:r>
      <w:bookmarkEnd w:id="313"/>
      <w:bookmarkEnd w:id="314"/>
      <w:bookmarkEnd w:id="315"/>
      <w:bookmarkEnd w:id="316"/>
      <w:bookmarkEnd w:id="317"/>
      <w:bookmarkEnd w:id="318"/>
      <w:bookmarkEnd w:id="319"/>
      <w:bookmarkEnd w:id="320"/>
    </w:p>
    <w:p>
      <w:pPr>
        <w:ind w:firstLine="420" w:firstLineChars="200"/>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ind w:firstLine="420" w:firstLineChars="200"/>
      </w:pPr>
      <w:r>
        <w:rPr>
          <w:rFonts w:hint="eastAsia"/>
        </w:rPr>
        <w:t>7.5.2 发出中标通知书后，招标人无正当理由拒签合同的，招标人向中标人退还投标保证金；给中标人造成损失的，还应当赔偿损失。</w:t>
      </w:r>
    </w:p>
    <w:p>
      <w:pPr>
        <w:pStyle w:val="3"/>
        <w:spacing w:line="240" w:lineRule="auto"/>
      </w:pPr>
      <w:bookmarkStart w:id="321" w:name="_Toc296602461"/>
      <w:r>
        <w:rPr>
          <w:rFonts w:hint="eastAsia"/>
        </w:rPr>
        <w:t>8. 纪律和监督</w:t>
      </w:r>
      <w:bookmarkEnd w:id="321"/>
    </w:p>
    <w:p>
      <w:pPr>
        <w:pStyle w:val="4"/>
        <w:spacing w:line="240" w:lineRule="auto"/>
      </w:pPr>
      <w:bookmarkStart w:id="322" w:name="_Toc246996962"/>
      <w:bookmarkStart w:id="323" w:name="_Toc296602462"/>
      <w:bookmarkStart w:id="324" w:name="_Toc296590983"/>
      <w:bookmarkStart w:id="325" w:name="_Toc246996219"/>
      <w:bookmarkStart w:id="326" w:name="_Toc247085733"/>
      <w:bookmarkStart w:id="327" w:name="_Toc152042351"/>
      <w:bookmarkStart w:id="328" w:name="_Toc179632593"/>
      <w:bookmarkStart w:id="329" w:name="_Toc152045575"/>
      <w:bookmarkStart w:id="330" w:name="_Toc144974543"/>
      <w:r>
        <w:rPr>
          <w:rFonts w:hint="eastAsia"/>
        </w:rPr>
        <w:t>8.1 对招标人的纪律要求</w:t>
      </w:r>
      <w:bookmarkEnd w:id="322"/>
      <w:bookmarkEnd w:id="323"/>
      <w:bookmarkEnd w:id="324"/>
      <w:bookmarkEnd w:id="325"/>
      <w:bookmarkEnd w:id="326"/>
      <w:bookmarkEnd w:id="327"/>
      <w:bookmarkEnd w:id="328"/>
      <w:bookmarkEnd w:id="329"/>
      <w:bookmarkEnd w:id="330"/>
    </w:p>
    <w:p>
      <w:pPr>
        <w:ind w:firstLine="420" w:firstLineChars="200"/>
      </w:pPr>
      <w:r>
        <w:rPr>
          <w:rFonts w:hint="eastAsia"/>
        </w:rPr>
        <w:t>招标人不得泄漏招标投标活动中应当保密的情况和资料，不得与投标人串通损害国家利益、社会公共利益或者他人合法权益。</w:t>
      </w:r>
    </w:p>
    <w:p>
      <w:pPr>
        <w:pStyle w:val="3"/>
      </w:pPr>
      <w:bookmarkStart w:id="331" w:name="_Toc246996220"/>
      <w:bookmarkStart w:id="332" w:name="_Toc152042352"/>
      <w:bookmarkStart w:id="333" w:name="_Toc296602463"/>
      <w:bookmarkStart w:id="334" w:name="_Toc152045576"/>
      <w:bookmarkStart w:id="335" w:name="_Toc179632594"/>
      <w:bookmarkStart w:id="336" w:name="_Toc247085734"/>
      <w:bookmarkStart w:id="337" w:name="_Toc246996963"/>
      <w:bookmarkStart w:id="338" w:name="_Toc144974544"/>
      <w:r>
        <w:rPr>
          <w:rFonts w:hint="eastAsia"/>
        </w:rPr>
        <w:t>8.2 对投标人的纪律要求</w:t>
      </w:r>
      <w:bookmarkEnd w:id="331"/>
      <w:bookmarkEnd w:id="332"/>
      <w:bookmarkEnd w:id="333"/>
      <w:bookmarkEnd w:id="334"/>
      <w:bookmarkEnd w:id="335"/>
      <w:bookmarkEnd w:id="336"/>
      <w:bookmarkEnd w:id="337"/>
      <w:bookmarkEnd w:id="338"/>
    </w:p>
    <w:p>
      <w:pPr>
        <w:ind w:firstLine="420" w:firstLineChars="200"/>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pPr>
      <w:bookmarkStart w:id="339" w:name="_Toc179632595"/>
      <w:bookmarkStart w:id="340" w:name="_Toc246996221"/>
      <w:bookmarkStart w:id="341" w:name="_Toc152045577"/>
      <w:bookmarkStart w:id="342" w:name="_Toc296602464"/>
      <w:bookmarkStart w:id="343" w:name="_Toc246996964"/>
      <w:bookmarkStart w:id="344" w:name="_Toc247085735"/>
      <w:bookmarkStart w:id="345" w:name="_Toc152042353"/>
      <w:bookmarkStart w:id="346" w:name="_Toc144974545"/>
      <w:r>
        <w:rPr>
          <w:rFonts w:hint="eastAsia"/>
        </w:rPr>
        <w:t>8.3 对评标委员会成员的纪律要求</w:t>
      </w:r>
      <w:bookmarkEnd w:id="339"/>
      <w:bookmarkEnd w:id="340"/>
      <w:bookmarkEnd w:id="341"/>
      <w:bookmarkEnd w:id="342"/>
      <w:bookmarkEnd w:id="343"/>
      <w:bookmarkEnd w:id="344"/>
      <w:bookmarkEnd w:id="345"/>
      <w:bookmarkEnd w:id="346"/>
    </w:p>
    <w:p>
      <w:pPr>
        <w:ind w:firstLine="420" w:firstLineChars="200"/>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pPr>
      <w:bookmarkStart w:id="347" w:name="_Toc246996222"/>
      <w:bookmarkStart w:id="348" w:name="_Toc296602465"/>
      <w:bookmarkStart w:id="349" w:name="_Toc152042354"/>
      <w:bookmarkStart w:id="350" w:name="_Toc247085736"/>
      <w:bookmarkStart w:id="351" w:name="_Toc246996965"/>
      <w:bookmarkStart w:id="352" w:name="_Toc179632596"/>
      <w:bookmarkStart w:id="353" w:name="_Toc152045578"/>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ind w:firstLine="420" w:firstLineChars="200"/>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spacing w:line="240" w:lineRule="auto"/>
      </w:pPr>
      <w:bookmarkStart w:id="356" w:name="_Toc296602466"/>
      <w:bookmarkStart w:id="357" w:name="_Toc247085737"/>
      <w:bookmarkStart w:id="358" w:name="_Toc246996223"/>
      <w:bookmarkStart w:id="359" w:name="_Toc179632597"/>
      <w:bookmarkStart w:id="360" w:name="_Toc152045579"/>
      <w:bookmarkStart w:id="361" w:name="_Toc152042356"/>
      <w:bookmarkStart w:id="362" w:name="_Toc246996966"/>
      <w:r>
        <w:rPr>
          <w:rFonts w:hint="eastAsia"/>
        </w:rPr>
        <w:t>8.5 投诉</w:t>
      </w:r>
      <w:bookmarkEnd w:id="354"/>
      <w:bookmarkEnd w:id="356"/>
      <w:bookmarkEnd w:id="357"/>
      <w:bookmarkEnd w:id="358"/>
      <w:bookmarkEnd w:id="359"/>
      <w:bookmarkEnd w:id="360"/>
      <w:bookmarkEnd w:id="361"/>
      <w:bookmarkEnd w:id="362"/>
    </w:p>
    <w:p>
      <w:pPr>
        <w:ind w:firstLine="420" w:firstLineChars="200"/>
      </w:pPr>
      <w:r>
        <w:rPr>
          <w:rFonts w:hint="eastAsia"/>
        </w:rPr>
        <w:t>投标人和其他利害关系人认为本次招标活动违反法律、法规和规章规定的，有权向有关行政监督部门投诉。</w:t>
      </w:r>
    </w:p>
    <w:p>
      <w:pPr>
        <w:pStyle w:val="3"/>
        <w:spacing w:line="240" w:lineRule="auto"/>
      </w:pPr>
      <w:bookmarkStart w:id="363" w:name="_Toc296602467"/>
      <w:bookmarkStart w:id="364" w:name="_Toc247085738"/>
      <w:bookmarkStart w:id="365" w:name="_Toc152045580"/>
      <w:bookmarkStart w:id="366" w:name="_Toc246996967"/>
      <w:bookmarkStart w:id="367" w:name="_Toc144974547"/>
      <w:bookmarkStart w:id="368" w:name="_Toc246996224"/>
      <w:bookmarkStart w:id="369" w:name="_Toc152042357"/>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pPr>
        <w:ind w:firstLine="420" w:firstLineChars="200"/>
      </w:pPr>
      <w:r>
        <w:rPr>
          <w:rFonts w:hint="eastAsia"/>
        </w:rPr>
        <w:t>需要补充的其他内容：见投标人须知前附表。</w:t>
      </w:r>
    </w:p>
    <w:p>
      <w:pPr>
        <w:pStyle w:val="3"/>
        <w:spacing w:line="240" w:lineRule="auto"/>
      </w:pPr>
      <w:bookmarkStart w:id="371" w:name="_Toc296602468"/>
      <w:r>
        <w:rPr>
          <w:rFonts w:hint="eastAsia"/>
        </w:rPr>
        <w:t>10．电子招标投标</w:t>
      </w:r>
      <w:bookmarkEnd w:id="371"/>
    </w:p>
    <w:p>
      <w:pPr>
        <w:wordWrap w:val="0"/>
        <w:spacing w:line="400" w:lineRule="exact"/>
        <w:ind w:firstLine="420" w:firstLineChars="200"/>
        <w:rPr>
          <w:rFonts w:ascii="黑体" w:hAnsi="黑体" w:eastAsia="黑体" w:cs="黑体"/>
          <w:color w:val="000000"/>
        </w:rPr>
      </w:pPr>
      <w:r>
        <w:rPr>
          <w:rFonts w:hint="eastAsia"/>
        </w:rPr>
        <w:t>采用电子招标投标，对投标文件的编制、密封和标记、递交、开标、评标等的具体要求，见投标人须知前附表。</w:t>
      </w:r>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（经评审的最低投标价法）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八</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ermStart w:id="8"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9"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0"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1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1"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1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2"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1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3"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1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ermStart w:id="14"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1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5"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1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6"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服务期限</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1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7"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服务标准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1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8"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1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19"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1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ermStart w:id="20" w:edGrp="everyone" w:colFirst="3" w:colLast="3"/>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2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ermStart w:id="21" w:edGrp="everyone" w:colFirst="3" w:colLast="3"/>
          </w:p>
        </w:tc>
        <w:tc>
          <w:tcPr>
            <w:tcW w:w="850" w:type="dxa"/>
            <w:vMerge w:val="continue"/>
            <w:tcBorders>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rPr>
            </w:pPr>
            <w:r>
              <w:rPr>
                <w:rFonts w:hint="eastAsia" w:ascii="Times New Roman" w:hAnsi="Times New Roman" w:cs="Times New Roman"/>
                <w:kern w:val="0"/>
                <w:sz w:val="24"/>
              </w:rPr>
              <w:t>符合第五章“发包人要求”中的实质性要求和条件</w:t>
            </w:r>
          </w:p>
        </w:tc>
      </w:tr>
      <w:permEnd w:id="21"/>
    </w:tbl>
    <w:p>
      <w:pPr>
        <w:rPr>
          <w:rFonts w:ascii="Times New Roman" w:hAnsi="Times New Roman" w:cs="Times New Roman"/>
          <w:b/>
          <w:bCs/>
          <w:kern w:val="0"/>
          <w:sz w:val="28"/>
          <w:szCs w:val="28"/>
        </w:rPr>
      </w:pPr>
    </w:p>
    <w:p>
      <w:pPr>
        <w:rPr>
          <w:rFonts w:ascii="Times New Roman" w:hAnsi="Times New Roman" w:cs="Times New Roman"/>
          <w:b/>
          <w:bCs/>
          <w:kern w:val="0"/>
          <w:sz w:val="28"/>
          <w:szCs w:val="28"/>
        </w:rPr>
      </w:pPr>
    </w:p>
    <w:p>
      <w:pPr>
        <w:rPr>
          <w:rFonts w:ascii="Times New Roman" w:hAnsi="Times New Roman" w:cs="Times New Roman"/>
          <w:b/>
          <w:bCs/>
          <w:kern w:val="0"/>
          <w:sz w:val="28"/>
          <w:szCs w:val="28"/>
        </w:rPr>
      </w:pPr>
    </w:p>
    <w:p>
      <w:pPr>
        <w:rPr>
          <w:rFonts w:ascii="Times New Roman" w:hAnsi="Times New Roman" w:cs="Times New Roman"/>
          <w:b/>
          <w:bCs/>
          <w:kern w:val="0"/>
          <w:sz w:val="28"/>
          <w:szCs w:val="28"/>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w:t>
      </w:r>
      <w:r>
        <w:rPr>
          <w:rFonts w:hint="eastAsia" w:ascii="Times New Roman" w:hAnsi="Times New Roman" w:cs="Times New Roman"/>
          <w:kern w:val="0"/>
          <w:sz w:val="24"/>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 评审标准</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2.1 初步评审标准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2.2 </w:t>
      </w:r>
      <w:r>
        <w:rPr>
          <w:rFonts w:hint="eastAsia" w:ascii="Times New Roman" w:hAnsi="Times New Roman" w:cs="Times New Roman"/>
          <w:b/>
          <w:bCs/>
          <w:kern w:val="0"/>
          <w:sz w:val="28"/>
          <w:szCs w:val="28"/>
        </w:rPr>
        <w:t>详细评审标准</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详细评审标准：见评标办法前附表。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3.1 初步评审</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”第3.5.1项至第3.5.4项规定的有关证明和证件的原件，以便核验。评标委员会依据本章第2.1款规定的标准对投标文件进行初步评审。有一项不符合评审标准的，评标委员会应当否决其投标。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w:t>
      </w:r>
      <w:r>
        <w:rPr>
          <w:rFonts w:hint="eastAsia" w:ascii="Times New Roman" w:hAnsi="Times New Roman" w:cs="Times New Roman"/>
          <w:kern w:val="0"/>
          <w:sz w:val="24"/>
        </w:rPr>
        <w:t>评标委员会应当否决其投标：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w:t>
      </w:r>
      <w:r>
        <w:rPr>
          <w:rFonts w:hint="eastAsia" w:ascii="Times New Roman" w:hAnsi="Times New Roman" w:cs="Times New Roman"/>
          <w:kern w:val="0"/>
          <w:sz w:val="24"/>
        </w:rPr>
        <w:t>的，</w:t>
      </w:r>
      <w:r>
        <w:rPr>
          <w:rFonts w:ascii="Times New Roman" w:hAnsi="Times New Roman" w:cs="Times New Roman"/>
          <w:kern w:val="0"/>
          <w:sz w:val="24"/>
        </w:rPr>
        <w:t>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3.2 详细评审</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3.2.1 评标委员会</w:t>
      </w:r>
      <w:r>
        <w:rPr>
          <w:rFonts w:hint="eastAsia" w:ascii="Times New Roman" w:hAnsi="Times New Roman" w:cs="Times New Roman"/>
          <w:kern w:val="0"/>
          <w:sz w:val="24"/>
        </w:rPr>
        <w:t>按本章第2.2.款规定的量化因素和标准进行价格折算，计算出评标价，并编制价格比较一览表。</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投标文件的澄清和补正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所提交的投标文件中不明确的内容进行书面澄清或说明，或者对细微偏差进行补正。评标委员会不接受投标人主动提出的澄清、说明或补正。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bookmarkStart w:id="372" w:name="_Toc246996232"/>
      <w:bookmarkStart w:id="373" w:name="_Toc152042366"/>
      <w:bookmarkStart w:id="374" w:name="_Toc246996975"/>
      <w:bookmarkStart w:id="375" w:name="_Toc247085747"/>
      <w:bookmarkStart w:id="376" w:name="_Toc152045589"/>
      <w:bookmarkStart w:id="377" w:name="_Toc296602477"/>
      <w:bookmarkStart w:id="378" w:name="_Toc179632607"/>
      <w:bookmarkStart w:id="379" w:name="_Toc144974556"/>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Lines="50"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color w:val="FF0000"/>
                <w:kern w:val="0"/>
                <w:sz w:val="24"/>
                <w:u w:val="single"/>
              </w:rPr>
              <w:t>安徽通达利交通建设管理有限公司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ascii="Times New Roman" w:hAnsi="Times New Roman" w:cs="Times New Roman"/>
                <w:color w:val="FF0000"/>
                <w:kern w:val="0"/>
                <w:sz w:val="24"/>
                <w:u w:val="single"/>
              </w:rPr>
            </w:pPr>
            <w:r>
              <w:rPr>
                <w:rFonts w:hint="eastAsia" w:ascii="Times New Roman" w:hAnsi="Times New Roman" w:cs="Times New Roman"/>
                <w:color w:val="FF0000"/>
                <w:kern w:val="0"/>
                <w:sz w:val="24"/>
                <w:u w:val="single"/>
              </w:rPr>
              <w:t>1.中标人完成全线2座大桥智能化健康监测、309省道养护应急储备中心可研方案编制工作，招标人向中标人支付合同总价的10%；</w:t>
            </w:r>
          </w:p>
          <w:p>
            <w:pPr>
              <w:wordWrap w:val="0"/>
              <w:spacing w:line="440" w:lineRule="exact"/>
              <w:ind w:firstLine="480" w:firstLineChars="200"/>
              <w:rPr>
                <w:rFonts w:ascii="Times New Roman" w:hAnsi="Times New Roman" w:cs="Times New Roman"/>
                <w:color w:val="FF0000"/>
                <w:kern w:val="0"/>
                <w:sz w:val="24"/>
                <w:u w:val="single"/>
              </w:rPr>
            </w:pPr>
            <w:r>
              <w:rPr>
                <w:rFonts w:hint="eastAsia" w:ascii="Times New Roman" w:hAnsi="Times New Roman" w:cs="Times New Roman"/>
                <w:color w:val="FF0000"/>
                <w:kern w:val="0"/>
                <w:sz w:val="24"/>
                <w:u w:val="single"/>
              </w:rPr>
              <w:t>2.中标人完成2024年度309省道现状调查及勘察测绘、道路及桥梁检测评定后，招标人向中标人支付合同总价的20%。中标人完成2024年度方案和施工图设计后，招标人向中标人支付合同总价的20%；</w:t>
            </w:r>
          </w:p>
          <w:p>
            <w:pPr>
              <w:wordWrap w:val="0"/>
              <w:spacing w:line="440" w:lineRule="exact"/>
              <w:ind w:firstLine="480" w:firstLineChars="200"/>
              <w:rPr>
                <w:rFonts w:ascii="Times New Roman" w:hAnsi="Times New Roman" w:cs="Times New Roman"/>
                <w:color w:val="FF0000"/>
                <w:kern w:val="0"/>
                <w:sz w:val="24"/>
                <w:u w:val="single"/>
              </w:rPr>
            </w:pPr>
            <w:r>
              <w:rPr>
                <w:rFonts w:hint="eastAsia" w:ascii="Times New Roman" w:hAnsi="Times New Roman" w:cs="Times New Roman"/>
                <w:color w:val="FF0000"/>
                <w:kern w:val="0"/>
                <w:sz w:val="24"/>
                <w:u w:val="single"/>
              </w:rPr>
              <w:t>3.中标人完成2025年度309省道现状调查及勘察测绘、道路及桥梁检测评定后，招标人向中标人支付合同总价的20%。中标人完成2025年度方案和施工图设计后，招标人向中标人支付合同总价的30%。</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bl>
    <w:p>
      <w:pPr>
        <w:wordWrap w:val="0"/>
        <w:spacing w:line="440" w:lineRule="exact"/>
        <w:ind w:firstLine="480" w:firstLineChars="200"/>
        <w:rPr>
          <w:rFonts w:ascii="Times New Roman" w:hAnsi="Times New Roman" w:cs="Times New Roman"/>
          <w:kern w:val="0"/>
          <w:sz w:val="24"/>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bookmarkEnd w:id="372"/>
    <w:bookmarkEnd w:id="373"/>
    <w:bookmarkEnd w:id="374"/>
    <w:bookmarkEnd w:id="375"/>
    <w:bookmarkEnd w:id="376"/>
    <w:bookmarkEnd w:id="377"/>
    <w:bookmarkEnd w:id="378"/>
    <w:bookmarkEnd w:id="379"/>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第五章 发包人要求</w:t>
      </w:r>
    </w:p>
    <w:p>
      <w:pPr>
        <w:spacing w:line="480" w:lineRule="exact"/>
        <w:jc w:val="center"/>
        <w:rPr>
          <w:rFonts w:asciiTheme="majorEastAsia" w:hAnsiTheme="majorEastAsia" w:eastAsiaTheme="majorEastAsia" w:cstheme="majorEastAsia"/>
          <w:b/>
          <w:bCs/>
          <w:sz w:val="32"/>
          <w:szCs w:val="32"/>
        </w:rPr>
      </w:pPr>
    </w:p>
    <w:p>
      <w:pPr>
        <w:spacing w:line="480" w:lineRule="exact"/>
        <w:ind w:firstLine="480" w:firstLineChars="200"/>
        <w:jc w:val="left"/>
        <w:rPr>
          <w:rFonts w:ascii="Times New Roman" w:hAnsi="Times New Roman" w:cs="Times New Roman"/>
          <w:kern w:val="0"/>
          <w:sz w:val="24"/>
        </w:rPr>
      </w:pPr>
      <w:r>
        <w:rPr>
          <w:rFonts w:hint="eastAsia" w:ascii="Times New Roman" w:hAnsi="Times New Roman" w:cs="Times New Roman"/>
          <w:kern w:val="0"/>
          <w:sz w:val="24"/>
        </w:rPr>
        <w:t>一、投标人的投标报价应是在综合考虑项目区域实际地理情况、成果编制成本、人员成本、风险因素、后续服务、方案整合修改优化、方案报批及最终成果形成的基础上进行的最终报价，应同时包含评审费、施工图纸设计及审查费、评审所需费用等，为施工全过程提供服务的费用等。以上费用由投标人自行考虑包含在投标价款内，由中标单位支付，项目设计实施阶段不再支付中标人提出的任何费用变更。</w:t>
      </w:r>
    </w:p>
    <w:p>
      <w:pPr>
        <w:spacing w:line="480" w:lineRule="exact"/>
        <w:ind w:firstLine="480" w:firstLineChars="200"/>
        <w:jc w:val="left"/>
        <w:rPr>
          <w:rFonts w:ascii="Times New Roman" w:hAnsi="Times New Roman" w:cs="Times New Roman"/>
          <w:kern w:val="0"/>
          <w:sz w:val="24"/>
        </w:rPr>
      </w:pPr>
      <w:r>
        <w:rPr>
          <w:rFonts w:hint="eastAsia" w:ascii="Times New Roman" w:hAnsi="Times New Roman" w:cs="Times New Roman"/>
          <w:kern w:val="0"/>
          <w:sz w:val="24"/>
        </w:rPr>
        <w:t>二、本项目严禁转包及非法分包，否则发包人有权将中标人清退出场，中标人承担由此发生的所有费用，影响工程进度的，发包人有权向中标人索赔赶工费用等，影响进度特别严重的，发包人有权不支付中标人结算款。</w:t>
      </w:r>
    </w:p>
    <w:p>
      <w:pPr>
        <w:spacing w:line="48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三、中标人应提供设计成果文件方案文本数量为5本，正本1份、副本4份，电子版2份。</w:t>
      </w:r>
    </w:p>
    <w:p>
      <w:pPr>
        <w:wordWrap w:val="0"/>
        <w:spacing w:line="440" w:lineRule="exact"/>
        <w:rPr>
          <w:rFonts w:ascii="Times New Roman" w:hAnsi="Times New Roman" w:cs="Times New Roman"/>
          <w:kern w:val="0"/>
          <w:sz w:val="24"/>
        </w:rPr>
      </w:pPr>
    </w:p>
    <w:p>
      <w:pPr>
        <w:wordWrap w:val="0"/>
        <w:spacing w:line="440" w:lineRule="exact"/>
        <w:ind w:firstLine="643" w:firstLineChars="20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六</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kern w:val="0"/>
          <w:sz w:val="32"/>
          <w:szCs w:val="32"/>
        </w:rPr>
        <w:t>（项目名称）</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项目编号：BZJK-2024-</w:t>
      </w:r>
      <w:r>
        <w:rPr>
          <w:rFonts w:hint="eastAsia" w:ascii="Times New Roman" w:hAnsi="Times New Roman" w:eastAsia="楷体" w:cs="Times New Roman"/>
          <w:kern w:val="0"/>
          <w:sz w:val="28"/>
          <w:szCs w:val="28"/>
          <w:u w:val="single"/>
        </w:rPr>
        <w:t xml:space="preserve">   </w:t>
      </w:r>
      <w:r>
        <w:rPr>
          <w:rFonts w:ascii="Times New Roman" w:hAnsi="Times New Roman" w:eastAsia="楷体" w:cs="Times New Roman"/>
          <w:kern w:val="0"/>
          <w:sz w:val="28"/>
          <w:szCs w:val="28"/>
        </w:rPr>
        <w:t>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3"/>
        <w:jc w:val="center"/>
        <w:rPr>
          <w:rFonts w:ascii="Times New Roman" w:hAnsi="Times New Roman" w:cs="Times New Roman"/>
        </w:rPr>
      </w:pPr>
      <w:bookmarkStart w:id="380" w:name="_Toc247527827"/>
      <w:bookmarkStart w:id="381" w:name="_Toc247514246"/>
      <w:bookmarkStart w:id="382" w:name="_Toc152042576"/>
      <w:bookmarkStart w:id="383" w:name="_Toc152045787"/>
      <w:bookmarkStart w:id="384" w:name="_Toc300835209"/>
      <w:bookmarkStart w:id="385" w:name="_Toc144974856"/>
      <w:r>
        <w:rPr>
          <w:rFonts w:ascii="Times New Roman" w:hAnsi="Times New Roman" w:cs="Times New Roman"/>
        </w:rPr>
        <w:t>目    录</w:t>
      </w:r>
      <w:bookmarkEnd w:id="380"/>
      <w:bookmarkEnd w:id="381"/>
      <w:bookmarkEnd w:id="382"/>
      <w:bookmarkEnd w:id="383"/>
      <w:bookmarkEnd w:id="384"/>
      <w:bookmarkEnd w:id="385"/>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w:t>
      </w:r>
      <w:r>
        <w:rPr>
          <w:rFonts w:hint="eastAsia" w:ascii="Times New Roman" w:hAnsi="Times New Roman" w:cs="Times New Roman"/>
        </w:rPr>
        <w:t>及投标函附录</w:t>
      </w:r>
    </w:p>
    <w:p>
      <w:pPr>
        <w:spacing w:line="540" w:lineRule="exact"/>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身份证明</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p>
    <w:p>
      <w:pPr>
        <w:spacing w:line="540" w:lineRule="exact"/>
        <w:rPr>
          <w:rFonts w:ascii="Times New Roman" w:hAnsi="Times New Roman" w:cs="Times New Roman"/>
        </w:rPr>
      </w:pPr>
      <w:r>
        <w:rPr>
          <w:rFonts w:hint="eastAsia" w:ascii="Times New Roman" w:hAnsi="Times New Roman" w:cs="Times New Roman"/>
        </w:rPr>
        <w:t>三</w:t>
      </w:r>
      <w:r>
        <w:rPr>
          <w:rFonts w:ascii="Times New Roman" w:hAnsi="Times New Roman" w:cs="Times New Roman"/>
        </w:rPr>
        <w:t xml:space="preserve">、投标保证金 </w:t>
      </w:r>
    </w:p>
    <w:p>
      <w:pPr>
        <w:spacing w:line="540" w:lineRule="exact"/>
        <w:rPr>
          <w:rFonts w:ascii="Times New Roman" w:hAnsi="Times New Roman" w:cs="Times New Roman"/>
        </w:rPr>
      </w:pPr>
      <w:r>
        <w:rPr>
          <w:rFonts w:hint="eastAsia" w:ascii="Times New Roman" w:hAnsi="Times New Roman" w:cs="Times New Roman"/>
        </w:rPr>
        <w:t>四、设计费用清单</w:t>
      </w:r>
    </w:p>
    <w:p>
      <w:pPr>
        <w:spacing w:line="540" w:lineRule="exact"/>
        <w:rPr>
          <w:rFonts w:ascii="Times New Roman" w:hAnsi="Times New Roman" w:cs="Times New Roman"/>
        </w:rPr>
      </w:pPr>
      <w:r>
        <w:rPr>
          <w:rFonts w:hint="eastAsia" w:ascii="Times New Roman" w:hAnsi="Times New Roman" w:cs="Times New Roman"/>
        </w:rPr>
        <w:t>五、资格审查资料</w:t>
      </w:r>
    </w:p>
    <w:p>
      <w:pPr>
        <w:spacing w:line="540" w:lineRule="exact"/>
        <w:rPr>
          <w:rFonts w:ascii="Times New Roman" w:hAnsi="Times New Roman" w:cs="Times New Roman"/>
        </w:rPr>
      </w:pPr>
      <w:r>
        <w:rPr>
          <w:rFonts w:hint="eastAsia" w:ascii="Times New Roman" w:hAnsi="Times New Roman" w:cs="Times New Roman"/>
        </w:rPr>
        <w:t>六、设计方案</w:t>
      </w:r>
    </w:p>
    <w:p>
      <w:pPr>
        <w:spacing w:line="540" w:lineRule="exact"/>
        <w:rPr>
          <w:rFonts w:ascii="Times New Roman" w:hAnsi="Times New Roman" w:cs="Times New Roman"/>
        </w:rPr>
      </w:pPr>
      <w:r>
        <w:rPr>
          <w:rFonts w:hint="eastAsia" w:ascii="Times New Roman" w:hAnsi="Times New Roman" w:cs="Times New Roman"/>
        </w:rPr>
        <w:t>七</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3"/>
        <w:jc w:val="center"/>
      </w:pPr>
      <w:bookmarkStart w:id="386" w:name="_Toc144974857"/>
      <w:bookmarkStart w:id="387" w:name="_Toc152045788"/>
      <w:bookmarkStart w:id="388" w:name="_Toc247527828"/>
      <w:bookmarkStart w:id="389" w:name="_Toc152042577"/>
      <w:bookmarkStart w:id="390" w:name="_Toc300835210"/>
      <w:bookmarkStart w:id="391" w:name="_Toc247514247"/>
      <w:r>
        <w:rPr>
          <w:rFonts w:ascii="Times New Roman" w:hAnsi="Times New Roman" w:cs="Times New Roman"/>
        </w:rPr>
        <w:t>一、投标函</w:t>
      </w:r>
      <w:bookmarkEnd w:id="386"/>
      <w:bookmarkEnd w:id="387"/>
      <w:bookmarkEnd w:id="388"/>
      <w:bookmarkEnd w:id="389"/>
      <w:bookmarkEnd w:id="390"/>
      <w:bookmarkEnd w:id="391"/>
      <w:r>
        <w:rPr>
          <w:rFonts w:hint="eastAsia" w:ascii="Times New Roman" w:hAnsi="Times New Roman" w:cs="Times New Roman"/>
        </w:rPr>
        <w:t>及投标函附录</w:t>
      </w:r>
    </w:p>
    <w:p>
      <w:pPr>
        <w:spacing w:line="440" w:lineRule="exact"/>
        <w:rPr>
          <w:rFonts w:ascii="Times New Roman" w:hAnsi="Times New Roman" w:cs="Times New Roman"/>
          <w:sz w:val="20"/>
          <w:szCs w:val="20"/>
        </w:rPr>
      </w:pPr>
      <w:r>
        <w:rPr>
          <w:rFonts w:hint="eastAsia" w:ascii="黑体" w:hAnsi="黑体" w:eastAsia="黑体" w:cs="黑体"/>
          <w:sz w:val="28"/>
          <w:szCs w:val="28"/>
        </w:rPr>
        <w:t>（一）投标函</w:t>
      </w: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ascii="Times New Roman" w:hAnsi="Times New Roman" w:cs="Times New Roman"/>
          <w:szCs w:val="21"/>
        </w:rPr>
        <w:t>（项目名称）</w:t>
      </w:r>
      <w:r>
        <w:rPr>
          <w:rFonts w:hint="eastAsia" w:ascii="Times New Roman" w:hAnsi="Times New Roman" w:cs="Times New Roman"/>
          <w:szCs w:val="21"/>
        </w:rPr>
        <w:t>招标项目招标文件的全部内容，愿意以人民币（大写）</w:t>
      </w:r>
      <w:r>
        <w:rPr>
          <w:rFonts w:hint="eastAsia" w:ascii="Times New Roman" w:hAnsi="Times New Roman" w:cs="Times New Roman"/>
          <w:szCs w:val="21"/>
          <w:u w:val="single"/>
        </w:rPr>
        <w:t xml:space="preserve">       </w:t>
      </w:r>
      <w:r>
        <w:rPr>
          <w:rFonts w:hint="eastAsia" w:ascii="Times New Roman" w:hAnsi="Times New Roman" w:cs="Times New Roman"/>
          <w:szCs w:val="21"/>
        </w:rPr>
        <w:t xml:space="preserve"> （¥</w:t>
      </w:r>
      <w:r>
        <w:rPr>
          <w:rFonts w:hint="eastAsia" w:ascii="Times New Roman" w:hAnsi="Times New Roman" w:cs="Times New Roman"/>
          <w:szCs w:val="21"/>
          <w:u w:val="single"/>
        </w:rPr>
        <w:t xml:space="preserve">        </w:t>
      </w:r>
      <w:r>
        <w:rPr>
          <w:rFonts w:hint="eastAsia" w:ascii="Times New Roman" w:hAnsi="Times New Roman" w:cs="Times New Roman"/>
          <w:szCs w:val="21"/>
        </w:rPr>
        <w:t>）的投标总报价（其中，增值税税率为</w:t>
      </w:r>
      <w:r>
        <w:rPr>
          <w:rFonts w:ascii="Times New Roman" w:hAnsi="Times New Roman" w:cs="Times New Roman"/>
          <w:szCs w:val="21"/>
          <w:u w:val="single"/>
        </w:rPr>
        <w:t xml:space="preserve">           </w:t>
      </w:r>
      <w:r>
        <w:rPr>
          <w:rFonts w:hint="eastAsia" w:ascii="Times New Roman" w:hAnsi="Times New Roman" w:cs="Times New Roman"/>
          <w:szCs w:val="21"/>
        </w:rPr>
        <w:t>），服务期限：</w:t>
      </w:r>
      <w:r>
        <w:rPr>
          <w:rFonts w:hint="eastAsia" w:ascii="Times New Roman" w:hAnsi="Times New Roman" w:cs="Times New Roman"/>
          <w:szCs w:val="21"/>
          <w:u w:val="single"/>
        </w:rPr>
        <w:t>自合同签订之日起 2 年</w:t>
      </w:r>
      <w:r>
        <w:rPr>
          <w:rFonts w:hint="eastAsia" w:ascii="Times New Roman" w:hAnsi="Times New Roman" w:cs="Times New Roman"/>
          <w:szCs w:val="21"/>
        </w:rPr>
        <w:t>，按合同约定完成工作。</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（1）投标函及投标函附录；（2）法定代表人身份证明或授权委托书；（3）投标保证金；（4）设计费用清单；（5）资格审查资料；（6）设计方案；（7）其他资料；.......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rPr>
          <w:rFonts w:ascii="Times New Roman" w:hAnsi="Times New Roman" w:cs="Times New Roman"/>
          <w:szCs w:val="21"/>
        </w:rPr>
      </w:pPr>
      <w:r>
        <w:rPr>
          <w:rFonts w:ascii="Times New Roman" w:hAnsi="Times New Roman" w:cs="Times New Roman"/>
          <w:szCs w:val="21"/>
        </w:rPr>
        <w:br w:type="page"/>
      </w:r>
    </w:p>
    <w:p>
      <w:pPr>
        <w:spacing w:line="440" w:lineRule="exact"/>
        <w:rPr>
          <w:rFonts w:ascii="黑体" w:hAnsi="黑体" w:eastAsia="黑体" w:cs="黑体"/>
          <w:sz w:val="28"/>
          <w:szCs w:val="28"/>
        </w:rPr>
      </w:pPr>
      <w:r>
        <w:rPr>
          <w:rFonts w:hint="eastAsia" w:ascii="黑体" w:hAnsi="黑体" w:eastAsia="黑体" w:cs="黑体"/>
          <w:sz w:val="28"/>
          <w:szCs w:val="28"/>
        </w:rPr>
        <w:t>（二）投标函附录</w:t>
      </w:r>
    </w:p>
    <w:p>
      <w:pPr>
        <w:spacing w:line="440" w:lineRule="exact"/>
        <w:rPr>
          <w:rFonts w:ascii="Times New Roman" w:hAnsi="Times New Roman" w:cs="Times New Roman"/>
          <w:sz w:val="20"/>
          <w:szCs w:val="20"/>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序号</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条款名称</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约定内容</w:t>
            </w:r>
          </w:p>
        </w:tc>
        <w:tc>
          <w:tcPr>
            <w:tcW w:w="3702"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1</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项目负责人</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rPr>
              <w:t>姓名：</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2</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服务期限</w:t>
            </w:r>
          </w:p>
        </w:tc>
        <w:tc>
          <w:tcPr>
            <w:tcW w:w="1984" w:type="dxa"/>
            <w:vAlign w:val="center"/>
          </w:tcPr>
          <w:p>
            <w:pPr>
              <w:spacing w:line="440" w:lineRule="exact"/>
              <w:rPr>
                <w:rFonts w:ascii="Times New Roman" w:hAnsi="Times New Roman" w:cs="Times New Roman"/>
                <w:sz w:val="20"/>
                <w:szCs w:val="20"/>
              </w:rPr>
            </w:pPr>
            <w:r>
              <w:rPr>
                <w:rFonts w:hint="eastAsia" w:ascii="Times New Roman" w:hAnsi="Times New Roman" w:cs="Times New Roman"/>
                <w:sz w:val="20"/>
                <w:szCs w:val="20"/>
              </w:rPr>
              <w:t>自合同签订之日起 2 年。</w:t>
            </w:r>
          </w:p>
        </w:tc>
        <w:tc>
          <w:tcPr>
            <w:tcW w:w="3702" w:type="dxa"/>
            <w:vAlign w:val="center"/>
          </w:tcPr>
          <w:p>
            <w:pPr>
              <w:spacing w:line="440" w:lineRule="exact"/>
              <w:jc w:val="both"/>
              <w:rPr>
                <w:rFonts w:hint="eastAsia" w:ascii="Times New Roman" w:hAnsi="Times New Roman" w:cs="Times New Roman"/>
                <w:sz w:val="20"/>
                <w:szCs w:val="20"/>
              </w:rPr>
            </w:pPr>
            <w:r>
              <w:rPr>
                <w:rFonts w:hint="eastAsia" w:ascii="Times New Roman" w:hAnsi="Times New Roman" w:cs="Times New Roman"/>
                <w:sz w:val="20"/>
                <w:szCs w:val="20"/>
              </w:rPr>
              <w:t>2024年度设计服务周期：自签订合同之日起15日历天内完成全线现状调查及勘察测绘、道路及桥梁检测评定工作，勘测和评定报告出具之日起15日历天内出具养护方案，经招标人确认养护方案之日起30日历天内完成施工图设计文件和预算编制。</w:t>
            </w:r>
          </w:p>
          <w:p>
            <w:pPr>
              <w:spacing w:line="440" w:lineRule="exact"/>
              <w:jc w:val="both"/>
              <w:rPr>
                <w:rFonts w:hint="eastAsia" w:ascii="Times New Roman" w:hAnsi="Times New Roman" w:cs="Times New Roman"/>
                <w:sz w:val="20"/>
                <w:szCs w:val="20"/>
              </w:rPr>
            </w:pPr>
            <w:r>
              <w:rPr>
                <w:rFonts w:hint="eastAsia" w:ascii="Times New Roman" w:hAnsi="Times New Roman" w:cs="Times New Roman"/>
                <w:sz w:val="20"/>
                <w:szCs w:val="20"/>
              </w:rPr>
              <w:t>2025设计服务周期：参照2024年度执行，具体以后期双方协商为准。</w:t>
            </w:r>
          </w:p>
          <w:p>
            <w:pPr>
              <w:spacing w:line="440" w:lineRule="exact"/>
              <w:jc w:val="both"/>
              <w:rPr>
                <w:rFonts w:ascii="Times New Roman" w:hAnsi="Times New Roman" w:cs="Times New Roman"/>
                <w:sz w:val="20"/>
                <w:szCs w:val="20"/>
              </w:rPr>
            </w:pPr>
            <w:r>
              <w:rPr>
                <w:rFonts w:hint="eastAsia" w:ascii="Times New Roman" w:hAnsi="Times New Roman" w:cs="Times New Roman"/>
                <w:sz w:val="20"/>
                <w:szCs w:val="20"/>
              </w:rPr>
              <w:t>全线2座大桥智能化健康监测、309省道养护应急储备中心可研方案根据招标人要求开展。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w:t>
            </w:r>
          </w:p>
        </w:tc>
        <w:tc>
          <w:tcPr>
            <w:tcW w:w="3702" w:type="dxa"/>
            <w:vAlign w:val="center"/>
          </w:tcPr>
          <w:p>
            <w:pPr>
              <w:spacing w:line="440" w:lineRule="exact"/>
              <w:jc w:val="center"/>
              <w:rPr>
                <w:rFonts w:ascii="Times New Roman" w:hAnsi="Times New Roman" w:cs="Times New Roman"/>
                <w:sz w:val="20"/>
                <w:szCs w:val="20"/>
              </w:rPr>
            </w:pPr>
          </w:p>
        </w:tc>
      </w:tr>
    </w:tbl>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0"/>
          <w:szCs w:val="20"/>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rPr>
          <w:rFonts w:ascii="Times New Roman" w:hAnsi="Times New Roman" w:cs="Times New Roman"/>
        </w:rPr>
      </w:pPr>
      <w:bookmarkStart w:id="392" w:name="_Toc152042580"/>
      <w:bookmarkStart w:id="393" w:name="_Toc247527831"/>
      <w:bookmarkStart w:id="394" w:name="_Toc152045791"/>
      <w:bookmarkStart w:id="395" w:name="_Toc300835213"/>
      <w:bookmarkStart w:id="396" w:name="_Toc247514283"/>
      <w:bookmarkStart w:id="397" w:name="_Toc144974860"/>
      <w:r>
        <w:rPr>
          <w:rFonts w:ascii="Times New Roman" w:hAnsi="Times New Roman" w:cs="Times New Roman"/>
        </w:rPr>
        <w:br w:type="page"/>
      </w:r>
    </w:p>
    <w:p>
      <w:pPr>
        <w:pStyle w:val="3"/>
        <w:jc w:val="center"/>
        <w:rPr>
          <w:rFonts w:ascii="Times New Roman" w:hAnsi="Times New Roman" w:cs="Times New Roman"/>
        </w:rPr>
      </w:pPr>
      <w:r>
        <w:rPr>
          <w:rFonts w:ascii="Times New Roman" w:hAnsi="Times New Roman" w:cs="Times New Roman"/>
        </w:rPr>
        <w:t>二、法定代表人身份证明</w:t>
      </w:r>
      <w:bookmarkEnd w:id="392"/>
      <w:bookmarkEnd w:id="393"/>
      <w:bookmarkEnd w:id="394"/>
      <w:bookmarkEnd w:id="395"/>
      <w:bookmarkEnd w:id="396"/>
      <w:bookmarkEnd w:id="397"/>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398" w:name="_Toc144974861"/>
      <w:bookmarkStart w:id="399" w:name="_Toc152042581"/>
      <w:bookmarkStart w:id="400" w:name="_Toc247514284"/>
      <w:bookmarkStart w:id="401" w:name="_Toc152045792"/>
      <w:bookmarkStart w:id="402" w:name="_Toc300835214"/>
      <w:bookmarkStart w:id="403" w:name="_Toc247527832"/>
      <w:r>
        <w:rPr>
          <w:rFonts w:ascii="Times New Roman" w:hAnsi="Times New Roman" w:cs="Times New Roman"/>
        </w:rPr>
        <w:t>二、授权委托书</w:t>
      </w:r>
      <w:bookmarkEnd w:id="398"/>
      <w:bookmarkEnd w:id="399"/>
      <w:bookmarkEnd w:id="400"/>
      <w:bookmarkEnd w:id="401"/>
      <w:bookmarkEnd w:id="402"/>
      <w:bookmarkEnd w:id="403"/>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确认、递交、撤回、修改招标项目投标文件、签订合同和处理有关事宜，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szCs w:val="21"/>
        </w:rPr>
        <w:t>附：法定代表人身份</w:t>
      </w:r>
      <w:r>
        <w:rPr>
          <w:rFonts w:hint="eastAsia" w:ascii="Times New Roman" w:hAnsi="Times New Roman" w:cs="Times New Roman"/>
          <w:szCs w:val="21"/>
        </w:rPr>
        <w:t>证复印件</w:t>
      </w:r>
      <w:r>
        <w:rPr>
          <w:rFonts w:hint="eastAsia" w:ascii="Times New Roman" w:hAnsi="Times New Roman" w:cs="Times New Roman"/>
          <w:szCs w:val="21"/>
          <w:lang w:eastAsia="zh-CN"/>
        </w:rPr>
        <w:t>、</w:t>
      </w:r>
      <w:r>
        <w:rPr>
          <w:rFonts w:hint="eastAsia" w:ascii="Times New Roman" w:hAnsi="Times New Roman" w:cs="Times New Roman"/>
          <w:szCs w:val="21"/>
        </w:rPr>
        <w:t>委托代理人身份证复印件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委托代理人2023年6月以来任意3个月及以上养老保险证明</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投</w:t>
      </w:r>
      <w:r>
        <w:rPr>
          <w:rFonts w:hint="eastAsia" w:ascii="Times New Roman" w:hAnsi="Times New Roman" w:cs="Times New Roman"/>
          <w:szCs w:val="21"/>
        </w:rPr>
        <w:t xml:space="preserve">  </w:t>
      </w:r>
      <w:r>
        <w:rPr>
          <w:rFonts w:ascii="Times New Roman" w:hAnsi="Times New Roman" w:cs="Times New Roman"/>
          <w:szCs w:val="21"/>
        </w:rPr>
        <w:t>标</w:t>
      </w:r>
      <w:r>
        <w:rPr>
          <w:rFonts w:hint="eastAsia" w:ascii="Times New Roman" w:hAnsi="Times New Roman" w:cs="Times New Roman"/>
          <w:szCs w:val="21"/>
        </w:rPr>
        <w:t xml:space="preserve">  </w:t>
      </w:r>
      <w:r>
        <w:rPr>
          <w:rFonts w:ascii="Times New Roman" w:hAnsi="Times New Roman" w:cs="Times New Roman"/>
          <w:szCs w:val="21"/>
        </w:rPr>
        <w:t>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60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404" w:name="_Toc152042583"/>
      <w:bookmarkStart w:id="405" w:name="_Toc300835216"/>
      <w:bookmarkStart w:id="406" w:name="_Toc247514286"/>
      <w:bookmarkStart w:id="407" w:name="_Toc144974862"/>
      <w:bookmarkStart w:id="408" w:name="_Toc247527834"/>
      <w:bookmarkStart w:id="409" w:name="_Toc152045794"/>
      <w:r>
        <w:rPr>
          <w:rFonts w:ascii="Times New Roman" w:hAnsi="Times New Roman" w:cs="Times New Roman"/>
        </w:rPr>
        <w:t>三、投标保证金</w:t>
      </w:r>
      <w:bookmarkEnd w:id="404"/>
      <w:bookmarkEnd w:id="405"/>
      <w:bookmarkEnd w:id="406"/>
      <w:bookmarkEnd w:id="407"/>
      <w:bookmarkEnd w:id="408"/>
      <w:bookmarkEnd w:id="409"/>
    </w:p>
    <w:p>
      <w:pPr>
        <w:wordWrap w:val="0"/>
        <w:snapToGrid w:val="0"/>
        <w:spacing w:line="520" w:lineRule="exact"/>
        <w:ind w:firstLine="460" w:firstLineChars="192"/>
        <w:rPr>
          <w:rFonts w:ascii="Times New Roman" w:hAnsi="Times New Roman" w:cs="Times New Roman"/>
          <w:bCs/>
          <w:color w:val="000000"/>
          <w:kern w:val="0"/>
          <w:sz w:val="24"/>
        </w:rPr>
      </w:pPr>
      <w:bookmarkStart w:id="410"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410"/>
    <w:p>
      <w:pPr>
        <w:rPr>
          <w:rFonts w:ascii="Times New Roman" w:hAnsi="Times New Roman" w:cs="Times New Roman"/>
        </w:rPr>
      </w:pPr>
      <w:bookmarkStart w:id="411" w:name="_Toc144974863"/>
      <w:bookmarkStart w:id="412" w:name="_Toc152042584"/>
      <w:bookmarkStart w:id="413" w:name="_Toc152045795"/>
      <w:bookmarkStart w:id="414" w:name="_Toc300835218"/>
      <w:bookmarkStart w:id="415" w:name="_Toc247514287"/>
      <w:bookmarkStart w:id="416" w:name="_Toc247527835"/>
      <w:r>
        <w:rPr>
          <w:rFonts w:ascii="Times New Roman" w:hAnsi="Times New Roman" w:cs="Times New Roman"/>
        </w:rPr>
        <w:br w:type="page"/>
      </w:r>
    </w:p>
    <w:p>
      <w:pPr>
        <w:pStyle w:val="3"/>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411"/>
      <w:bookmarkEnd w:id="412"/>
      <w:bookmarkEnd w:id="413"/>
      <w:bookmarkEnd w:id="414"/>
      <w:bookmarkEnd w:id="415"/>
      <w:bookmarkEnd w:id="416"/>
      <w:r>
        <w:rPr>
          <w:rFonts w:hint="eastAsia" w:ascii="Times New Roman" w:hAnsi="Times New Roman" w:cs="Times New Roman"/>
        </w:rPr>
        <w:t>设计费用清单</w:t>
      </w:r>
    </w:p>
    <w:p>
      <w:pPr>
        <w:ind w:firstLine="420" w:firstLineChars="200"/>
        <w:rPr>
          <w:rFonts w:ascii="Times New Roman" w:hAnsi="Times New Roman" w:cs="Times New Roman"/>
        </w:rPr>
      </w:pPr>
      <w:r>
        <w:rPr>
          <w:rFonts w:hint="eastAsia" w:ascii="Times New Roman" w:hAnsi="Times New Roman" w:cs="Times New Roman"/>
        </w:rPr>
        <w:t>1.服务费用清单说明</w:t>
      </w:r>
    </w:p>
    <w:p>
      <w:pPr>
        <w:rPr>
          <w:rFonts w:ascii="Times New Roman" w:hAnsi="Times New Roman" w:cs="Times New Roman"/>
        </w:rPr>
      </w:pPr>
    </w:p>
    <w:p>
      <w:pPr>
        <w:ind w:firstLine="420" w:firstLineChars="200"/>
        <w:rPr>
          <w:rFonts w:ascii="Times New Roman" w:hAnsi="Times New Roman" w:cs="Times New Roman"/>
        </w:rPr>
      </w:pPr>
      <w:r>
        <w:rPr>
          <w:rFonts w:hint="eastAsia" w:ascii="Times New Roman" w:hAnsi="Times New Roman" w:cs="Times New Roman"/>
        </w:rPr>
        <w:t>2.服务费用清单</w:t>
      </w:r>
    </w:p>
    <w:p>
      <w:pPr>
        <w:rPr>
          <w:rFonts w:ascii="Times New Roman" w:hAnsi="Times New Roman" w:cs="Times New Roman"/>
        </w:rPr>
      </w:pPr>
    </w:p>
    <w:p>
      <w:pPr>
        <w:jc w:val="right"/>
        <w:rPr>
          <w:rFonts w:ascii="Times New Roman" w:hAnsi="Times New Roman" w:cs="Times New Roman"/>
        </w:rPr>
      </w:pPr>
      <w:r>
        <w:rPr>
          <w:rFonts w:hint="eastAsia" w:ascii="Times New Roman" w:hAnsi="Times New Roman" w:cs="Times New Roma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bookmarkStart w:id="417" w:name="_Toc247527836"/>
            <w:bookmarkStart w:id="418" w:name="_Toc152045796"/>
            <w:bookmarkStart w:id="419" w:name="_Toc144974864"/>
            <w:bookmarkStart w:id="420" w:name="_Toc300835221"/>
            <w:bookmarkStart w:id="421" w:name="_Toc152042585"/>
            <w:bookmarkStart w:id="422" w:name="_Toc247514288"/>
            <w:r>
              <w:rPr>
                <w:rFonts w:hint="eastAsia" w:ascii="Times New Roman" w:hAnsi="Times New Roman" w:cs="Times New Roman"/>
                <w:b/>
                <w:bCs/>
              </w:rPr>
              <w:t>序号</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服务费用分项名称</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计算依据、过程和公式</w:t>
            </w:r>
          </w:p>
        </w:tc>
        <w:tc>
          <w:tcPr>
            <w:tcW w:w="1134" w:type="dxa"/>
            <w:vAlign w:val="center"/>
          </w:tcPr>
          <w:p>
            <w:pPr>
              <w:jc w:val="center"/>
              <w:rPr>
                <w:rFonts w:ascii="Times New Roman" w:hAnsi="Times New Roman" w:cs="Times New Roman"/>
                <w:b/>
                <w:bCs/>
              </w:rPr>
            </w:pPr>
            <w:r>
              <w:rPr>
                <w:rFonts w:hint="eastAsia" w:ascii="Times New Roman" w:hAnsi="Times New Roman" w:cs="Times New Roman"/>
                <w:b/>
                <w:bCs/>
              </w:rPr>
              <w:t>金额（元）</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ascii="Times New Roman" w:hAnsi="Times New Roman" w:cs="Times New Roman"/>
              </w:rPr>
            </w:pPr>
            <w:r>
              <w:rPr>
                <w:rFonts w:hint="eastAsia" w:ascii="Times New Roman" w:hAnsi="Times New Roman" w:cs="Times New Roman"/>
                <w:b/>
                <w:bCs/>
              </w:rPr>
              <w:t>合计报价</w:t>
            </w: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ascii="Times New Roman" w:hAnsi="Times New Roman" w:cs="Times New Roman"/>
        </w:rPr>
        <w:br w:type="page"/>
      </w:r>
    </w:p>
    <w:bookmarkEnd w:id="417"/>
    <w:bookmarkEnd w:id="418"/>
    <w:bookmarkEnd w:id="419"/>
    <w:bookmarkEnd w:id="420"/>
    <w:bookmarkEnd w:id="421"/>
    <w:bookmarkEnd w:id="422"/>
    <w:p>
      <w:pPr>
        <w:pStyle w:val="3"/>
        <w:jc w:val="center"/>
      </w:pPr>
      <w:bookmarkStart w:id="423" w:name="_Toc144974876"/>
      <w:bookmarkStart w:id="424" w:name="_Toc247514300"/>
      <w:bookmarkStart w:id="425" w:name="_Toc247085887"/>
      <w:bookmarkStart w:id="426" w:name="_Toc144974871"/>
      <w:bookmarkStart w:id="427" w:name="_Toc152042597"/>
      <w:bookmarkStart w:id="428" w:name="_Toc246997112"/>
      <w:bookmarkStart w:id="429" w:name="_Toc247527848"/>
      <w:bookmarkStart w:id="430" w:name="_Toc300835224"/>
      <w:bookmarkStart w:id="431" w:name="_Toc179632823"/>
      <w:bookmarkStart w:id="432" w:name="_Toc152045808"/>
      <w:bookmarkStart w:id="433" w:name="_Toc152042592"/>
      <w:bookmarkStart w:id="434" w:name="_Toc296602614"/>
      <w:bookmarkStart w:id="435" w:name="_Toc152045803"/>
      <w:bookmarkStart w:id="436" w:name="_Toc246996369"/>
      <w:r>
        <w:rPr>
          <w:rFonts w:hint="eastAsia"/>
        </w:rPr>
        <w:t>五</w:t>
      </w:r>
      <w:r>
        <w:t>、资格审查资料</w:t>
      </w:r>
    </w:p>
    <w:p>
      <w:pPr>
        <w:pStyle w:val="4"/>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left"/>
              <w:rPr>
                <w:szCs w:val="21"/>
              </w:rPr>
            </w:pPr>
            <w:r>
              <w:rPr>
                <w:rFonts w:hint="eastAsia"/>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bl>
    <w:p>
      <w:pPr>
        <w:spacing w:line="400" w:lineRule="exact"/>
        <w:ind w:firstLine="420" w:firstLineChars="200"/>
        <w:rPr>
          <w:rFonts w:ascii="Times New Roman" w:hAnsi="Times New Roman" w:cs="Times New Roman"/>
        </w:rPr>
      </w:pPr>
      <w:r>
        <w:rPr>
          <w:rFonts w:hint="eastAsia" w:ascii="Times New Roman" w:hAnsi="Times New Roman" w:cs="Times New Roman"/>
        </w:rPr>
        <w:t>注：</w:t>
      </w:r>
      <w:r>
        <w:rPr>
          <w:rFonts w:ascii="Times New Roman" w:hAnsi="Times New Roman" w:cs="Times New Roman"/>
        </w:rPr>
        <w:t>投标人应根据投标人须知第3.5.1项的要求在本表后附相关证明材料</w:t>
      </w:r>
      <w:r>
        <w:rPr>
          <w:rFonts w:hint="eastAsia" w:ascii="Times New Roman" w:hAnsi="Times New Roman" w:cs="Times New Roman"/>
        </w:rPr>
        <w:t>。</w:t>
      </w:r>
    </w:p>
    <w:p>
      <w:pPr>
        <w:spacing w:line="400" w:lineRule="exact"/>
        <w:ind w:firstLine="420" w:firstLineChars="200"/>
        <w:rPr>
          <w:rFonts w:ascii="Times New Roman" w:hAnsi="Times New Roman" w:cs="Times New Roman"/>
        </w:rPr>
      </w:pPr>
      <w:r>
        <w:rPr>
          <w:rFonts w:hint="eastAsia" w:ascii="Times New Roman" w:hAnsi="Times New Roman" w:cs="Times New Roman"/>
        </w:rPr>
        <w:t>附：3.5.1 “投标人基本情况表”应附投标人营业执照和组织机构代码证的复印件（按照“三证合一”或“五证合一”登记制度进行登记的，可仅提供营业执照复印件）、投标人资质证书副本（如有）等材料的复印件。</w:t>
      </w:r>
    </w:p>
    <w:p>
      <w:r>
        <w:rPr>
          <w:rFonts w:hint="eastAsia"/>
        </w:rPr>
        <w:br w:type="page"/>
      </w:r>
    </w:p>
    <w:p>
      <w:pPr>
        <w:pStyle w:val="4"/>
        <w:rPr>
          <w:rFonts w:ascii="Times New Roman" w:hAnsi="Times New Roman" w:cs="Times New Roman"/>
        </w:rPr>
      </w:pPr>
      <w:r>
        <w:rPr>
          <w:rFonts w:ascii="Times New Roman" w:hAnsi="Times New Roman" w:cs="Times New Roman"/>
        </w:rPr>
        <w:t>（</w:t>
      </w:r>
      <w:r>
        <w:rPr>
          <w:rFonts w:hint="eastAsia" w:ascii="Times New Roman" w:hAnsi="Times New Roman" w:cs="Times New Roman"/>
        </w:rPr>
        <w:t>二</w:t>
      </w:r>
      <w:r>
        <w:rPr>
          <w:rFonts w:ascii="Times New Roman" w:hAnsi="Times New Roman" w:cs="Times New Roman"/>
        </w:rPr>
        <w:t>）近年完成的类似项目情况表</w:t>
      </w:r>
    </w:p>
    <w:p>
      <w:pPr>
        <w:spacing w:line="440" w:lineRule="exact"/>
        <w:jc w:val="center"/>
        <w:rPr>
          <w:rFonts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服务期限</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服务内容</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ind w:firstLine="420" w:firstLineChars="200"/>
        <w:rPr>
          <w:rFonts w:ascii="Times New Roman" w:hAnsi="Times New Roman" w:cs="Times New Roman"/>
        </w:rPr>
      </w:pPr>
      <w:r>
        <w:rPr>
          <w:rFonts w:ascii="Times New Roman" w:hAnsi="Times New Roman" w:cs="Times New Roman"/>
        </w:rPr>
        <w:t>注：投标人应根据投标人须知第3.5.3项的要求在本表后附相关证明材料；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附：3.5.3 “近年完成的类似项目情况表”应附合同协议书；具体时间要求见投标人须知前附表，每张表格只填写一个项目，并标明序号。</w:t>
      </w:r>
    </w:p>
    <w:p>
      <w:r>
        <w:rPr>
          <w:rFonts w:hint="eastAsia"/>
        </w:rPr>
        <w:br w:type="page"/>
      </w: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（三）拟委任的主要人员汇总表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序号</w:t>
            </w:r>
          </w:p>
        </w:tc>
        <w:tc>
          <w:tcPr>
            <w:tcW w:w="948"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本项目任职</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姓名</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职称</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专业</w:t>
            </w:r>
          </w:p>
        </w:tc>
        <w:tc>
          <w:tcPr>
            <w:tcW w:w="1725" w:type="pct"/>
            <w:gridSpan w:val="3"/>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执业或职业资格证明</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spacing w:line="480" w:lineRule="exact"/>
              <w:jc w:val="center"/>
              <w:rPr>
                <w:rFonts w:ascii="Times New Roman" w:hAnsi="Times New Roman" w:eastAsia="宋体" w:cs="Times New Roman"/>
                <w:kern w:val="0"/>
                <w:sz w:val="24"/>
              </w:rPr>
            </w:pPr>
          </w:p>
        </w:tc>
        <w:tc>
          <w:tcPr>
            <w:tcW w:w="948"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证明名称</w:t>
            </w:r>
          </w:p>
        </w:tc>
        <w:tc>
          <w:tcPr>
            <w:tcW w:w="466"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级别</w:t>
            </w:r>
          </w:p>
        </w:tc>
        <w:tc>
          <w:tcPr>
            <w:tcW w:w="471"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证号</w:t>
            </w:r>
          </w:p>
        </w:tc>
        <w:tc>
          <w:tcPr>
            <w:tcW w:w="466" w:type="pct"/>
            <w:vMerge w:val="continue"/>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rPr>
            </w:pPr>
          </w:p>
        </w:tc>
        <w:tc>
          <w:tcPr>
            <w:tcW w:w="948"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1"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bl>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rPr>
          <w:i/>
          <w:iCs/>
          <w:color w:val="FF0000"/>
          <w:u w:val="single"/>
        </w:rPr>
      </w:pP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（四）主要人员简历表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姓名</w:t>
            </w:r>
          </w:p>
        </w:tc>
        <w:tc>
          <w:tcPr>
            <w:tcW w:w="1134" w:type="dxa"/>
            <w:vAlign w:val="center"/>
          </w:tcPr>
          <w:p>
            <w:pPr>
              <w:jc w:val="center"/>
            </w:pPr>
          </w:p>
        </w:tc>
        <w:tc>
          <w:tcPr>
            <w:tcW w:w="1134" w:type="dxa"/>
            <w:vAlign w:val="center"/>
          </w:tcPr>
          <w:p>
            <w:pPr>
              <w:jc w:val="center"/>
            </w:pPr>
            <w:r>
              <w:rPr>
                <w:rFonts w:hint="eastAsia"/>
              </w:rPr>
              <w:t>年龄</w:t>
            </w:r>
          </w:p>
        </w:tc>
        <w:tc>
          <w:tcPr>
            <w:tcW w:w="1134" w:type="dxa"/>
            <w:vAlign w:val="center"/>
          </w:tcPr>
          <w:p>
            <w:pPr>
              <w:jc w:val="center"/>
            </w:pPr>
          </w:p>
        </w:tc>
        <w:tc>
          <w:tcPr>
            <w:tcW w:w="1701" w:type="dxa"/>
            <w:vAlign w:val="center"/>
          </w:tcPr>
          <w:p>
            <w:pPr>
              <w:jc w:val="center"/>
            </w:pPr>
            <w:r>
              <w:rPr>
                <w:rFonts w:hint="eastAsia"/>
              </w:rPr>
              <w:t>执业资格证书（或上岗证书）名称</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职称</w:t>
            </w:r>
          </w:p>
        </w:tc>
        <w:tc>
          <w:tcPr>
            <w:tcW w:w="1134" w:type="dxa"/>
            <w:vAlign w:val="center"/>
          </w:tcPr>
          <w:p>
            <w:pPr>
              <w:jc w:val="center"/>
            </w:pPr>
          </w:p>
        </w:tc>
        <w:tc>
          <w:tcPr>
            <w:tcW w:w="1134" w:type="dxa"/>
            <w:vAlign w:val="center"/>
          </w:tcPr>
          <w:p>
            <w:pPr>
              <w:jc w:val="center"/>
            </w:pPr>
            <w:r>
              <w:rPr>
                <w:rFonts w:hint="eastAsia"/>
              </w:rPr>
              <w:t>学历</w:t>
            </w:r>
          </w:p>
        </w:tc>
        <w:tc>
          <w:tcPr>
            <w:tcW w:w="1134" w:type="dxa"/>
            <w:vAlign w:val="center"/>
          </w:tcPr>
          <w:p>
            <w:pPr>
              <w:jc w:val="center"/>
            </w:pPr>
          </w:p>
        </w:tc>
        <w:tc>
          <w:tcPr>
            <w:tcW w:w="1701" w:type="dxa"/>
            <w:vAlign w:val="center"/>
          </w:tcPr>
          <w:p>
            <w:pPr>
              <w:jc w:val="center"/>
            </w:pPr>
            <w:r>
              <w:rPr>
                <w:rFonts w:hint="eastAsia"/>
              </w:rPr>
              <w:t>拟在本项目任职</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工作年限</w:t>
            </w:r>
          </w:p>
        </w:tc>
        <w:tc>
          <w:tcPr>
            <w:tcW w:w="3402" w:type="dxa"/>
            <w:gridSpan w:val="3"/>
            <w:vAlign w:val="center"/>
          </w:tcPr>
          <w:p>
            <w:pPr>
              <w:jc w:val="center"/>
            </w:pPr>
          </w:p>
        </w:tc>
        <w:tc>
          <w:tcPr>
            <w:tcW w:w="1701" w:type="dxa"/>
            <w:vAlign w:val="center"/>
          </w:tcPr>
          <w:p>
            <w:pPr>
              <w:jc w:val="center"/>
            </w:pPr>
            <w:r>
              <w:rPr>
                <w:rFonts w:hint="eastAsia"/>
              </w:rPr>
              <w:t>从事本项目服务工作年限</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毕业学校</w:t>
            </w:r>
          </w:p>
        </w:tc>
        <w:tc>
          <w:tcPr>
            <w:tcW w:w="7388" w:type="dxa"/>
            <w:gridSpan w:val="5"/>
            <w:vAlign w:val="center"/>
          </w:tcPr>
          <w:p>
            <w:r>
              <w:rPr>
                <w:rFonts w:hint="eastAsia"/>
                <w:u w:val="single"/>
              </w:rPr>
              <w:t xml:space="preserve">            </w:t>
            </w:r>
            <w:r>
              <w:rPr>
                <w:rFonts w:hint="eastAsia"/>
              </w:rPr>
              <w:t>年毕业于</w:t>
            </w:r>
            <w:r>
              <w:rPr>
                <w:rFonts w:hint="eastAsia"/>
                <w:u w:val="single"/>
              </w:rPr>
              <w:t xml:space="preserve">            </w:t>
            </w:r>
            <w:r>
              <w:rPr>
                <w:rFonts w:hint="eastAsia"/>
              </w:rPr>
              <w:t>学校</w:t>
            </w:r>
            <w:r>
              <w:rPr>
                <w:rFonts w:hint="eastAsia"/>
                <w:u w:val="single"/>
              </w:rPr>
              <w:t xml:space="preserve">            </w:t>
            </w:r>
            <w:r>
              <w:rPr>
                <w:rFonts w:hint="eastAsi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r>
              <w:rPr>
                <w:rFonts w:hint="eastAsia"/>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时间</w:t>
            </w:r>
          </w:p>
        </w:tc>
        <w:tc>
          <w:tcPr>
            <w:tcW w:w="3402" w:type="dxa"/>
            <w:gridSpan w:val="3"/>
            <w:vAlign w:val="center"/>
          </w:tcPr>
          <w:p>
            <w:pPr>
              <w:jc w:val="center"/>
            </w:pPr>
            <w:r>
              <w:rPr>
                <w:rFonts w:hint="eastAsia"/>
              </w:rPr>
              <w:t>参加过的类似项目</w:t>
            </w:r>
          </w:p>
        </w:tc>
        <w:tc>
          <w:tcPr>
            <w:tcW w:w="1701" w:type="dxa"/>
            <w:vAlign w:val="center"/>
          </w:tcPr>
          <w:p>
            <w:pPr>
              <w:jc w:val="center"/>
            </w:pPr>
            <w:r>
              <w:rPr>
                <w:rFonts w:hint="eastAsia"/>
              </w:rPr>
              <w:t>担任职称</w:t>
            </w:r>
          </w:p>
        </w:tc>
        <w:tc>
          <w:tcPr>
            <w:tcW w:w="2285" w:type="dxa"/>
            <w:vAlign w:val="center"/>
          </w:tcPr>
          <w:p>
            <w:pPr>
              <w:jc w:val="center"/>
            </w:pPr>
            <w:r>
              <w:rPr>
                <w:rFonts w:hint="eastAsi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bl>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注：投标人应根据投标人须知第3.5.6项的要求在本表后附相关证明材料。</w:t>
      </w:r>
    </w:p>
    <w:p>
      <w:pPr>
        <w:spacing w:line="440" w:lineRule="exact"/>
        <w:ind w:firstLine="420" w:firstLineChars="200"/>
        <w:rPr>
          <w:rFonts w:ascii="Times New Roman" w:hAnsi="Times New Roman" w:eastAsia="宋体" w:cs="Times New Roman"/>
        </w:rPr>
      </w:pPr>
      <w:r>
        <w:rPr>
          <w:rFonts w:hint="eastAsia" w:ascii="Times New Roman" w:hAnsi="Times New Roman" w:eastAsia="宋体" w:cs="Times New Roman"/>
        </w:rPr>
        <w:t>附：3.5.6 “拟委任的主要人员汇总表”应填报满足第二章投标人须知第1.4.1项规定的项目负责人和其他主要人员的相关信息。“主要人员简历表”中项目负责人应附身份证、学历证（如有）、职称证、执业资格证书（如有）和社保缴费证明复印件，管理过的项目业绩须附合同协议书复印件；其他主要人员应附身份证、学历证（如有）、职称证（如有）、有关证书（如有）和社保缴费证明复印件。</w:t>
      </w:r>
    </w:p>
    <w:p>
      <w:pPr>
        <w:rPr>
          <w:i/>
          <w:iCs/>
          <w:color w:val="FF0000"/>
          <w:u w:val="single"/>
        </w:rPr>
      </w:pPr>
      <w:r>
        <w:rPr>
          <w:rFonts w:hint="eastAsia"/>
          <w:i/>
          <w:iCs/>
          <w:color w:val="FF0000"/>
          <w:u w:val="single"/>
        </w:rPr>
        <w:br w:type="page"/>
      </w:r>
    </w:p>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p>
      <w:pPr>
        <w:pStyle w:val="3"/>
        <w:jc w:val="center"/>
      </w:pPr>
      <w:r>
        <w:rPr>
          <w:rFonts w:hint="eastAsia"/>
        </w:rPr>
        <w:t>六</w:t>
      </w:r>
      <w:r>
        <w:t>、</w:t>
      </w:r>
      <w:r>
        <w:rPr>
          <w:rFonts w:hint="eastAsia"/>
        </w:rPr>
        <w:t>设计方案</w:t>
      </w:r>
    </w:p>
    <w:p>
      <w:pPr>
        <w:spacing w:line="440" w:lineRule="exact"/>
        <w:rPr>
          <w:rFonts w:ascii="Times New Roman" w:hAnsi="Times New Roman" w:cs="Times New Roman"/>
        </w:rPr>
      </w:pPr>
      <w:r>
        <w:rPr>
          <w:rFonts w:hint="eastAsia" w:ascii="Times New Roman" w:hAnsi="Times New Roman" w:cs="Times New Roman"/>
        </w:rPr>
        <w:t>设计方案应包括（但不限于）下列内容：</w:t>
      </w:r>
    </w:p>
    <w:p>
      <w:pPr>
        <w:spacing w:line="440" w:lineRule="exact"/>
        <w:rPr>
          <w:rFonts w:ascii="Times New Roman" w:hAnsi="Times New Roman" w:cs="Times New Roman"/>
        </w:rPr>
      </w:pPr>
      <w:r>
        <w:rPr>
          <w:rFonts w:hint="eastAsia" w:ascii="Times New Roman" w:hAnsi="Times New Roman" w:cs="Times New Roman"/>
        </w:rPr>
        <w:t>一、项目概况；</w:t>
      </w:r>
    </w:p>
    <w:p>
      <w:pPr>
        <w:spacing w:line="440" w:lineRule="exact"/>
        <w:rPr>
          <w:rFonts w:ascii="Times New Roman" w:hAnsi="Times New Roman" w:cs="Times New Roman"/>
        </w:rPr>
      </w:pPr>
      <w:r>
        <w:rPr>
          <w:rFonts w:hint="eastAsia" w:ascii="Times New Roman" w:hAnsi="Times New Roman" w:cs="Times New Roman"/>
        </w:rPr>
        <w:t>二、服务范围、服务内容；</w:t>
      </w:r>
    </w:p>
    <w:p>
      <w:pPr>
        <w:spacing w:line="440" w:lineRule="exact"/>
        <w:rPr>
          <w:rFonts w:ascii="Times New Roman" w:hAnsi="Times New Roman" w:cs="Times New Roman"/>
        </w:rPr>
      </w:pPr>
      <w:r>
        <w:rPr>
          <w:rFonts w:hint="eastAsia" w:ascii="Times New Roman" w:hAnsi="Times New Roman" w:cs="Times New Roman"/>
        </w:rPr>
        <w:t>三、工作依据、工作目标；</w:t>
      </w:r>
    </w:p>
    <w:p>
      <w:pPr>
        <w:spacing w:line="440" w:lineRule="exact"/>
        <w:rPr>
          <w:rFonts w:ascii="Times New Roman" w:hAnsi="Times New Roman" w:cs="Times New Roman"/>
        </w:rPr>
      </w:pPr>
      <w:r>
        <w:rPr>
          <w:rFonts w:hint="eastAsia" w:ascii="Times New Roman" w:hAnsi="Times New Roman" w:cs="Times New Roman"/>
        </w:rPr>
        <w:t>四、机构设置（框图）、岗位职责；</w:t>
      </w:r>
    </w:p>
    <w:p>
      <w:pPr>
        <w:spacing w:line="440" w:lineRule="exact"/>
        <w:rPr>
          <w:rFonts w:ascii="Times New Roman" w:hAnsi="Times New Roman" w:cs="Times New Roman"/>
        </w:rPr>
      </w:pPr>
      <w:r>
        <w:rPr>
          <w:rFonts w:hint="eastAsia" w:ascii="Times New Roman" w:hAnsi="Times New Roman" w:cs="Times New Roman"/>
        </w:rPr>
        <w:t>五、服务说明和服务方案；</w:t>
      </w:r>
    </w:p>
    <w:p>
      <w:pPr>
        <w:spacing w:line="440" w:lineRule="exact"/>
        <w:rPr>
          <w:rFonts w:ascii="Times New Roman" w:hAnsi="Times New Roman" w:cs="Times New Roman"/>
        </w:rPr>
      </w:pPr>
      <w:r>
        <w:rPr>
          <w:rFonts w:hint="eastAsia" w:ascii="Times New Roman" w:hAnsi="Times New Roman" w:cs="Times New Roman"/>
        </w:rPr>
        <w:t>六、拟投入的主要人员；</w:t>
      </w:r>
    </w:p>
    <w:p>
      <w:pPr>
        <w:spacing w:line="440" w:lineRule="exact"/>
        <w:rPr>
          <w:rFonts w:ascii="Times New Roman" w:hAnsi="Times New Roman" w:cs="Times New Roman"/>
        </w:rPr>
      </w:pPr>
      <w:r>
        <w:rPr>
          <w:rFonts w:hint="eastAsia" w:ascii="Times New Roman" w:hAnsi="Times New Roman" w:cs="Times New Roman"/>
        </w:rPr>
        <w:t>七、质量、进度、保密等保证措施；</w:t>
      </w:r>
    </w:p>
    <w:p>
      <w:pPr>
        <w:spacing w:line="440" w:lineRule="exact"/>
        <w:rPr>
          <w:rFonts w:ascii="Times New Roman" w:hAnsi="Times New Roman" w:cs="Times New Roman"/>
        </w:rPr>
      </w:pPr>
      <w:r>
        <w:rPr>
          <w:rFonts w:hint="eastAsia" w:ascii="Times New Roman" w:hAnsi="Times New Roman" w:cs="Times New Roman"/>
        </w:rPr>
        <w:t>八、安全保证措施；</w:t>
      </w:r>
    </w:p>
    <w:p>
      <w:pPr>
        <w:spacing w:line="440" w:lineRule="exact"/>
        <w:rPr>
          <w:rFonts w:ascii="Times New Roman" w:hAnsi="Times New Roman" w:cs="Times New Roman"/>
        </w:rPr>
      </w:pPr>
      <w:r>
        <w:rPr>
          <w:rFonts w:hint="eastAsia" w:ascii="Times New Roman" w:hAnsi="Times New Roman" w:cs="Times New Roman"/>
        </w:rPr>
        <w:t>九、工作重点、难点分析</w:t>
      </w:r>
    </w:p>
    <w:p>
      <w:pPr>
        <w:spacing w:line="440" w:lineRule="exact"/>
        <w:rPr>
          <w:rFonts w:ascii="Times New Roman" w:hAnsi="Times New Roman" w:cs="Times New Roman"/>
        </w:rPr>
      </w:pPr>
      <w:r>
        <w:rPr>
          <w:rFonts w:hint="eastAsia" w:ascii="Times New Roman" w:hAnsi="Times New Roman" w:cs="Times New Roman"/>
        </w:rPr>
        <w:t>十、对本项目的合理化建议。</w:t>
      </w:r>
    </w:p>
    <w:p>
      <w:pPr>
        <w:rPr>
          <w:rFonts w:ascii="Times New Roman" w:hAnsi="Times New Roman" w:cs="Times New Roman"/>
        </w:rPr>
      </w:pPr>
      <w:r>
        <w:rPr>
          <w:rFonts w:ascii="Times New Roman" w:hAnsi="Times New Roman" w:cs="Times New Roman"/>
        </w:rPr>
        <w:br w:type="page"/>
      </w:r>
    </w:p>
    <w:p>
      <w:pPr>
        <w:pStyle w:val="3"/>
        <w:jc w:val="center"/>
        <w:rPr>
          <w:rFonts w:ascii="Times New Roman" w:hAnsi="Times New Roman" w:cs="Times New Roman"/>
        </w:rPr>
      </w:pPr>
      <w:bookmarkStart w:id="437" w:name="_Toc300835233"/>
      <w:bookmarkStart w:id="438" w:name="_Toc271821942"/>
      <w:r>
        <w:rPr>
          <w:rFonts w:hint="eastAsia" w:ascii="Times New Roman" w:hAnsi="Times New Roman" w:cs="Times New Roman"/>
        </w:rPr>
        <w:t>七</w:t>
      </w:r>
      <w:r>
        <w:rPr>
          <w:rFonts w:ascii="Times New Roman" w:hAnsi="Times New Roman" w:cs="Times New Roman"/>
        </w:rPr>
        <w:t>、其他资料</w:t>
      </w:r>
      <w:bookmarkEnd w:id="437"/>
      <w:bookmarkEnd w:id="438"/>
    </w:p>
    <w:p>
      <w:pPr>
        <w:ind w:firstLine="420" w:firstLineChars="200"/>
        <w:rPr>
          <w:rFonts w:ascii="Times New Roman" w:hAnsi="Times New Roman"/>
        </w:rPr>
      </w:pPr>
      <w:r>
        <w:rPr>
          <w:rFonts w:hint="eastAsia" w:ascii="Times New Roman" w:hAnsi="Times New Roman"/>
        </w:rPr>
        <w:t>第六章“投标文件格式”未详尽列举，但招标文件要求或投标人认为有必要提供的资料。</w:t>
      </w:r>
    </w:p>
    <w:p>
      <w:pPr>
        <w:spacing w:line="400" w:lineRule="exact"/>
        <w:rPr>
          <w:rFonts w:ascii="Times New Roman" w:hAnsi="Times New Roman" w:cs="Times New Roman"/>
        </w:rPr>
      </w:pPr>
    </w:p>
    <w:p>
      <w:pPr>
        <w:pStyle w:val="5"/>
        <w:rPr>
          <w:rFonts w:ascii="Times New Roman" w:hAnsi="Times New Roman" w:cs="Times New Roman"/>
        </w:rPr>
      </w:pPr>
    </w:p>
    <w:p>
      <w:pPr>
        <w:rPr>
          <w:rFonts w:ascii="Times New Roman" w:hAnsi="Times New Roman" w:eastAsia="仿宋_GB2312" w:cs="Times New Roman"/>
          <w:kern w:val="0"/>
          <w:sz w:val="28"/>
          <w:szCs w:val="28"/>
        </w:rPr>
      </w:pPr>
    </w:p>
    <w:p>
      <w:pPr>
        <w:spacing w:line="480" w:lineRule="exact"/>
        <w:jc w:val="cente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40</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dit="readOnly"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mExZjUxNWE0NWJhMGEyZGI3ZWI3YTYxOTBiYmQ5M2YifQ=="/>
  </w:docVars>
  <w:rsids>
    <w:rsidRoot w:val="006E062F"/>
    <w:rsid w:val="00034CF3"/>
    <w:rsid w:val="000A4B92"/>
    <w:rsid w:val="000E25B1"/>
    <w:rsid w:val="00132F8E"/>
    <w:rsid w:val="001A5A83"/>
    <w:rsid w:val="001E52CE"/>
    <w:rsid w:val="002609D3"/>
    <w:rsid w:val="002C069E"/>
    <w:rsid w:val="0037432B"/>
    <w:rsid w:val="0040224D"/>
    <w:rsid w:val="004418A3"/>
    <w:rsid w:val="004A237A"/>
    <w:rsid w:val="00531C3D"/>
    <w:rsid w:val="00595E52"/>
    <w:rsid w:val="005C3D5F"/>
    <w:rsid w:val="005F34EB"/>
    <w:rsid w:val="006D5720"/>
    <w:rsid w:val="006E062F"/>
    <w:rsid w:val="00733B0B"/>
    <w:rsid w:val="00764376"/>
    <w:rsid w:val="00783B70"/>
    <w:rsid w:val="00796B76"/>
    <w:rsid w:val="007A7EAB"/>
    <w:rsid w:val="00850CC0"/>
    <w:rsid w:val="0092162A"/>
    <w:rsid w:val="00A643B1"/>
    <w:rsid w:val="00A850CE"/>
    <w:rsid w:val="00B00F2F"/>
    <w:rsid w:val="00B13464"/>
    <w:rsid w:val="00BD2C5C"/>
    <w:rsid w:val="00C22A83"/>
    <w:rsid w:val="00C54819"/>
    <w:rsid w:val="00C549D8"/>
    <w:rsid w:val="00CB616D"/>
    <w:rsid w:val="00CF7EE9"/>
    <w:rsid w:val="00D229E5"/>
    <w:rsid w:val="00EE4D9A"/>
    <w:rsid w:val="00F06904"/>
    <w:rsid w:val="00F31C49"/>
    <w:rsid w:val="00FF308E"/>
    <w:rsid w:val="011E6004"/>
    <w:rsid w:val="0145105E"/>
    <w:rsid w:val="01581C5E"/>
    <w:rsid w:val="019846E3"/>
    <w:rsid w:val="01CB0CDF"/>
    <w:rsid w:val="01CD2334"/>
    <w:rsid w:val="01E140D3"/>
    <w:rsid w:val="01F16263"/>
    <w:rsid w:val="02016132"/>
    <w:rsid w:val="020C5155"/>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7F68F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1D1E44"/>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2E05FB"/>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4C2272"/>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1874B2"/>
    <w:rsid w:val="212B2F31"/>
    <w:rsid w:val="21327DB2"/>
    <w:rsid w:val="213D6756"/>
    <w:rsid w:val="213D7BD8"/>
    <w:rsid w:val="214C4EC5"/>
    <w:rsid w:val="2153567F"/>
    <w:rsid w:val="21592826"/>
    <w:rsid w:val="217422B6"/>
    <w:rsid w:val="2188758A"/>
    <w:rsid w:val="21A61686"/>
    <w:rsid w:val="21B9535A"/>
    <w:rsid w:val="21C13A32"/>
    <w:rsid w:val="22266257"/>
    <w:rsid w:val="22270787"/>
    <w:rsid w:val="224D73DD"/>
    <w:rsid w:val="22592601"/>
    <w:rsid w:val="22603DB2"/>
    <w:rsid w:val="226D7B83"/>
    <w:rsid w:val="2293123C"/>
    <w:rsid w:val="22A570EC"/>
    <w:rsid w:val="22B660C8"/>
    <w:rsid w:val="232E56FD"/>
    <w:rsid w:val="233F5F96"/>
    <w:rsid w:val="235F4D23"/>
    <w:rsid w:val="236D4028"/>
    <w:rsid w:val="236E64C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736CB"/>
    <w:rsid w:val="3229379D"/>
    <w:rsid w:val="32294133"/>
    <w:rsid w:val="322D5AFA"/>
    <w:rsid w:val="32514C44"/>
    <w:rsid w:val="328916BE"/>
    <w:rsid w:val="32974C7A"/>
    <w:rsid w:val="32BB4ABE"/>
    <w:rsid w:val="32C8549C"/>
    <w:rsid w:val="32CA16D9"/>
    <w:rsid w:val="32E83928"/>
    <w:rsid w:val="32F45590"/>
    <w:rsid w:val="331C19F3"/>
    <w:rsid w:val="33380434"/>
    <w:rsid w:val="33527747"/>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203B2D"/>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070FD4"/>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57B1F"/>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5007B"/>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BD4BC7"/>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8E0DCA"/>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AC3789"/>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0E69BF"/>
    <w:rsid w:val="5C295CCC"/>
    <w:rsid w:val="5C381A3A"/>
    <w:rsid w:val="5C5C135C"/>
    <w:rsid w:val="5C872DAA"/>
    <w:rsid w:val="5C974816"/>
    <w:rsid w:val="5CA97228"/>
    <w:rsid w:val="5CBA57BD"/>
    <w:rsid w:val="5CC5471C"/>
    <w:rsid w:val="5CDC5386"/>
    <w:rsid w:val="5CEE7B85"/>
    <w:rsid w:val="5CF73D69"/>
    <w:rsid w:val="5D163DBD"/>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30CD7"/>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046A"/>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107908"/>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1F8A"/>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C1784"/>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5D3D1D"/>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ind w:left="420" w:leftChars="200"/>
    </w:pPr>
  </w:style>
  <w:style w:type="paragraph" w:styleId="9">
    <w:name w:val="Plain Text"/>
    <w:basedOn w:val="1"/>
    <w:qFormat/>
    <w:uiPriority w:val="0"/>
    <w:rPr>
      <w:rFonts w:ascii="宋体" w:hAnsi="Courier New"/>
      <w:szCs w:val="20"/>
    </w:rPr>
  </w:style>
  <w:style w:type="paragraph" w:styleId="10">
    <w:name w:val="Date"/>
    <w:basedOn w:val="1"/>
    <w:next w:val="1"/>
    <w:link w:val="31"/>
    <w:qFormat/>
    <w:uiPriority w:val="0"/>
    <w:pPr>
      <w:ind w:left="100" w:leftChars="2500"/>
    </w:pPr>
  </w:style>
  <w:style w:type="paragraph" w:styleId="11">
    <w:name w:val="Balloon Text"/>
    <w:basedOn w:val="1"/>
    <w:link w:val="32"/>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annotation reference"/>
    <w:basedOn w:val="19"/>
    <w:qFormat/>
    <w:uiPriority w:val="0"/>
    <w:rPr>
      <w:sz w:val="21"/>
      <w:szCs w:val="21"/>
    </w:rPr>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19"/>
    <w:qFormat/>
    <w:uiPriority w:val="0"/>
    <w:rPr>
      <w:rFonts w:ascii="Calibri" w:hAnsi="Calibri" w:cs="Calibri"/>
      <w:color w:val="000000"/>
      <w:sz w:val="21"/>
      <w:szCs w:val="21"/>
      <w:u w:val="none"/>
    </w:rPr>
  </w:style>
  <w:style w:type="character" w:customStyle="1" w:styleId="27">
    <w:name w:val="font21"/>
    <w:basedOn w:val="19"/>
    <w:qFormat/>
    <w:uiPriority w:val="0"/>
    <w:rPr>
      <w:rFonts w:hint="eastAsia" w:ascii="宋体" w:hAnsi="宋体" w:eastAsia="宋体" w:cs="宋体"/>
      <w:color w:val="000000"/>
      <w:sz w:val="21"/>
      <w:szCs w:val="21"/>
      <w:u w:val="none"/>
    </w:rPr>
  </w:style>
  <w:style w:type="character" w:customStyle="1" w:styleId="28">
    <w:name w:val="font01"/>
    <w:basedOn w:val="19"/>
    <w:qFormat/>
    <w:uiPriority w:val="0"/>
    <w:rPr>
      <w:rFonts w:ascii="Calibri" w:hAnsi="Calibri" w:cs="Calibri"/>
      <w:color w:val="000000"/>
      <w:sz w:val="21"/>
      <w:szCs w:val="21"/>
      <w:u w:val="none"/>
    </w:rPr>
  </w:style>
  <w:style w:type="character" w:customStyle="1" w:styleId="29">
    <w:name w:val="font31"/>
    <w:basedOn w:val="19"/>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character" w:customStyle="1" w:styleId="31">
    <w:name w:val="日期 Char"/>
    <w:basedOn w:val="19"/>
    <w:link w:val="10"/>
    <w:qFormat/>
    <w:uiPriority w:val="0"/>
    <w:rPr>
      <w:rFonts w:asciiTheme="minorHAnsi" w:hAnsiTheme="minorHAnsi" w:eastAsiaTheme="minorEastAsia" w:cstheme="minorBidi"/>
      <w:kern w:val="2"/>
      <w:sz w:val="21"/>
      <w:szCs w:val="24"/>
    </w:rPr>
  </w:style>
  <w:style w:type="character" w:customStyle="1" w:styleId="32">
    <w:name w:val="批注框文本 Char"/>
    <w:basedOn w:val="19"/>
    <w:link w:val="11"/>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3221</Words>
  <Characters>18366</Characters>
  <Lines>153</Lines>
  <Paragraphs>43</Paragraphs>
  <TotalTime>0</TotalTime>
  <ScaleCrop>false</ScaleCrop>
  <LinksUpToDate>false</LinksUpToDate>
  <CharactersWithSpaces>21544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2024-04-26T02:09:00Z</cp:lastPrinted>
  <dcterms:modified xsi:type="dcterms:W3CDTF">2024-04-26T03:55:30Z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