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亳州逸合府一期施工总承包项目桩基机械租赁</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BZJK-2024-031号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安徽通安建设工程有限公司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bookmarkStart w:id="0" w:name="_Toc296602411"/>
      <w:bookmarkStart w:id="1" w:name="_Toc152045520"/>
      <w:bookmarkStart w:id="2" w:name="_Toc246996167"/>
      <w:bookmarkStart w:id="3" w:name="_Toc179632537"/>
      <w:bookmarkStart w:id="4" w:name="_Toc247085681"/>
      <w:bookmarkStart w:id="5" w:name="_Toc152042296"/>
      <w:bookmarkStart w:id="6" w:name="_Toc144974488"/>
      <w:bookmarkStart w:id="7" w:name="_Toc246996910"/>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亳州逸合府一期施工总承包项目桩基机械租赁</w:t>
      </w:r>
      <w:r>
        <w:rPr>
          <w:rFonts w:hint="eastAsia" w:ascii="Times New Roman" w:hAnsi="Times New Roman" w:eastAsia="黑体" w:cs="Times New Roman"/>
          <w:sz w:val="28"/>
          <w:szCs w:val="28"/>
          <w:highlight w:val="none"/>
          <w:lang w:val="en-US" w:eastAsia="zh-CN"/>
        </w:rPr>
        <w:t>招标公告</w:t>
      </w:r>
      <w:bookmarkStart w:id="8" w:name="_Toc152045519"/>
      <w:bookmarkStart w:id="9" w:name="_Toc246996166"/>
      <w:bookmarkStart w:id="10" w:name="_Toc296602410"/>
      <w:bookmarkStart w:id="11" w:name="_Toc247085680"/>
      <w:bookmarkStart w:id="12" w:name="_Toc246996909"/>
      <w:bookmarkStart w:id="13" w:name="_Toc144974487"/>
      <w:bookmarkStart w:id="14" w:name="_Toc152042295"/>
      <w:bookmarkStart w:id="15"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8"/>
      <w:bookmarkEnd w:id="9"/>
      <w:bookmarkEnd w:id="10"/>
      <w:bookmarkEnd w:id="11"/>
      <w:bookmarkEnd w:id="12"/>
      <w:bookmarkEnd w:id="13"/>
      <w:bookmarkEnd w:id="14"/>
      <w:bookmarkEnd w:id="15"/>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亳州逸合府一期施工总承包项目桩基机械租赁</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BZJK-2024-031号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 xml:space="preserve">安徽通安建设工程有限公司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w:t>
      </w:r>
      <w:r>
        <w:rPr>
          <w:rFonts w:hint="eastAsia" w:asciiTheme="minorEastAsia" w:hAnsiTheme="minorEastAsia" w:cstheme="minorEastAsia"/>
          <w:sz w:val="28"/>
          <w:szCs w:val="28"/>
          <w:highlight w:val="none"/>
          <w:lang w:val="en-US" w:eastAsia="zh-CN"/>
        </w:rPr>
        <w:t>70</w:t>
      </w:r>
      <w:r>
        <w:rPr>
          <w:rFonts w:hint="eastAsia" w:asciiTheme="minorEastAsia" w:hAnsiTheme="minorEastAsia" w:eastAsiaTheme="minorEastAsia" w:cstheme="minorEastAsia"/>
          <w:sz w:val="28"/>
          <w:szCs w:val="28"/>
          <w:highlight w:val="none"/>
          <w:lang w:val="en-US" w:eastAsia="zh-CN"/>
        </w:rPr>
        <w:t>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kinsoku/>
        <w:wordWrap/>
        <w:overflowPunct/>
        <w:topLinePunct w:val="0"/>
        <w:autoSpaceDE/>
        <w:autoSpaceDN/>
        <w:bidi w:val="0"/>
        <w:adjustRightInd/>
        <w:snapToGrid/>
        <w:spacing w:line="560" w:lineRule="exact"/>
        <w:ind w:firstLine="280" w:firstLineChars="1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项目桩基机械租赁。机械租赁包括但不限于大型机械进出场、筑岛（平台修筑、维修等）机械、钻孔设备、清孔设备、混凝土灌注设备、泥浆制备及清运设备、钢筋笼制作设备、运输及安装设备，桩头破除设备、试桩、褥垫层等桩基全部机械、机械操作手。其中CFG桩1750根，直径400mm、有效桩长16m，混凝土灌注桩944根，直径500mm、桩长12m，具体工程量以实际完成合格工程量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：自招标人下达开工指令起</w:t>
      </w:r>
      <w:r>
        <w:rPr>
          <w:rFonts w:hint="eastAsia" w:asciiTheme="minorEastAsia" w:hAnsiTheme="minorEastAsia" w:eastAsia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个月。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eastAsiaTheme="minorEastAsia" w:cstheme="minorEastAsia"/>
          <w:sz w:val="28"/>
          <w:szCs w:val="28"/>
          <w:highlight w:val="none"/>
          <w:lang w:val="en-US" w:eastAsia="zh-CN"/>
        </w:rPr>
        <w:t>（含税</w:t>
      </w:r>
      <w:r>
        <w:rPr>
          <w:rFonts w:hint="eastAsia" w:asciiTheme="minorEastAsia" w:hAnsiTheme="minorEastAsia" w:eastAsiaTheme="minorEastAsia" w:cstheme="minorEastAsia"/>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1671638.72元</w:t>
      </w:r>
      <w:r>
        <w:rPr>
          <w:rFonts w:hint="eastAsia" w:asciiTheme="minorEastAsia" w:hAnsiTheme="minorEastAsia" w:eastAsiaTheme="minorEastAsia" w:cstheme="minorEastAsia"/>
          <w:sz w:val="28"/>
          <w:szCs w:val="28"/>
          <w:highlight w:val="none"/>
          <w:lang w:val="en-US" w:eastAsia="zh-CN"/>
        </w:rPr>
        <w:t>，CFG桩最高投标限价</w:t>
      </w:r>
      <w:r>
        <w:rPr>
          <w:rFonts w:hint="eastAsia" w:asciiTheme="minorEastAsia" w:hAnsiTheme="minorEastAsia" w:eastAsiaTheme="minorEastAsia" w:cstheme="minorEastAsia"/>
          <w:sz w:val="28"/>
          <w:szCs w:val="28"/>
          <w:highlight w:val="none"/>
          <w:u w:val="single"/>
          <w:lang w:val="en-US" w:eastAsia="zh-CN"/>
        </w:rPr>
        <w:t>21.17元/米</w:t>
      </w:r>
      <w:r>
        <w:rPr>
          <w:rFonts w:hint="eastAsia" w:asciiTheme="minorEastAsia" w:hAnsiTheme="minorEastAsia" w:eastAsiaTheme="minorEastAsia" w:cstheme="minorEastAsia"/>
          <w:sz w:val="28"/>
          <w:szCs w:val="28"/>
          <w:highlight w:val="none"/>
          <w:lang w:val="en-US" w:eastAsia="zh-CN"/>
        </w:rPr>
        <w:t>，暂定</w:t>
      </w:r>
      <w:r>
        <w:rPr>
          <w:rFonts w:hint="eastAsia" w:asciiTheme="minorEastAsia" w:hAnsiTheme="minorEastAsia" w:eastAsiaTheme="minorEastAsia" w:cstheme="minorEastAsia"/>
          <w:sz w:val="28"/>
          <w:szCs w:val="28"/>
          <w:highlight w:val="none"/>
          <w:u w:val="single"/>
          <w:lang w:val="en-US" w:eastAsia="zh-CN"/>
        </w:rPr>
        <w:t>28000米</w:t>
      </w:r>
      <w:r>
        <w:rPr>
          <w:rFonts w:hint="eastAsia" w:asciiTheme="minorEastAsia" w:hAnsiTheme="minorEastAsia" w:eastAsiaTheme="minorEastAsia" w:cstheme="minorEastAsia"/>
          <w:sz w:val="28"/>
          <w:szCs w:val="28"/>
          <w:highlight w:val="none"/>
          <w:lang w:val="en-US" w:eastAsia="zh-CN"/>
        </w:rPr>
        <w:t>，混凝土灌注桩（抗拔桩）最高投标限价</w:t>
      </w:r>
      <w:r>
        <w:rPr>
          <w:rFonts w:hint="eastAsia" w:asciiTheme="minorEastAsia" w:hAnsiTheme="minorEastAsia" w:eastAsiaTheme="minorEastAsia" w:cstheme="minorEastAsia"/>
          <w:sz w:val="28"/>
          <w:szCs w:val="28"/>
          <w:highlight w:val="none"/>
          <w:u w:val="single"/>
          <w:lang w:val="en-US" w:eastAsia="zh-CN"/>
        </w:rPr>
        <w:t>95.24元/米</w:t>
      </w:r>
      <w:r>
        <w:rPr>
          <w:rFonts w:hint="eastAsia" w:asciiTheme="minorEastAsia" w:hAnsiTheme="minorEastAsia" w:eastAsiaTheme="minorEastAsia" w:cstheme="minorEastAsia"/>
          <w:sz w:val="28"/>
          <w:szCs w:val="28"/>
          <w:highlight w:val="none"/>
          <w:lang w:val="en-US" w:eastAsia="zh-CN"/>
        </w:rPr>
        <w:t>，暂定</w:t>
      </w:r>
      <w:r>
        <w:rPr>
          <w:rFonts w:hint="eastAsia" w:asciiTheme="minorEastAsia" w:hAnsiTheme="minorEastAsia" w:eastAsiaTheme="minorEastAsia" w:cstheme="minorEastAsia"/>
          <w:sz w:val="28"/>
          <w:szCs w:val="28"/>
          <w:highlight w:val="none"/>
          <w:u w:val="single"/>
          <w:lang w:val="en-US" w:eastAsia="zh-CN"/>
        </w:rPr>
        <w:t>11328米</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投</w:t>
      </w:r>
      <w:bookmarkStart w:id="444" w:name="_GoBack"/>
      <w:bookmarkEnd w:id="444"/>
      <w:r>
        <w:rPr>
          <w:rFonts w:hint="eastAsia" w:asciiTheme="minorEastAsia" w:hAnsiTheme="minorEastAsia" w:eastAsiaTheme="minorEastAsia" w:cstheme="minorEastAsia"/>
          <w:sz w:val="28"/>
          <w:szCs w:val="28"/>
          <w:highlight w:val="none"/>
          <w:lang w:val="en-US" w:eastAsia="zh-CN"/>
        </w:rPr>
        <w:t>标人按</w:t>
      </w:r>
      <w:permStart w:id="10" w:edGrp="everyone"/>
      <w:r>
        <w:rPr>
          <w:rFonts w:hint="eastAsia" w:asciiTheme="minorEastAsia" w:hAnsiTheme="minorEastAsia" w:eastAsiaTheme="minorEastAsia" w:cstheme="minorEastAsia"/>
          <w:sz w:val="28"/>
          <w:szCs w:val="28"/>
          <w:highlight w:val="none"/>
          <w:lang w:val="en-US" w:eastAsia="zh-CN"/>
        </w:rPr>
        <w:t>固定单价</w:t>
      </w:r>
      <w:permEnd w:id="10"/>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，并在人员、设备、资金等方面具有承担本工程</w:t>
      </w:r>
      <w:r>
        <w:rPr>
          <w:rFonts w:hint="eastAsia" w:asciiTheme="minorEastAsia" w:hAnsiTheme="minorEastAsia" w:cstheme="minorEastAsia"/>
          <w:sz w:val="28"/>
          <w:szCs w:val="28"/>
          <w:highlight w:val="none"/>
          <w:lang w:val="en-US" w:eastAsia="zh-CN"/>
        </w:rPr>
        <w:t>机械租赁</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cstheme="minorEastAsia"/>
          <w:sz w:val="28"/>
          <w:szCs w:val="28"/>
          <w:highlight w:val="none"/>
          <w:u w:val="single"/>
          <w:lang w:val="en-US" w:eastAsia="zh-CN"/>
        </w:rPr>
        <w:t xml:space="preserve">      /      </w:t>
      </w:r>
      <w:permEnd w:id="12"/>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3" w:edGrp="everyone"/>
      <w:r>
        <w:rPr>
          <w:rFonts w:hint="eastAsia" w:asciiTheme="minorEastAsia" w:hAnsiTheme="minorEastAsia" w:cstheme="minorEastAsia"/>
          <w:sz w:val="28"/>
          <w:szCs w:val="28"/>
          <w:highlight w:val="none"/>
          <w:u w:val="single"/>
          <w:lang w:val="en-US" w:eastAsia="zh-CN"/>
        </w:rPr>
        <w:t xml:space="preserve">     /     </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ermEnd w:id="1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4" w:edGrp="everyone"/>
      <w:r>
        <w:rPr>
          <w:rFonts w:hint="eastAsia" w:asciiTheme="minorEastAsia" w:hAnsiTheme="minorEastAsia" w:eastAsiaTheme="minorEastAsia" w:cstheme="minorEastAsia"/>
          <w:sz w:val="28"/>
          <w:szCs w:val="28"/>
          <w:highlight w:val="none"/>
          <w:lang w:val="en-US" w:eastAsia="zh-CN"/>
        </w:rPr>
        <w:t>竣工验收时间</w:t>
      </w:r>
      <w:permEnd w:id="1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单项合同金额不低于100万元的桩基施工机械租赁业绩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permStart w:id="15" w:edGrp="everyone"/>
      <w:r>
        <w:rPr>
          <w:rFonts w:hint="eastAsia" w:asciiTheme="minorEastAsia" w:hAnsiTheme="minorEastAsia" w:eastAsiaTheme="minorEastAsia" w:cstheme="minorEastAsia"/>
          <w:sz w:val="28"/>
          <w:szCs w:val="28"/>
          <w:highlight w:val="none"/>
          <w:lang w:val="en-US" w:eastAsia="zh-CN"/>
        </w:rPr>
        <w:t>提供业绩合同、合同任意节点税务发票（开票日期不得晚于招标公告发布日期）等复印件或扫描件加盖单位公章装订入投标文件中</w:t>
      </w:r>
      <w:permEnd w:id="15"/>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7" w:edGrp="everyone"/>
      <w:r>
        <w:rPr>
          <w:rFonts w:hint="eastAsia" w:asciiTheme="minorEastAsia" w:hAnsiTheme="minorEastAsia" w:cstheme="minorEastAsia"/>
          <w:sz w:val="28"/>
          <w:szCs w:val="28"/>
          <w:highlight w:val="none"/>
          <w:u w:val="single"/>
          <w:lang w:val="en-US" w:eastAsia="zh-CN"/>
        </w:rPr>
        <w:t xml:space="preserve">    /   </w:t>
      </w:r>
      <w:permEnd w:id="17"/>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u w:val="singl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eastAsia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9时00分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cstheme="minorEastAsia"/>
          <w:color w:val="FF0000"/>
          <w:sz w:val="28"/>
          <w:szCs w:val="28"/>
          <w:highlight w:val="none"/>
          <w:lang w:val="en-US" w:eastAsia="zh-CN"/>
        </w:rPr>
        <w:t>不允许</w:t>
      </w:r>
      <w:permEnd w:id="20"/>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default" w:asciiTheme="minorEastAsia" w:hAnsiTheme="minorEastAsia" w:eastAsiaTheme="minorEastAsia" w:cstheme="minorEastAsia"/>
          <w:sz w:val="28"/>
          <w:szCs w:val="28"/>
          <w:highlight w:val="none"/>
          <w:lang w:val="en-US" w:eastAsia="zh-CN"/>
        </w:rPr>
        <w:t>安徽通</w:t>
      </w:r>
      <w:r>
        <w:rPr>
          <w:rFonts w:hint="eastAsia" w:asciiTheme="minorEastAsia" w:hAnsiTheme="minorEastAsia" w:cstheme="minorEastAsia"/>
          <w:sz w:val="28"/>
          <w:szCs w:val="28"/>
          <w:highlight w:val="none"/>
          <w:lang w:val="en-US" w:eastAsia="zh-CN"/>
        </w:rPr>
        <w:t>安</w:t>
      </w:r>
      <w:r>
        <w:rPr>
          <w:rFonts w:hint="default" w:asciiTheme="minorEastAsia" w:hAnsiTheme="minorEastAsia" w:eastAsiaTheme="minorEastAsia" w:cstheme="minorEastAsia"/>
          <w:sz w:val="28"/>
          <w:szCs w:val="28"/>
          <w:highlight w:val="none"/>
          <w:lang w:val="en-US" w:eastAsia="zh-CN"/>
        </w:rPr>
        <w:t>建设工程有限公司</w:t>
      </w:r>
      <w:r>
        <w:rPr>
          <w:rFonts w:hint="eastAsia" w:asciiTheme="minorEastAsia" w:hAnsiTheme="minorEastAsia" w:cstheme="minorEastAsia"/>
          <w:sz w:val="28"/>
          <w:szCs w:val="28"/>
          <w:highlight w:val="none"/>
          <w:lang w:val="en-US" w:eastAsia="zh-CN"/>
        </w:rPr>
        <w:t xml:space="preserve"> </w:t>
      </w:r>
    </w:p>
    <w:permEnd w:id="2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cstheme="minorEastAsia"/>
          <w:sz w:val="28"/>
          <w:szCs w:val="28"/>
          <w:highlight w:val="none"/>
          <w:lang w:val="en-US" w:eastAsia="zh-CN"/>
        </w:rPr>
        <w:t xml:space="preserve">安徽省亳州市谯城区S309收费站二楼法务部  </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李经理 </w:t>
      </w:r>
      <w:permEnd w:id="2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lang w:val="en-US" w:eastAsia="zh-CN"/>
        </w:rPr>
        <w:t xml:space="preserve">15955497321 </w:t>
      </w:r>
      <w:permEnd w:id="2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安徽通安建设工程有限公司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permEnd w:id="26"/>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7"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7"/>
          <w:p>
            <w:pPr>
              <w:pStyle w:val="6"/>
              <w:topLinePunct/>
              <w:spacing w:line="440" w:lineRule="exact"/>
              <w:ind w:firstLine="480" w:firstLineChars="200"/>
              <w:rPr>
                <w:rFonts w:hint="default" w:ascii="Times New Roman" w:hAnsi="Times New Roman" w:cs="Times New Roman"/>
                <w:szCs w:val="21"/>
                <w:highlight w:val="none"/>
              </w:rPr>
            </w:pPr>
            <w:r>
              <w:rPr>
                <w:rFonts w:hint="eastAsia"/>
                <w:lang w:val="en-US" w:eastAsia="zh-CN"/>
              </w:rPr>
              <w:t>3</w:t>
            </w:r>
            <w:r>
              <w:rPr>
                <w:rFonts w:hint="eastAsia"/>
              </w:rPr>
              <w:t>、其他要求：</w:t>
            </w: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9" w:edGrp="everyone"/>
            <w:r>
              <w:rPr>
                <w:rFonts w:hint="eastAsia" w:hAnsi="宋体"/>
                <w:sz w:val="21"/>
                <w:szCs w:val="21"/>
                <w:lang w:val="en-US" w:eastAsia="zh-CN"/>
              </w:rPr>
              <w:t xml:space="preserve">       /            </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0"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1"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3" w:edGrp="everyone"/>
            <w:r>
              <w:rPr>
                <w:rFonts w:hint="eastAsia" w:ascii="Times New Roman" w:hAnsi="Times New Roman" w:cs="Times New Roman"/>
                <w:color w:val="FF0000"/>
                <w:sz w:val="21"/>
                <w:szCs w:val="21"/>
                <w:highlight w:val="none"/>
                <w:lang w:val="en-US" w:eastAsia="zh-CN"/>
              </w:rPr>
              <w:t xml:space="preserve">         /                   </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4" w:edGrp="everyone"/>
            <w:r>
              <w:rPr>
                <w:rFonts w:hint="eastAsia" w:ascii="Times New Roman" w:hAnsi="Times New Roman" w:cs="Times New Roman"/>
                <w:kern w:val="2"/>
                <w:sz w:val="21"/>
                <w:szCs w:val="21"/>
                <w:highlight w:val="none"/>
                <w:u w:val="single"/>
                <w:lang w:val="en-US" w:eastAsia="zh-CN" w:bidi="ar-SA"/>
              </w:rPr>
              <w:t xml:space="preserve">          /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36" w:edGrp="everyone"/>
            <w:r>
              <w:rPr>
                <w:rFonts w:hint="default" w:ascii="Times New Roman" w:hAnsi="Times New Roman" w:cs="Times New Roman"/>
                <w:color w:val="FF0000"/>
                <w:szCs w:val="21"/>
                <w:highlight w:val="none"/>
              </w:rPr>
              <w:t>银行汇款或转账</w:t>
            </w:r>
            <w:permEnd w:id="36"/>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7" w:edGrp="everyone"/>
            <w:r>
              <w:rPr>
                <w:rFonts w:hint="eastAsia" w:ascii="Times New Roman" w:hAnsi="Times New Roman" w:cs="Times New Roman"/>
                <w:color w:val="auto"/>
                <w:szCs w:val="21"/>
                <w:highlight w:val="none"/>
                <w:u w:val="single"/>
                <w:lang w:val="en-US" w:eastAsia="zh-CN"/>
              </w:rPr>
              <w:t xml:space="preserve">30000元 </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8" w:edGrp="everyone"/>
            <w:r>
              <w:rPr>
                <w:rFonts w:hint="eastAsia" w:ascii="Times New Roman" w:hAnsi="Times New Roman" w:cs="Times New Roman"/>
                <w:color w:val="FF0000"/>
                <w:szCs w:val="21"/>
                <w:highlight w:val="none"/>
                <w:lang w:val="en-US" w:eastAsia="zh-CN"/>
              </w:rPr>
              <w:t>BZJK-2024-031号保证金</w:t>
            </w:r>
            <w:permEnd w:id="3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spacing w:before="152" w:line="227" w:lineRule="auto"/>
              <w:ind w:left="129"/>
            </w:pPr>
            <w:permStart w:id="39" w:edGrp="everyone"/>
            <w:r>
              <w:rPr>
                <w:rFonts w:hint="eastAsia" w:ascii="Times New Roman" w:hAnsi="Times New Roman" w:eastAsia="宋体" w:cs="Times New Roman"/>
                <w:spacing w:val="-9"/>
                <w:sz w:val="31"/>
                <w:szCs w:val="31"/>
                <w:lang w:eastAsia="zh-CN"/>
              </w:rPr>
              <w:t>☑</w:t>
            </w:r>
            <w:r>
              <w:rPr>
                <w:spacing w:val="-9"/>
              </w:rPr>
              <w:t>无</w:t>
            </w:r>
          </w:p>
          <w:p>
            <w:pPr>
              <w:pStyle w:val="29"/>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tabs>
                <w:tab w:val="left" w:pos="663"/>
              </w:tabs>
              <w:spacing w:before="69" w:line="221" w:lineRule="auto"/>
              <w:rPr>
                <w:rFonts w:hint="eastAsia" w:ascii="Times New Roman" w:hAnsi="Times New Roman" w:cs="Times New Roman"/>
                <w:szCs w:val="21"/>
                <w:highlight w:val="none"/>
                <w:lang w:val="en-US" w:eastAsia="zh-CN"/>
              </w:rPr>
            </w:pPr>
            <w:permStart w:id="40" w:edGrp="everyone"/>
            <w:r>
              <w:rPr>
                <w:rFonts w:hint="eastAsia"/>
                <w:spacing w:val="-3"/>
                <w:lang w:val="en-US" w:eastAsia="zh-CN"/>
              </w:rPr>
              <w:t>/</w:t>
            </w:r>
            <w:r>
              <w:rPr>
                <w:spacing w:val="-3"/>
              </w:rPr>
              <w:t>年至</w:t>
            </w:r>
            <w:r>
              <w:rPr>
                <w:rFonts w:hint="eastAsia"/>
                <w:spacing w:val="6"/>
                <w:u w:val="single" w:color="auto"/>
                <w:lang w:val="en-US" w:eastAsia="zh-CN"/>
              </w:rPr>
              <w:t>/</w:t>
            </w:r>
            <w:r>
              <w:rPr>
                <w:spacing w:val="-3"/>
              </w:rPr>
              <w:t>年</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1"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3"/>
              </w:rPr>
              <w:t>年</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3"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招标人：安徽通安建设工程有限公司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亳州逸合府一期施工总承包项目桩基机械租赁</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31</w:t>
            </w:r>
            <w:r>
              <w:rPr>
                <w:rFonts w:hint="eastAsia" w:ascii="Times New Roman" w:hAnsi="Times New Roman" w:cs="Times New Roman"/>
                <w:color w:val="FF0000"/>
                <w:szCs w:val="21"/>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中标价款的10%</w:t>
            </w:r>
            <w:permEnd w:id="4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89"/>
      <w:bookmarkStart w:id="17" w:name="_Toc296602420"/>
      <w:bookmarkStart w:id="18" w:name="_Toc246996918"/>
      <w:bookmarkStart w:id="19" w:name="_Toc144974497"/>
      <w:bookmarkStart w:id="20" w:name="_Toc179632546"/>
      <w:bookmarkStart w:id="21" w:name="_Toc152045529"/>
      <w:bookmarkStart w:id="22" w:name="_Toc152042305"/>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296602421"/>
      <w:bookmarkStart w:id="26" w:name="_Toc246996919"/>
      <w:bookmarkStart w:id="27" w:name="_Toc144974498"/>
      <w:bookmarkStart w:id="28" w:name="_Toc152045530"/>
      <w:bookmarkStart w:id="29" w:name="_Toc179632547"/>
      <w:bookmarkStart w:id="30" w:name="_Toc246996176"/>
      <w:bookmarkStart w:id="31" w:name="_Toc15204230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52045531"/>
      <w:bookmarkStart w:id="34" w:name="_Toc246996920"/>
      <w:bookmarkStart w:id="35" w:name="_Toc179632548"/>
      <w:bookmarkStart w:id="36" w:name="_Toc296602422"/>
      <w:bookmarkStart w:id="37" w:name="_Toc152042307"/>
      <w:bookmarkStart w:id="38" w:name="_Toc246996177"/>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46996178"/>
      <w:bookmarkStart w:id="42" w:name="_Toc179632549"/>
      <w:bookmarkStart w:id="43" w:name="_Toc152045532"/>
      <w:bookmarkStart w:id="44" w:name="_Toc296602423"/>
      <w:bookmarkStart w:id="45" w:name="_Toc246996921"/>
      <w:bookmarkStart w:id="46" w:name="_Toc152042308"/>
      <w:bookmarkStart w:id="47" w:name="_Toc144974500"/>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179632551"/>
      <w:bookmarkStart w:id="50" w:name="_Toc152042310"/>
      <w:bookmarkStart w:id="51" w:name="_Toc144974502"/>
      <w:bookmarkStart w:id="52" w:name="_Toc246996179"/>
      <w:bookmarkStart w:id="53" w:name="_Toc296602424"/>
      <w:bookmarkStart w:id="54" w:name="_Toc247085693"/>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0"/>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144974503"/>
      <w:bookmarkStart w:id="58" w:name="_Toc152042311"/>
      <w:bookmarkStart w:id="59" w:name="_Toc179632552"/>
      <w:bookmarkStart w:id="60" w:name="_Toc246996923"/>
      <w:bookmarkStart w:id="61" w:name="_Toc296602425"/>
      <w:bookmarkStart w:id="62" w:name="_Toc152045535"/>
      <w:bookmarkStart w:id="63" w:name="_Toc246996180"/>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296602426"/>
      <w:bookmarkStart w:id="66" w:name="_Toc152042312"/>
      <w:bookmarkStart w:id="67" w:name="_Toc144974504"/>
      <w:bookmarkStart w:id="68" w:name="_Toc152045536"/>
      <w:bookmarkStart w:id="69" w:name="_Toc246996181"/>
      <w:bookmarkStart w:id="70" w:name="_Toc247085695"/>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47085696"/>
      <w:bookmarkStart w:id="75" w:name="_Toc246996925"/>
      <w:bookmarkStart w:id="76" w:name="_Toc246996182"/>
      <w:bookmarkStart w:id="77" w:name="_Toc152045537"/>
      <w:bookmarkStart w:id="78" w:name="_Toc296602427"/>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926"/>
      <w:bookmarkStart w:id="81" w:name="_Toc152042314"/>
      <w:bookmarkStart w:id="82" w:name="_Toc247085697"/>
      <w:bookmarkStart w:id="83" w:name="_Toc246996183"/>
      <w:bookmarkStart w:id="84" w:name="_Toc179632555"/>
      <w:bookmarkStart w:id="85" w:name="_Toc152045538"/>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47592876"/>
      <w:bookmarkStart w:id="90" w:name="_Toc144974507"/>
      <w:bookmarkStart w:id="91" w:name="_Toc152042315"/>
      <w:bookmarkStart w:id="92" w:name="_Toc296602429"/>
      <w:bookmarkStart w:id="93" w:name="_Toc247513962"/>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96602430"/>
      <w:bookmarkStart w:id="97" w:name="_Toc144974508"/>
      <w:bookmarkStart w:id="98" w:name="_Toc247592877"/>
      <w:bookmarkStart w:id="99" w:name="_Toc152045540"/>
      <w:bookmarkStart w:id="100" w:name="_Toc152042316"/>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2"/>
      <w:bookmarkStart w:id="104" w:name="_Toc152042318"/>
      <w:bookmarkStart w:id="105" w:name="_Toc144974510"/>
      <w:bookmarkStart w:id="106" w:name="_Toc179632560"/>
      <w:bookmarkStart w:id="107" w:name="_Toc247085701"/>
      <w:bookmarkStart w:id="108" w:name="_Toc246996930"/>
      <w:bookmarkStart w:id="109" w:name="_Toc246996187"/>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179632561"/>
      <w:bookmarkStart w:id="113" w:name="_Toc246996931"/>
      <w:bookmarkStart w:id="114" w:name="_Toc152042319"/>
      <w:bookmarkStart w:id="115" w:name="_Toc246996188"/>
      <w:bookmarkStart w:id="116" w:name="_Toc144974511"/>
      <w:bookmarkStart w:id="117" w:name="_Toc152045543"/>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247085703"/>
      <w:bookmarkStart w:id="121" w:name="_Toc144974512"/>
      <w:bookmarkStart w:id="122" w:name="_Toc152045544"/>
      <w:bookmarkStart w:id="123" w:name="_Toc246996932"/>
      <w:bookmarkStart w:id="124" w:name="_Toc179632562"/>
      <w:bookmarkStart w:id="125" w:name="_Toc296602434"/>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46996190"/>
      <w:bookmarkStart w:id="129" w:name="_Toc144974513"/>
      <w:bookmarkStart w:id="130" w:name="_Toc296602435"/>
      <w:bookmarkStart w:id="131" w:name="_Toc179632563"/>
      <w:bookmarkStart w:id="132" w:name="_Toc152042321"/>
      <w:bookmarkStart w:id="133" w:name="_Toc246996933"/>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152042322"/>
      <w:bookmarkStart w:id="137" w:name="_Toc296602436"/>
      <w:bookmarkStart w:id="138" w:name="_Toc246996934"/>
      <w:bookmarkStart w:id="139" w:name="_Toc247085705"/>
      <w:bookmarkStart w:id="140" w:name="_Toc179632564"/>
      <w:bookmarkStart w:id="141" w:name="_Toc246996191"/>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935"/>
      <w:bookmarkStart w:id="144" w:name="_Toc152042323"/>
      <w:bookmarkStart w:id="145" w:name="_Toc144974515"/>
      <w:bookmarkStart w:id="146" w:name="_Toc152045547"/>
      <w:bookmarkStart w:id="147" w:name="_Toc247085706"/>
      <w:bookmarkStart w:id="148" w:name="_Toc296602437"/>
      <w:bookmarkStart w:id="149" w:name="_Toc179632565"/>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296602438"/>
      <w:bookmarkStart w:id="153" w:name="_Toc152042324"/>
      <w:bookmarkStart w:id="154" w:name="_Toc152045548"/>
      <w:bookmarkStart w:id="155" w:name="_Toc179632566"/>
      <w:bookmarkStart w:id="156" w:name="_Toc144974516"/>
      <w:bookmarkStart w:id="157" w:name="_Toc246996936"/>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52045549"/>
      <w:bookmarkStart w:id="161" w:name="_Toc152042325"/>
      <w:bookmarkStart w:id="162" w:name="_Toc17963256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96602439"/>
      <w:bookmarkStart w:id="165" w:name="_Toc247085708"/>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246996938"/>
      <w:bookmarkStart w:id="169" w:name="_Toc152045550"/>
      <w:bookmarkStart w:id="170" w:name="_Toc247085709"/>
      <w:bookmarkStart w:id="171" w:name="_Toc144974518"/>
      <w:bookmarkStart w:id="172" w:name="_Toc246996195"/>
      <w:bookmarkStart w:id="173" w:name="_Toc152042326"/>
      <w:bookmarkStart w:id="174" w:name="_Toc29660244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52045552"/>
      <w:bookmarkStart w:id="177" w:name="_Toc246996939"/>
      <w:bookmarkStart w:id="178" w:name="_Toc247085710"/>
      <w:bookmarkStart w:id="179" w:name="_Toc144974520"/>
      <w:bookmarkStart w:id="180" w:name="_Toc179632570"/>
      <w:bookmarkStart w:id="181" w:name="_Toc152042328"/>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197"/>
      <w:bookmarkStart w:id="184" w:name="_Toc179632571"/>
      <w:bookmarkStart w:id="185" w:name="_Toc246996940"/>
      <w:bookmarkStart w:id="186" w:name="_Toc152045553"/>
      <w:bookmarkStart w:id="187" w:name="_Toc296602442"/>
      <w:bookmarkStart w:id="188" w:name="_Toc152042329"/>
      <w:bookmarkStart w:id="189" w:name="_Toc247085711"/>
      <w:bookmarkStart w:id="190" w:name="_Toc14497452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6996199"/>
      <w:bookmarkStart w:id="192" w:name="_Toc247085713"/>
      <w:bookmarkStart w:id="193" w:name="_Toc152045555"/>
      <w:bookmarkStart w:id="194" w:name="_Toc152042331"/>
      <w:bookmarkStart w:id="195" w:name="_Toc179632573"/>
      <w:bookmarkStart w:id="196" w:name="_Toc246996942"/>
      <w:bookmarkStart w:id="197" w:name="_Toc1449745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152042332"/>
      <w:bookmarkStart w:id="201" w:name="_Toc296602444"/>
      <w:bookmarkStart w:id="202" w:name="_Toc152045556"/>
      <w:bookmarkStart w:id="203" w:name="_Toc246996943"/>
      <w:bookmarkStart w:id="204" w:name="_Toc246996200"/>
      <w:bookmarkStart w:id="205" w:name="_Toc24708571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2333"/>
      <w:bookmarkStart w:id="208" w:name="_Toc152045557"/>
      <w:bookmarkStart w:id="209" w:name="_Toc246996201"/>
      <w:bookmarkStart w:id="210" w:name="_Toc144974525"/>
      <w:bookmarkStart w:id="211" w:name="_Toc179632575"/>
      <w:bookmarkStart w:id="212" w:name="_Toc247085715"/>
      <w:bookmarkStart w:id="213" w:name="_Toc246996944"/>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152045558"/>
      <w:bookmarkStart w:id="217" w:name="_Toc247085716"/>
      <w:bookmarkStart w:id="218" w:name="_Toc179632576"/>
      <w:bookmarkStart w:id="219" w:name="_Toc246996202"/>
      <w:bookmarkStart w:id="220" w:name="_Toc152042334"/>
      <w:bookmarkStart w:id="221" w:name="_Toc246996945"/>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246996946"/>
      <w:bookmarkStart w:id="225" w:name="_Toc152042335"/>
      <w:bookmarkStart w:id="226" w:name="_Toc179632577"/>
      <w:bookmarkStart w:id="227" w:name="_Toc296602447"/>
      <w:bookmarkStart w:id="228" w:name="_Toc247085717"/>
      <w:bookmarkStart w:id="229" w:name="_Toc246996203"/>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96602448"/>
      <w:bookmarkStart w:id="233" w:name="_Toc152042336"/>
      <w:bookmarkStart w:id="234" w:name="_Toc246996204"/>
      <w:bookmarkStart w:id="235" w:name="_Toc247085718"/>
      <w:bookmarkStart w:id="236" w:name="_Toc152045560"/>
      <w:bookmarkStart w:id="237" w:name="_Toc144974528"/>
      <w:bookmarkStart w:id="238" w:name="_Toc246996947"/>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47085719"/>
      <w:bookmarkStart w:id="241" w:name="_Toc144974529"/>
      <w:bookmarkStart w:id="242" w:name="_Toc296602449"/>
      <w:bookmarkStart w:id="243" w:name="_Toc152042337"/>
      <w:bookmarkStart w:id="244" w:name="_Toc152045561"/>
      <w:bookmarkStart w:id="245" w:name="_Toc179632579"/>
      <w:bookmarkStart w:id="246" w:name="_Toc246996205"/>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246996206"/>
      <w:bookmarkStart w:id="250" w:name="_Toc246996949"/>
      <w:bookmarkStart w:id="251" w:name="_Toc144974530"/>
      <w:bookmarkStart w:id="252" w:name="_Toc179632580"/>
      <w:bookmarkStart w:id="253" w:name="_Toc247085720"/>
      <w:bookmarkStart w:id="254" w:name="_Toc152045562"/>
      <w:bookmarkStart w:id="255" w:name="_Toc152042338"/>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52045563"/>
      <w:bookmarkStart w:id="258" w:name="_Toc179632581"/>
      <w:bookmarkStart w:id="259" w:name="_Toc246996950"/>
      <w:bookmarkStart w:id="260" w:name="_Toc247085721"/>
      <w:bookmarkStart w:id="261" w:name="_Toc152042339"/>
      <w:bookmarkStart w:id="262" w:name="_Toc296602452"/>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144974532"/>
      <w:bookmarkStart w:id="266" w:name="_Toc246996951"/>
      <w:bookmarkStart w:id="267" w:name="_Toc246996208"/>
      <w:bookmarkStart w:id="268" w:name="_Toc296602453"/>
      <w:bookmarkStart w:id="269" w:name="_Toc179632582"/>
      <w:bookmarkStart w:id="270" w:name="_Toc152045564"/>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179632583"/>
      <w:bookmarkStart w:id="274" w:name="_Toc296602454"/>
      <w:bookmarkStart w:id="275" w:name="_Toc144974533"/>
      <w:bookmarkStart w:id="276" w:name="_Toc152045565"/>
      <w:bookmarkStart w:id="277" w:name="_Toc152042341"/>
      <w:bookmarkStart w:id="278" w:name="_Toc247085723"/>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79632584"/>
      <w:bookmarkStart w:id="282" w:name="_Toc152045566"/>
      <w:bookmarkStart w:id="283" w:name="_Toc144974534"/>
      <w:bookmarkStart w:id="284" w:name="_Toc296602455"/>
      <w:bookmarkStart w:id="285" w:name="_Toc246996210"/>
      <w:bookmarkStart w:id="286" w:name="_Toc247085724"/>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247085725"/>
      <w:bookmarkStart w:id="290" w:name="_Toc152042343"/>
      <w:bookmarkStart w:id="291" w:name="_Toc296602456"/>
      <w:bookmarkStart w:id="292" w:name="_Toc179632585"/>
      <w:bookmarkStart w:id="293" w:name="_Toc144974535"/>
      <w:bookmarkStart w:id="294" w:name="_Toc152045567"/>
      <w:bookmarkStart w:id="295" w:name="_Toc246996211"/>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8"/>
      <w:bookmarkStart w:id="297" w:name="_Toc179632586"/>
      <w:bookmarkStart w:id="298" w:name="_Toc247085726"/>
      <w:bookmarkStart w:id="299" w:name="_Toc144974536"/>
      <w:bookmarkStart w:id="300" w:name="_Toc246996212"/>
      <w:bookmarkStart w:id="301" w:name="_Toc152045568"/>
      <w:bookmarkStart w:id="302" w:name="_Toc246996955"/>
      <w:bookmarkStart w:id="303" w:name="_Toc152042344"/>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6996213"/>
      <w:bookmarkStart w:id="305" w:name="_Toc247085727"/>
      <w:bookmarkStart w:id="306" w:name="_Toc152045569"/>
      <w:bookmarkStart w:id="307" w:name="_Toc144974537"/>
      <w:bookmarkStart w:id="308" w:name="_Toc246996956"/>
      <w:bookmarkStart w:id="309" w:name="_Toc296602459"/>
      <w:bookmarkStart w:id="310" w:name="_Toc179632587"/>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7085728"/>
      <w:bookmarkStart w:id="313" w:name="_Toc246996214"/>
      <w:bookmarkStart w:id="314" w:name="_Toc144974538"/>
      <w:bookmarkStart w:id="315" w:name="_Toc152045570"/>
      <w:bookmarkStart w:id="316" w:name="_Toc152042346"/>
      <w:bookmarkStart w:id="317" w:name="_Toc246996957"/>
      <w:bookmarkStart w:id="318" w:name="_Toc179632588"/>
      <w:bookmarkStart w:id="319" w:name="_Toc296602460"/>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962"/>
      <w:bookmarkStart w:id="322" w:name="_Toc247085733"/>
      <w:bookmarkStart w:id="323" w:name="_Toc179632593"/>
      <w:bookmarkStart w:id="324" w:name="_Toc296590983"/>
      <w:bookmarkStart w:id="325" w:name="_Toc296602462"/>
      <w:bookmarkStart w:id="326" w:name="_Toc152042351"/>
      <w:bookmarkStart w:id="327" w:name="_Toc144974543"/>
      <w:bookmarkStart w:id="328" w:name="_Toc152045575"/>
      <w:bookmarkStart w:id="329" w:name="_Toc246996219"/>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246996963"/>
      <w:bookmarkStart w:id="331" w:name="_Toc152042352"/>
      <w:bookmarkStart w:id="332" w:name="_Toc144974544"/>
      <w:bookmarkStart w:id="333" w:name="_Toc152045576"/>
      <w:bookmarkStart w:id="334" w:name="_Toc246996220"/>
      <w:bookmarkStart w:id="335" w:name="_Toc296602463"/>
      <w:bookmarkStart w:id="336" w:name="_Toc247085734"/>
      <w:bookmarkStart w:id="337" w:name="_Toc17963259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2353"/>
      <w:bookmarkStart w:id="339" w:name="_Toc247085735"/>
      <w:bookmarkStart w:id="340" w:name="_Toc296602464"/>
      <w:bookmarkStart w:id="341" w:name="_Toc179632595"/>
      <w:bookmarkStart w:id="342" w:name="_Toc246996221"/>
      <w:bookmarkStart w:id="343" w:name="_Toc152045577"/>
      <w:bookmarkStart w:id="344" w:name="_Toc144974545"/>
      <w:bookmarkStart w:id="345" w:name="_Toc2469969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2354"/>
      <w:bookmarkStart w:id="347" w:name="_Toc247085736"/>
      <w:bookmarkStart w:id="348" w:name="_Toc179632596"/>
      <w:bookmarkStart w:id="349" w:name="_Toc152045578"/>
      <w:bookmarkStart w:id="350" w:name="_Toc246996965"/>
      <w:bookmarkStart w:id="351" w:name="_Toc246996222"/>
      <w:bookmarkStart w:id="352" w:name="_Toc296602465"/>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179632597"/>
      <w:bookmarkStart w:id="357" w:name="_Toc296602466"/>
      <w:bookmarkStart w:id="358" w:name="_Toc246996223"/>
      <w:bookmarkStart w:id="359" w:name="_Toc246996966"/>
      <w:bookmarkStart w:id="360" w:name="_Toc152045579"/>
      <w:bookmarkStart w:id="361" w:name="_Toc15204235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246996224"/>
      <w:bookmarkStart w:id="365" w:name="_Toc246996967"/>
      <w:bookmarkStart w:id="366" w:name="_Toc152042357"/>
      <w:bookmarkStart w:id="367" w:name="_Toc179632598"/>
      <w:bookmarkStart w:id="368" w:name="_Toc144974547"/>
      <w:bookmarkStart w:id="369" w:name="_Toc296602467"/>
      <w:bookmarkStart w:id="370" w:name="_Toc247085738"/>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6" w:edGrp="everyone"/>
            <w:r>
              <w:rPr>
                <w:rFonts w:hint="eastAsia" w:ascii="Times New Roman" w:hAnsi="Times New Roman" w:cs="Times New Roman"/>
                <w:kern w:val="0"/>
                <w:sz w:val="24"/>
                <w:szCs w:val="24"/>
                <w:highlight w:val="none"/>
                <w:lang w:val="en-US" w:eastAsia="zh-CN"/>
              </w:rPr>
              <w:t>符合第二章“投标人须知”第1.4.1项规定</w:t>
            </w:r>
            <w:permEnd w:id="5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67"/>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bookmarkStart w:id="371" w:name="_Toc152042366"/>
      <w:bookmarkStart w:id="372" w:name="_Toc246996232"/>
      <w:bookmarkStart w:id="373" w:name="_Toc246996975"/>
      <w:bookmarkStart w:id="374" w:name="_Toc144974556"/>
      <w:bookmarkStart w:id="375" w:name="_Toc152045589"/>
      <w:bookmarkStart w:id="376" w:name="_Toc247085747"/>
      <w:bookmarkStart w:id="377" w:name="_Toc179632607"/>
      <w:bookmarkStart w:id="378" w:name="_Toc296602477"/>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安徽通安建设工程有限公司  </w:t>
            </w:r>
            <w:perm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桩基施工完成，支付当期已完工合格工程量机械租赁费合同价的80%，竣工验收合格后，支付机械租赁费合同价款的85%；工程结算审核完成后付至结算价的97%；剩余结算总价的3%作为质保金，质保金在竣工备案之日起2年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9"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69"/>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0"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w:t>
            </w:r>
            <w:r>
              <w:rPr>
                <w:rFonts w:hint="default" w:ascii="Times New Roman" w:hAnsi="Times New Roman" w:cs="Times New Roman"/>
                <w:kern w:val="0"/>
                <w:sz w:val="24"/>
                <w:szCs w:val="24"/>
                <w:highlight w:val="none"/>
                <w:shd w:val="clear" w:color="auto" w:fill="auto"/>
                <w:vertAlign w:val="baseline"/>
                <w:lang w:val="en-US" w:eastAsia="zh-CN"/>
              </w:rPr>
              <w:t>备案</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中标人在每次付款时需按照招标人要求提供符合本工程并满足财务所需的工程类增值税专用发票及进项税抵扣联（提供全额增值税专用发票），若中标人未按照本条约定出具符合要求的全额增值税发票的，招标人有权</w:t>
            </w:r>
            <w:r>
              <w:rPr>
                <w:rFonts w:hint="eastAsia" w:ascii="Times New Roman" w:hAnsi="Times New Roman" w:cs="Times New Roman"/>
                <w:kern w:val="0"/>
                <w:sz w:val="24"/>
                <w:szCs w:val="24"/>
                <w:highlight w:val="none"/>
                <w:shd w:val="clear" w:color="auto" w:fill="auto"/>
                <w:vertAlign w:val="baseline"/>
                <w:lang w:val="en-US" w:eastAsia="zh-CN"/>
              </w:rPr>
              <w:t>暂停</w:t>
            </w:r>
            <w:r>
              <w:rPr>
                <w:rFonts w:hint="default" w:ascii="Times New Roman" w:hAnsi="Times New Roman" w:cs="Times New Roman"/>
                <w:kern w:val="0"/>
                <w:sz w:val="24"/>
                <w:szCs w:val="24"/>
                <w:highlight w:val="none"/>
                <w:shd w:val="clear" w:color="auto" w:fill="auto"/>
                <w:vertAlign w:val="baseline"/>
                <w:lang w:val="en-US" w:eastAsia="zh-CN"/>
              </w:rPr>
              <w:t>支付，招标人不承担任何违约责任，由此产生的资金占用等费用由中标人自行承担。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2.由于建设单位未支付工程款等原因导致工程款未及时发放，中标人不得擅自采取停工、上访等措施，否则由此造成的招标人一切经济损失、法律责任由中标人承担。</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工作内容：包括场地平整（自备垫路钢板、碎石等材料）、桩基施工机械及全部辅助机械、三级配电箱和电缆、钻渣清运设备、混凝土灌注设备、筑岛设备、泥浆制备清运设备、钢护筒、钢导管、钢筋笼加工制作运输及安装设备、试桩、CFG桩褥垫层、桩头破除和清运、机械进出场、材料的进场及二次搬运、退场清理、配合桩基检测、安全文明、环保施工、及桩基施工过程中的全部机械、辅材、操作手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2.包机械、包操作手、包税金、包风险等一切工程内容及相关工作内容。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3.中标人承包范围内的扬尘治理费用均由中标人承担，如果因扬尘治理工作不到位受到主管部门处罚，招标人将对中标人处以主管部门罚款金额两倍的罚金并追究其有关责任。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4.因场地有限，招标人不提供工人生活区，由中标人自行解决，综合考虑在投标报价内。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5.计量桩长为已完成经业主、监理、招标人及检测机构检测合格的有效桩长，不包含超灌部分。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6.中标人必须按相关规定办理人身意外伤害险，办理本款保险的一切费用均由中标人承担，不单独计量；中标人必须为其运抵现场的所有机械设备、车辆等设施办理保险，其保险金额足以现场重置。保险内容包括主要施工机具、设备的一切险，办理本款保险的一切费用均由中标人承担，不单独计量；中标人进场后一个月内需将该保险保单提交甲方核查与备案，否则招标人将为其代为办理保险，发生费用直接从中标人应得机械租赁费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bookmarkStart w:id="379" w:name="_Toc247514246"/>
      <w:bookmarkStart w:id="380" w:name="_Toc300835209"/>
      <w:bookmarkStart w:id="381" w:name="_Toc247527827"/>
      <w:bookmarkStart w:id="382" w:name="_Toc152042576"/>
      <w:bookmarkStart w:id="383" w:name="_Toc144974856"/>
      <w:bookmarkStart w:id="384" w:name="_Toc152045787"/>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亳州逸合府一期施工总承包项目桩基机械施工租赁</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71" w:edGrp="everyone"/>
      <w:r>
        <w:rPr>
          <w:rFonts w:hint="eastAsia" w:ascii="Times New Roman" w:hAnsi="Times New Roman" w:eastAsia="楷体" w:cs="Times New Roman"/>
          <w:kern w:val="0"/>
          <w:sz w:val="28"/>
          <w:szCs w:val="28"/>
          <w:highlight w:val="none"/>
          <w:shd w:val="clear" w:color="auto" w:fill="auto"/>
          <w:lang w:val="en-US" w:eastAsia="zh-CN"/>
        </w:rPr>
        <w:t>BZJK-2024-031号</w:t>
      </w:r>
      <w:permEnd w:id="7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5" w:name="_Toc144974857"/>
      <w:bookmarkStart w:id="386" w:name="_Toc152045788"/>
      <w:bookmarkStart w:id="387" w:name="_Toc300835210"/>
      <w:bookmarkStart w:id="388" w:name="_Toc152042577"/>
      <w:bookmarkStart w:id="389" w:name="_Toc247514247"/>
      <w:bookmarkStart w:id="390" w:name="_Toc247527828"/>
      <w:r>
        <w:rPr>
          <w:rFonts w:hint="default" w:ascii="Times New Roman" w:hAnsi="Times New Roman" w:cs="Times New Roman"/>
        </w:rPr>
        <w:t>一、投标函及投标函附录</w:t>
      </w:r>
      <w:bookmarkEnd w:id="385"/>
      <w:bookmarkEnd w:id="386"/>
      <w:bookmarkEnd w:id="387"/>
      <w:bookmarkEnd w:id="388"/>
      <w:bookmarkEnd w:id="389"/>
      <w:bookmarkEnd w:id="390"/>
    </w:p>
    <w:p>
      <w:pPr>
        <w:spacing w:line="440" w:lineRule="exact"/>
        <w:rPr>
          <w:rFonts w:hint="default" w:ascii="Times New Roman" w:hAnsi="Times New Roman" w:cs="Times New Roman" w:eastAsiaTheme="minorEastAsia"/>
          <w:sz w:val="20"/>
          <w:szCs w:val="20"/>
          <w:lang w:val="en-US" w:eastAsia="zh-CN"/>
        </w:rPr>
      </w:pPr>
      <w:bookmarkStart w:id="391" w:name="_Toc144974859"/>
      <w:bookmarkStart w:id="392" w:name="_Toc247527830"/>
      <w:bookmarkStart w:id="393" w:name="_Toc152042579"/>
      <w:bookmarkStart w:id="394" w:name="_Toc152045790"/>
      <w:bookmarkStart w:id="395" w:name="_Toc247514249"/>
      <w:bookmarkStart w:id="396" w:name="_Toc300835212"/>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安徽通安建设工程有限公司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亳州逸合府一期施工总承包项目桩基机械施工租赁</w:t>
      </w:r>
      <w:r>
        <w:rPr>
          <w:rFonts w:hint="default" w:ascii="Times New Roman" w:hAnsi="Times New Roman" w:cs="Times New Roman"/>
          <w:szCs w:val="21"/>
        </w:rPr>
        <w:t>招标文件的全部内容，愿意以</w:t>
      </w:r>
      <w:permStart w:id="7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72"/>
      <w:r>
        <w:rPr>
          <w:rFonts w:hint="eastAsia" w:ascii="Times New Roman" w:hAnsi="Times New Roman" w:cs="Times New Roman"/>
          <w:szCs w:val="21"/>
          <w:lang w:val="en-US" w:eastAsia="zh-CN"/>
        </w:rPr>
        <w:t>，工期自招标人下达开工指令起6个月</w:t>
      </w:r>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220"/>
        <w:gridCol w:w="2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22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2466"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220"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24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3220"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default" w:ascii="Times New Roman" w:hAnsi="Times New Roman" w:cs="Times New Roman" w:eastAsiaTheme="minorEastAsia"/>
                <w:sz w:val="20"/>
                <w:szCs w:val="20"/>
                <w:u w:val="none"/>
                <w:vertAlign w:val="baseline"/>
                <w:lang w:val="en-US" w:eastAsia="zh-CN"/>
              </w:rPr>
              <w:t>自招标人下达开工指令起6个月</w:t>
            </w:r>
          </w:p>
        </w:tc>
        <w:tc>
          <w:tcPr>
            <w:tcW w:w="24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p>
        </w:tc>
        <w:tc>
          <w:tcPr>
            <w:tcW w:w="3220"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24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220"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24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220"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24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152045791"/>
      <w:bookmarkStart w:id="398" w:name="_Toc300835213"/>
      <w:bookmarkStart w:id="399" w:name="_Toc247514283"/>
      <w:bookmarkStart w:id="400" w:name="_Toc152042580"/>
      <w:bookmarkStart w:id="401" w:name="_Toc144974860"/>
      <w:bookmarkStart w:id="402"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03" w:name="_Toc247527832"/>
      <w:bookmarkStart w:id="404" w:name="_Toc247514284"/>
      <w:bookmarkStart w:id="405" w:name="_Toc152042581"/>
      <w:bookmarkStart w:id="406" w:name="_Toc144974861"/>
      <w:bookmarkStart w:id="407" w:name="_Toc300835214"/>
      <w:bookmarkStart w:id="408" w:name="_Toc152045792"/>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09" w:name="_Toc152045794"/>
      <w:bookmarkStart w:id="410" w:name="_Toc300835216"/>
      <w:bookmarkStart w:id="411" w:name="_Toc247514286"/>
      <w:bookmarkStart w:id="412" w:name="_Toc247527834"/>
      <w:bookmarkStart w:id="413" w:name="_Toc144974862"/>
      <w:bookmarkStart w:id="414"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300835218"/>
      <w:bookmarkStart w:id="417" w:name="_Toc152042584"/>
      <w:bookmarkStart w:id="418" w:name="_Toc152045795"/>
      <w:bookmarkStart w:id="419" w:name="_Toc247527835"/>
      <w:bookmarkStart w:id="420" w:name="_Toc144974863"/>
      <w:bookmarkStart w:id="421" w:name="_Toc247514287"/>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852"/>
        <w:gridCol w:w="1543"/>
        <w:gridCol w:w="1640"/>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jc w:val="center"/>
              <w:rPr>
                <w:rFonts w:hint="eastAsia" w:ascii="Times New Roman" w:hAnsi="Times New Roman" w:cs="Times New Roman" w:eastAsiaTheme="minorEastAsia"/>
                <w:vertAlign w:val="baseline"/>
                <w:lang w:val="en-US" w:eastAsia="zh-CN"/>
              </w:rPr>
            </w:pPr>
            <w:bookmarkStart w:id="422" w:name="_Toc247514288"/>
            <w:bookmarkStart w:id="423" w:name="_Toc152042585"/>
            <w:bookmarkStart w:id="424" w:name="_Toc152045796"/>
            <w:bookmarkStart w:id="425" w:name="_Toc144974864"/>
            <w:bookmarkStart w:id="426" w:name="_Toc300835221"/>
            <w:bookmarkStart w:id="427" w:name="_Toc247527836"/>
            <w:r>
              <w:rPr>
                <w:rFonts w:hint="eastAsia" w:ascii="Times New Roman" w:hAnsi="Times New Roman" w:cs="Times New Roman"/>
                <w:vertAlign w:val="baseline"/>
                <w:lang w:val="en-US" w:eastAsia="zh-CN"/>
              </w:rPr>
              <w:t>名称</w:t>
            </w:r>
          </w:p>
        </w:tc>
        <w:tc>
          <w:tcPr>
            <w:tcW w:w="170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数量（单位：米）</w:t>
            </w:r>
          </w:p>
        </w:tc>
        <w:tc>
          <w:tcPr>
            <w:tcW w:w="852"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税率</w:t>
            </w:r>
          </w:p>
        </w:tc>
        <w:tc>
          <w:tcPr>
            <w:tcW w:w="1543" w:type="dxa"/>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含税单价</w:t>
            </w:r>
          </w:p>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（单位：元/米）</w:t>
            </w:r>
          </w:p>
        </w:tc>
        <w:tc>
          <w:tcPr>
            <w:tcW w:w="1640" w:type="dxa"/>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含税总价</w:t>
            </w:r>
          </w:p>
          <w:p>
            <w:pPr>
              <w:rPr>
                <w:rFonts w:hint="default" w:ascii="Times New Roman" w:hAnsi="Times New Roman" w:cs="Times New Roman"/>
                <w:vertAlign w:val="baseline"/>
              </w:rPr>
            </w:pPr>
            <w:r>
              <w:rPr>
                <w:rFonts w:hint="eastAsia" w:ascii="Times New Roman" w:hAnsi="Times New Roman" w:cs="Times New Roman"/>
                <w:vertAlign w:val="baseline"/>
                <w:lang w:val="en-US" w:eastAsia="zh-CN"/>
              </w:rPr>
              <w:t>（单位：元/米）</w:t>
            </w:r>
          </w:p>
        </w:tc>
        <w:tc>
          <w:tcPr>
            <w:tcW w:w="1079"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jc w:val="center"/>
              <w:rPr>
                <w:rFonts w:hint="default" w:ascii="Times New Roman" w:hAnsi="Times New Roman" w:cs="Times New Roman"/>
                <w:sz w:val="20"/>
                <w:szCs w:val="22"/>
                <w:vertAlign w:val="baseline"/>
              </w:rPr>
            </w:pPr>
            <w:r>
              <w:rPr>
                <w:rFonts w:hint="default" w:ascii="Times New Roman" w:hAnsi="Times New Roman" w:eastAsia="宋体" w:cs="Times New Roman"/>
                <w:sz w:val="28"/>
                <w:szCs w:val="28"/>
                <w:lang w:val="en-US" w:eastAsia="zh-CN"/>
              </w:rPr>
              <w:t>CFG桩</w:t>
            </w:r>
          </w:p>
        </w:tc>
        <w:tc>
          <w:tcPr>
            <w:tcW w:w="1704" w:type="dxa"/>
            <w:vAlign w:val="center"/>
          </w:tcPr>
          <w:p>
            <w:pPr>
              <w:jc w:val="cente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28000</w:t>
            </w:r>
          </w:p>
        </w:tc>
        <w:tc>
          <w:tcPr>
            <w:tcW w:w="852" w:type="dxa"/>
          </w:tcPr>
          <w:p>
            <w:pPr>
              <w:jc w:val="center"/>
              <w:rPr>
                <w:rFonts w:hint="default" w:ascii="Times New Roman" w:hAnsi="Times New Roman" w:eastAsia="宋体" w:cs="Times New Roman"/>
                <w:sz w:val="28"/>
                <w:szCs w:val="28"/>
                <w:lang w:val="en-US" w:eastAsia="zh-CN"/>
              </w:rPr>
            </w:pPr>
          </w:p>
        </w:tc>
        <w:tc>
          <w:tcPr>
            <w:tcW w:w="1543" w:type="dxa"/>
          </w:tcPr>
          <w:p>
            <w:pPr>
              <w:jc w:val="center"/>
              <w:rPr>
                <w:rFonts w:hint="default" w:ascii="Times New Roman" w:hAnsi="Times New Roman" w:eastAsia="宋体" w:cs="Times New Roman"/>
                <w:sz w:val="28"/>
                <w:szCs w:val="28"/>
                <w:lang w:val="en-US" w:eastAsia="zh-CN"/>
              </w:rPr>
            </w:pPr>
          </w:p>
        </w:tc>
        <w:tc>
          <w:tcPr>
            <w:tcW w:w="1640" w:type="dxa"/>
          </w:tcPr>
          <w:p>
            <w:pPr>
              <w:rPr>
                <w:rFonts w:hint="default" w:ascii="Times New Roman" w:hAnsi="Times New Roman" w:cs="Times New Roman"/>
                <w:vertAlign w:val="baseline"/>
              </w:rPr>
            </w:pPr>
          </w:p>
        </w:tc>
        <w:tc>
          <w:tcPr>
            <w:tcW w:w="1079" w:type="dxa"/>
          </w:tcPr>
          <w:p>
            <w:pP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jc w:val="center"/>
              <w:rPr>
                <w:rFonts w:hint="default" w:ascii="Times New Roman" w:hAnsi="Times New Roman" w:cs="Times New Roman"/>
                <w:sz w:val="20"/>
                <w:szCs w:val="22"/>
                <w:vertAlign w:val="baseline"/>
              </w:rPr>
            </w:pPr>
            <w:r>
              <w:rPr>
                <w:rFonts w:hint="default" w:ascii="Times New Roman" w:hAnsi="Times New Roman" w:eastAsia="宋体" w:cs="Times New Roman"/>
                <w:sz w:val="28"/>
                <w:szCs w:val="28"/>
                <w:lang w:val="en-US" w:eastAsia="zh-CN"/>
              </w:rPr>
              <w:t>混凝土灌注桩（抗拔桩）</w:t>
            </w:r>
          </w:p>
        </w:tc>
        <w:tc>
          <w:tcPr>
            <w:tcW w:w="1704" w:type="dxa"/>
            <w:vAlign w:val="center"/>
          </w:tcPr>
          <w:p>
            <w:pPr>
              <w:jc w:val="cente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11328</w:t>
            </w:r>
          </w:p>
        </w:tc>
        <w:tc>
          <w:tcPr>
            <w:tcW w:w="852" w:type="dxa"/>
          </w:tcPr>
          <w:p>
            <w:pPr>
              <w:jc w:val="center"/>
              <w:rPr>
                <w:rFonts w:hint="default" w:ascii="Times New Roman" w:hAnsi="Times New Roman" w:eastAsia="宋体" w:cs="Times New Roman"/>
                <w:sz w:val="28"/>
                <w:szCs w:val="28"/>
                <w:lang w:val="en-US" w:eastAsia="zh-CN"/>
              </w:rPr>
            </w:pPr>
          </w:p>
        </w:tc>
        <w:tc>
          <w:tcPr>
            <w:tcW w:w="1543" w:type="dxa"/>
          </w:tcPr>
          <w:p>
            <w:pPr>
              <w:jc w:val="center"/>
              <w:rPr>
                <w:rFonts w:hint="default" w:ascii="Times New Roman" w:hAnsi="Times New Roman" w:eastAsia="宋体" w:cs="Times New Roman"/>
                <w:sz w:val="28"/>
                <w:szCs w:val="28"/>
                <w:lang w:val="en-US" w:eastAsia="zh-CN"/>
              </w:rPr>
            </w:pPr>
          </w:p>
        </w:tc>
        <w:tc>
          <w:tcPr>
            <w:tcW w:w="1640" w:type="dxa"/>
          </w:tcPr>
          <w:p>
            <w:pPr>
              <w:rPr>
                <w:rFonts w:hint="default" w:ascii="Times New Roman" w:hAnsi="Times New Roman" w:cs="Times New Roman"/>
                <w:vertAlign w:val="baseline"/>
              </w:rPr>
            </w:pPr>
          </w:p>
        </w:tc>
        <w:tc>
          <w:tcPr>
            <w:tcW w:w="1079" w:type="dxa"/>
          </w:tcPr>
          <w:p>
            <w:pP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03" w:type="dxa"/>
            <w:gridSpan w:val="4"/>
          </w:tcPr>
          <w:p>
            <w:pPr>
              <w:jc w:val="right"/>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总价</w:t>
            </w:r>
          </w:p>
        </w:tc>
        <w:tc>
          <w:tcPr>
            <w:tcW w:w="1640" w:type="dxa"/>
          </w:tcPr>
          <w:p>
            <w:pPr>
              <w:rPr>
                <w:rFonts w:hint="default" w:ascii="Times New Roman" w:hAnsi="Times New Roman" w:cs="Times New Roman"/>
                <w:vertAlign w:val="baseline"/>
              </w:rPr>
            </w:pPr>
          </w:p>
        </w:tc>
        <w:tc>
          <w:tcPr>
            <w:tcW w:w="1079" w:type="dxa"/>
          </w:tcPr>
          <w:p>
            <w:pP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22"/>
    <w:bookmarkEnd w:id="423"/>
    <w:bookmarkEnd w:id="424"/>
    <w:bookmarkEnd w:id="425"/>
    <w:bookmarkEnd w:id="426"/>
    <w:bookmarkEnd w:id="427"/>
    <w:p>
      <w:pPr>
        <w:pStyle w:val="3"/>
        <w:jc w:val="center"/>
        <w:rPr>
          <w:rFonts w:hint="eastAsia"/>
          <w:highlight w:val="none"/>
        </w:rPr>
      </w:pPr>
      <w:bookmarkStart w:id="428" w:name="_Toc300835224"/>
      <w:bookmarkStart w:id="429" w:name="_Toc144974876"/>
      <w:bookmarkStart w:id="430" w:name="_Toc247527848"/>
      <w:bookmarkStart w:id="431" w:name="_Toc152045808"/>
      <w:bookmarkStart w:id="432" w:name="_Toc179632823"/>
      <w:bookmarkStart w:id="433" w:name="_Toc246996369"/>
      <w:bookmarkStart w:id="434" w:name="_Toc152042597"/>
      <w:bookmarkStart w:id="435" w:name="_Toc246997112"/>
      <w:bookmarkStart w:id="436" w:name="_Toc152045803"/>
      <w:bookmarkStart w:id="437" w:name="_Toc152042592"/>
      <w:bookmarkStart w:id="438" w:name="_Toc247514300"/>
      <w:bookmarkStart w:id="439" w:name="_Toc296602614"/>
      <w:bookmarkStart w:id="440" w:name="_Toc247085887"/>
      <w:bookmarkStart w:id="441" w:name="_Toc144974871"/>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42" w:name="_Toc300835233"/>
      <w:bookmarkStart w:id="443"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73"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3"/>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comment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191EEB"/>
    <w:rsid w:val="055625ED"/>
    <w:rsid w:val="0572490A"/>
    <w:rsid w:val="057E3D65"/>
    <w:rsid w:val="058253F2"/>
    <w:rsid w:val="05872EB9"/>
    <w:rsid w:val="05933026"/>
    <w:rsid w:val="05AE1D75"/>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C260BB"/>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BED22F8"/>
    <w:rsid w:val="0C000C64"/>
    <w:rsid w:val="0C110CA2"/>
    <w:rsid w:val="0C175FAD"/>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B9334C"/>
    <w:rsid w:val="0EDF4D5E"/>
    <w:rsid w:val="0EF860F0"/>
    <w:rsid w:val="0F024085"/>
    <w:rsid w:val="0F1438EF"/>
    <w:rsid w:val="0F2B32F5"/>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1F4C3A"/>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331C36"/>
    <w:rsid w:val="166266B1"/>
    <w:rsid w:val="16927567"/>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6C6238"/>
    <w:rsid w:val="198A59D6"/>
    <w:rsid w:val="19943729"/>
    <w:rsid w:val="19A73D74"/>
    <w:rsid w:val="19AA5416"/>
    <w:rsid w:val="19CE7FF6"/>
    <w:rsid w:val="19D70C6D"/>
    <w:rsid w:val="19E2271F"/>
    <w:rsid w:val="1A075570"/>
    <w:rsid w:val="1A1C623A"/>
    <w:rsid w:val="1A270D5F"/>
    <w:rsid w:val="1A4D4CED"/>
    <w:rsid w:val="1A622AE9"/>
    <w:rsid w:val="1A797469"/>
    <w:rsid w:val="1A8850B8"/>
    <w:rsid w:val="1A9B5FFB"/>
    <w:rsid w:val="1AA066C8"/>
    <w:rsid w:val="1ADB0B95"/>
    <w:rsid w:val="1AF80851"/>
    <w:rsid w:val="1B0361BC"/>
    <w:rsid w:val="1B116412"/>
    <w:rsid w:val="1B167C0C"/>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093E7B"/>
    <w:rsid w:val="1F127B09"/>
    <w:rsid w:val="1F2354C8"/>
    <w:rsid w:val="1F36160E"/>
    <w:rsid w:val="1F3E6A49"/>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1100C"/>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5209AE"/>
    <w:rsid w:val="276C029F"/>
    <w:rsid w:val="27867E0A"/>
    <w:rsid w:val="27982DD4"/>
    <w:rsid w:val="27BC3FF8"/>
    <w:rsid w:val="27DD09CE"/>
    <w:rsid w:val="27EC553C"/>
    <w:rsid w:val="280C4BFC"/>
    <w:rsid w:val="2813394B"/>
    <w:rsid w:val="281C1F63"/>
    <w:rsid w:val="281C54D8"/>
    <w:rsid w:val="283610D5"/>
    <w:rsid w:val="285F5293"/>
    <w:rsid w:val="28622D71"/>
    <w:rsid w:val="286E69FD"/>
    <w:rsid w:val="28A10C81"/>
    <w:rsid w:val="28C56178"/>
    <w:rsid w:val="28FA546B"/>
    <w:rsid w:val="28FE025E"/>
    <w:rsid w:val="290C2AC2"/>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0B4AD7"/>
    <w:rsid w:val="2B252D72"/>
    <w:rsid w:val="2B3E0375"/>
    <w:rsid w:val="2B492499"/>
    <w:rsid w:val="2B652A8D"/>
    <w:rsid w:val="2B6C55DB"/>
    <w:rsid w:val="2B8D5640"/>
    <w:rsid w:val="2B9E76FA"/>
    <w:rsid w:val="2BF4029C"/>
    <w:rsid w:val="2C1C6937"/>
    <w:rsid w:val="2C202757"/>
    <w:rsid w:val="2C270D43"/>
    <w:rsid w:val="2C2F3C01"/>
    <w:rsid w:val="2C6436A6"/>
    <w:rsid w:val="2C7A2A8F"/>
    <w:rsid w:val="2C9023A5"/>
    <w:rsid w:val="2C937549"/>
    <w:rsid w:val="2C9D6A04"/>
    <w:rsid w:val="2CB62598"/>
    <w:rsid w:val="2CBC136A"/>
    <w:rsid w:val="2CD47877"/>
    <w:rsid w:val="2CFE607B"/>
    <w:rsid w:val="2D095409"/>
    <w:rsid w:val="2D340315"/>
    <w:rsid w:val="2D3A3199"/>
    <w:rsid w:val="2D4B38E7"/>
    <w:rsid w:val="2D5470D9"/>
    <w:rsid w:val="2D551303"/>
    <w:rsid w:val="2D61203A"/>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2F1730"/>
    <w:rsid w:val="2F436846"/>
    <w:rsid w:val="2F4556CE"/>
    <w:rsid w:val="2F6F3C93"/>
    <w:rsid w:val="2F754A27"/>
    <w:rsid w:val="2FB1448A"/>
    <w:rsid w:val="2FC802AE"/>
    <w:rsid w:val="2FCA4F61"/>
    <w:rsid w:val="301C41BF"/>
    <w:rsid w:val="302369A0"/>
    <w:rsid w:val="30274161"/>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D02C13"/>
    <w:rsid w:val="32E83928"/>
    <w:rsid w:val="32F45590"/>
    <w:rsid w:val="331C19F3"/>
    <w:rsid w:val="33380434"/>
    <w:rsid w:val="33773188"/>
    <w:rsid w:val="337E77C9"/>
    <w:rsid w:val="338F53C2"/>
    <w:rsid w:val="33925662"/>
    <w:rsid w:val="339B7AA1"/>
    <w:rsid w:val="33B7637D"/>
    <w:rsid w:val="33C64197"/>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453593"/>
    <w:rsid w:val="366244D5"/>
    <w:rsid w:val="36A82C1D"/>
    <w:rsid w:val="36B34449"/>
    <w:rsid w:val="36C342D9"/>
    <w:rsid w:val="36F41CED"/>
    <w:rsid w:val="370F2E93"/>
    <w:rsid w:val="370F32ED"/>
    <w:rsid w:val="374D4675"/>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93E0C7A"/>
    <w:rsid w:val="39470BCD"/>
    <w:rsid w:val="397D29B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BB635D"/>
    <w:rsid w:val="3CD537E6"/>
    <w:rsid w:val="3CD93879"/>
    <w:rsid w:val="3D2571D3"/>
    <w:rsid w:val="3D7A2818"/>
    <w:rsid w:val="3D8106EA"/>
    <w:rsid w:val="3D834DF8"/>
    <w:rsid w:val="3DA352B1"/>
    <w:rsid w:val="3DBA61E7"/>
    <w:rsid w:val="3DC14624"/>
    <w:rsid w:val="3DD55956"/>
    <w:rsid w:val="3E100FFC"/>
    <w:rsid w:val="3E201534"/>
    <w:rsid w:val="3E407259"/>
    <w:rsid w:val="3E651EE9"/>
    <w:rsid w:val="3E784A78"/>
    <w:rsid w:val="3E8554F5"/>
    <w:rsid w:val="3EB65E71"/>
    <w:rsid w:val="3EC33032"/>
    <w:rsid w:val="3EC61DB3"/>
    <w:rsid w:val="3ED44EAD"/>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6FA48D8"/>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A87D84"/>
    <w:rsid w:val="49B4166E"/>
    <w:rsid w:val="49BA2C9E"/>
    <w:rsid w:val="49BA7D8E"/>
    <w:rsid w:val="49BC3715"/>
    <w:rsid w:val="49C56A6D"/>
    <w:rsid w:val="49F72310"/>
    <w:rsid w:val="49FD2EE4"/>
    <w:rsid w:val="4A0B4FDE"/>
    <w:rsid w:val="4A343D11"/>
    <w:rsid w:val="4A497D35"/>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C526D2"/>
    <w:rsid w:val="4CDE4416"/>
    <w:rsid w:val="4D004DF6"/>
    <w:rsid w:val="4D1C2C8C"/>
    <w:rsid w:val="4D1E77BE"/>
    <w:rsid w:val="4D245FC5"/>
    <w:rsid w:val="4D2B3B2C"/>
    <w:rsid w:val="4D6E6A3C"/>
    <w:rsid w:val="4DA943B0"/>
    <w:rsid w:val="4DC515BB"/>
    <w:rsid w:val="4DCB5984"/>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9F064A"/>
    <w:rsid w:val="4FCA5221"/>
    <w:rsid w:val="4FED0FB9"/>
    <w:rsid w:val="501F2E7D"/>
    <w:rsid w:val="507410D2"/>
    <w:rsid w:val="50A4392E"/>
    <w:rsid w:val="50A97681"/>
    <w:rsid w:val="50AE3B94"/>
    <w:rsid w:val="50AF7418"/>
    <w:rsid w:val="50CC248F"/>
    <w:rsid w:val="50E93575"/>
    <w:rsid w:val="50EE4AFC"/>
    <w:rsid w:val="50F04D4E"/>
    <w:rsid w:val="50F57385"/>
    <w:rsid w:val="50F6016F"/>
    <w:rsid w:val="50FB1FB9"/>
    <w:rsid w:val="51132FF4"/>
    <w:rsid w:val="51151213"/>
    <w:rsid w:val="513225F9"/>
    <w:rsid w:val="513F5114"/>
    <w:rsid w:val="51440384"/>
    <w:rsid w:val="514F263E"/>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35B21"/>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54E1D"/>
    <w:rsid w:val="536C4A63"/>
    <w:rsid w:val="539B26A9"/>
    <w:rsid w:val="53A201DA"/>
    <w:rsid w:val="53B22D34"/>
    <w:rsid w:val="53B6236C"/>
    <w:rsid w:val="53BD6F30"/>
    <w:rsid w:val="540540F5"/>
    <w:rsid w:val="542913B3"/>
    <w:rsid w:val="543F18BA"/>
    <w:rsid w:val="54883400"/>
    <w:rsid w:val="54884235"/>
    <w:rsid w:val="54932F58"/>
    <w:rsid w:val="54A81CB5"/>
    <w:rsid w:val="54C41B11"/>
    <w:rsid w:val="550E49C6"/>
    <w:rsid w:val="5540344C"/>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89649C"/>
    <w:rsid w:val="57A373F0"/>
    <w:rsid w:val="57C83C57"/>
    <w:rsid w:val="57FB2FB4"/>
    <w:rsid w:val="582028C2"/>
    <w:rsid w:val="582908A2"/>
    <w:rsid w:val="583D07DD"/>
    <w:rsid w:val="585F1862"/>
    <w:rsid w:val="58620D26"/>
    <w:rsid w:val="58706FB1"/>
    <w:rsid w:val="587C5983"/>
    <w:rsid w:val="58A606FD"/>
    <w:rsid w:val="58E8415E"/>
    <w:rsid w:val="58ED1995"/>
    <w:rsid w:val="58FF1A45"/>
    <w:rsid w:val="591578E8"/>
    <w:rsid w:val="591C580B"/>
    <w:rsid w:val="5926497A"/>
    <w:rsid w:val="592A1893"/>
    <w:rsid w:val="595D3E12"/>
    <w:rsid w:val="59961EFB"/>
    <w:rsid w:val="59A11353"/>
    <w:rsid w:val="59B40569"/>
    <w:rsid w:val="59E06FAB"/>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212D9"/>
    <w:rsid w:val="5B570332"/>
    <w:rsid w:val="5B5F0395"/>
    <w:rsid w:val="5B6300A3"/>
    <w:rsid w:val="5B6C0ED6"/>
    <w:rsid w:val="5B790B4E"/>
    <w:rsid w:val="5B7A2400"/>
    <w:rsid w:val="5B9B626D"/>
    <w:rsid w:val="5BA762EC"/>
    <w:rsid w:val="5BD32897"/>
    <w:rsid w:val="5BD74A75"/>
    <w:rsid w:val="5BF50A44"/>
    <w:rsid w:val="5C267EC5"/>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96DBF"/>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7B402C"/>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7EC2FBF"/>
    <w:rsid w:val="6821192D"/>
    <w:rsid w:val="68337E89"/>
    <w:rsid w:val="68337EE8"/>
    <w:rsid w:val="683A6C76"/>
    <w:rsid w:val="6848469A"/>
    <w:rsid w:val="684B0E7C"/>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CF2E50"/>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D06F60"/>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6935BC"/>
    <w:rsid w:val="6E96703D"/>
    <w:rsid w:val="6E984122"/>
    <w:rsid w:val="6EC4761A"/>
    <w:rsid w:val="6ED26905"/>
    <w:rsid w:val="6ED924EF"/>
    <w:rsid w:val="6EE20566"/>
    <w:rsid w:val="6EEB6DD8"/>
    <w:rsid w:val="6EF513F6"/>
    <w:rsid w:val="6F1F0771"/>
    <w:rsid w:val="6F213E96"/>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002537"/>
    <w:rsid w:val="71231B23"/>
    <w:rsid w:val="713B214A"/>
    <w:rsid w:val="714633CE"/>
    <w:rsid w:val="714A76D4"/>
    <w:rsid w:val="7158122B"/>
    <w:rsid w:val="718621EE"/>
    <w:rsid w:val="71894FD2"/>
    <w:rsid w:val="71A3311F"/>
    <w:rsid w:val="71AA4E1C"/>
    <w:rsid w:val="72005730"/>
    <w:rsid w:val="721B697B"/>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95B01"/>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C72DEA"/>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7C1603"/>
    <w:rsid w:val="77820296"/>
    <w:rsid w:val="77A14CDE"/>
    <w:rsid w:val="77AA2F7D"/>
    <w:rsid w:val="77C96BD3"/>
    <w:rsid w:val="77FB22D7"/>
    <w:rsid w:val="78266CE5"/>
    <w:rsid w:val="7827421F"/>
    <w:rsid w:val="782B4A23"/>
    <w:rsid w:val="78302F8F"/>
    <w:rsid w:val="784117AB"/>
    <w:rsid w:val="78510397"/>
    <w:rsid w:val="78552936"/>
    <w:rsid w:val="78591FAB"/>
    <w:rsid w:val="78731F0E"/>
    <w:rsid w:val="78754CBA"/>
    <w:rsid w:val="78962FA5"/>
    <w:rsid w:val="78C148AC"/>
    <w:rsid w:val="78CA1FEE"/>
    <w:rsid w:val="78CB3FEB"/>
    <w:rsid w:val="793B5CE2"/>
    <w:rsid w:val="795C411F"/>
    <w:rsid w:val="795E41B0"/>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0A6ED5"/>
    <w:rsid w:val="7C365DE1"/>
    <w:rsid w:val="7CA33449"/>
    <w:rsid w:val="7CCE4D69"/>
    <w:rsid w:val="7D0A0BA4"/>
    <w:rsid w:val="7D107AF3"/>
    <w:rsid w:val="7D4253C7"/>
    <w:rsid w:val="7D4C5341"/>
    <w:rsid w:val="7D4E5EE6"/>
    <w:rsid w:val="7D8901AD"/>
    <w:rsid w:val="7D8E577D"/>
    <w:rsid w:val="7D9A426A"/>
    <w:rsid w:val="7E006F08"/>
    <w:rsid w:val="7E01736D"/>
    <w:rsid w:val="7E3037AE"/>
    <w:rsid w:val="7E333E03"/>
    <w:rsid w:val="7E391FE6"/>
    <w:rsid w:val="7E7E09BD"/>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 w:type="table" w:customStyle="1" w:styleId="28">
    <w:name w:val="Table Normal"/>
    <w:autoRedefine/>
    <w:semiHidden/>
    <w:unhideWhenUsed/>
    <w:qFormat/>
    <w:uiPriority w:val="0"/>
    <w:tblPr>
      <w:tblCellMar>
        <w:top w:w="0" w:type="dxa"/>
        <w:left w:w="0" w:type="dxa"/>
        <w:bottom w:w="0" w:type="dxa"/>
        <w:right w:w="0" w:type="dxa"/>
      </w:tblCellMar>
    </w:tblPr>
  </w:style>
  <w:style w:type="paragraph" w:customStyle="1" w:styleId="29">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18311</Words>
  <Characters>20263</Characters>
  <Lines>0</Lines>
  <Paragraphs>0</Paragraphs>
  <TotalTime>9</TotalTime>
  <ScaleCrop>false</ScaleCrop>
  <LinksUpToDate>false</LinksUpToDate>
  <CharactersWithSpaces>21824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2024-04-19T03:23:00Z</cp:lastPrinted>
  <dcterms:modified xsi:type="dcterms:W3CDTF">2024-04-19T09:01:29Z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