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bookmarkStart w:id="0" w:name="_GoBack"/>
      <w:r>
        <w:rPr>
          <w:rFonts w:hint="eastAsia" w:asciiTheme="minorEastAsia" w:hAnsiTheme="minorEastAsia" w:eastAsiaTheme="minorEastAsia" w:cstheme="minorEastAsia"/>
          <w:i w:val="0"/>
          <w:iCs w:val="0"/>
          <w:color w:val="auto"/>
          <w:sz w:val="28"/>
          <w:szCs w:val="28"/>
          <w:highlight w:val="none"/>
          <w:u w:val="none"/>
          <w:lang w:val="en-US" w:eastAsia="zh-CN"/>
        </w:rPr>
        <w:t>附件</w:t>
      </w:r>
      <w:r>
        <w:rPr>
          <w:rFonts w:hint="eastAsia" w:asciiTheme="minorEastAsia" w:hAnsiTheme="minorEastAsia" w:cstheme="minorEastAsia"/>
          <w:i w:val="0"/>
          <w:iCs w:val="0"/>
          <w:color w:val="auto"/>
          <w:sz w:val="28"/>
          <w:szCs w:val="28"/>
          <w:highlight w:val="none"/>
          <w:u w:val="none"/>
          <w:lang w:val="en-US" w:eastAsia="zh-CN"/>
        </w:rPr>
        <w:t>1：</w:t>
      </w:r>
      <w:r>
        <w:rPr>
          <w:rFonts w:hint="eastAsia" w:asciiTheme="minorEastAsia" w:hAnsiTheme="minorEastAsia" w:eastAsiaTheme="minorEastAsia" w:cstheme="minorEastAsia"/>
          <w:i w:val="0"/>
          <w:iCs w:val="0"/>
          <w:color w:val="auto"/>
          <w:sz w:val="28"/>
          <w:szCs w:val="28"/>
          <w:highlight w:val="none"/>
          <w:u w:val="none"/>
          <w:lang w:val="en-US" w:eastAsia="zh-CN"/>
        </w:rPr>
        <w:t>采购需求</w:t>
      </w:r>
    </w:p>
    <w:bookmarkEnd w:id="0"/>
    <w:p>
      <w:pPr>
        <w:pStyle w:val="6"/>
        <w:jc w:val="center"/>
        <w:rPr>
          <w:rFonts w:hint="eastAsia" w:ascii="Times New Roman" w:hAnsi="Times New Roman" w:cs="Times New Roman"/>
          <w:lang w:val="en-US" w:eastAsia="zh-CN"/>
        </w:rPr>
      </w:pPr>
      <w:r>
        <w:rPr>
          <w:rFonts w:hint="eastAsia" w:ascii="Times New Roman" w:hAnsi="Times New Roman" w:cs="Times New Roman"/>
          <w:lang w:val="en-US" w:eastAsia="zh-CN"/>
        </w:rPr>
        <w:t>采购需求</w:t>
      </w:r>
    </w:p>
    <w:p>
      <w:pPr>
        <w:spacing w:line="520" w:lineRule="exac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一、质量标准：</w:t>
      </w:r>
    </w:p>
    <w:p>
      <w:pPr>
        <w:spacing w:line="52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1、符合国家、地方、行业现行相关规范合格标准，符合施工图设计要求，且经国家认定的质量监督检验机构检测合格。</w:t>
      </w:r>
    </w:p>
    <w:p>
      <w:pPr>
        <w:spacing w:line="52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2、建材原材料应为符合规范标准的的合格产品，供应商应能提供质量合格证书、复试报告。</w:t>
      </w:r>
    </w:p>
    <w:p>
      <w:pPr>
        <w:spacing w:line="520" w:lineRule="exact"/>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3、建材验收为货到验收，供应商在建材出厂前，应按技术标准规定的检验项目和试验方法进行全面检验，必要时</w:t>
      </w:r>
      <w:r>
        <w:rPr>
          <w:rFonts w:hint="eastAsia" w:asciiTheme="minorEastAsia" w:hAnsiTheme="minorEastAsia" w:cstheme="minorEastAsia"/>
          <w:sz w:val="32"/>
          <w:szCs w:val="32"/>
          <w:lang w:val="en-US" w:eastAsia="zh-CN"/>
        </w:rPr>
        <w:t>采购人</w:t>
      </w:r>
      <w:r>
        <w:rPr>
          <w:rFonts w:hint="eastAsia" w:asciiTheme="minorEastAsia" w:hAnsiTheme="minorEastAsia" w:eastAsiaTheme="minorEastAsia" w:cstheme="minorEastAsia"/>
          <w:sz w:val="32"/>
          <w:szCs w:val="32"/>
          <w:lang w:val="en-US" w:eastAsia="zh-CN"/>
        </w:rPr>
        <w:t>可委派工作人员现场</w:t>
      </w:r>
      <w:r>
        <w:rPr>
          <w:rFonts w:hint="eastAsia" w:asciiTheme="minorEastAsia" w:hAnsiTheme="minorEastAsia" w:cstheme="minorEastAsia"/>
          <w:sz w:val="32"/>
          <w:szCs w:val="32"/>
          <w:lang w:val="en-US" w:eastAsia="zh-CN"/>
        </w:rPr>
        <w:t>见</w:t>
      </w:r>
      <w:r>
        <w:rPr>
          <w:rFonts w:hint="eastAsia" w:asciiTheme="minorEastAsia" w:hAnsiTheme="minorEastAsia" w:eastAsiaTheme="minorEastAsia" w:cstheme="minorEastAsia"/>
          <w:sz w:val="32"/>
          <w:szCs w:val="32"/>
          <w:lang w:val="en-US" w:eastAsia="zh-CN"/>
        </w:rPr>
        <w:t>证，建材验收应符合国家、地方、行业现行相关规范合格标准。</w:t>
      </w:r>
    </w:p>
    <w:p>
      <w:pPr>
        <w:spacing w:line="520" w:lineRule="exact"/>
        <w:ind w:firstLine="640" w:firstLineChars="200"/>
        <w:rPr>
          <w:rFonts w:hint="eastAsia" w:ascii="仿宋_GB2312" w:hAnsi="仿宋_GB2312" w:eastAsia="仿宋_GB2312" w:cs="仿宋_GB2312"/>
          <w:b/>
          <w:bCs/>
          <w:sz w:val="32"/>
          <w:szCs w:val="32"/>
          <w:lang w:val="en-US" w:eastAsia="zh-CN"/>
        </w:rPr>
      </w:pPr>
      <w:r>
        <w:rPr>
          <w:rFonts w:hint="eastAsia" w:asciiTheme="minorEastAsia" w:hAnsiTheme="minorEastAsia" w:eastAsiaTheme="minorEastAsia" w:cstheme="minorEastAsia"/>
          <w:sz w:val="32"/>
          <w:szCs w:val="32"/>
          <w:lang w:val="en-US" w:eastAsia="zh-CN"/>
        </w:rPr>
        <w:t>4、建材送达</w:t>
      </w:r>
      <w:r>
        <w:rPr>
          <w:rFonts w:hint="eastAsia" w:asciiTheme="minorEastAsia" w:hAnsiTheme="minorEastAsia" w:cstheme="minorEastAsia"/>
          <w:sz w:val="32"/>
          <w:szCs w:val="32"/>
          <w:lang w:val="en-US" w:eastAsia="zh-CN"/>
        </w:rPr>
        <w:t>采购人</w:t>
      </w:r>
      <w:r>
        <w:rPr>
          <w:rFonts w:hint="eastAsia" w:asciiTheme="minorEastAsia" w:hAnsiTheme="minorEastAsia" w:eastAsiaTheme="minorEastAsia" w:cstheme="minorEastAsia"/>
          <w:sz w:val="32"/>
          <w:szCs w:val="32"/>
          <w:lang w:val="en-US" w:eastAsia="zh-CN"/>
        </w:rPr>
        <w:t>指定地点后，由</w:t>
      </w:r>
      <w:r>
        <w:rPr>
          <w:rFonts w:hint="eastAsia" w:asciiTheme="minorEastAsia" w:hAnsiTheme="minorEastAsia" w:cstheme="minorEastAsia"/>
          <w:sz w:val="32"/>
          <w:szCs w:val="32"/>
          <w:lang w:val="en-US" w:eastAsia="zh-CN"/>
        </w:rPr>
        <w:t>采购人</w:t>
      </w:r>
      <w:r>
        <w:rPr>
          <w:rFonts w:hint="eastAsia" w:asciiTheme="minorEastAsia" w:hAnsiTheme="minorEastAsia" w:eastAsiaTheme="minorEastAsia" w:cstheme="minorEastAsia"/>
          <w:sz w:val="32"/>
          <w:szCs w:val="32"/>
          <w:lang w:val="en-US" w:eastAsia="zh-CN"/>
        </w:rPr>
        <w:t>现场代表对建材的基本质量和数量进行验收，但不作为最终验收合格的证明。</w:t>
      </w:r>
    </w:p>
    <w:p>
      <w:pPr>
        <w:spacing w:line="520" w:lineRule="exac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二、</w:t>
      </w:r>
      <w:r>
        <w:rPr>
          <w:rFonts w:hint="eastAsia" w:ascii="仿宋_GB2312" w:hAnsi="仿宋_GB2312" w:eastAsia="仿宋_GB2312" w:cs="仿宋_GB2312"/>
          <w:b/>
          <w:bCs/>
          <w:sz w:val="32"/>
          <w:szCs w:val="32"/>
        </w:rPr>
        <w:t>采购人要求</w:t>
      </w:r>
    </w:p>
    <w:p>
      <w:pPr>
        <w:spacing w:line="520" w:lineRule="exact"/>
        <w:ind w:firstLine="640" w:firstLineChars="200"/>
        <w:rPr>
          <w:rFonts w:hint="default" w:asciiTheme="minorEastAsia" w:hAnsiTheme="minorEastAsia" w:eastAsiaTheme="minorEastAsia" w:cstheme="minorEastAsia"/>
          <w:sz w:val="32"/>
          <w:szCs w:val="32"/>
          <w:lang w:val="en-US" w:eastAsia="zh-CN"/>
        </w:rPr>
      </w:pPr>
      <w:r>
        <w:rPr>
          <w:rFonts w:hint="default" w:asciiTheme="minorEastAsia" w:hAnsiTheme="minorEastAsia" w:eastAsiaTheme="minorEastAsia" w:cstheme="minorEastAsia"/>
          <w:sz w:val="32"/>
          <w:szCs w:val="32"/>
          <w:lang w:val="en-US" w:eastAsia="zh-CN"/>
        </w:rPr>
        <w:t>1、</w:t>
      </w:r>
      <w:r>
        <w:rPr>
          <w:rFonts w:hint="eastAsia" w:asciiTheme="minorEastAsia" w:hAnsiTheme="minorEastAsia" w:cstheme="minorEastAsia"/>
          <w:sz w:val="32"/>
          <w:szCs w:val="32"/>
          <w:lang w:val="en-US" w:eastAsia="zh-CN"/>
        </w:rPr>
        <w:t>成交人</w:t>
      </w:r>
      <w:r>
        <w:rPr>
          <w:rFonts w:hint="default" w:asciiTheme="minorEastAsia" w:hAnsiTheme="minorEastAsia" w:eastAsiaTheme="minorEastAsia" w:cstheme="minorEastAsia"/>
          <w:sz w:val="32"/>
          <w:szCs w:val="32"/>
          <w:lang w:val="en-US" w:eastAsia="zh-CN"/>
        </w:rPr>
        <w:t>应按</w:t>
      </w:r>
      <w:r>
        <w:rPr>
          <w:rFonts w:hint="eastAsia" w:asciiTheme="minorEastAsia" w:hAnsi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实际需求，将干混砂浆原材料足量备货到仓库,并配合</w:t>
      </w:r>
      <w:r>
        <w:rPr>
          <w:rFonts w:hint="eastAsia" w:asciiTheme="minorEastAsia" w:hAnsi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做好供货仓储计划，保障干混砂浆及时供应，保障</w:t>
      </w:r>
      <w:r>
        <w:rPr>
          <w:rFonts w:hint="eastAsia" w:asciiTheme="minorEastAsia" w:hAnsi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建设项目施工的正常进行，切实为</w:t>
      </w:r>
      <w:r>
        <w:rPr>
          <w:rFonts w:hint="eastAsia" w:asciiTheme="minorEastAsia" w:hAnsi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提供快捷可靠的服务</w:t>
      </w:r>
      <w:r>
        <w:rPr>
          <w:rFonts w:hint="eastAsia" w:asciiTheme="minorEastAsia" w:hAnsiTheme="minorEastAsia" w:cstheme="minorEastAsia"/>
          <w:sz w:val="32"/>
          <w:szCs w:val="32"/>
          <w:lang w:val="en-US" w:eastAsia="zh-CN"/>
        </w:rPr>
        <w:t>；</w:t>
      </w:r>
    </w:p>
    <w:p>
      <w:pPr>
        <w:spacing w:line="520" w:lineRule="exact"/>
        <w:ind w:firstLine="640" w:firstLineChars="200"/>
        <w:rPr>
          <w:rFonts w:hint="default" w:asciiTheme="minorEastAsia" w:hAnsiTheme="minorEastAsia" w:eastAsiaTheme="minorEastAsia" w:cstheme="minorEastAsia"/>
          <w:sz w:val="32"/>
          <w:szCs w:val="32"/>
          <w:lang w:val="en-US" w:eastAsia="zh-CN"/>
        </w:rPr>
      </w:pPr>
      <w:r>
        <w:rPr>
          <w:rFonts w:hint="default" w:asciiTheme="minorEastAsia" w:hAnsiTheme="minorEastAsia" w:eastAsiaTheme="minorEastAsia" w:cstheme="minorEastAsia"/>
          <w:sz w:val="32"/>
          <w:szCs w:val="32"/>
          <w:lang w:val="en-US" w:eastAsia="zh-CN"/>
        </w:rPr>
        <w:t>2、</w:t>
      </w:r>
      <w:r>
        <w:rPr>
          <w:rFonts w:hint="eastAsia" w:asciiTheme="minorEastAsia" w:hAnsi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对供应干混砂浆具有自主选择权，实际供应干混砂浆的的数量、规格、型号等均以</w:t>
      </w:r>
      <w:r>
        <w:rPr>
          <w:rFonts w:hint="eastAsia" w:asciiTheme="minorEastAsia" w:hAnsi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订单通知为准;</w:t>
      </w:r>
    </w:p>
    <w:p>
      <w:pPr>
        <w:spacing w:line="520" w:lineRule="exact"/>
        <w:ind w:firstLine="640" w:firstLineChars="200"/>
        <w:rPr>
          <w:rFonts w:hint="default" w:asciiTheme="minorEastAsia" w:hAnsiTheme="minorEastAsia" w:eastAsiaTheme="minorEastAsia" w:cstheme="minorEastAsia"/>
          <w:sz w:val="32"/>
          <w:szCs w:val="32"/>
          <w:lang w:val="en-US" w:eastAsia="zh-CN"/>
        </w:rPr>
      </w:pPr>
      <w:r>
        <w:rPr>
          <w:rFonts w:hint="default" w:asciiTheme="minorEastAsia" w:hAnsiTheme="minorEastAsia" w:eastAsiaTheme="minorEastAsia" w:cstheme="minorEastAsia"/>
          <w:sz w:val="32"/>
          <w:szCs w:val="32"/>
          <w:lang w:val="en-US" w:eastAsia="zh-CN"/>
        </w:rPr>
        <w:t>3、如因</w:t>
      </w:r>
      <w:r>
        <w:rPr>
          <w:rFonts w:hint="eastAsia" w:asciiTheme="minorEastAsia" w:hAnsiTheme="minorEastAsia" w:cstheme="minorEastAsia"/>
          <w:sz w:val="32"/>
          <w:szCs w:val="32"/>
          <w:lang w:val="en-US" w:eastAsia="zh-CN"/>
        </w:rPr>
        <w:t>成交人</w:t>
      </w:r>
      <w:r>
        <w:rPr>
          <w:rFonts w:hint="default" w:asciiTheme="minorEastAsia" w:hAnsiTheme="minorEastAsia" w:eastAsiaTheme="minorEastAsia" w:cstheme="minorEastAsia"/>
          <w:sz w:val="32"/>
          <w:szCs w:val="32"/>
          <w:lang w:val="en-US" w:eastAsia="zh-CN"/>
        </w:rPr>
        <w:t>延期交货，给</w:t>
      </w:r>
      <w:r>
        <w:rPr>
          <w:rFonts w:hint="eastAsia" w:asciiTheme="minorEastAsia" w:hAnsi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造成损失的，</w:t>
      </w:r>
      <w:r>
        <w:rPr>
          <w:rFonts w:hint="eastAsia" w:asciiTheme="minorEastAsia" w:hAnsiTheme="minorEastAsia" w:cstheme="minorEastAsia"/>
          <w:sz w:val="32"/>
          <w:szCs w:val="32"/>
          <w:lang w:val="en-US" w:eastAsia="zh-CN"/>
        </w:rPr>
        <w:t>成交人</w:t>
      </w:r>
      <w:r>
        <w:rPr>
          <w:rFonts w:hint="default" w:asciiTheme="minorEastAsia" w:hAnsiTheme="minorEastAsia" w:eastAsiaTheme="minorEastAsia" w:cstheme="minorEastAsia"/>
          <w:sz w:val="32"/>
          <w:szCs w:val="32"/>
          <w:lang w:val="en-US" w:eastAsia="zh-CN"/>
        </w:rPr>
        <w:t>应据实承担所有经济赔偿和法律责任;</w:t>
      </w:r>
    </w:p>
    <w:p>
      <w:pPr>
        <w:spacing w:line="520" w:lineRule="exact"/>
        <w:ind w:firstLine="640" w:firstLineChars="200"/>
        <w:rPr>
          <w:rFonts w:hint="default" w:asciiTheme="minorEastAsia" w:hAnsiTheme="minorEastAsia" w:eastAsiaTheme="minorEastAsia" w:cstheme="minorEastAsia"/>
          <w:sz w:val="32"/>
          <w:szCs w:val="32"/>
          <w:lang w:val="en-US" w:eastAsia="zh-CN"/>
        </w:rPr>
      </w:pPr>
      <w:r>
        <w:rPr>
          <w:rFonts w:hint="default" w:asciiTheme="minorEastAsia" w:hAnsiTheme="minorEastAsia" w:eastAsiaTheme="minorEastAsia" w:cstheme="minorEastAsia"/>
          <w:sz w:val="32"/>
          <w:szCs w:val="32"/>
          <w:lang w:val="en-US" w:eastAsia="zh-CN"/>
        </w:rPr>
        <w:t>4、对于</w:t>
      </w:r>
      <w:r>
        <w:rPr>
          <w:rFonts w:hint="eastAsia" w:asciiTheme="minorEastAsia" w:hAnsi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以书面或电话形式提出的质量、服务等问题，</w:t>
      </w:r>
      <w:r>
        <w:rPr>
          <w:rFonts w:hint="eastAsia" w:asciiTheme="minorEastAsia" w:hAnsiTheme="minorEastAsia" w:cstheme="minorEastAsia"/>
          <w:sz w:val="32"/>
          <w:szCs w:val="32"/>
          <w:lang w:val="en-US" w:eastAsia="zh-CN"/>
        </w:rPr>
        <w:t>成交人</w:t>
      </w:r>
      <w:r>
        <w:rPr>
          <w:rFonts w:hint="default" w:asciiTheme="minorEastAsia" w:hAnsiTheme="minorEastAsia" w:eastAsiaTheme="minorEastAsia" w:cstheme="minorEastAsia"/>
          <w:sz w:val="32"/>
          <w:szCs w:val="32"/>
          <w:lang w:val="en-US" w:eastAsia="zh-CN"/>
        </w:rPr>
        <w:t>应于 24 小时内予以答复响应;</w:t>
      </w:r>
    </w:p>
    <w:p>
      <w:pPr>
        <w:spacing w:line="520" w:lineRule="exact"/>
        <w:ind w:firstLine="640" w:firstLineChars="200"/>
        <w:rPr>
          <w:rFonts w:hint="default" w:asciiTheme="minorEastAsia" w:hAnsiTheme="minorEastAsia" w:eastAsiaTheme="minorEastAsia" w:cstheme="minorEastAsia"/>
          <w:sz w:val="32"/>
          <w:szCs w:val="32"/>
          <w:lang w:val="en-US" w:eastAsia="zh-CN"/>
        </w:rPr>
      </w:pPr>
      <w:r>
        <w:rPr>
          <w:rFonts w:hint="default" w:asciiTheme="minorEastAsia" w:hAnsiTheme="minorEastAsia" w:eastAsiaTheme="minorEastAsia" w:cstheme="minorEastAsia"/>
          <w:sz w:val="32"/>
          <w:szCs w:val="32"/>
          <w:lang w:val="en-US" w:eastAsia="zh-CN"/>
        </w:rPr>
        <w:t>5、</w:t>
      </w:r>
      <w:r>
        <w:rPr>
          <w:rFonts w:hint="eastAsia" w:asciiTheme="minorEastAsia" w:hAnsiTheme="minorEastAsia" w:cstheme="minorEastAsia"/>
          <w:sz w:val="32"/>
          <w:szCs w:val="32"/>
          <w:lang w:val="en-US" w:eastAsia="zh-CN"/>
        </w:rPr>
        <w:t>成交人</w:t>
      </w:r>
      <w:r>
        <w:rPr>
          <w:rFonts w:hint="default" w:asciiTheme="minorEastAsia" w:hAnsiTheme="minorEastAsia" w:eastAsiaTheme="minorEastAsia" w:cstheme="minorEastAsia"/>
          <w:sz w:val="32"/>
          <w:szCs w:val="32"/>
          <w:lang w:val="en-US" w:eastAsia="zh-CN"/>
        </w:rPr>
        <w:t>如有违反质量承诺的，</w:t>
      </w:r>
      <w:r>
        <w:rPr>
          <w:rFonts w:hint="eastAsia" w:asciiTheme="minorEastAsia" w:hAnsi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有权没收其履约保证金，给</w:t>
      </w:r>
      <w:r>
        <w:rPr>
          <w:rFonts w:hint="eastAsia" w:asciiTheme="minorEastAsia" w:hAnsi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造成损失的同时应承担赔偿责任;</w:t>
      </w:r>
    </w:p>
    <w:p>
      <w:pPr>
        <w:spacing w:line="520" w:lineRule="exact"/>
        <w:ind w:firstLine="640" w:firstLineChars="200"/>
        <w:rPr>
          <w:rFonts w:hint="default" w:asciiTheme="minorEastAsia" w:hAnsiTheme="minorEastAsia" w:eastAsiaTheme="minorEastAsia" w:cstheme="minorEastAsia"/>
          <w:sz w:val="32"/>
          <w:szCs w:val="32"/>
          <w:lang w:val="en-US" w:eastAsia="zh-CN"/>
        </w:rPr>
      </w:pPr>
      <w:r>
        <w:rPr>
          <w:rFonts w:hint="default" w:asciiTheme="minorEastAsia" w:hAnsiTheme="minorEastAsia" w:eastAsiaTheme="minorEastAsia" w:cstheme="minorEastAsia"/>
          <w:sz w:val="32"/>
          <w:szCs w:val="32"/>
          <w:lang w:val="en-US" w:eastAsia="zh-CN"/>
        </w:rPr>
        <w:t>6、</w:t>
      </w:r>
      <w:r>
        <w:rPr>
          <w:rFonts w:hint="eastAsia" w:asciiTheme="minorEastAsia" w:hAnsiTheme="minorEastAsia" w:cstheme="minorEastAsia"/>
          <w:sz w:val="32"/>
          <w:szCs w:val="32"/>
          <w:lang w:val="en-US" w:eastAsia="zh-CN"/>
        </w:rPr>
        <w:t>成交人</w:t>
      </w:r>
      <w:r>
        <w:rPr>
          <w:rFonts w:hint="default" w:asciiTheme="minorEastAsia" w:hAnsiTheme="minorEastAsia" w:eastAsiaTheme="minorEastAsia" w:cstheme="minorEastAsia"/>
          <w:sz w:val="32"/>
          <w:szCs w:val="32"/>
          <w:lang w:val="en-US" w:eastAsia="zh-CN"/>
        </w:rPr>
        <w:t>对供应干混砂浆应以国家或行业标准配送，不得以次充好，不得偷工减料，对质量不合格的产品应实行包退、包换</w:t>
      </w:r>
      <w:r>
        <w:rPr>
          <w:rFonts w:hint="eastAsia" w:asciiTheme="minorEastAsia" w:hAnsiTheme="minorEastAsia" w:cstheme="minorEastAsia"/>
          <w:sz w:val="32"/>
          <w:szCs w:val="32"/>
          <w:lang w:val="en-US" w:eastAsia="zh-CN"/>
        </w:rPr>
        <w:t>，</w:t>
      </w:r>
      <w:r>
        <w:rPr>
          <w:rFonts w:hint="default" w:asciiTheme="minorEastAsia" w:hAnsiTheme="minorEastAsia" w:eastAsiaTheme="minorEastAsia" w:cstheme="minorEastAsia"/>
          <w:sz w:val="32"/>
          <w:szCs w:val="32"/>
          <w:lang w:val="en-US" w:eastAsia="zh-CN"/>
        </w:rPr>
        <w:t>若因供应商供应干混砂浆质量问题或以次充好或偷工减料造成的工程安全事故，</w:t>
      </w:r>
      <w:r>
        <w:rPr>
          <w:rFonts w:hint="eastAsia" w:asciiTheme="minorEastAsia" w:hAnsiTheme="minorEastAsia" w:cstheme="minorEastAsia"/>
          <w:sz w:val="32"/>
          <w:szCs w:val="32"/>
          <w:lang w:val="en-US" w:eastAsia="zh-CN"/>
        </w:rPr>
        <w:t>成交人</w:t>
      </w:r>
      <w:r>
        <w:rPr>
          <w:rFonts w:hint="default" w:asciiTheme="minorEastAsia" w:hAnsiTheme="minorEastAsia" w:eastAsiaTheme="minorEastAsia" w:cstheme="minorEastAsia"/>
          <w:sz w:val="32"/>
          <w:szCs w:val="32"/>
          <w:lang w:val="en-US" w:eastAsia="zh-CN"/>
        </w:rPr>
        <w:t>应承担所有经济赔偿和法律责任;</w:t>
      </w:r>
    </w:p>
    <w:p>
      <w:pPr>
        <w:spacing w:line="520" w:lineRule="exact"/>
        <w:ind w:firstLine="640" w:firstLineChars="200"/>
        <w:rPr>
          <w:rFonts w:hint="default" w:asciiTheme="minorEastAsia" w:hAnsiTheme="minorEastAsia" w:eastAsiaTheme="minorEastAsia" w:cstheme="minorEastAsia"/>
          <w:sz w:val="32"/>
          <w:szCs w:val="32"/>
          <w:lang w:val="en-US" w:eastAsia="zh-CN"/>
        </w:rPr>
      </w:pPr>
      <w:r>
        <w:rPr>
          <w:rFonts w:hint="default" w:asciiTheme="minorEastAsia" w:hAnsiTheme="minorEastAsia" w:eastAsiaTheme="minorEastAsia" w:cstheme="minorEastAsia"/>
          <w:sz w:val="32"/>
          <w:szCs w:val="32"/>
          <w:lang w:val="en-US" w:eastAsia="zh-CN"/>
        </w:rPr>
        <w:t>7、</w:t>
      </w:r>
      <w:r>
        <w:rPr>
          <w:rFonts w:hint="eastAsia" w:asciiTheme="minorEastAsia" w:hAnsiTheme="minorEastAsia" w:cstheme="minorEastAsia"/>
          <w:sz w:val="32"/>
          <w:szCs w:val="32"/>
          <w:lang w:val="en-US" w:eastAsia="zh-CN"/>
        </w:rPr>
        <w:t>成交人</w:t>
      </w:r>
      <w:r>
        <w:rPr>
          <w:rFonts w:hint="default" w:asciiTheme="minorEastAsia" w:hAnsiTheme="minorEastAsia" w:eastAsiaTheme="minorEastAsia" w:cstheme="minorEastAsia"/>
          <w:sz w:val="32"/>
          <w:szCs w:val="32"/>
          <w:lang w:val="en-US" w:eastAsia="zh-CN"/>
        </w:rPr>
        <w:t>人员在</w:t>
      </w:r>
      <w:r>
        <w:rPr>
          <w:rFonts w:hint="eastAsia" w:asciiTheme="minorEastAsia" w:hAnsi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施工现场造成本人或者第三人人身、财产损失</w:t>
      </w:r>
      <w:r>
        <w:rPr>
          <w:rFonts w:hint="eastAsia" w:asciiTheme="minorEastAsia" w:hAnsiTheme="minorEastAsia" w:cstheme="minorEastAsia"/>
          <w:sz w:val="32"/>
          <w:szCs w:val="32"/>
          <w:lang w:val="en-US" w:eastAsia="zh-CN"/>
        </w:rPr>
        <w:t>成交人</w:t>
      </w:r>
      <w:r>
        <w:rPr>
          <w:rFonts w:hint="default" w:asciiTheme="minorEastAsia" w:hAnsiTheme="minorEastAsia" w:eastAsiaTheme="minorEastAsia" w:cstheme="minorEastAsia"/>
          <w:sz w:val="32"/>
          <w:szCs w:val="32"/>
          <w:lang w:val="en-US" w:eastAsia="zh-CN"/>
        </w:rPr>
        <w:t>应自行承担责任，若因此导致</w:t>
      </w:r>
      <w:r>
        <w:rPr>
          <w:rFonts w:hint="eastAsia" w:asciiTheme="minorEastAsia" w:hAnsi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担责，</w:t>
      </w:r>
      <w:r>
        <w:rPr>
          <w:rFonts w:hint="eastAsia" w:asciiTheme="minorEastAsia" w:hAnsi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有权对</w:t>
      </w:r>
      <w:r>
        <w:rPr>
          <w:rFonts w:hint="eastAsia" w:asciiTheme="minorEastAsia" w:hAnsiTheme="minorEastAsia" w:cstheme="minorEastAsia"/>
          <w:sz w:val="32"/>
          <w:szCs w:val="32"/>
          <w:lang w:val="en-US" w:eastAsia="zh-CN"/>
        </w:rPr>
        <w:t>成交人</w:t>
      </w:r>
      <w:r>
        <w:rPr>
          <w:rFonts w:hint="default" w:asciiTheme="minorEastAsia" w:hAnsiTheme="minorEastAsia" w:eastAsiaTheme="minorEastAsia" w:cstheme="minorEastAsia"/>
          <w:sz w:val="32"/>
          <w:szCs w:val="32"/>
          <w:lang w:val="en-US" w:eastAsia="zh-CN"/>
        </w:rPr>
        <w:t>追偿；</w:t>
      </w:r>
    </w:p>
    <w:p>
      <w:pPr>
        <w:spacing w:line="520" w:lineRule="exact"/>
        <w:ind w:firstLine="640" w:firstLineChars="200"/>
        <w:rPr>
          <w:rFonts w:hint="default" w:asciiTheme="minorEastAsia" w:hAnsiTheme="minorEastAsia" w:eastAsiaTheme="minorEastAsia" w:cstheme="minorEastAsia"/>
          <w:sz w:val="32"/>
          <w:szCs w:val="32"/>
          <w:lang w:val="en-US" w:eastAsia="zh-CN"/>
        </w:rPr>
      </w:pPr>
      <w:r>
        <w:rPr>
          <w:rFonts w:hint="default" w:asciiTheme="minorEastAsia" w:hAnsiTheme="minorEastAsia" w:eastAsiaTheme="minorEastAsia" w:cstheme="minorEastAsia"/>
          <w:sz w:val="32"/>
          <w:szCs w:val="32"/>
          <w:lang w:val="en-US" w:eastAsia="zh-CN"/>
        </w:rPr>
        <w:t>8、关于干混砂浆散装储罐相关约定:</w:t>
      </w:r>
      <w:r>
        <w:rPr>
          <w:rFonts w:hint="eastAsia" w:asciiTheme="minorEastAsia" w:hAnsiTheme="minorEastAsia" w:cstheme="minorEastAsia"/>
          <w:sz w:val="32"/>
          <w:szCs w:val="32"/>
          <w:lang w:val="en-US" w:eastAsia="zh-CN"/>
        </w:rPr>
        <w:t>成交人</w:t>
      </w:r>
      <w:r>
        <w:rPr>
          <w:rFonts w:hint="default" w:asciiTheme="minorEastAsia" w:hAnsiTheme="minorEastAsia" w:eastAsiaTheme="minorEastAsia" w:cstheme="minorEastAsia"/>
          <w:sz w:val="32"/>
          <w:szCs w:val="32"/>
          <w:lang w:val="en-US" w:eastAsia="zh-CN"/>
        </w:rPr>
        <w:t>负责免费提供干混砂浆散装储罐，</w:t>
      </w:r>
      <w:r>
        <w:rPr>
          <w:rFonts w:hint="eastAsia" w:asciiTheme="minorEastAsia" w:hAnsi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负责现场砂浆储存罐的安防操作空间、基础施工及罐车进出场道路畅通。干混砂浆散装储罐退场时问以</w:t>
      </w:r>
      <w:r>
        <w:rPr>
          <w:rFonts w:hint="eastAsia" w:asciiTheme="minorEastAsia" w:hAnsiTheme="minorEastAsia" w:cstheme="minorEastAsia"/>
          <w:sz w:val="32"/>
          <w:szCs w:val="32"/>
          <w:lang w:val="en-US" w:eastAsia="zh-CN"/>
        </w:rPr>
        <w:t>采购人</w:t>
      </w:r>
      <w:r>
        <w:rPr>
          <w:rFonts w:hint="default" w:asciiTheme="minorEastAsia" w:hAnsiTheme="minorEastAsia" w:eastAsiaTheme="minorEastAsia" w:cstheme="minorEastAsia"/>
          <w:sz w:val="32"/>
          <w:szCs w:val="32"/>
          <w:lang w:val="en-US" w:eastAsia="zh-CN"/>
        </w:rPr>
        <w:t>通知为准；</w:t>
      </w:r>
    </w:p>
    <w:p>
      <w:pPr>
        <w:spacing w:line="520" w:lineRule="exact"/>
        <w:ind w:firstLine="640" w:firstLineChars="200"/>
        <w:rPr>
          <w:rFonts w:hint="default" w:asciiTheme="minorEastAsia" w:hAnsiTheme="minorEastAsia" w:eastAsiaTheme="minorEastAsia" w:cstheme="minorEastAsia"/>
          <w:sz w:val="32"/>
          <w:szCs w:val="32"/>
          <w:lang w:val="en-US" w:eastAsia="zh-CN"/>
        </w:rPr>
      </w:pPr>
      <w:r>
        <w:rPr>
          <w:rFonts w:hint="default" w:asciiTheme="minorEastAsia" w:hAnsiTheme="minorEastAsia" w:eastAsiaTheme="minorEastAsia" w:cstheme="minorEastAsia"/>
          <w:sz w:val="32"/>
          <w:szCs w:val="32"/>
          <w:lang w:val="en-US" w:eastAsia="zh-CN"/>
        </w:rPr>
        <w:t>9、</w:t>
      </w:r>
      <w:r>
        <w:rPr>
          <w:rFonts w:hint="default" w:asciiTheme="minorEastAsia" w:hAnsiTheme="minorEastAsia" w:eastAsiaTheme="minorEastAsia" w:cstheme="minorEastAsia"/>
          <w:color w:val="FF0000"/>
          <w:sz w:val="32"/>
          <w:szCs w:val="32"/>
          <w:lang w:val="en-US" w:eastAsia="zh-CN"/>
        </w:rPr>
        <w:t>预拌砂浆所用水泥品牌必须为海螺、东关、巢湖品牌之一（海螺、铸字、巢东）</w:t>
      </w:r>
      <w:r>
        <w:rPr>
          <w:rFonts w:hint="default" w:asciiTheme="minorEastAsia" w:hAnsiTheme="minorEastAsia" w:eastAsiaTheme="minorEastAsia" w:cstheme="minorEastAsia"/>
          <w:sz w:val="32"/>
          <w:szCs w:val="32"/>
          <w:lang w:val="en-US" w:eastAsia="zh-CN"/>
        </w:rPr>
        <w:t>。</w:t>
      </w:r>
    </w:p>
    <w:p>
      <w:pPr>
        <w:spacing w:line="520" w:lineRule="exac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三、暂定工程量清单</w:t>
      </w:r>
    </w:p>
    <w:tbl>
      <w:tblPr>
        <w:tblStyle w:val="11"/>
        <w:tblW w:w="9396"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908"/>
        <w:gridCol w:w="2412"/>
        <w:gridCol w:w="2233"/>
        <w:gridCol w:w="18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939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采购单位：安徽通康建设工程有限公司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2908"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16"/>
                <w:lang w:val="en-US" w:eastAsia="zh-CN" w:bidi="ar"/>
              </w:rPr>
              <w:t>项目名称</w:t>
            </w:r>
          </w:p>
        </w:tc>
        <w:tc>
          <w:tcPr>
            <w:tcW w:w="2412"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16"/>
                <w:lang w:val="en-US" w:eastAsia="zh-CN" w:bidi="ar"/>
              </w:rPr>
              <w:t>项目特征</w:t>
            </w:r>
          </w:p>
        </w:tc>
        <w:tc>
          <w:tcPr>
            <w:tcW w:w="2233"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16"/>
                <w:lang w:val="en-US" w:eastAsia="zh-CN" w:bidi="ar"/>
              </w:rPr>
              <w:t>单位</w:t>
            </w:r>
          </w:p>
        </w:tc>
        <w:tc>
          <w:tcPr>
            <w:tcW w:w="1843"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16"/>
                <w:lang w:val="en-US" w:eastAsia="zh-CN" w:bidi="ar"/>
              </w:rPr>
              <w:t>暂定数量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908"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16"/>
                <w:lang w:val="en-US" w:eastAsia="zh-CN" w:bidi="ar"/>
              </w:rPr>
              <w:t>干硬性水泥砂浆</w:t>
            </w:r>
            <w:r>
              <w:rPr>
                <w:rStyle w:val="17"/>
                <w:rFonts w:eastAsia="宋体"/>
                <w:lang w:val="en-US" w:eastAsia="zh-CN" w:bidi="ar"/>
              </w:rPr>
              <w:t>(</w:t>
            </w:r>
            <w:r>
              <w:rPr>
                <w:rStyle w:val="16"/>
                <w:lang w:val="en-US" w:eastAsia="zh-CN" w:bidi="ar"/>
              </w:rPr>
              <w:t>干混砂浆</w:t>
            </w:r>
            <w:r>
              <w:rPr>
                <w:rStyle w:val="17"/>
                <w:rFonts w:eastAsia="宋体"/>
                <w:lang w:val="en-US" w:eastAsia="zh-CN" w:bidi="ar"/>
              </w:rPr>
              <w:t>)</w:t>
            </w:r>
          </w:p>
        </w:tc>
        <w:tc>
          <w:tcPr>
            <w:tcW w:w="2412" w:type="dxa"/>
            <w:tcBorders>
              <w:top w:val="nil"/>
              <w:left w:val="nil"/>
              <w:bottom w:val="single" w:color="000000" w:sz="8" w:space="0"/>
              <w:right w:val="single" w:color="000000" w:sz="8" w:space="0"/>
            </w:tcBorders>
            <w:shd w:val="clear" w:color="auto" w:fill="auto"/>
            <w:vAlign w:val="center"/>
          </w:tcPr>
          <w:p>
            <w:pPr>
              <w:jc w:val="center"/>
              <w:rPr>
                <w:rFonts w:hint="default" w:ascii="Arial" w:hAnsi="Arial" w:eastAsia="宋体" w:cs="Arial"/>
                <w:i w:val="0"/>
                <w:iCs w:val="0"/>
                <w:color w:val="000000"/>
                <w:sz w:val="20"/>
                <w:szCs w:val="20"/>
                <w:u w:val="none"/>
              </w:rPr>
            </w:pPr>
          </w:p>
        </w:tc>
        <w:tc>
          <w:tcPr>
            <w:tcW w:w="223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m3</w:t>
            </w:r>
          </w:p>
        </w:tc>
        <w:tc>
          <w:tcPr>
            <w:tcW w:w="18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908"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DS M15.0</w:t>
            </w:r>
          </w:p>
        </w:tc>
        <w:tc>
          <w:tcPr>
            <w:tcW w:w="2412" w:type="dxa"/>
            <w:tcBorders>
              <w:top w:val="nil"/>
              <w:left w:val="nil"/>
              <w:bottom w:val="single" w:color="000000" w:sz="8" w:space="0"/>
              <w:right w:val="single" w:color="000000" w:sz="8" w:space="0"/>
            </w:tcBorders>
            <w:shd w:val="clear" w:color="auto" w:fill="auto"/>
            <w:vAlign w:val="center"/>
          </w:tcPr>
          <w:p>
            <w:pPr>
              <w:jc w:val="center"/>
              <w:rPr>
                <w:rFonts w:hint="default" w:ascii="Arial" w:hAnsi="Arial" w:eastAsia="宋体" w:cs="Arial"/>
                <w:i w:val="0"/>
                <w:iCs w:val="0"/>
                <w:color w:val="000000"/>
                <w:sz w:val="20"/>
                <w:szCs w:val="20"/>
                <w:u w:val="none"/>
              </w:rPr>
            </w:pPr>
          </w:p>
        </w:tc>
        <w:tc>
          <w:tcPr>
            <w:tcW w:w="223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m3</w:t>
            </w:r>
          </w:p>
        </w:tc>
        <w:tc>
          <w:tcPr>
            <w:tcW w:w="18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908"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16"/>
                <w:lang w:val="en-US" w:eastAsia="zh-CN" w:bidi="ar"/>
              </w:rPr>
              <w:t>水泥砂浆</w:t>
            </w:r>
            <w:r>
              <w:rPr>
                <w:rStyle w:val="17"/>
                <w:rFonts w:eastAsia="宋体"/>
                <w:lang w:val="en-US" w:eastAsia="zh-CN" w:bidi="ar"/>
              </w:rPr>
              <w:t xml:space="preserve"> 1∶1</w:t>
            </w:r>
          </w:p>
        </w:tc>
        <w:tc>
          <w:tcPr>
            <w:tcW w:w="2412" w:type="dxa"/>
            <w:tcBorders>
              <w:top w:val="nil"/>
              <w:left w:val="nil"/>
              <w:bottom w:val="single" w:color="000000" w:sz="8" w:space="0"/>
              <w:right w:val="single" w:color="000000" w:sz="8" w:space="0"/>
            </w:tcBorders>
            <w:shd w:val="clear" w:color="auto" w:fill="auto"/>
            <w:vAlign w:val="center"/>
          </w:tcPr>
          <w:p>
            <w:pPr>
              <w:jc w:val="center"/>
              <w:rPr>
                <w:rFonts w:hint="default" w:ascii="Arial" w:hAnsi="Arial" w:eastAsia="宋体" w:cs="Arial"/>
                <w:i w:val="0"/>
                <w:iCs w:val="0"/>
                <w:color w:val="000000"/>
                <w:sz w:val="20"/>
                <w:szCs w:val="20"/>
                <w:u w:val="none"/>
              </w:rPr>
            </w:pPr>
          </w:p>
        </w:tc>
        <w:tc>
          <w:tcPr>
            <w:tcW w:w="223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m3</w:t>
            </w:r>
          </w:p>
        </w:tc>
        <w:tc>
          <w:tcPr>
            <w:tcW w:w="18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908"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DS M20.0</w:t>
            </w:r>
          </w:p>
        </w:tc>
        <w:tc>
          <w:tcPr>
            <w:tcW w:w="2412" w:type="dxa"/>
            <w:tcBorders>
              <w:top w:val="nil"/>
              <w:left w:val="nil"/>
              <w:bottom w:val="single" w:color="000000" w:sz="8" w:space="0"/>
              <w:right w:val="single" w:color="000000" w:sz="8" w:space="0"/>
            </w:tcBorders>
            <w:shd w:val="clear" w:color="auto" w:fill="auto"/>
            <w:vAlign w:val="center"/>
          </w:tcPr>
          <w:p>
            <w:pPr>
              <w:jc w:val="center"/>
              <w:rPr>
                <w:rFonts w:hint="default" w:ascii="Arial" w:hAnsi="Arial" w:eastAsia="宋体" w:cs="Arial"/>
                <w:i w:val="0"/>
                <w:iCs w:val="0"/>
                <w:color w:val="000000"/>
                <w:sz w:val="20"/>
                <w:szCs w:val="20"/>
                <w:u w:val="none"/>
              </w:rPr>
            </w:pPr>
          </w:p>
        </w:tc>
        <w:tc>
          <w:tcPr>
            <w:tcW w:w="223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m3</w:t>
            </w:r>
          </w:p>
        </w:tc>
        <w:tc>
          <w:tcPr>
            <w:tcW w:w="18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908"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16"/>
                <w:lang w:val="en-US" w:eastAsia="zh-CN" w:bidi="ar"/>
              </w:rPr>
              <w:t>水泥砂浆</w:t>
            </w:r>
            <w:r>
              <w:rPr>
                <w:rStyle w:val="17"/>
                <w:rFonts w:eastAsia="宋体"/>
                <w:lang w:val="en-US" w:eastAsia="zh-CN" w:bidi="ar"/>
              </w:rPr>
              <w:t xml:space="preserve"> 1∶1(</w:t>
            </w:r>
            <w:r>
              <w:rPr>
                <w:rStyle w:val="16"/>
                <w:lang w:val="en-US" w:eastAsia="zh-CN" w:bidi="ar"/>
              </w:rPr>
              <w:t>干混砂浆</w:t>
            </w:r>
            <w:r>
              <w:rPr>
                <w:rStyle w:val="17"/>
                <w:rFonts w:eastAsia="宋体"/>
                <w:lang w:val="en-US" w:eastAsia="zh-CN" w:bidi="ar"/>
              </w:rPr>
              <w:t>)</w:t>
            </w:r>
          </w:p>
        </w:tc>
        <w:tc>
          <w:tcPr>
            <w:tcW w:w="24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DS M20</w:t>
            </w:r>
          </w:p>
        </w:tc>
        <w:tc>
          <w:tcPr>
            <w:tcW w:w="223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m3</w:t>
            </w:r>
          </w:p>
        </w:tc>
        <w:tc>
          <w:tcPr>
            <w:tcW w:w="18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908"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16"/>
                <w:lang w:val="en-US" w:eastAsia="zh-CN" w:bidi="ar"/>
              </w:rPr>
              <w:t>水泥砂浆</w:t>
            </w:r>
            <w:r>
              <w:rPr>
                <w:rStyle w:val="17"/>
                <w:rFonts w:eastAsia="宋体"/>
                <w:lang w:val="en-US" w:eastAsia="zh-CN" w:bidi="ar"/>
              </w:rPr>
              <w:t xml:space="preserve"> 1∶2</w:t>
            </w:r>
          </w:p>
        </w:tc>
        <w:tc>
          <w:tcPr>
            <w:tcW w:w="2412" w:type="dxa"/>
            <w:tcBorders>
              <w:top w:val="nil"/>
              <w:left w:val="nil"/>
              <w:bottom w:val="single" w:color="000000" w:sz="8" w:space="0"/>
              <w:right w:val="single" w:color="000000" w:sz="8" w:space="0"/>
            </w:tcBorders>
            <w:shd w:val="clear" w:color="auto" w:fill="auto"/>
            <w:vAlign w:val="center"/>
          </w:tcPr>
          <w:p>
            <w:pPr>
              <w:jc w:val="center"/>
              <w:rPr>
                <w:rFonts w:hint="default" w:ascii="Arial" w:hAnsi="Arial" w:eastAsia="宋体" w:cs="Arial"/>
                <w:i w:val="0"/>
                <w:iCs w:val="0"/>
                <w:color w:val="000000"/>
                <w:sz w:val="20"/>
                <w:szCs w:val="20"/>
                <w:u w:val="none"/>
              </w:rPr>
            </w:pPr>
          </w:p>
        </w:tc>
        <w:tc>
          <w:tcPr>
            <w:tcW w:w="223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m3</w:t>
            </w:r>
          </w:p>
        </w:tc>
        <w:tc>
          <w:tcPr>
            <w:tcW w:w="18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908"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DP M20.0</w:t>
            </w:r>
          </w:p>
        </w:tc>
        <w:tc>
          <w:tcPr>
            <w:tcW w:w="2412" w:type="dxa"/>
            <w:tcBorders>
              <w:top w:val="nil"/>
              <w:left w:val="nil"/>
              <w:bottom w:val="single" w:color="000000" w:sz="8" w:space="0"/>
              <w:right w:val="single" w:color="000000" w:sz="8" w:space="0"/>
            </w:tcBorders>
            <w:shd w:val="clear" w:color="auto" w:fill="auto"/>
            <w:vAlign w:val="center"/>
          </w:tcPr>
          <w:p>
            <w:pPr>
              <w:jc w:val="center"/>
              <w:rPr>
                <w:rFonts w:hint="default" w:ascii="Arial" w:hAnsi="Arial" w:eastAsia="宋体" w:cs="Arial"/>
                <w:i w:val="0"/>
                <w:iCs w:val="0"/>
                <w:color w:val="000000"/>
                <w:sz w:val="20"/>
                <w:szCs w:val="20"/>
                <w:u w:val="none"/>
              </w:rPr>
            </w:pPr>
          </w:p>
        </w:tc>
        <w:tc>
          <w:tcPr>
            <w:tcW w:w="223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m3</w:t>
            </w:r>
          </w:p>
        </w:tc>
        <w:tc>
          <w:tcPr>
            <w:tcW w:w="18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908"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16"/>
                <w:lang w:val="en-US" w:eastAsia="zh-CN" w:bidi="ar"/>
              </w:rPr>
              <w:t>水泥砂浆</w:t>
            </w:r>
            <w:r>
              <w:rPr>
                <w:rStyle w:val="17"/>
                <w:rFonts w:eastAsia="宋体"/>
                <w:lang w:val="en-US" w:eastAsia="zh-CN" w:bidi="ar"/>
              </w:rPr>
              <w:t xml:space="preserve"> 1∶2(</w:t>
            </w:r>
            <w:r>
              <w:rPr>
                <w:rStyle w:val="16"/>
                <w:lang w:val="en-US" w:eastAsia="zh-CN" w:bidi="ar"/>
              </w:rPr>
              <w:t>干混砂浆</w:t>
            </w:r>
            <w:r>
              <w:rPr>
                <w:rStyle w:val="17"/>
                <w:rFonts w:eastAsia="宋体"/>
                <w:lang w:val="en-US" w:eastAsia="zh-CN" w:bidi="ar"/>
              </w:rPr>
              <w:t>)</w:t>
            </w:r>
          </w:p>
        </w:tc>
        <w:tc>
          <w:tcPr>
            <w:tcW w:w="2412" w:type="dxa"/>
            <w:tcBorders>
              <w:top w:val="nil"/>
              <w:left w:val="nil"/>
              <w:bottom w:val="single" w:color="000000" w:sz="8" w:space="0"/>
              <w:right w:val="single" w:color="000000" w:sz="8" w:space="0"/>
            </w:tcBorders>
            <w:shd w:val="clear" w:color="auto" w:fill="auto"/>
            <w:vAlign w:val="center"/>
          </w:tcPr>
          <w:p>
            <w:pPr>
              <w:jc w:val="center"/>
              <w:rPr>
                <w:rFonts w:hint="default" w:ascii="Arial" w:hAnsi="Arial" w:eastAsia="宋体" w:cs="Arial"/>
                <w:i w:val="0"/>
                <w:iCs w:val="0"/>
                <w:color w:val="000000"/>
                <w:sz w:val="20"/>
                <w:szCs w:val="20"/>
                <w:u w:val="none"/>
              </w:rPr>
            </w:pPr>
          </w:p>
        </w:tc>
        <w:tc>
          <w:tcPr>
            <w:tcW w:w="223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m3</w:t>
            </w:r>
          </w:p>
        </w:tc>
        <w:tc>
          <w:tcPr>
            <w:tcW w:w="18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908"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16"/>
                <w:lang w:val="en-US" w:eastAsia="zh-CN" w:bidi="ar"/>
              </w:rPr>
              <w:t>水泥砂浆</w:t>
            </w:r>
            <w:r>
              <w:rPr>
                <w:rStyle w:val="17"/>
                <w:rFonts w:eastAsia="宋体"/>
                <w:lang w:val="en-US" w:eastAsia="zh-CN" w:bidi="ar"/>
              </w:rPr>
              <w:t xml:space="preserve"> 1∶2(</w:t>
            </w:r>
            <w:r>
              <w:rPr>
                <w:rStyle w:val="16"/>
                <w:lang w:val="en-US" w:eastAsia="zh-CN" w:bidi="ar"/>
              </w:rPr>
              <w:t>干混砂浆</w:t>
            </w:r>
            <w:r>
              <w:rPr>
                <w:rStyle w:val="17"/>
                <w:rFonts w:eastAsia="宋体"/>
                <w:lang w:val="en-US" w:eastAsia="zh-CN" w:bidi="ar"/>
              </w:rPr>
              <w:t>)</w:t>
            </w:r>
          </w:p>
        </w:tc>
        <w:tc>
          <w:tcPr>
            <w:tcW w:w="24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DP M20</w:t>
            </w:r>
          </w:p>
        </w:tc>
        <w:tc>
          <w:tcPr>
            <w:tcW w:w="223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m3</w:t>
            </w:r>
          </w:p>
        </w:tc>
        <w:tc>
          <w:tcPr>
            <w:tcW w:w="18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908"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16"/>
                <w:lang w:val="en-US" w:eastAsia="zh-CN" w:bidi="ar"/>
              </w:rPr>
              <w:t>水泥砂浆</w:t>
            </w:r>
            <w:r>
              <w:rPr>
                <w:rStyle w:val="17"/>
                <w:rFonts w:eastAsia="宋体"/>
                <w:lang w:val="en-US" w:eastAsia="zh-CN" w:bidi="ar"/>
              </w:rPr>
              <w:t xml:space="preserve"> 1∶2(</w:t>
            </w:r>
            <w:r>
              <w:rPr>
                <w:rStyle w:val="16"/>
                <w:lang w:val="en-US" w:eastAsia="zh-CN" w:bidi="ar"/>
              </w:rPr>
              <w:t>干混砂浆</w:t>
            </w:r>
            <w:r>
              <w:rPr>
                <w:rStyle w:val="17"/>
                <w:rFonts w:eastAsia="宋体"/>
                <w:lang w:val="en-US" w:eastAsia="zh-CN" w:bidi="ar"/>
              </w:rPr>
              <w:t>)</w:t>
            </w:r>
          </w:p>
        </w:tc>
        <w:tc>
          <w:tcPr>
            <w:tcW w:w="24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WP M20</w:t>
            </w:r>
          </w:p>
        </w:tc>
        <w:tc>
          <w:tcPr>
            <w:tcW w:w="223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m3</w:t>
            </w:r>
          </w:p>
        </w:tc>
        <w:tc>
          <w:tcPr>
            <w:tcW w:w="18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908"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16"/>
                <w:lang w:val="en-US" w:eastAsia="zh-CN" w:bidi="ar"/>
              </w:rPr>
              <w:t>水泥砂浆</w:t>
            </w:r>
            <w:r>
              <w:rPr>
                <w:rStyle w:val="17"/>
                <w:rFonts w:eastAsia="宋体"/>
                <w:lang w:val="en-US" w:eastAsia="zh-CN" w:bidi="ar"/>
              </w:rPr>
              <w:t xml:space="preserve"> 1∶2(</w:t>
            </w:r>
            <w:r>
              <w:rPr>
                <w:rStyle w:val="16"/>
                <w:lang w:val="en-US" w:eastAsia="zh-CN" w:bidi="ar"/>
              </w:rPr>
              <w:t>干混砂浆</w:t>
            </w:r>
            <w:r>
              <w:rPr>
                <w:rStyle w:val="17"/>
                <w:rFonts w:eastAsia="宋体"/>
                <w:lang w:val="en-US" w:eastAsia="zh-CN" w:bidi="ar"/>
              </w:rPr>
              <w:t>)</w:t>
            </w:r>
          </w:p>
        </w:tc>
        <w:tc>
          <w:tcPr>
            <w:tcW w:w="24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DS M20</w:t>
            </w:r>
          </w:p>
        </w:tc>
        <w:tc>
          <w:tcPr>
            <w:tcW w:w="223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m3</w:t>
            </w:r>
          </w:p>
        </w:tc>
        <w:tc>
          <w:tcPr>
            <w:tcW w:w="18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908"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16"/>
                <w:lang w:val="en-US" w:eastAsia="zh-CN" w:bidi="ar"/>
              </w:rPr>
              <w:t>水泥砂浆</w:t>
            </w:r>
            <w:r>
              <w:rPr>
                <w:rStyle w:val="17"/>
                <w:rFonts w:eastAsia="宋体"/>
                <w:lang w:val="en-US" w:eastAsia="zh-CN" w:bidi="ar"/>
              </w:rPr>
              <w:t xml:space="preserve"> 1∶2</w:t>
            </w:r>
          </w:p>
        </w:tc>
        <w:tc>
          <w:tcPr>
            <w:tcW w:w="24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DP M20</w:t>
            </w:r>
          </w:p>
        </w:tc>
        <w:tc>
          <w:tcPr>
            <w:tcW w:w="223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m3</w:t>
            </w:r>
          </w:p>
        </w:tc>
        <w:tc>
          <w:tcPr>
            <w:tcW w:w="18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908"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16"/>
                <w:lang w:val="en-US" w:eastAsia="zh-CN" w:bidi="ar"/>
              </w:rPr>
              <w:t>水泥砂浆</w:t>
            </w:r>
            <w:r>
              <w:rPr>
                <w:rStyle w:val="17"/>
                <w:rFonts w:eastAsia="宋体"/>
                <w:lang w:val="en-US" w:eastAsia="zh-CN" w:bidi="ar"/>
              </w:rPr>
              <w:t xml:space="preserve"> 1∶2.5</w:t>
            </w:r>
          </w:p>
        </w:tc>
        <w:tc>
          <w:tcPr>
            <w:tcW w:w="2412" w:type="dxa"/>
            <w:tcBorders>
              <w:top w:val="nil"/>
              <w:left w:val="nil"/>
              <w:bottom w:val="single" w:color="000000" w:sz="8" w:space="0"/>
              <w:right w:val="single" w:color="000000" w:sz="8" w:space="0"/>
            </w:tcBorders>
            <w:shd w:val="clear" w:color="auto" w:fill="auto"/>
            <w:vAlign w:val="center"/>
          </w:tcPr>
          <w:p>
            <w:pPr>
              <w:jc w:val="center"/>
              <w:rPr>
                <w:rFonts w:hint="default" w:ascii="Arial" w:hAnsi="Arial" w:eastAsia="宋体" w:cs="Arial"/>
                <w:i w:val="0"/>
                <w:iCs w:val="0"/>
                <w:color w:val="000000"/>
                <w:sz w:val="20"/>
                <w:szCs w:val="20"/>
                <w:u w:val="none"/>
              </w:rPr>
            </w:pPr>
          </w:p>
        </w:tc>
        <w:tc>
          <w:tcPr>
            <w:tcW w:w="223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m3</w:t>
            </w:r>
          </w:p>
        </w:tc>
        <w:tc>
          <w:tcPr>
            <w:tcW w:w="18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908"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16"/>
                <w:lang w:val="en-US" w:eastAsia="zh-CN" w:bidi="ar"/>
              </w:rPr>
              <w:t>水泥砂浆</w:t>
            </w:r>
            <w:r>
              <w:rPr>
                <w:rStyle w:val="17"/>
                <w:rFonts w:eastAsia="宋体"/>
                <w:lang w:val="en-US" w:eastAsia="zh-CN" w:bidi="ar"/>
              </w:rPr>
              <w:t xml:space="preserve"> 1∶2.5(</w:t>
            </w:r>
            <w:r>
              <w:rPr>
                <w:rStyle w:val="16"/>
                <w:lang w:val="en-US" w:eastAsia="zh-CN" w:bidi="ar"/>
              </w:rPr>
              <w:t>干混砂浆</w:t>
            </w:r>
            <w:r>
              <w:rPr>
                <w:rStyle w:val="17"/>
                <w:rFonts w:eastAsia="宋体"/>
                <w:lang w:val="en-US" w:eastAsia="zh-CN" w:bidi="ar"/>
              </w:rPr>
              <w:t>)</w:t>
            </w:r>
          </w:p>
        </w:tc>
        <w:tc>
          <w:tcPr>
            <w:tcW w:w="24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DP M20</w:t>
            </w:r>
          </w:p>
        </w:tc>
        <w:tc>
          <w:tcPr>
            <w:tcW w:w="223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m3</w:t>
            </w:r>
          </w:p>
        </w:tc>
        <w:tc>
          <w:tcPr>
            <w:tcW w:w="18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908"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16"/>
                <w:lang w:val="en-US" w:eastAsia="zh-CN" w:bidi="ar"/>
              </w:rPr>
              <w:t>水泥砂浆</w:t>
            </w:r>
            <w:r>
              <w:rPr>
                <w:rStyle w:val="17"/>
                <w:rFonts w:eastAsia="宋体"/>
                <w:lang w:val="en-US" w:eastAsia="zh-CN" w:bidi="ar"/>
              </w:rPr>
              <w:t xml:space="preserve"> 1∶2.5(</w:t>
            </w:r>
            <w:r>
              <w:rPr>
                <w:rStyle w:val="16"/>
                <w:lang w:val="en-US" w:eastAsia="zh-CN" w:bidi="ar"/>
              </w:rPr>
              <w:t>干混砂浆</w:t>
            </w:r>
            <w:r>
              <w:rPr>
                <w:rStyle w:val="17"/>
                <w:rFonts w:eastAsia="宋体"/>
                <w:lang w:val="en-US" w:eastAsia="zh-CN" w:bidi="ar"/>
              </w:rPr>
              <w:t>)</w:t>
            </w:r>
          </w:p>
        </w:tc>
        <w:tc>
          <w:tcPr>
            <w:tcW w:w="24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DS M20</w:t>
            </w:r>
          </w:p>
        </w:tc>
        <w:tc>
          <w:tcPr>
            <w:tcW w:w="223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m3</w:t>
            </w:r>
          </w:p>
        </w:tc>
        <w:tc>
          <w:tcPr>
            <w:tcW w:w="18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908"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16"/>
                <w:lang w:val="en-US" w:eastAsia="zh-CN" w:bidi="ar"/>
              </w:rPr>
              <w:t>水泥砂浆</w:t>
            </w:r>
            <w:r>
              <w:rPr>
                <w:rStyle w:val="17"/>
                <w:rFonts w:eastAsia="宋体"/>
                <w:lang w:val="en-US" w:eastAsia="zh-CN" w:bidi="ar"/>
              </w:rPr>
              <w:t xml:space="preserve"> 1∶2.5</w:t>
            </w:r>
          </w:p>
        </w:tc>
        <w:tc>
          <w:tcPr>
            <w:tcW w:w="24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DP M20</w:t>
            </w:r>
          </w:p>
        </w:tc>
        <w:tc>
          <w:tcPr>
            <w:tcW w:w="223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m3</w:t>
            </w:r>
          </w:p>
        </w:tc>
        <w:tc>
          <w:tcPr>
            <w:tcW w:w="18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908"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16"/>
                <w:lang w:val="en-US" w:eastAsia="zh-CN" w:bidi="ar"/>
              </w:rPr>
              <w:t>水泥砂浆</w:t>
            </w:r>
            <w:r>
              <w:rPr>
                <w:rStyle w:val="17"/>
                <w:rFonts w:eastAsia="宋体"/>
                <w:lang w:val="en-US" w:eastAsia="zh-CN" w:bidi="ar"/>
              </w:rPr>
              <w:t xml:space="preserve"> 1∶3</w:t>
            </w:r>
          </w:p>
        </w:tc>
        <w:tc>
          <w:tcPr>
            <w:tcW w:w="2412" w:type="dxa"/>
            <w:tcBorders>
              <w:top w:val="nil"/>
              <w:left w:val="nil"/>
              <w:bottom w:val="single" w:color="000000" w:sz="8" w:space="0"/>
              <w:right w:val="single" w:color="000000" w:sz="8" w:space="0"/>
            </w:tcBorders>
            <w:shd w:val="clear" w:color="auto" w:fill="auto"/>
            <w:vAlign w:val="center"/>
          </w:tcPr>
          <w:p>
            <w:pPr>
              <w:jc w:val="center"/>
              <w:rPr>
                <w:rFonts w:hint="default" w:ascii="Arial" w:hAnsi="Arial" w:eastAsia="宋体" w:cs="Arial"/>
                <w:i w:val="0"/>
                <w:iCs w:val="0"/>
                <w:color w:val="000000"/>
                <w:sz w:val="20"/>
                <w:szCs w:val="20"/>
                <w:u w:val="none"/>
              </w:rPr>
            </w:pPr>
          </w:p>
        </w:tc>
        <w:tc>
          <w:tcPr>
            <w:tcW w:w="223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m3</w:t>
            </w:r>
          </w:p>
        </w:tc>
        <w:tc>
          <w:tcPr>
            <w:tcW w:w="18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908"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16"/>
                <w:lang w:val="en-US" w:eastAsia="zh-CN" w:bidi="ar"/>
              </w:rPr>
              <w:t>水泥砂浆</w:t>
            </w:r>
            <w:r>
              <w:rPr>
                <w:rStyle w:val="17"/>
                <w:rFonts w:eastAsia="宋体"/>
                <w:lang w:val="en-US" w:eastAsia="zh-CN" w:bidi="ar"/>
              </w:rPr>
              <w:t xml:space="preserve"> 1∶3(</w:t>
            </w:r>
            <w:r>
              <w:rPr>
                <w:rStyle w:val="16"/>
                <w:lang w:val="en-US" w:eastAsia="zh-CN" w:bidi="ar"/>
              </w:rPr>
              <w:t>干混砂浆</w:t>
            </w:r>
            <w:r>
              <w:rPr>
                <w:rStyle w:val="17"/>
                <w:rFonts w:eastAsia="宋体"/>
                <w:lang w:val="en-US" w:eastAsia="zh-CN" w:bidi="ar"/>
              </w:rPr>
              <w:t>)</w:t>
            </w:r>
          </w:p>
        </w:tc>
        <w:tc>
          <w:tcPr>
            <w:tcW w:w="24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DS M15</w:t>
            </w:r>
          </w:p>
        </w:tc>
        <w:tc>
          <w:tcPr>
            <w:tcW w:w="223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m3</w:t>
            </w:r>
          </w:p>
        </w:tc>
        <w:tc>
          <w:tcPr>
            <w:tcW w:w="18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908"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16"/>
                <w:lang w:val="en-US" w:eastAsia="zh-CN" w:bidi="ar"/>
              </w:rPr>
              <w:t>水泥砂浆</w:t>
            </w:r>
            <w:r>
              <w:rPr>
                <w:rStyle w:val="17"/>
                <w:rFonts w:eastAsia="宋体"/>
                <w:lang w:val="en-US" w:eastAsia="zh-CN" w:bidi="ar"/>
              </w:rPr>
              <w:t xml:space="preserve"> 1∶3(</w:t>
            </w:r>
            <w:r>
              <w:rPr>
                <w:rStyle w:val="16"/>
                <w:lang w:val="en-US" w:eastAsia="zh-CN" w:bidi="ar"/>
              </w:rPr>
              <w:t>干混砂浆</w:t>
            </w:r>
            <w:r>
              <w:rPr>
                <w:rStyle w:val="17"/>
                <w:rFonts w:eastAsia="宋体"/>
                <w:lang w:val="en-US" w:eastAsia="zh-CN" w:bidi="ar"/>
              </w:rPr>
              <w:t>)</w:t>
            </w:r>
          </w:p>
        </w:tc>
        <w:tc>
          <w:tcPr>
            <w:tcW w:w="24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DP M15</w:t>
            </w:r>
          </w:p>
        </w:tc>
        <w:tc>
          <w:tcPr>
            <w:tcW w:w="223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m3</w:t>
            </w:r>
          </w:p>
        </w:tc>
        <w:tc>
          <w:tcPr>
            <w:tcW w:w="18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908"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DP M15.0</w:t>
            </w:r>
          </w:p>
        </w:tc>
        <w:tc>
          <w:tcPr>
            <w:tcW w:w="2412" w:type="dxa"/>
            <w:tcBorders>
              <w:top w:val="nil"/>
              <w:left w:val="nil"/>
              <w:bottom w:val="single" w:color="000000" w:sz="8" w:space="0"/>
              <w:right w:val="single" w:color="000000" w:sz="8" w:space="0"/>
            </w:tcBorders>
            <w:shd w:val="clear" w:color="auto" w:fill="auto"/>
            <w:vAlign w:val="center"/>
          </w:tcPr>
          <w:p>
            <w:pPr>
              <w:jc w:val="center"/>
              <w:rPr>
                <w:rFonts w:hint="default" w:ascii="Arial" w:hAnsi="Arial" w:eastAsia="宋体" w:cs="Arial"/>
                <w:i w:val="0"/>
                <w:iCs w:val="0"/>
                <w:color w:val="000000"/>
                <w:sz w:val="20"/>
                <w:szCs w:val="20"/>
                <w:u w:val="none"/>
              </w:rPr>
            </w:pPr>
          </w:p>
        </w:tc>
        <w:tc>
          <w:tcPr>
            <w:tcW w:w="223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m3</w:t>
            </w:r>
          </w:p>
        </w:tc>
        <w:tc>
          <w:tcPr>
            <w:tcW w:w="18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908"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16"/>
                <w:lang w:val="en-US" w:eastAsia="zh-CN" w:bidi="ar"/>
              </w:rPr>
              <w:t>水泥砂浆</w:t>
            </w:r>
            <w:r>
              <w:rPr>
                <w:rStyle w:val="17"/>
                <w:rFonts w:eastAsia="宋体"/>
                <w:lang w:val="en-US" w:eastAsia="zh-CN" w:bidi="ar"/>
              </w:rPr>
              <w:t xml:space="preserve"> M10</w:t>
            </w:r>
          </w:p>
        </w:tc>
        <w:tc>
          <w:tcPr>
            <w:tcW w:w="2412" w:type="dxa"/>
            <w:tcBorders>
              <w:top w:val="nil"/>
              <w:left w:val="nil"/>
              <w:bottom w:val="single" w:color="000000" w:sz="8" w:space="0"/>
              <w:right w:val="single" w:color="000000" w:sz="8" w:space="0"/>
            </w:tcBorders>
            <w:shd w:val="clear" w:color="auto" w:fill="auto"/>
            <w:vAlign w:val="center"/>
          </w:tcPr>
          <w:p>
            <w:pPr>
              <w:jc w:val="center"/>
              <w:rPr>
                <w:rFonts w:hint="default" w:ascii="Arial" w:hAnsi="Arial" w:eastAsia="宋体" w:cs="Arial"/>
                <w:i w:val="0"/>
                <w:iCs w:val="0"/>
                <w:color w:val="000000"/>
                <w:sz w:val="20"/>
                <w:szCs w:val="20"/>
                <w:u w:val="none"/>
              </w:rPr>
            </w:pPr>
          </w:p>
        </w:tc>
        <w:tc>
          <w:tcPr>
            <w:tcW w:w="223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m3</w:t>
            </w:r>
          </w:p>
        </w:tc>
        <w:tc>
          <w:tcPr>
            <w:tcW w:w="18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908"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DP M10(</w:t>
            </w:r>
            <w:r>
              <w:rPr>
                <w:rStyle w:val="16"/>
                <w:lang w:val="en-US" w:eastAsia="zh-CN" w:bidi="ar"/>
              </w:rPr>
              <w:t>预拌砂浆</w:t>
            </w:r>
            <w:r>
              <w:rPr>
                <w:rStyle w:val="17"/>
                <w:rFonts w:eastAsia="宋体"/>
                <w:lang w:val="en-US" w:eastAsia="zh-CN" w:bidi="ar"/>
              </w:rPr>
              <w:t>)</w:t>
            </w:r>
          </w:p>
        </w:tc>
        <w:tc>
          <w:tcPr>
            <w:tcW w:w="2412" w:type="dxa"/>
            <w:tcBorders>
              <w:top w:val="nil"/>
              <w:left w:val="nil"/>
              <w:bottom w:val="single" w:color="000000" w:sz="8" w:space="0"/>
              <w:right w:val="single" w:color="000000" w:sz="8" w:space="0"/>
            </w:tcBorders>
            <w:shd w:val="clear" w:color="auto" w:fill="auto"/>
            <w:vAlign w:val="center"/>
          </w:tcPr>
          <w:p>
            <w:pPr>
              <w:jc w:val="center"/>
              <w:rPr>
                <w:rFonts w:hint="default" w:ascii="Arial" w:hAnsi="Arial" w:eastAsia="宋体" w:cs="Arial"/>
                <w:i w:val="0"/>
                <w:iCs w:val="0"/>
                <w:color w:val="000000"/>
                <w:sz w:val="20"/>
                <w:szCs w:val="20"/>
                <w:u w:val="none"/>
              </w:rPr>
            </w:pPr>
          </w:p>
        </w:tc>
        <w:tc>
          <w:tcPr>
            <w:tcW w:w="223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m3</w:t>
            </w:r>
          </w:p>
        </w:tc>
        <w:tc>
          <w:tcPr>
            <w:tcW w:w="18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908"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DM M10(</w:t>
            </w:r>
            <w:r>
              <w:rPr>
                <w:rStyle w:val="16"/>
                <w:lang w:val="en-US" w:eastAsia="zh-CN" w:bidi="ar"/>
              </w:rPr>
              <w:t>预拌砂浆</w:t>
            </w:r>
            <w:r>
              <w:rPr>
                <w:rStyle w:val="17"/>
                <w:rFonts w:eastAsia="宋体"/>
                <w:lang w:val="en-US" w:eastAsia="zh-CN" w:bidi="ar"/>
              </w:rPr>
              <w:t>)</w:t>
            </w:r>
          </w:p>
        </w:tc>
        <w:tc>
          <w:tcPr>
            <w:tcW w:w="2412" w:type="dxa"/>
            <w:tcBorders>
              <w:top w:val="nil"/>
              <w:left w:val="nil"/>
              <w:bottom w:val="single" w:color="000000" w:sz="8" w:space="0"/>
              <w:right w:val="single" w:color="000000" w:sz="8" w:space="0"/>
            </w:tcBorders>
            <w:shd w:val="clear" w:color="auto" w:fill="auto"/>
            <w:vAlign w:val="center"/>
          </w:tcPr>
          <w:p>
            <w:pPr>
              <w:jc w:val="center"/>
              <w:rPr>
                <w:rFonts w:hint="default" w:ascii="Arial" w:hAnsi="Arial" w:eastAsia="宋体" w:cs="Arial"/>
                <w:i w:val="0"/>
                <w:iCs w:val="0"/>
                <w:color w:val="000000"/>
                <w:sz w:val="20"/>
                <w:szCs w:val="20"/>
                <w:u w:val="none"/>
              </w:rPr>
            </w:pPr>
          </w:p>
        </w:tc>
        <w:tc>
          <w:tcPr>
            <w:tcW w:w="223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m3</w:t>
            </w:r>
          </w:p>
        </w:tc>
        <w:tc>
          <w:tcPr>
            <w:tcW w:w="18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908"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16"/>
                <w:lang w:val="en-US" w:eastAsia="zh-CN" w:bidi="ar"/>
              </w:rPr>
              <w:t>预拌砌筑砂浆（干拌）</w:t>
            </w:r>
            <w:r>
              <w:rPr>
                <w:rStyle w:val="17"/>
                <w:rFonts w:eastAsia="宋体"/>
                <w:lang w:val="en-US" w:eastAsia="zh-CN" w:bidi="ar"/>
              </w:rPr>
              <w:t>DM M5</w:t>
            </w:r>
          </w:p>
        </w:tc>
        <w:tc>
          <w:tcPr>
            <w:tcW w:w="24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DM M5</w:t>
            </w:r>
          </w:p>
        </w:tc>
        <w:tc>
          <w:tcPr>
            <w:tcW w:w="223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m3</w:t>
            </w:r>
          </w:p>
        </w:tc>
        <w:tc>
          <w:tcPr>
            <w:tcW w:w="18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908"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DM M5.0</w:t>
            </w:r>
          </w:p>
        </w:tc>
        <w:tc>
          <w:tcPr>
            <w:tcW w:w="2412" w:type="dxa"/>
            <w:tcBorders>
              <w:top w:val="nil"/>
              <w:left w:val="nil"/>
              <w:bottom w:val="single" w:color="000000" w:sz="8" w:space="0"/>
              <w:right w:val="single" w:color="000000" w:sz="8" w:space="0"/>
            </w:tcBorders>
            <w:shd w:val="clear" w:color="auto" w:fill="auto"/>
            <w:vAlign w:val="center"/>
          </w:tcPr>
          <w:p>
            <w:pPr>
              <w:jc w:val="center"/>
              <w:rPr>
                <w:rFonts w:hint="default" w:ascii="Arial" w:hAnsi="Arial" w:eastAsia="宋体" w:cs="Arial"/>
                <w:i w:val="0"/>
                <w:iCs w:val="0"/>
                <w:color w:val="000000"/>
                <w:sz w:val="20"/>
                <w:szCs w:val="20"/>
                <w:u w:val="none"/>
              </w:rPr>
            </w:pPr>
          </w:p>
        </w:tc>
        <w:tc>
          <w:tcPr>
            <w:tcW w:w="223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m3</w:t>
            </w:r>
          </w:p>
        </w:tc>
        <w:tc>
          <w:tcPr>
            <w:tcW w:w="18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908"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16"/>
                <w:lang w:val="en-US" w:eastAsia="zh-CN" w:bidi="ar"/>
              </w:rPr>
              <w:t>混合砂浆</w:t>
            </w:r>
            <w:r>
              <w:rPr>
                <w:rStyle w:val="17"/>
                <w:rFonts w:eastAsia="宋体"/>
                <w:lang w:val="en-US" w:eastAsia="zh-CN" w:bidi="ar"/>
              </w:rPr>
              <w:t xml:space="preserve"> M5</w:t>
            </w:r>
          </w:p>
        </w:tc>
        <w:tc>
          <w:tcPr>
            <w:tcW w:w="24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WM M5</w:t>
            </w:r>
          </w:p>
        </w:tc>
        <w:tc>
          <w:tcPr>
            <w:tcW w:w="223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m3</w:t>
            </w:r>
          </w:p>
        </w:tc>
        <w:tc>
          <w:tcPr>
            <w:tcW w:w="18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908"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16"/>
                <w:lang w:val="en-US" w:eastAsia="zh-CN" w:bidi="ar"/>
              </w:rPr>
              <w:t>混合砂浆</w:t>
            </w:r>
            <w:r>
              <w:rPr>
                <w:rStyle w:val="17"/>
                <w:rFonts w:eastAsia="宋体"/>
                <w:lang w:val="en-US" w:eastAsia="zh-CN" w:bidi="ar"/>
              </w:rPr>
              <w:t xml:space="preserve"> M2.5</w:t>
            </w:r>
          </w:p>
        </w:tc>
        <w:tc>
          <w:tcPr>
            <w:tcW w:w="2412" w:type="dxa"/>
            <w:tcBorders>
              <w:top w:val="nil"/>
              <w:left w:val="nil"/>
              <w:bottom w:val="single" w:color="000000" w:sz="8" w:space="0"/>
              <w:right w:val="single" w:color="000000" w:sz="8" w:space="0"/>
            </w:tcBorders>
            <w:shd w:val="clear" w:color="auto" w:fill="auto"/>
            <w:vAlign w:val="center"/>
          </w:tcPr>
          <w:p>
            <w:pPr>
              <w:jc w:val="center"/>
              <w:rPr>
                <w:rFonts w:hint="default" w:ascii="Arial" w:hAnsi="Arial" w:eastAsia="宋体" w:cs="Arial"/>
                <w:i w:val="0"/>
                <w:iCs w:val="0"/>
                <w:color w:val="000000"/>
                <w:sz w:val="20"/>
                <w:szCs w:val="20"/>
                <w:u w:val="none"/>
              </w:rPr>
            </w:pPr>
          </w:p>
        </w:tc>
        <w:tc>
          <w:tcPr>
            <w:tcW w:w="223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m3</w:t>
            </w:r>
          </w:p>
        </w:tc>
        <w:tc>
          <w:tcPr>
            <w:tcW w:w="18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908"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16"/>
                <w:lang w:val="en-US" w:eastAsia="zh-CN" w:bidi="ar"/>
              </w:rPr>
              <w:t>水泥砂浆</w:t>
            </w:r>
            <w:r>
              <w:rPr>
                <w:rStyle w:val="17"/>
                <w:rFonts w:eastAsia="宋体"/>
                <w:lang w:val="en-US" w:eastAsia="zh-CN" w:bidi="ar"/>
              </w:rPr>
              <w:t xml:space="preserve"> M10(</w:t>
            </w:r>
            <w:r>
              <w:rPr>
                <w:rStyle w:val="16"/>
                <w:lang w:val="en-US" w:eastAsia="zh-CN" w:bidi="ar"/>
              </w:rPr>
              <w:t>干混砂浆</w:t>
            </w:r>
            <w:r>
              <w:rPr>
                <w:rStyle w:val="17"/>
                <w:rFonts w:eastAsia="宋体"/>
                <w:lang w:val="en-US" w:eastAsia="zh-CN" w:bidi="ar"/>
              </w:rPr>
              <w:t>)</w:t>
            </w:r>
          </w:p>
        </w:tc>
        <w:tc>
          <w:tcPr>
            <w:tcW w:w="2412" w:type="dxa"/>
            <w:tcBorders>
              <w:top w:val="nil"/>
              <w:left w:val="nil"/>
              <w:bottom w:val="single" w:color="000000" w:sz="8" w:space="0"/>
              <w:right w:val="single" w:color="000000" w:sz="8" w:space="0"/>
            </w:tcBorders>
            <w:shd w:val="clear" w:color="auto" w:fill="auto"/>
            <w:vAlign w:val="center"/>
          </w:tcPr>
          <w:p>
            <w:pPr>
              <w:jc w:val="center"/>
              <w:rPr>
                <w:rFonts w:hint="default" w:ascii="Arial" w:hAnsi="Arial" w:eastAsia="宋体" w:cs="Arial"/>
                <w:i w:val="0"/>
                <w:iCs w:val="0"/>
                <w:color w:val="000000"/>
                <w:sz w:val="20"/>
                <w:szCs w:val="20"/>
                <w:u w:val="none"/>
              </w:rPr>
            </w:pPr>
          </w:p>
        </w:tc>
        <w:tc>
          <w:tcPr>
            <w:tcW w:w="223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m3</w:t>
            </w:r>
          </w:p>
        </w:tc>
        <w:tc>
          <w:tcPr>
            <w:tcW w:w="18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908"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16"/>
                <w:lang w:val="en-US" w:eastAsia="zh-CN" w:bidi="ar"/>
              </w:rPr>
              <w:t>混合砂浆</w:t>
            </w:r>
            <w:r>
              <w:rPr>
                <w:rStyle w:val="17"/>
                <w:rFonts w:eastAsia="宋体"/>
                <w:lang w:val="en-US" w:eastAsia="zh-CN" w:bidi="ar"/>
              </w:rPr>
              <w:t xml:space="preserve"> 1∶1∶6</w:t>
            </w:r>
          </w:p>
        </w:tc>
        <w:tc>
          <w:tcPr>
            <w:tcW w:w="2412" w:type="dxa"/>
            <w:tcBorders>
              <w:top w:val="nil"/>
              <w:left w:val="nil"/>
              <w:bottom w:val="single" w:color="000000" w:sz="8" w:space="0"/>
              <w:right w:val="single" w:color="000000" w:sz="8" w:space="0"/>
            </w:tcBorders>
            <w:shd w:val="clear" w:color="auto" w:fill="auto"/>
            <w:vAlign w:val="center"/>
          </w:tcPr>
          <w:p>
            <w:pPr>
              <w:jc w:val="center"/>
              <w:rPr>
                <w:rFonts w:hint="default" w:ascii="Arial" w:hAnsi="Arial" w:eastAsia="宋体" w:cs="Arial"/>
                <w:i w:val="0"/>
                <w:iCs w:val="0"/>
                <w:color w:val="000000"/>
                <w:sz w:val="20"/>
                <w:szCs w:val="20"/>
                <w:u w:val="none"/>
              </w:rPr>
            </w:pPr>
          </w:p>
        </w:tc>
        <w:tc>
          <w:tcPr>
            <w:tcW w:w="223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m3</w:t>
            </w:r>
          </w:p>
        </w:tc>
        <w:tc>
          <w:tcPr>
            <w:tcW w:w="18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908"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16"/>
                <w:lang w:val="en-US" w:eastAsia="zh-CN" w:bidi="ar"/>
              </w:rPr>
              <w:t>混合砂浆</w:t>
            </w:r>
            <w:r>
              <w:rPr>
                <w:rStyle w:val="17"/>
                <w:rFonts w:eastAsia="宋体"/>
                <w:lang w:val="en-US" w:eastAsia="zh-CN" w:bidi="ar"/>
              </w:rPr>
              <w:t xml:space="preserve"> 1∶1∶4(</w:t>
            </w:r>
            <w:r>
              <w:rPr>
                <w:rStyle w:val="16"/>
                <w:lang w:val="en-US" w:eastAsia="zh-CN" w:bidi="ar"/>
              </w:rPr>
              <w:t>干混砂浆</w:t>
            </w:r>
            <w:r>
              <w:rPr>
                <w:rStyle w:val="17"/>
                <w:rFonts w:eastAsia="宋体"/>
                <w:lang w:val="en-US" w:eastAsia="zh-CN" w:bidi="ar"/>
              </w:rPr>
              <w:t>)</w:t>
            </w:r>
          </w:p>
        </w:tc>
        <w:tc>
          <w:tcPr>
            <w:tcW w:w="2412" w:type="dxa"/>
            <w:tcBorders>
              <w:top w:val="nil"/>
              <w:left w:val="nil"/>
              <w:bottom w:val="single" w:color="000000" w:sz="8" w:space="0"/>
              <w:right w:val="single" w:color="000000" w:sz="8" w:space="0"/>
            </w:tcBorders>
            <w:shd w:val="clear" w:color="auto" w:fill="auto"/>
            <w:vAlign w:val="center"/>
          </w:tcPr>
          <w:p>
            <w:pPr>
              <w:jc w:val="center"/>
              <w:rPr>
                <w:rFonts w:hint="default" w:ascii="Arial" w:hAnsi="Arial" w:eastAsia="宋体" w:cs="Arial"/>
                <w:i w:val="0"/>
                <w:iCs w:val="0"/>
                <w:color w:val="000000"/>
                <w:sz w:val="20"/>
                <w:szCs w:val="20"/>
                <w:u w:val="none"/>
              </w:rPr>
            </w:pPr>
          </w:p>
        </w:tc>
        <w:tc>
          <w:tcPr>
            <w:tcW w:w="223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m3</w:t>
            </w:r>
          </w:p>
        </w:tc>
        <w:tc>
          <w:tcPr>
            <w:tcW w:w="18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908"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ind w:firstLineChars="200"/>
              <w:jc w:val="center"/>
              <w:textAlignment w:val="center"/>
              <w:rPr>
                <w:rFonts w:ascii="仿宋_GB2312" w:hAnsi="宋体" w:eastAsia="仿宋_GB2312" w:cs="仿宋_GB2312"/>
                <w:i w:val="0"/>
                <w:iCs w:val="0"/>
                <w:color w:val="000000"/>
                <w:sz w:val="21"/>
                <w:szCs w:val="21"/>
                <w:u w:val="none"/>
              </w:rPr>
            </w:pPr>
            <w:r>
              <w:rPr>
                <w:rStyle w:val="18"/>
                <w:rFonts w:hAnsi="宋体"/>
                <w:lang w:val="en-US" w:eastAsia="zh-CN" w:bidi="ar"/>
              </w:rPr>
              <w:t>抗裂砂浆</w:t>
            </w:r>
          </w:p>
        </w:tc>
        <w:tc>
          <w:tcPr>
            <w:tcW w:w="2412" w:type="dxa"/>
            <w:tcBorders>
              <w:top w:val="nil"/>
              <w:left w:val="nil"/>
              <w:bottom w:val="single" w:color="000000" w:sz="8" w:space="0"/>
              <w:right w:val="single" w:color="000000" w:sz="8" w:space="0"/>
            </w:tcBorders>
            <w:shd w:val="clear" w:color="auto" w:fill="auto"/>
            <w:vAlign w:val="center"/>
          </w:tcPr>
          <w:p>
            <w:pPr>
              <w:jc w:val="center"/>
              <w:rPr>
                <w:rFonts w:hint="eastAsia" w:ascii="仿宋_GB2312" w:hAnsi="宋体" w:eastAsia="仿宋_GB2312" w:cs="仿宋_GB2312"/>
                <w:b/>
                <w:bCs/>
                <w:i w:val="0"/>
                <w:iCs w:val="0"/>
                <w:color w:val="000000"/>
                <w:sz w:val="21"/>
                <w:szCs w:val="21"/>
                <w:u w:val="none"/>
              </w:rPr>
            </w:pPr>
          </w:p>
        </w:tc>
        <w:tc>
          <w:tcPr>
            <w:tcW w:w="223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m3</w:t>
            </w:r>
          </w:p>
        </w:tc>
        <w:tc>
          <w:tcPr>
            <w:tcW w:w="18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908"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ind w:firstLineChars="200"/>
              <w:jc w:val="center"/>
              <w:textAlignment w:val="center"/>
              <w:rPr>
                <w:rFonts w:hint="eastAsia" w:ascii="仿宋_GB2312" w:hAnsi="宋体" w:eastAsia="仿宋_GB2312" w:cs="仿宋_GB2312"/>
                <w:i w:val="0"/>
                <w:iCs w:val="0"/>
                <w:color w:val="000000"/>
                <w:sz w:val="21"/>
                <w:szCs w:val="21"/>
                <w:u w:val="none"/>
              </w:rPr>
            </w:pPr>
            <w:r>
              <w:rPr>
                <w:rStyle w:val="18"/>
                <w:rFonts w:hAnsi="宋体"/>
                <w:lang w:val="en-US" w:eastAsia="zh-CN" w:bidi="ar"/>
              </w:rPr>
              <w:t>界面砂浆</w:t>
            </w:r>
          </w:p>
        </w:tc>
        <w:tc>
          <w:tcPr>
            <w:tcW w:w="2412" w:type="dxa"/>
            <w:tcBorders>
              <w:top w:val="nil"/>
              <w:left w:val="nil"/>
              <w:bottom w:val="single" w:color="000000" w:sz="8" w:space="0"/>
              <w:right w:val="single" w:color="000000" w:sz="8" w:space="0"/>
            </w:tcBorders>
            <w:shd w:val="clear" w:color="auto" w:fill="auto"/>
            <w:vAlign w:val="center"/>
          </w:tcPr>
          <w:p>
            <w:pPr>
              <w:jc w:val="center"/>
              <w:rPr>
                <w:rFonts w:hint="eastAsia" w:ascii="仿宋_GB2312" w:hAnsi="宋体" w:eastAsia="仿宋_GB2312" w:cs="仿宋_GB2312"/>
                <w:b/>
                <w:bCs/>
                <w:i w:val="0"/>
                <w:iCs w:val="0"/>
                <w:color w:val="000000"/>
                <w:sz w:val="21"/>
                <w:szCs w:val="21"/>
                <w:u w:val="none"/>
              </w:rPr>
            </w:pPr>
          </w:p>
        </w:tc>
        <w:tc>
          <w:tcPr>
            <w:tcW w:w="223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m3</w:t>
            </w:r>
          </w:p>
        </w:tc>
        <w:tc>
          <w:tcPr>
            <w:tcW w:w="18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908"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ind w:firstLineChars="200"/>
              <w:jc w:val="center"/>
              <w:textAlignment w:val="center"/>
              <w:rPr>
                <w:rFonts w:hint="eastAsia" w:ascii="仿宋_GB2312" w:hAnsi="宋体" w:eastAsia="仿宋_GB2312" w:cs="仿宋_GB2312"/>
                <w:i w:val="0"/>
                <w:iCs w:val="0"/>
                <w:color w:val="000000"/>
                <w:sz w:val="21"/>
                <w:szCs w:val="21"/>
                <w:u w:val="none"/>
              </w:rPr>
            </w:pPr>
            <w:r>
              <w:rPr>
                <w:rStyle w:val="18"/>
                <w:rFonts w:hAnsi="宋体"/>
                <w:lang w:val="en-US" w:eastAsia="zh-CN" w:bidi="ar"/>
              </w:rPr>
              <w:t>粘结砂浆</w:t>
            </w:r>
          </w:p>
        </w:tc>
        <w:tc>
          <w:tcPr>
            <w:tcW w:w="2412" w:type="dxa"/>
            <w:tcBorders>
              <w:top w:val="nil"/>
              <w:left w:val="nil"/>
              <w:bottom w:val="single" w:color="000000" w:sz="8" w:space="0"/>
              <w:right w:val="single" w:color="000000" w:sz="8" w:space="0"/>
            </w:tcBorders>
            <w:shd w:val="clear" w:color="auto" w:fill="auto"/>
            <w:vAlign w:val="center"/>
          </w:tcPr>
          <w:p>
            <w:pPr>
              <w:jc w:val="center"/>
              <w:rPr>
                <w:rFonts w:hint="eastAsia" w:ascii="仿宋_GB2312" w:hAnsi="宋体" w:eastAsia="仿宋_GB2312" w:cs="仿宋_GB2312"/>
                <w:b/>
                <w:bCs/>
                <w:i w:val="0"/>
                <w:iCs w:val="0"/>
                <w:color w:val="000000"/>
                <w:sz w:val="21"/>
                <w:szCs w:val="21"/>
                <w:u w:val="none"/>
              </w:rPr>
            </w:pPr>
          </w:p>
        </w:tc>
        <w:tc>
          <w:tcPr>
            <w:tcW w:w="223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Style w:val="17"/>
                <w:rFonts w:eastAsia="宋体"/>
                <w:lang w:val="en-US" w:eastAsia="zh-CN" w:bidi="ar"/>
              </w:rPr>
              <w:t>m3</w:t>
            </w:r>
          </w:p>
        </w:tc>
        <w:tc>
          <w:tcPr>
            <w:tcW w:w="18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w:t>
            </w:r>
          </w:p>
        </w:tc>
      </w:tr>
    </w:tbl>
    <w:p>
      <w:pPr>
        <w:pStyle w:val="2"/>
        <w:rPr>
          <w:rFonts w:hint="default" w:asciiTheme="minorEastAsia" w:hAnsiTheme="minorEastAsia" w:cstheme="minorEastAsia"/>
          <w:sz w:val="32"/>
          <w:szCs w:val="32"/>
          <w:lang w:val="en-US" w:eastAsia="zh-CN"/>
        </w:rPr>
      </w:pPr>
      <w:r>
        <w:rPr>
          <w:rFonts w:hint="default" w:asciiTheme="minorEastAsia" w:hAnsiTheme="minorEastAsia" w:cstheme="minorEastAsia"/>
          <w:sz w:val="32"/>
          <w:szCs w:val="32"/>
          <w:lang w:val="en-US" w:eastAsia="zh-CN"/>
        </w:rPr>
        <w:t>注：采购人不对合同期间货物的采购数量做任何承诺，暂估采购数量仅作参考，如合同期间货物的采购数量不足或采购数量差距较大，据实进行结算，供应商不得以此为由调整供货单价，采购人对供应商不承担任何违约责任。</w:t>
      </w:r>
    </w:p>
    <w:p>
      <w:pPr>
        <w:pStyle w:val="2"/>
        <w:rPr>
          <w:rFonts w:hint="default" w:asciiTheme="minorEastAsia" w:hAnsiTheme="minorEastAsia" w:cstheme="minorEastAsia"/>
          <w:sz w:val="32"/>
          <w:szCs w:val="32"/>
          <w:lang w:val="en-US" w:eastAsia="zh-CN"/>
        </w:rPr>
      </w:pPr>
    </w:p>
    <w:p>
      <w:pPr>
        <w:pStyle w:val="2"/>
        <w:rPr>
          <w:rFonts w:hint="default"/>
          <w:lang w:val="en-US" w:eastAsia="zh-CN"/>
        </w:rPr>
      </w:pPr>
    </w:p>
    <w:p>
      <w:pPr>
        <w:pStyle w:val="2"/>
        <w:rPr>
          <w:rFonts w:hint="default"/>
          <w:lang w:val="en-US" w:eastAsia="zh-CN"/>
        </w:rPr>
      </w:pPr>
    </w:p>
    <w:p>
      <w:pPr>
        <w:spacing w:line="520" w:lineRule="exact"/>
        <w:ind w:firstLine="640" w:firstLineChars="200"/>
        <w:rPr>
          <w:rFonts w:hint="default" w:asciiTheme="minorEastAsia" w:hAnsiTheme="minorEastAsia" w:eastAsiaTheme="minorEastAsia" w:cstheme="minorEastAsia"/>
          <w:sz w:val="32"/>
          <w:szCs w:val="32"/>
          <w:lang w:val="en-US" w:eastAsia="zh-CN"/>
        </w:rPr>
      </w:pPr>
    </w:p>
    <w:p>
      <w:pPr>
        <w:pStyle w:val="2"/>
        <w:rPr>
          <w:rFonts w:hint="eastAsia"/>
          <w:lang w:val="en-US" w:eastAsia="zh-CN"/>
        </w:rPr>
      </w:pPr>
    </w:p>
    <w:p>
      <w:pPr>
        <w:spacing w:line="520" w:lineRule="exact"/>
        <w:ind w:firstLine="640" w:firstLineChars="200"/>
        <w:rPr>
          <w:rFonts w:hint="default" w:ascii="仿宋_GB2312" w:hAnsi="仿宋_GB2312" w:eastAsia="仿宋_GB2312" w:cs="仿宋_GB2312"/>
          <w:sz w:val="32"/>
          <w:szCs w:val="32"/>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9613ED"/>
    <w:rsid w:val="00044BC6"/>
    <w:rsid w:val="000949EF"/>
    <w:rsid w:val="00134148"/>
    <w:rsid w:val="002E3A9F"/>
    <w:rsid w:val="003339BF"/>
    <w:rsid w:val="003C148E"/>
    <w:rsid w:val="00537807"/>
    <w:rsid w:val="007E63C5"/>
    <w:rsid w:val="007F121B"/>
    <w:rsid w:val="007F72B2"/>
    <w:rsid w:val="00855338"/>
    <w:rsid w:val="008A2E01"/>
    <w:rsid w:val="009613ED"/>
    <w:rsid w:val="00AD1294"/>
    <w:rsid w:val="00C0745B"/>
    <w:rsid w:val="00D34C26"/>
    <w:rsid w:val="00DB29B0"/>
    <w:rsid w:val="00F25095"/>
    <w:rsid w:val="00F67EBA"/>
    <w:rsid w:val="00FF2734"/>
    <w:rsid w:val="01203704"/>
    <w:rsid w:val="01594B35"/>
    <w:rsid w:val="01E0373D"/>
    <w:rsid w:val="032A1114"/>
    <w:rsid w:val="035229D7"/>
    <w:rsid w:val="037405E1"/>
    <w:rsid w:val="038F541B"/>
    <w:rsid w:val="041A71AD"/>
    <w:rsid w:val="04B62533"/>
    <w:rsid w:val="04D354F8"/>
    <w:rsid w:val="04F036EB"/>
    <w:rsid w:val="066824AC"/>
    <w:rsid w:val="066F1D0E"/>
    <w:rsid w:val="06AE3E0A"/>
    <w:rsid w:val="07794418"/>
    <w:rsid w:val="07F95559"/>
    <w:rsid w:val="08334683"/>
    <w:rsid w:val="084C6B81"/>
    <w:rsid w:val="086504F8"/>
    <w:rsid w:val="094762F4"/>
    <w:rsid w:val="0B316DB7"/>
    <w:rsid w:val="0B4D3BF1"/>
    <w:rsid w:val="0EE32E18"/>
    <w:rsid w:val="0F4A52C7"/>
    <w:rsid w:val="118B7221"/>
    <w:rsid w:val="122B630F"/>
    <w:rsid w:val="1409144A"/>
    <w:rsid w:val="15E50ECA"/>
    <w:rsid w:val="16675465"/>
    <w:rsid w:val="1720040C"/>
    <w:rsid w:val="17602EFE"/>
    <w:rsid w:val="17B120CF"/>
    <w:rsid w:val="17B77C73"/>
    <w:rsid w:val="17D11706"/>
    <w:rsid w:val="18963AA9"/>
    <w:rsid w:val="19255C97"/>
    <w:rsid w:val="19FF0946"/>
    <w:rsid w:val="1A29745A"/>
    <w:rsid w:val="1B862808"/>
    <w:rsid w:val="1BA50EE0"/>
    <w:rsid w:val="1BBC447B"/>
    <w:rsid w:val="1C2A3722"/>
    <w:rsid w:val="1E594203"/>
    <w:rsid w:val="1EFC62AD"/>
    <w:rsid w:val="1F586514"/>
    <w:rsid w:val="1F6B2440"/>
    <w:rsid w:val="1FE17043"/>
    <w:rsid w:val="21C916A0"/>
    <w:rsid w:val="221C0459"/>
    <w:rsid w:val="22204F24"/>
    <w:rsid w:val="223B582C"/>
    <w:rsid w:val="232437D5"/>
    <w:rsid w:val="23AA508F"/>
    <w:rsid w:val="253A6668"/>
    <w:rsid w:val="25D7012F"/>
    <w:rsid w:val="25E87F6B"/>
    <w:rsid w:val="26650304"/>
    <w:rsid w:val="26A24E49"/>
    <w:rsid w:val="27CC5A46"/>
    <w:rsid w:val="28205DAC"/>
    <w:rsid w:val="284D3501"/>
    <w:rsid w:val="286E3521"/>
    <w:rsid w:val="299D3B3E"/>
    <w:rsid w:val="29AB6B7C"/>
    <w:rsid w:val="2B7D1B09"/>
    <w:rsid w:val="2CA862FE"/>
    <w:rsid w:val="2CBF5B79"/>
    <w:rsid w:val="2DB72D51"/>
    <w:rsid w:val="2EA72D69"/>
    <w:rsid w:val="2FA81E31"/>
    <w:rsid w:val="3025488D"/>
    <w:rsid w:val="323435E7"/>
    <w:rsid w:val="326E7E26"/>
    <w:rsid w:val="328214EA"/>
    <w:rsid w:val="32DD707A"/>
    <w:rsid w:val="335A6BD0"/>
    <w:rsid w:val="34B510FA"/>
    <w:rsid w:val="34D348B8"/>
    <w:rsid w:val="35F951F0"/>
    <w:rsid w:val="35FC6972"/>
    <w:rsid w:val="36C559EE"/>
    <w:rsid w:val="388008B3"/>
    <w:rsid w:val="39A9599C"/>
    <w:rsid w:val="39E15381"/>
    <w:rsid w:val="3A2B6F44"/>
    <w:rsid w:val="3B2A0FAA"/>
    <w:rsid w:val="3B8406BA"/>
    <w:rsid w:val="3C2F4ACA"/>
    <w:rsid w:val="3C981E90"/>
    <w:rsid w:val="3D424389"/>
    <w:rsid w:val="3DBC7F10"/>
    <w:rsid w:val="3ED01E68"/>
    <w:rsid w:val="4019701E"/>
    <w:rsid w:val="407C4056"/>
    <w:rsid w:val="4162149D"/>
    <w:rsid w:val="421649E1"/>
    <w:rsid w:val="43313FC3"/>
    <w:rsid w:val="439E2535"/>
    <w:rsid w:val="43CC0E50"/>
    <w:rsid w:val="44C2414A"/>
    <w:rsid w:val="452A0524"/>
    <w:rsid w:val="459359FA"/>
    <w:rsid w:val="46A12F7F"/>
    <w:rsid w:val="47217705"/>
    <w:rsid w:val="47361E51"/>
    <w:rsid w:val="47564260"/>
    <w:rsid w:val="489A45C2"/>
    <w:rsid w:val="49247038"/>
    <w:rsid w:val="4932021F"/>
    <w:rsid w:val="494444F5"/>
    <w:rsid w:val="4BCE6E1F"/>
    <w:rsid w:val="4BED10E7"/>
    <w:rsid w:val="4CA26BF2"/>
    <w:rsid w:val="4D047E1C"/>
    <w:rsid w:val="4D4E1987"/>
    <w:rsid w:val="4D9A16A2"/>
    <w:rsid w:val="4EC40452"/>
    <w:rsid w:val="4F2C6C47"/>
    <w:rsid w:val="502A587C"/>
    <w:rsid w:val="504D489E"/>
    <w:rsid w:val="514364CA"/>
    <w:rsid w:val="51D72884"/>
    <w:rsid w:val="53174839"/>
    <w:rsid w:val="537E791D"/>
    <w:rsid w:val="54372316"/>
    <w:rsid w:val="546122D3"/>
    <w:rsid w:val="54FB1595"/>
    <w:rsid w:val="56026953"/>
    <w:rsid w:val="56A936C4"/>
    <w:rsid w:val="56FE3F90"/>
    <w:rsid w:val="58044C05"/>
    <w:rsid w:val="58600F69"/>
    <w:rsid w:val="591B0458"/>
    <w:rsid w:val="59590F26"/>
    <w:rsid w:val="5A1A187F"/>
    <w:rsid w:val="5BFE59D4"/>
    <w:rsid w:val="5D662547"/>
    <w:rsid w:val="5FDC6467"/>
    <w:rsid w:val="604653D4"/>
    <w:rsid w:val="60CD01D3"/>
    <w:rsid w:val="60D3511D"/>
    <w:rsid w:val="60EB2945"/>
    <w:rsid w:val="627831CA"/>
    <w:rsid w:val="63B727F4"/>
    <w:rsid w:val="642E19FC"/>
    <w:rsid w:val="65695331"/>
    <w:rsid w:val="65FE5602"/>
    <w:rsid w:val="660C2B22"/>
    <w:rsid w:val="66833198"/>
    <w:rsid w:val="66905B32"/>
    <w:rsid w:val="672E75A8"/>
    <w:rsid w:val="6783033A"/>
    <w:rsid w:val="679715F1"/>
    <w:rsid w:val="682269E1"/>
    <w:rsid w:val="687E455F"/>
    <w:rsid w:val="69766FE4"/>
    <w:rsid w:val="69A02DFB"/>
    <w:rsid w:val="6A162110"/>
    <w:rsid w:val="6A7603B2"/>
    <w:rsid w:val="6B827EC3"/>
    <w:rsid w:val="6BBC75A6"/>
    <w:rsid w:val="6BC730D8"/>
    <w:rsid w:val="6BDD159D"/>
    <w:rsid w:val="6BF568E6"/>
    <w:rsid w:val="6C8D2FC3"/>
    <w:rsid w:val="7279151A"/>
    <w:rsid w:val="72802C82"/>
    <w:rsid w:val="729519F7"/>
    <w:rsid w:val="731E270E"/>
    <w:rsid w:val="73C61A83"/>
    <w:rsid w:val="75AA2F96"/>
    <w:rsid w:val="75BD0595"/>
    <w:rsid w:val="7608705F"/>
    <w:rsid w:val="76984A3E"/>
    <w:rsid w:val="77471FC0"/>
    <w:rsid w:val="777FA5D6"/>
    <w:rsid w:val="77B42785"/>
    <w:rsid w:val="787E1A12"/>
    <w:rsid w:val="78A5543C"/>
    <w:rsid w:val="78D45AD6"/>
    <w:rsid w:val="79317671"/>
    <w:rsid w:val="79D83AC2"/>
    <w:rsid w:val="7DE41F56"/>
    <w:rsid w:val="7E0856E7"/>
    <w:rsid w:val="7E2B43EA"/>
    <w:rsid w:val="7E2C7000"/>
    <w:rsid w:val="7E596D8E"/>
    <w:rsid w:val="7F3C437D"/>
    <w:rsid w:val="BFBB7CA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autoRedefine/>
    <w:qFormat/>
    <w:uiPriority w:val="0"/>
    <w:pPr>
      <w:keepNext/>
      <w:keepLines/>
      <w:tabs>
        <w:tab w:val="left" w:pos="420"/>
      </w:tabs>
      <w:spacing w:before="340" w:after="330" w:line="578" w:lineRule="auto"/>
      <w:outlineLvl w:val="0"/>
    </w:pPr>
    <w:rPr>
      <w:b/>
      <w:bCs/>
      <w:kern w:val="44"/>
      <w:sz w:val="44"/>
      <w:szCs w:val="44"/>
    </w:rPr>
  </w:style>
  <w:style w:type="paragraph" w:styleId="6">
    <w:name w:val="heading 2"/>
    <w:basedOn w:val="1"/>
    <w:next w:val="1"/>
    <w:autoRedefine/>
    <w:unhideWhenUsed/>
    <w:qFormat/>
    <w:uiPriority w:val="0"/>
    <w:pPr>
      <w:keepNext/>
      <w:keepLines/>
      <w:widowControl/>
      <w:tabs>
        <w:tab w:val="left" w:pos="420"/>
      </w:tabs>
      <w:spacing w:before="260" w:after="260" w:line="416" w:lineRule="auto"/>
      <w:jc w:val="left"/>
      <w:outlineLvl w:val="1"/>
    </w:pPr>
    <w:rPr>
      <w:rFonts w:asciiTheme="majorHAnsi" w:hAnsiTheme="majorHAnsi" w:eastAsiaTheme="majorEastAsia" w:cstheme="majorBidi"/>
      <w:b/>
      <w:bCs/>
      <w:sz w:val="32"/>
      <w:szCs w:val="32"/>
    </w:rPr>
  </w:style>
  <w:style w:type="paragraph" w:styleId="7">
    <w:name w:val="heading 3"/>
    <w:basedOn w:val="1"/>
    <w:next w:val="1"/>
    <w:autoRedefine/>
    <w:unhideWhenUsed/>
    <w:qFormat/>
    <w:uiPriority w:val="0"/>
    <w:pPr>
      <w:keepNext/>
      <w:keepLines/>
      <w:widowControl/>
      <w:tabs>
        <w:tab w:val="left" w:pos="420"/>
      </w:tabs>
      <w:spacing w:before="260" w:after="260" w:line="416" w:lineRule="auto"/>
      <w:jc w:val="left"/>
      <w:outlineLvl w:val="2"/>
    </w:pPr>
    <w:rPr>
      <w:rFonts w:ascii="Calibri" w:hAnsi="Calibri" w:eastAsia="宋体"/>
      <w:b/>
      <w:bCs/>
      <w:sz w:val="32"/>
      <w:szCs w:val="32"/>
    </w:rPr>
  </w:style>
  <w:style w:type="character" w:default="1" w:styleId="13">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autoRedefine/>
    <w:unhideWhenUsed/>
    <w:qFormat/>
    <w:uiPriority w:val="0"/>
    <w:pPr>
      <w:ind w:firstLine="420"/>
    </w:pPr>
  </w:style>
  <w:style w:type="paragraph" w:styleId="3">
    <w:name w:val="Body Text Indent"/>
    <w:basedOn w:val="1"/>
    <w:next w:val="4"/>
    <w:autoRedefine/>
    <w:qFormat/>
    <w:uiPriority w:val="0"/>
    <w:pPr>
      <w:spacing w:after="120" w:afterLines="0"/>
      <w:ind w:left="420" w:leftChars="200"/>
    </w:pPr>
  </w:style>
  <w:style w:type="paragraph" w:styleId="4">
    <w:name w:val="envelope return"/>
    <w:basedOn w:val="1"/>
    <w:autoRedefine/>
    <w:qFormat/>
    <w:uiPriority w:val="0"/>
    <w:pPr>
      <w:snapToGrid w:val="0"/>
    </w:pPr>
    <w:rPr>
      <w:rFonts w:ascii="Arial" w:hAnsi="Arial"/>
      <w:szCs w:val="20"/>
    </w:rPr>
  </w:style>
  <w:style w:type="paragraph" w:styleId="8">
    <w:name w:val="Body Text"/>
    <w:basedOn w:val="1"/>
    <w:autoRedefine/>
    <w:qFormat/>
    <w:uiPriority w:val="99"/>
    <w:pPr>
      <w:tabs>
        <w:tab w:val="left" w:pos="420"/>
      </w:tabs>
      <w:ind w:firstLine="480"/>
    </w:pPr>
    <w:rPr>
      <w:rFonts w:ascii="等线" w:hAnsi="等线" w:eastAsia="等线" w:cs="等线"/>
      <w:lang w:val="zh-CN" w:bidi="zh-CN"/>
    </w:rPr>
  </w:style>
  <w:style w:type="paragraph" w:styleId="9">
    <w:name w:val="Plain Text"/>
    <w:autoRedefine/>
    <w:qFormat/>
    <w:uiPriority w:val="0"/>
    <w:pPr>
      <w:widowControl w:val="0"/>
      <w:jc w:val="both"/>
    </w:pPr>
    <w:rPr>
      <w:rFonts w:ascii="宋体" w:hAnsi="Courier New" w:eastAsiaTheme="minorEastAsia" w:cstheme="minorBidi"/>
      <w:kern w:val="2"/>
      <w:sz w:val="21"/>
      <w:szCs w:val="20"/>
      <w:lang w:val="en-US" w:eastAsia="zh-CN" w:bidi="ar-SA"/>
    </w:rPr>
  </w:style>
  <w:style w:type="paragraph" w:styleId="10">
    <w:name w:val="Normal (Web)"/>
    <w:basedOn w:val="1"/>
    <w:autoRedefine/>
    <w:qFormat/>
    <w:uiPriority w:val="0"/>
    <w:pPr>
      <w:spacing w:before="100" w:beforeAutospacing="1" w:after="100" w:afterAutospacing="1"/>
      <w:ind w:left="0" w:right="0"/>
      <w:jc w:val="left"/>
    </w:pPr>
    <w:rPr>
      <w:kern w:val="0"/>
      <w:sz w:val="24"/>
      <w:lang w:val="en-US" w:eastAsia="zh-CN" w:bidi="ar"/>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Table Paragraph"/>
    <w:basedOn w:val="1"/>
    <w:autoRedefine/>
    <w:qFormat/>
    <w:uiPriority w:val="1"/>
    <w:pPr>
      <w:autoSpaceDE w:val="0"/>
      <w:autoSpaceDN w:val="0"/>
      <w:jc w:val="left"/>
    </w:pPr>
    <w:rPr>
      <w:rFonts w:ascii="宋体" w:hAnsi="宋体" w:eastAsia="宋体" w:cs="宋体"/>
      <w:kern w:val="0"/>
      <w:sz w:val="22"/>
    </w:rPr>
  </w:style>
  <w:style w:type="table" w:customStyle="1" w:styleId="15">
    <w:name w:val="Table Normal"/>
    <w:autoRedefine/>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 w:type="character" w:customStyle="1" w:styleId="16">
    <w:name w:val="font21"/>
    <w:basedOn w:val="13"/>
    <w:autoRedefine/>
    <w:qFormat/>
    <w:uiPriority w:val="0"/>
    <w:rPr>
      <w:rFonts w:hint="eastAsia" w:ascii="宋体" w:hAnsi="宋体" w:eastAsia="宋体" w:cs="宋体"/>
      <w:color w:val="000000"/>
      <w:sz w:val="20"/>
      <w:szCs w:val="20"/>
      <w:u w:val="none"/>
    </w:rPr>
  </w:style>
  <w:style w:type="character" w:customStyle="1" w:styleId="17">
    <w:name w:val="font31"/>
    <w:basedOn w:val="13"/>
    <w:autoRedefine/>
    <w:qFormat/>
    <w:uiPriority w:val="0"/>
    <w:rPr>
      <w:rFonts w:ascii="Arial" w:hAnsi="Arial" w:cs="Arial"/>
      <w:color w:val="000000"/>
      <w:sz w:val="20"/>
      <w:szCs w:val="20"/>
      <w:u w:val="none"/>
    </w:rPr>
  </w:style>
  <w:style w:type="character" w:customStyle="1" w:styleId="18">
    <w:name w:val="font41"/>
    <w:basedOn w:val="13"/>
    <w:autoRedefine/>
    <w:uiPriority w:val="0"/>
    <w:rPr>
      <w:rFonts w:hint="eastAsia" w:ascii="仿宋_GB2312" w:eastAsia="仿宋_GB2312" w:cs="仿宋_GB2312"/>
      <w:color w:val="000000"/>
      <w:sz w:val="21"/>
      <w:szCs w:val="21"/>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72</Words>
  <Characters>72</Characters>
  <Lines>22</Lines>
  <Paragraphs>6</Paragraphs>
  <TotalTime>3</TotalTime>
  <ScaleCrop>false</ScaleCrop>
  <LinksUpToDate>false</LinksUpToDate>
  <CharactersWithSpaces>72</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2021-05-19T09:44:00Z</dcterms:created>
  <dc:creator>亳州公交维修公司申博</dc:creator>
  <cp:lastModifiedBy>田萌萌</cp:lastModifiedBy>
  <cp:lastPrinted>2021-05-25T08:19:00Z</cp:lastPrinted>
  <dcterms:modified xsi:type="dcterms:W3CDTF">2024-04-17T02:50:39Z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ECC8566045A84053B9B6B5C8CA024709</vt:lpwstr>
  </property>
</Properties>
</file>