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pStyle w:val="6"/>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pPr>
        <w:spacing w:line="520" w:lineRule="exac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一、质量标准：</w:t>
      </w:r>
    </w:p>
    <w:p>
      <w:pPr>
        <w:spacing w:line="52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1、符合国家、地方、行业现行相关规范合格标准，符合施工图设计要求，且经国家认定的质量监督检验机构检测合格。</w:t>
      </w:r>
    </w:p>
    <w:p>
      <w:pPr>
        <w:spacing w:line="52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2、建材原材料应为符合规范标准的的合格产品，供应商应能提供质量合格证书、复试报告。</w:t>
      </w:r>
    </w:p>
    <w:p>
      <w:pPr>
        <w:spacing w:line="52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3、建材验收为货到验收，供应商在建材出厂前，应按技术标准规定的检验项目和试验方法进行全面检验，必要时</w:t>
      </w:r>
      <w:r>
        <w:rPr>
          <w:rFonts w:hint="eastAsia" w:asciiTheme="minorEastAsia" w:hAnsiTheme="minorEastAsia" w:cstheme="minorEastAsia"/>
          <w:sz w:val="32"/>
          <w:szCs w:val="32"/>
          <w:lang w:val="en-US" w:eastAsia="zh-CN"/>
        </w:rPr>
        <w:t>采购人</w:t>
      </w:r>
      <w:r>
        <w:rPr>
          <w:rFonts w:hint="eastAsia" w:asciiTheme="minorEastAsia" w:hAnsiTheme="minorEastAsia" w:eastAsiaTheme="minorEastAsia" w:cstheme="minorEastAsia"/>
          <w:sz w:val="32"/>
          <w:szCs w:val="32"/>
          <w:lang w:val="en-US" w:eastAsia="zh-CN"/>
        </w:rPr>
        <w:t>可委派工作人员现场</w:t>
      </w:r>
      <w:r>
        <w:rPr>
          <w:rFonts w:hint="eastAsia" w:asciiTheme="minorEastAsia" w:hAnsiTheme="minorEastAsia" w:cstheme="minorEastAsia"/>
          <w:sz w:val="32"/>
          <w:szCs w:val="32"/>
          <w:lang w:val="en-US" w:eastAsia="zh-CN"/>
        </w:rPr>
        <w:t>见</w:t>
      </w:r>
      <w:r>
        <w:rPr>
          <w:rFonts w:hint="eastAsia" w:asciiTheme="minorEastAsia" w:hAnsiTheme="minorEastAsia" w:eastAsiaTheme="minorEastAsia" w:cstheme="minorEastAsia"/>
          <w:sz w:val="32"/>
          <w:szCs w:val="32"/>
          <w:lang w:val="en-US" w:eastAsia="zh-CN"/>
        </w:rPr>
        <w:t>证，建材验收应符合国家、地方、行业现行相关规范合格标准。</w:t>
      </w:r>
    </w:p>
    <w:p>
      <w:pPr>
        <w:spacing w:line="520" w:lineRule="exact"/>
        <w:ind w:firstLine="640" w:firstLineChars="200"/>
        <w:rPr>
          <w:rFonts w:hint="eastAsia" w:ascii="仿宋_GB2312" w:hAnsi="仿宋_GB2312" w:eastAsia="仿宋_GB2312" w:cs="仿宋_GB2312"/>
          <w:b/>
          <w:bCs/>
          <w:sz w:val="32"/>
          <w:szCs w:val="32"/>
          <w:lang w:val="en-US" w:eastAsia="zh-CN"/>
        </w:rPr>
      </w:pPr>
      <w:r>
        <w:rPr>
          <w:rFonts w:hint="eastAsia" w:asciiTheme="minorEastAsia" w:hAnsiTheme="minorEastAsia" w:eastAsiaTheme="minorEastAsia" w:cstheme="minorEastAsia"/>
          <w:sz w:val="32"/>
          <w:szCs w:val="32"/>
          <w:lang w:val="en-US" w:eastAsia="zh-CN"/>
        </w:rPr>
        <w:t>4、建材送达</w:t>
      </w:r>
      <w:r>
        <w:rPr>
          <w:rFonts w:hint="eastAsia" w:asciiTheme="minorEastAsia" w:hAnsiTheme="minorEastAsia" w:cstheme="minorEastAsia"/>
          <w:sz w:val="32"/>
          <w:szCs w:val="32"/>
          <w:lang w:val="en-US" w:eastAsia="zh-CN"/>
        </w:rPr>
        <w:t>采购人</w:t>
      </w:r>
      <w:r>
        <w:rPr>
          <w:rFonts w:hint="eastAsia" w:asciiTheme="minorEastAsia" w:hAnsiTheme="minorEastAsia" w:eastAsiaTheme="minorEastAsia" w:cstheme="minorEastAsia"/>
          <w:sz w:val="32"/>
          <w:szCs w:val="32"/>
          <w:lang w:val="en-US" w:eastAsia="zh-CN"/>
        </w:rPr>
        <w:t>指定地点后，由</w:t>
      </w:r>
      <w:r>
        <w:rPr>
          <w:rFonts w:hint="eastAsia" w:asciiTheme="minorEastAsia" w:hAnsiTheme="minorEastAsia" w:cstheme="minorEastAsia"/>
          <w:sz w:val="32"/>
          <w:szCs w:val="32"/>
          <w:lang w:val="en-US" w:eastAsia="zh-CN"/>
        </w:rPr>
        <w:t>采购人</w:t>
      </w:r>
      <w:r>
        <w:rPr>
          <w:rFonts w:hint="eastAsia" w:asciiTheme="minorEastAsia" w:hAnsiTheme="minorEastAsia" w:eastAsiaTheme="minorEastAsia" w:cstheme="minorEastAsia"/>
          <w:sz w:val="32"/>
          <w:szCs w:val="32"/>
          <w:lang w:val="en-US" w:eastAsia="zh-CN"/>
        </w:rPr>
        <w:t>现场代表对建材的基本质量和数量进行验收，但不作为最终验收合格的证明。</w:t>
      </w:r>
    </w:p>
    <w:p>
      <w:pPr>
        <w:spacing w:line="520" w:lineRule="exac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采购人要求</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1.合同期间，若发现</w:t>
      </w:r>
      <w:r>
        <w:rPr>
          <w:rFonts w:hint="eastAsia" w:asciiTheme="minorEastAsia" w:hAnsiTheme="minorEastAsia" w:eastAsia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存在以下行为的，</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有权单方面解除合同</w:t>
      </w:r>
      <w:r>
        <w:rPr>
          <w:rFonts w:hint="eastAsia" w:asciiTheme="minorEastAsia" w:hAnsiTheme="minorEastAsia" w:eastAsiaTheme="minorEastAsia" w:cstheme="minorEastAsia"/>
          <w:sz w:val="32"/>
          <w:szCs w:val="32"/>
          <w:lang w:val="en-US" w:eastAsia="zh-CN"/>
        </w:rPr>
        <w:t>并</w:t>
      </w:r>
      <w:r>
        <w:rPr>
          <w:rFonts w:hint="default" w:asciiTheme="minorEastAsia" w:hAnsiTheme="minorEastAsia" w:eastAsiaTheme="minorEastAsia" w:cstheme="minorEastAsia"/>
          <w:sz w:val="32"/>
          <w:szCs w:val="32"/>
          <w:lang w:val="en-US" w:eastAsia="zh-CN"/>
        </w:rPr>
        <w:t>没收其履约保证金:</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(1)出现供货产品质量不合格的;</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(2)3次及以上供货时间严重超出合同约定或订单通知时限要求的</w:t>
      </w:r>
      <w:r>
        <w:rPr>
          <w:rFonts w:hint="eastAsia" w:asciiTheme="minorEastAsia" w:hAnsiTheme="minorEastAsia" w:eastAsiaTheme="minorEastAsia" w:cstheme="minorEastAsia"/>
          <w:sz w:val="32"/>
          <w:szCs w:val="32"/>
          <w:lang w:val="en-US" w:eastAsia="zh-CN"/>
        </w:rPr>
        <w:t>;</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(3)3次及以上虚报供货产品数量或价格的;</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(4)其他严重损害</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利益的行为。</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2.如因</w:t>
      </w:r>
      <w:r>
        <w:rPr>
          <w:rFonts w:hint="eastAsia" w:asciiTheme="minorEastAsia" w:hAnsiTheme="minorEastAsia" w:eastAsia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原因，造成供货产品质量不合格、与样品不一致、未按合同约定或规范标准供货的，</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有权予以拒收，</w:t>
      </w:r>
      <w:r>
        <w:rPr>
          <w:rFonts w:hint="eastAsia" w:asciiTheme="minorEastAsia" w:hAnsiTheme="minorEastAsia" w:eastAsia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应对质量不合格的产品实行包退、包换，因此延期交货造成的一切损失和法律责任由</w:t>
      </w:r>
      <w:r>
        <w:rPr>
          <w:rFonts w:hint="eastAsia" w:asciiTheme="minorEastAsia" w:hAnsiTheme="minorEastAsia" w:eastAsia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承担。</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3、</w:t>
      </w:r>
      <w:r>
        <w:rPr>
          <w:rFonts w:hint="eastAsia" w:asciiTheme="minorEastAsia" w:hAnsiTheme="minorEastAsia" w:eastAsia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逾期交货的，</w:t>
      </w:r>
      <w:r>
        <w:rPr>
          <w:rFonts w:hint="eastAsia" w:asciiTheme="minorEastAsia" w:hAnsiTheme="minorEastAsia" w:cstheme="minorEastAsia"/>
          <w:sz w:val="32"/>
          <w:szCs w:val="32"/>
          <w:lang w:val="en-US" w:eastAsia="zh-CN"/>
        </w:rPr>
        <w:t>每逾期一天</w:t>
      </w:r>
      <w:r>
        <w:rPr>
          <w:rFonts w:hint="default" w:asciiTheme="minorEastAsia" w:hAnsiTheme="minorEastAsia" w:eastAsiaTheme="minorEastAsia" w:cstheme="minorEastAsia"/>
          <w:sz w:val="32"/>
          <w:szCs w:val="32"/>
          <w:lang w:val="en-US" w:eastAsia="zh-CN"/>
        </w:rPr>
        <w:t>按</w:t>
      </w:r>
      <w:r>
        <w:rPr>
          <w:rFonts w:hint="eastAsia" w:asciiTheme="minorEastAsia" w:hAnsiTheme="minorEastAsia" w:cstheme="minorEastAsia"/>
          <w:sz w:val="32"/>
          <w:szCs w:val="32"/>
          <w:lang w:val="en-US" w:eastAsia="zh-CN"/>
        </w:rPr>
        <w:t>未</w:t>
      </w:r>
      <w:r>
        <w:rPr>
          <w:rFonts w:hint="default" w:asciiTheme="minorEastAsia" w:hAnsiTheme="minorEastAsia" w:eastAsiaTheme="minorEastAsia" w:cstheme="minorEastAsia"/>
          <w:sz w:val="32"/>
          <w:szCs w:val="32"/>
          <w:lang w:val="en-US" w:eastAsia="zh-CN"/>
        </w:rPr>
        <w:t>交货部分货款</w:t>
      </w:r>
      <w:r>
        <w:rPr>
          <w:rFonts w:hint="eastAsia" w:asciiTheme="minorEastAsia" w:hAnsiTheme="minorEastAsia" w:cstheme="minorEastAsia"/>
          <w:sz w:val="32"/>
          <w:szCs w:val="32"/>
          <w:lang w:val="en-US" w:eastAsia="zh-CN"/>
        </w:rPr>
        <w:t>的</w:t>
      </w:r>
      <w:r>
        <w:rPr>
          <w:rFonts w:hint="default" w:asciiTheme="minorEastAsia" w:hAnsiTheme="minorEastAsia" w:eastAsiaTheme="minorEastAsia" w:cstheme="minorEastAsia"/>
          <w:sz w:val="32"/>
          <w:szCs w:val="32"/>
          <w:lang w:val="en-US" w:eastAsia="zh-CN"/>
        </w:rPr>
        <w:t>万分之五</w:t>
      </w:r>
      <w:r>
        <w:rPr>
          <w:rFonts w:hint="eastAsia" w:asciiTheme="minorEastAsia" w:hAnsiTheme="minorEastAsia" w:cstheme="minorEastAsia"/>
          <w:sz w:val="32"/>
          <w:szCs w:val="32"/>
          <w:lang w:val="en-US" w:eastAsia="zh-CN"/>
        </w:rPr>
        <w:t>累计叠加</w:t>
      </w:r>
      <w:r>
        <w:rPr>
          <w:rFonts w:hint="default" w:asciiTheme="minorEastAsia" w:hAnsiTheme="minorEastAsia" w:eastAsiaTheme="minorEastAsia" w:cstheme="minorEastAsia"/>
          <w:sz w:val="32"/>
          <w:szCs w:val="32"/>
          <w:lang w:val="en-US" w:eastAsia="zh-CN"/>
        </w:rPr>
        <w:t>，向</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偿付逾期交货的违约金，并承担</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因此所受的损失费用。逾期超过5天，</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有权解除合同，并有权要求</w:t>
      </w:r>
      <w:r>
        <w:rPr>
          <w:rFonts w:hint="eastAsia" w:asciiTheme="minorEastAsia" w:hAnsiTheme="minorEastAsia" w:eastAsiaTheme="minorEastAsia" w:cstheme="minorEastAsia"/>
          <w:sz w:val="32"/>
          <w:szCs w:val="32"/>
          <w:lang w:val="en-US" w:eastAsia="zh-CN"/>
        </w:rPr>
        <w:t>成交人</w:t>
      </w:r>
      <w:r>
        <w:rPr>
          <w:rFonts w:hint="eastAsia" w:asciiTheme="minorEastAsia" w:hAnsiTheme="minorEastAsia" w:cstheme="minorEastAsia"/>
          <w:sz w:val="32"/>
          <w:szCs w:val="32"/>
          <w:lang w:val="en-US" w:eastAsia="zh-CN"/>
        </w:rPr>
        <w:t>缴纳</w:t>
      </w:r>
      <w:r>
        <w:rPr>
          <w:rFonts w:hint="default" w:asciiTheme="minorEastAsia" w:hAnsiTheme="minorEastAsia" w:eastAsiaTheme="minorEastAsia" w:cstheme="minorEastAsia"/>
          <w:sz w:val="32"/>
          <w:szCs w:val="32"/>
          <w:lang w:val="en-US" w:eastAsia="zh-CN"/>
        </w:rPr>
        <w:t>逾期</w:t>
      </w:r>
      <w:r>
        <w:rPr>
          <w:rFonts w:hint="eastAsia" w:asciiTheme="minorEastAsia" w:hAnsiTheme="minorEastAsia" w:cstheme="minorEastAsia"/>
          <w:sz w:val="32"/>
          <w:szCs w:val="32"/>
          <w:lang w:val="en-US" w:eastAsia="zh-CN"/>
        </w:rPr>
        <w:t>未</w:t>
      </w:r>
      <w:bookmarkStart w:id="0" w:name="_GoBack"/>
      <w:bookmarkEnd w:id="0"/>
      <w:r>
        <w:rPr>
          <w:rFonts w:hint="default" w:asciiTheme="minorEastAsia" w:hAnsiTheme="minorEastAsia" w:eastAsiaTheme="minorEastAsia" w:cstheme="minorEastAsia"/>
          <w:sz w:val="32"/>
          <w:szCs w:val="32"/>
          <w:lang w:val="en-US" w:eastAsia="zh-CN"/>
        </w:rPr>
        <w:t>交货部分货款</w:t>
      </w:r>
      <w:r>
        <w:rPr>
          <w:rFonts w:hint="eastAsia" w:asciiTheme="minorEastAsia" w:hAnsiTheme="minorEastAsia" w:cstheme="minorEastAsia"/>
          <w:sz w:val="32"/>
          <w:szCs w:val="32"/>
          <w:lang w:val="en-US" w:eastAsia="zh-CN"/>
        </w:rPr>
        <w:t>的</w:t>
      </w:r>
      <w:r>
        <w:rPr>
          <w:rFonts w:hint="default" w:asciiTheme="minorEastAsia" w:hAnsiTheme="minorEastAsia" w:eastAsiaTheme="minorEastAsia" w:cstheme="minorEastAsia"/>
          <w:sz w:val="32"/>
          <w:szCs w:val="32"/>
          <w:lang w:val="en-US" w:eastAsia="zh-CN"/>
        </w:rPr>
        <w:t>15%</w:t>
      </w:r>
      <w:r>
        <w:rPr>
          <w:rFonts w:hint="eastAsia" w:asciiTheme="minorEastAsia" w:hAnsiTheme="minorEastAsia" w:cstheme="minorEastAsia"/>
          <w:sz w:val="32"/>
          <w:szCs w:val="32"/>
          <w:lang w:val="en-US" w:eastAsia="zh-CN"/>
        </w:rPr>
        <w:t>作为</w:t>
      </w:r>
      <w:r>
        <w:rPr>
          <w:rFonts w:hint="default" w:asciiTheme="minorEastAsia" w:hAnsiTheme="minorEastAsia" w:eastAsiaTheme="minorEastAsia" w:cstheme="minorEastAsia"/>
          <w:sz w:val="32"/>
          <w:szCs w:val="32"/>
          <w:lang w:val="en-US" w:eastAsia="zh-CN"/>
        </w:rPr>
        <w:t>违约金</w:t>
      </w:r>
      <w:r>
        <w:rPr>
          <w:rFonts w:hint="eastAsia" w:asciiTheme="minorEastAsia" w:hAnsiTheme="minorEastAsia" w:eastAsiaTheme="minorEastAsia" w:cstheme="minorEastAsia"/>
          <w:sz w:val="32"/>
          <w:szCs w:val="32"/>
          <w:lang w:val="en-US" w:eastAsia="zh-CN"/>
        </w:rPr>
        <w:t>。</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4、</w:t>
      </w:r>
      <w:r>
        <w:rPr>
          <w:rFonts w:hint="eastAsia" w:asciiTheme="minorEastAsia" w:hAnsiTheme="minorEastAsia" w:eastAsia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应按</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实际需求，将建材原材料足量备货到仓库，并配合</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做好供货仓储计划，保障建材及时供应，保障</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建设项目施工的正常进行，切实为</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提供快捷可靠的服务;</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5、</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对供应建材具有自主选择权，实际供应建材的的数量、规格、型号等均以</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订单通知为准;</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6、如因</w:t>
      </w:r>
      <w:r>
        <w:rPr>
          <w:rFonts w:hint="eastAsia" w:asciiTheme="minorEastAsia" w:hAnsiTheme="minorEastAsia" w:eastAsia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延期交货，给</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造成损失的，</w:t>
      </w:r>
      <w:r>
        <w:rPr>
          <w:rFonts w:hint="eastAsia" w:asciiTheme="minorEastAsia" w:hAnsiTheme="minorEastAsia" w:eastAsia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应据实承担所有经济赔偿和法律责任;</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7、对于</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以书面或电话形式提出的质量、服务等问题，</w:t>
      </w:r>
      <w:r>
        <w:rPr>
          <w:rFonts w:hint="eastAsia" w:asciiTheme="minorEastAsia" w:hAnsiTheme="minorEastAsia" w:eastAsia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应于24小时内予以答复响应;</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8、</w:t>
      </w:r>
      <w:r>
        <w:rPr>
          <w:rFonts w:hint="eastAsia" w:asciiTheme="minorEastAsia" w:hAnsiTheme="minorEastAsia" w:eastAsia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如有违反质量承诺的，</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有权没收其履约保证金，给</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造成损失的同时应承担赔偿责任:</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9、</w:t>
      </w:r>
      <w:r>
        <w:rPr>
          <w:rFonts w:hint="eastAsia" w:asciiTheme="minorEastAsia" w:hAnsiTheme="minorEastAsia" w:eastAsia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对供应建材应以国家或行业标准配送，不得以次充好，不得偷工减料，对质量不合格的产品应实行包退、包换;若因供应商供应建材质量问题或以次充好或偷工减料造成的工程安全事故，</w:t>
      </w:r>
      <w:r>
        <w:rPr>
          <w:rFonts w:hint="eastAsia" w:asciiTheme="minorEastAsia" w:hAnsiTheme="minorEastAsia" w:eastAsia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应承担所有经济赔偿和法律责任;</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10、合同期间，若发现</w:t>
      </w:r>
      <w:r>
        <w:rPr>
          <w:rFonts w:hint="eastAsia" w:asciiTheme="minorEastAsia" w:hAnsiTheme="minorEastAsia" w:eastAsia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存在虚报供应建材数量或价格的，</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有权扣除履约保证金的10%每次作为违约金。</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11、</w:t>
      </w:r>
      <w:r>
        <w:rPr>
          <w:rFonts w:hint="eastAsia" w:asciiTheme="minorEastAsia" w:hAnsiTheme="minorEastAsia" w:eastAsia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人员在</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施工现场造成本人或者第三人人身、财产损失:</w:t>
      </w:r>
      <w:r>
        <w:rPr>
          <w:rFonts w:hint="eastAsia" w:asciiTheme="minorEastAsia" w:hAnsiTheme="minorEastAsia" w:eastAsia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应自行承担责任，若因此导致</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担责，</w:t>
      </w:r>
      <w:r>
        <w:rPr>
          <w:rFonts w:hint="eastAsia" w:asciiTheme="minorEastAsia" w:hAnsiTheme="minorEastAsia" w:eastAsia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有权对</w:t>
      </w:r>
      <w:r>
        <w:rPr>
          <w:rFonts w:hint="eastAsia" w:asciiTheme="minorEastAsia" w:hAnsiTheme="minorEastAsia" w:eastAsia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追偿。</w:t>
      </w:r>
    </w:p>
    <w:p>
      <w:pPr>
        <w:spacing w:line="520" w:lineRule="exac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三、暂定工程量清单</w:t>
      </w:r>
    </w:p>
    <w:tbl>
      <w:tblPr>
        <w:tblStyle w:val="11"/>
        <w:tblW w:w="839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21"/>
        <w:gridCol w:w="2451"/>
        <w:gridCol w:w="1590"/>
        <w:gridCol w:w="20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23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材料名称</w:t>
            </w:r>
          </w:p>
        </w:tc>
        <w:tc>
          <w:tcPr>
            <w:tcW w:w="24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规格型号</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单位</w:t>
            </w:r>
          </w:p>
        </w:tc>
        <w:tc>
          <w:tcPr>
            <w:tcW w:w="2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eastAsia="宋体" w:cs="Arial"/>
                <w:i w:val="0"/>
                <w:iCs w:val="0"/>
                <w:color w:val="FF0000"/>
                <w:kern w:val="0"/>
                <w:sz w:val="20"/>
                <w:szCs w:val="20"/>
                <w:u w:val="none"/>
                <w:lang w:val="en-US" w:eastAsia="zh-CN" w:bidi="ar"/>
              </w:rPr>
            </w:pPr>
            <w:r>
              <w:rPr>
                <w:rFonts w:hint="eastAsia" w:ascii="Arial" w:hAnsi="Arial" w:eastAsia="宋体" w:cs="Arial"/>
                <w:i w:val="0"/>
                <w:iCs w:val="0"/>
                <w:color w:val="000000"/>
                <w:kern w:val="0"/>
                <w:sz w:val="20"/>
                <w:szCs w:val="20"/>
                <w:u w:val="none"/>
                <w:lang w:val="en-US" w:eastAsia="zh-CN" w:bidi="ar"/>
              </w:rPr>
              <w:t>暂定</w:t>
            </w:r>
            <w:r>
              <w:rPr>
                <w:rFonts w:hint="default" w:ascii="Arial" w:hAnsi="Arial" w:eastAsia="宋体" w:cs="Arial"/>
                <w:i w:val="0"/>
                <w:iCs w:val="0"/>
                <w:color w:val="000000"/>
                <w:kern w:val="0"/>
                <w:sz w:val="20"/>
                <w:szCs w:val="20"/>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23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标准砖 240×115×53</w:t>
            </w:r>
          </w:p>
        </w:tc>
        <w:tc>
          <w:tcPr>
            <w:tcW w:w="245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Arial" w:hAnsi="Arial" w:cs="Arial"/>
                <w:i w:val="0"/>
                <w:iCs w:val="0"/>
                <w:color w:val="000000"/>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eastAsia" w:ascii="Arial" w:hAnsi="Arial" w:eastAsia="宋体" w:cs="Arial"/>
                <w:i w:val="0"/>
                <w:iCs w:val="0"/>
                <w:color w:val="000000"/>
                <w:kern w:val="0"/>
                <w:sz w:val="20"/>
                <w:szCs w:val="20"/>
                <w:u w:val="none"/>
                <w:lang w:val="en-US" w:eastAsia="zh-CN" w:bidi="ar"/>
              </w:rPr>
              <w:t>块</w:t>
            </w:r>
          </w:p>
        </w:tc>
        <w:tc>
          <w:tcPr>
            <w:tcW w:w="2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auto"/>
                <w:sz w:val="20"/>
                <w:szCs w:val="20"/>
                <w:u w:val="none"/>
                <w:lang w:val="en-US"/>
              </w:rPr>
            </w:pPr>
            <w:r>
              <w:rPr>
                <w:rFonts w:hint="eastAsia" w:ascii="Arial" w:hAnsi="Arial" w:eastAsia="宋体" w:cs="Arial"/>
                <w:i w:val="0"/>
                <w:iCs w:val="0"/>
                <w:color w:val="auto"/>
                <w:kern w:val="0"/>
                <w:sz w:val="20"/>
                <w:szCs w:val="20"/>
                <w:u w:val="none"/>
                <w:lang w:val="en-US" w:eastAsia="zh-CN" w:bidi="ar"/>
              </w:rPr>
              <w:t>190000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23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MU10实心砖 240×115×53</w:t>
            </w:r>
          </w:p>
        </w:tc>
        <w:tc>
          <w:tcPr>
            <w:tcW w:w="245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Arial" w:hAnsi="Arial" w:cs="Arial"/>
                <w:i w:val="0"/>
                <w:iCs w:val="0"/>
                <w:color w:val="000000"/>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eastAsia" w:ascii="Arial" w:hAnsi="Arial" w:eastAsia="宋体" w:cs="Arial"/>
                <w:i w:val="0"/>
                <w:iCs w:val="0"/>
                <w:color w:val="000000"/>
                <w:kern w:val="0"/>
                <w:sz w:val="20"/>
                <w:szCs w:val="20"/>
                <w:u w:val="none"/>
                <w:lang w:val="en-US" w:eastAsia="zh-CN" w:bidi="ar"/>
              </w:rPr>
              <w:t>块</w:t>
            </w:r>
          </w:p>
        </w:tc>
        <w:tc>
          <w:tcPr>
            <w:tcW w:w="2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auto"/>
                <w:sz w:val="20"/>
                <w:szCs w:val="20"/>
                <w:u w:val="none"/>
                <w:lang w:val="en-US"/>
              </w:rPr>
            </w:pPr>
            <w:r>
              <w:rPr>
                <w:rFonts w:hint="eastAsia" w:ascii="Arial" w:hAnsi="Arial" w:eastAsia="宋体" w:cs="Arial"/>
                <w:i w:val="0"/>
                <w:iCs w:val="0"/>
                <w:color w:val="auto"/>
                <w:kern w:val="0"/>
                <w:sz w:val="20"/>
                <w:szCs w:val="20"/>
                <w:u w:val="none"/>
                <w:lang w:val="en-US" w:eastAsia="zh-CN" w:bidi="ar"/>
              </w:rPr>
              <w:t>104000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23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标准砖 240×115×53</w:t>
            </w:r>
          </w:p>
        </w:tc>
        <w:tc>
          <w:tcPr>
            <w:tcW w:w="24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MU5烧结煤矸石实心砖</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eastAsia" w:ascii="Arial" w:hAnsi="Arial" w:eastAsia="宋体" w:cs="Arial"/>
                <w:i w:val="0"/>
                <w:iCs w:val="0"/>
                <w:color w:val="000000"/>
                <w:kern w:val="0"/>
                <w:sz w:val="20"/>
                <w:szCs w:val="20"/>
                <w:u w:val="none"/>
                <w:lang w:val="en-US" w:eastAsia="zh-CN" w:bidi="ar"/>
              </w:rPr>
              <w:t>块</w:t>
            </w:r>
          </w:p>
        </w:tc>
        <w:tc>
          <w:tcPr>
            <w:tcW w:w="2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auto"/>
                <w:sz w:val="20"/>
                <w:szCs w:val="20"/>
                <w:u w:val="none"/>
                <w:lang w:val="en-US"/>
              </w:rPr>
            </w:pPr>
            <w:r>
              <w:rPr>
                <w:rFonts w:hint="eastAsia" w:ascii="Arial" w:hAnsi="Arial" w:eastAsia="宋体" w:cs="Arial"/>
                <w:i w:val="0"/>
                <w:iCs w:val="0"/>
                <w:color w:val="auto"/>
                <w:kern w:val="0"/>
                <w:sz w:val="20"/>
                <w:szCs w:val="20"/>
                <w:u w:val="none"/>
                <w:lang w:val="en-US" w:eastAsia="zh-CN" w:bidi="ar"/>
              </w:rPr>
              <w:t>24000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23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煤矸石实心砖 240×115×53</w:t>
            </w:r>
          </w:p>
        </w:tc>
        <w:tc>
          <w:tcPr>
            <w:tcW w:w="245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Arial" w:hAnsi="Arial" w:cs="Arial"/>
                <w:i w:val="0"/>
                <w:iCs w:val="0"/>
                <w:color w:val="000000"/>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eastAsia" w:ascii="Arial" w:hAnsi="Arial" w:eastAsia="宋体" w:cs="Arial"/>
                <w:i w:val="0"/>
                <w:iCs w:val="0"/>
                <w:color w:val="000000"/>
                <w:kern w:val="0"/>
                <w:sz w:val="20"/>
                <w:szCs w:val="20"/>
                <w:u w:val="none"/>
                <w:lang w:val="en-US" w:eastAsia="zh-CN" w:bidi="ar"/>
              </w:rPr>
              <w:t>块</w:t>
            </w:r>
          </w:p>
        </w:tc>
        <w:tc>
          <w:tcPr>
            <w:tcW w:w="2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auto"/>
                <w:sz w:val="20"/>
                <w:szCs w:val="20"/>
                <w:u w:val="none"/>
                <w:lang w:val="en-US"/>
              </w:rPr>
            </w:pPr>
            <w:r>
              <w:rPr>
                <w:rFonts w:hint="eastAsia" w:ascii="Arial" w:hAnsi="Arial" w:eastAsia="宋体" w:cs="Arial"/>
                <w:i w:val="0"/>
                <w:iCs w:val="0"/>
                <w:color w:val="auto"/>
                <w:kern w:val="0"/>
                <w:sz w:val="20"/>
                <w:szCs w:val="20"/>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23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标准砖 200×95×53</w:t>
            </w:r>
          </w:p>
        </w:tc>
        <w:tc>
          <w:tcPr>
            <w:tcW w:w="24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MU5烧结煤矸石实心砖</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eastAsia" w:ascii="Arial" w:hAnsi="Arial" w:eastAsia="宋体" w:cs="Arial"/>
                <w:i w:val="0"/>
                <w:iCs w:val="0"/>
                <w:color w:val="000000"/>
                <w:kern w:val="0"/>
                <w:sz w:val="20"/>
                <w:szCs w:val="20"/>
                <w:u w:val="none"/>
                <w:lang w:val="en-US" w:eastAsia="zh-CN" w:bidi="ar"/>
              </w:rPr>
              <w:t>块</w:t>
            </w:r>
          </w:p>
        </w:tc>
        <w:tc>
          <w:tcPr>
            <w:tcW w:w="2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auto"/>
                <w:sz w:val="20"/>
                <w:szCs w:val="20"/>
                <w:u w:val="none"/>
                <w:lang w:val="en-US"/>
              </w:rPr>
            </w:pPr>
            <w:r>
              <w:rPr>
                <w:rFonts w:hint="default" w:ascii="Arial" w:hAnsi="Arial" w:eastAsia="宋体" w:cs="Arial"/>
                <w:i w:val="0"/>
                <w:iCs w:val="0"/>
                <w:color w:val="auto"/>
                <w:kern w:val="0"/>
                <w:sz w:val="20"/>
                <w:szCs w:val="20"/>
                <w:u w:val="none"/>
                <w:lang w:val="en-US" w:eastAsia="zh-CN" w:bidi="ar"/>
              </w:rPr>
              <w:t>2</w:t>
            </w:r>
            <w:r>
              <w:rPr>
                <w:rFonts w:hint="eastAsia" w:ascii="Arial" w:hAnsi="Arial" w:eastAsia="宋体" w:cs="Arial"/>
                <w:i w:val="0"/>
                <w:iCs w:val="0"/>
                <w:color w:val="auto"/>
                <w:kern w:val="0"/>
                <w:sz w:val="20"/>
                <w:szCs w:val="20"/>
                <w:u w:val="none"/>
                <w:lang w:val="en-US" w:eastAsia="zh-CN" w:bidi="ar"/>
              </w:rPr>
              <w:t>9</w:t>
            </w:r>
            <w:r>
              <w:rPr>
                <w:rFonts w:hint="default" w:ascii="Arial" w:hAnsi="Arial" w:eastAsia="宋体" w:cs="Arial"/>
                <w:i w:val="0"/>
                <w:iCs w:val="0"/>
                <w:color w:val="auto"/>
                <w:kern w:val="0"/>
                <w:sz w:val="20"/>
                <w:szCs w:val="20"/>
                <w:u w:val="none"/>
                <w:lang w:val="en-US" w:eastAsia="zh-CN" w:bidi="ar"/>
              </w:rPr>
              <w:t>20</w:t>
            </w:r>
            <w:r>
              <w:rPr>
                <w:rFonts w:hint="eastAsia" w:ascii="Arial" w:hAnsi="Arial" w:eastAsia="宋体" w:cs="Arial"/>
                <w:i w:val="0"/>
                <w:iCs w:val="0"/>
                <w:color w:val="auto"/>
                <w:kern w:val="0"/>
                <w:sz w:val="20"/>
                <w:szCs w:val="20"/>
                <w:u w:val="none"/>
                <w:lang w:val="en-US" w:eastAsia="zh-CN" w:bidi="ar"/>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3" w:hRule="atLeast"/>
        </w:trPr>
        <w:tc>
          <w:tcPr>
            <w:tcW w:w="23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多孔砖 240×115×100</w:t>
            </w:r>
          </w:p>
        </w:tc>
        <w:tc>
          <w:tcPr>
            <w:tcW w:w="24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MU5.0</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eastAsia" w:ascii="Arial" w:hAnsi="Arial" w:eastAsia="宋体" w:cs="Arial"/>
                <w:i w:val="0"/>
                <w:iCs w:val="0"/>
                <w:color w:val="000000"/>
                <w:kern w:val="0"/>
                <w:sz w:val="20"/>
                <w:szCs w:val="20"/>
                <w:u w:val="none"/>
                <w:lang w:val="en-US" w:eastAsia="zh-CN" w:bidi="ar"/>
              </w:rPr>
              <w:t>块</w:t>
            </w:r>
          </w:p>
        </w:tc>
        <w:tc>
          <w:tcPr>
            <w:tcW w:w="2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auto"/>
                <w:sz w:val="20"/>
                <w:szCs w:val="20"/>
                <w:u w:val="none"/>
                <w:lang w:val="en-US"/>
              </w:rPr>
            </w:pPr>
            <w:r>
              <w:rPr>
                <w:rFonts w:hint="eastAsia" w:ascii="Arial" w:hAnsi="Arial" w:eastAsia="宋体" w:cs="Arial"/>
                <w:i w:val="0"/>
                <w:iCs w:val="0"/>
                <w:color w:val="auto"/>
                <w:kern w:val="0"/>
                <w:sz w:val="20"/>
                <w:szCs w:val="20"/>
                <w:u w:val="none"/>
                <w:lang w:val="en-US" w:eastAsia="zh-CN" w:bidi="ar"/>
              </w:rPr>
              <w:t>2</w:t>
            </w:r>
            <w:r>
              <w:rPr>
                <w:rFonts w:hint="default" w:ascii="Arial" w:hAnsi="Arial" w:eastAsia="宋体" w:cs="Arial"/>
                <w:i w:val="0"/>
                <w:iCs w:val="0"/>
                <w:color w:val="auto"/>
                <w:kern w:val="0"/>
                <w:sz w:val="20"/>
                <w:szCs w:val="20"/>
                <w:u w:val="none"/>
                <w:lang w:val="en-US" w:eastAsia="zh-CN" w:bidi="ar"/>
              </w:rPr>
              <w:t>963</w:t>
            </w:r>
            <w:r>
              <w:rPr>
                <w:rFonts w:hint="eastAsia" w:ascii="Arial" w:hAnsi="Arial" w:eastAsia="宋体" w:cs="Arial"/>
                <w:i w:val="0"/>
                <w:iCs w:val="0"/>
                <w:color w:val="auto"/>
                <w:kern w:val="0"/>
                <w:sz w:val="20"/>
                <w:szCs w:val="20"/>
                <w:u w:val="none"/>
                <w:lang w:val="en-US" w:eastAsia="zh-CN" w:bidi="ar"/>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3" w:hRule="atLeast"/>
        </w:trPr>
        <w:tc>
          <w:tcPr>
            <w:tcW w:w="23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多孔砖 240×115×100</w:t>
            </w:r>
          </w:p>
        </w:tc>
        <w:tc>
          <w:tcPr>
            <w:tcW w:w="24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MU3.5</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eastAsia" w:ascii="Arial" w:hAnsi="Arial" w:eastAsia="宋体" w:cs="Arial"/>
                <w:i w:val="0"/>
                <w:iCs w:val="0"/>
                <w:color w:val="000000"/>
                <w:kern w:val="0"/>
                <w:sz w:val="20"/>
                <w:szCs w:val="20"/>
                <w:u w:val="none"/>
                <w:lang w:val="en-US" w:eastAsia="zh-CN" w:bidi="ar"/>
              </w:rPr>
              <w:t>块</w:t>
            </w:r>
          </w:p>
        </w:tc>
        <w:tc>
          <w:tcPr>
            <w:tcW w:w="2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auto"/>
                <w:sz w:val="20"/>
                <w:szCs w:val="20"/>
                <w:u w:val="none"/>
                <w:lang w:val="en-US"/>
              </w:rPr>
            </w:pPr>
            <w:r>
              <w:rPr>
                <w:rFonts w:hint="eastAsia" w:ascii="Arial" w:hAnsi="Arial" w:eastAsia="宋体" w:cs="Arial"/>
                <w:i w:val="0"/>
                <w:iCs w:val="0"/>
                <w:color w:val="auto"/>
                <w:kern w:val="0"/>
                <w:sz w:val="20"/>
                <w:szCs w:val="20"/>
                <w:u w:val="none"/>
                <w:lang w:val="en-US" w:eastAsia="zh-CN" w:bidi="ar"/>
              </w:rPr>
              <w:t>3</w:t>
            </w:r>
            <w:r>
              <w:rPr>
                <w:rFonts w:hint="default" w:ascii="Arial" w:hAnsi="Arial" w:eastAsia="宋体" w:cs="Arial"/>
                <w:i w:val="0"/>
                <w:iCs w:val="0"/>
                <w:color w:val="auto"/>
                <w:kern w:val="0"/>
                <w:sz w:val="20"/>
                <w:szCs w:val="20"/>
                <w:u w:val="none"/>
                <w:lang w:val="en-US" w:eastAsia="zh-CN" w:bidi="ar"/>
              </w:rPr>
              <w:t>082</w:t>
            </w:r>
            <w:r>
              <w:rPr>
                <w:rFonts w:hint="eastAsia" w:ascii="Arial" w:hAnsi="Arial" w:eastAsia="宋体" w:cs="Arial"/>
                <w:i w:val="0"/>
                <w:iCs w:val="0"/>
                <w:color w:val="auto"/>
                <w:kern w:val="0"/>
                <w:sz w:val="20"/>
                <w:szCs w:val="20"/>
                <w:u w:val="none"/>
                <w:lang w:val="en-US" w:eastAsia="zh-CN" w:bidi="ar"/>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1" w:hRule="atLeast"/>
        </w:trPr>
        <w:tc>
          <w:tcPr>
            <w:tcW w:w="23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煤矸石空心砖 240×120×115</w:t>
            </w:r>
          </w:p>
        </w:tc>
        <w:tc>
          <w:tcPr>
            <w:tcW w:w="245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Arial" w:hAnsi="Arial" w:cs="Arial"/>
                <w:i w:val="0"/>
                <w:iCs w:val="0"/>
                <w:color w:val="000000"/>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eastAsia" w:ascii="Arial" w:hAnsi="Arial" w:eastAsia="宋体" w:cs="Arial"/>
                <w:i w:val="0"/>
                <w:iCs w:val="0"/>
                <w:color w:val="000000"/>
                <w:kern w:val="0"/>
                <w:sz w:val="20"/>
                <w:szCs w:val="20"/>
                <w:u w:val="none"/>
                <w:lang w:val="en-US" w:eastAsia="zh-CN" w:bidi="ar"/>
              </w:rPr>
              <w:t>块</w:t>
            </w:r>
          </w:p>
        </w:tc>
        <w:tc>
          <w:tcPr>
            <w:tcW w:w="2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auto"/>
                <w:sz w:val="20"/>
                <w:szCs w:val="20"/>
                <w:u w:val="none"/>
                <w:lang w:val="en-US"/>
              </w:rPr>
            </w:pPr>
            <w:r>
              <w:rPr>
                <w:rFonts w:hint="eastAsia" w:ascii="Arial" w:hAnsi="Arial" w:eastAsia="宋体" w:cs="Arial"/>
                <w:i w:val="0"/>
                <w:iCs w:val="0"/>
                <w:color w:val="auto"/>
                <w:kern w:val="0"/>
                <w:sz w:val="20"/>
                <w:szCs w:val="20"/>
                <w:u w:val="none"/>
                <w:lang w:val="en-US" w:eastAsia="zh-CN" w:bidi="ar"/>
              </w:rPr>
              <w:t>38000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3" w:hRule="atLeast"/>
        </w:trPr>
        <w:tc>
          <w:tcPr>
            <w:tcW w:w="23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多孔砖 240×200×115</w:t>
            </w:r>
          </w:p>
        </w:tc>
        <w:tc>
          <w:tcPr>
            <w:tcW w:w="24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MU5.0</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eastAsia" w:ascii="Arial" w:hAnsi="Arial" w:eastAsia="宋体" w:cs="Arial"/>
                <w:i w:val="0"/>
                <w:iCs w:val="0"/>
                <w:color w:val="000000"/>
                <w:kern w:val="0"/>
                <w:sz w:val="20"/>
                <w:szCs w:val="20"/>
                <w:u w:val="none"/>
                <w:lang w:val="en-US" w:eastAsia="zh-CN" w:bidi="ar"/>
              </w:rPr>
              <w:t>块</w:t>
            </w:r>
          </w:p>
        </w:tc>
        <w:tc>
          <w:tcPr>
            <w:tcW w:w="2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auto"/>
                <w:sz w:val="20"/>
                <w:szCs w:val="20"/>
                <w:u w:val="none"/>
                <w:lang w:val="en-US"/>
              </w:rPr>
            </w:pPr>
            <w:r>
              <w:rPr>
                <w:rFonts w:hint="eastAsia" w:ascii="Arial" w:hAnsi="Arial" w:eastAsia="宋体" w:cs="Arial"/>
                <w:i w:val="0"/>
                <w:iCs w:val="0"/>
                <w:color w:val="auto"/>
                <w:kern w:val="0"/>
                <w:sz w:val="20"/>
                <w:szCs w:val="20"/>
                <w:u w:val="none"/>
                <w:lang w:val="en-US" w:eastAsia="zh-CN" w:bidi="ar"/>
              </w:rPr>
              <w:t>9</w:t>
            </w:r>
            <w:r>
              <w:rPr>
                <w:rFonts w:hint="default" w:ascii="Arial" w:hAnsi="Arial" w:eastAsia="宋体" w:cs="Arial"/>
                <w:i w:val="0"/>
                <w:iCs w:val="0"/>
                <w:color w:val="auto"/>
                <w:kern w:val="0"/>
                <w:sz w:val="20"/>
                <w:szCs w:val="20"/>
                <w:u w:val="none"/>
                <w:lang w:val="en-US" w:eastAsia="zh-CN" w:bidi="ar"/>
              </w:rPr>
              <w:t>144</w:t>
            </w:r>
            <w:r>
              <w:rPr>
                <w:rFonts w:hint="eastAsia" w:ascii="Arial" w:hAnsi="Arial" w:eastAsia="宋体" w:cs="Arial"/>
                <w:i w:val="0"/>
                <w:iCs w:val="0"/>
                <w:color w:val="auto"/>
                <w:kern w:val="0"/>
                <w:sz w:val="20"/>
                <w:szCs w:val="20"/>
                <w:u w:val="none"/>
                <w:lang w:val="en-US" w:eastAsia="zh-CN" w:bidi="ar"/>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3" w:hRule="atLeast"/>
        </w:trPr>
        <w:tc>
          <w:tcPr>
            <w:tcW w:w="23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多孔砖 240×200×115</w:t>
            </w:r>
          </w:p>
        </w:tc>
        <w:tc>
          <w:tcPr>
            <w:tcW w:w="24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MU3.5</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eastAsia" w:ascii="Arial" w:hAnsi="Arial" w:eastAsia="宋体" w:cs="Arial"/>
                <w:i w:val="0"/>
                <w:iCs w:val="0"/>
                <w:color w:val="000000"/>
                <w:kern w:val="0"/>
                <w:sz w:val="20"/>
                <w:szCs w:val="20"/>
                <w:u w:val="none"/>
                <w:lang w:val="en-US" w:eastAsia="zh-CN" w:bidi="ar"/>
              </w:rPr>
              <w:t>块</w:t>
            </w:r>
          </w:p>
        </w:tc>
        <w:tc>
          <w:tcPr>
            <w:tcW w:w="2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auto"/>
                <w:sz w:val="20"/>
                <w:szCs w:val="20"/>
                <w:u w:val="none"/>
                <w:lang w:val="en-US"/>
              </w:rPr>
            </w:pPr>
            <w:r>
              <w:rPr>
                <w:rFonts w:hint="eastAsia" w:ascii="Arial" w:hAnsi="Arial" w:eastAsia="宋体" w:cs="Arial"/>
                <w:i w:val="0"/>
                <w:iCs w:val="0"/>
                <w:color w:val="auto"/>
                <w:kern w:val="0"/>
                <w:sz w:val="20"/>
                <w:szCs w:val="20"/>
                <w:u w:val="none"/>
                <w:lang w:val="en-US" w:eastAsia="zh-CN" w:bidi="ar"/>
              </w:rPr>
              <w:t>7</w:t>
            </w:r>
            <w:r>
              <w:rPr>
                <w:rFonts w:hint="default" w:ascii="Arial" w:hAnsi="Arial" w:eastAsia="宋体" w:cs="Arial"/>
                <w:i w:val="0"/>
                <w:iCs w:val="0"/>
                <w:color w:val="auto"/>
                <w:kern w:val="0"/>
                <w:sz w:val="20"/>
                <w:szCs w:val="20"/>
                <w:u w:val="none"/>
                <w:lang w:val="en-US" w:eastAsia="zh-CN" w:bidi="ar"/>
              </w:rPr>
              <w:t>971</w:t>
            </w:r>
            <w:r>
              <w:rPr>
                <w:rFonts w:hint="eastAsia" w:ascii="Arial" w:hAnsi="Arial" w:eastAsia="宋体" w:cs="Arial"/>
                <w:i w:val="0"/>
                <w:iCs w:val="0"/>
                <w:color w:val="auto"/>
                <w:kern w:val="0"/>
                <w:sz w:val="20"/>
                <w:szCs w:val="20"/>
                <w:u w:val="none"/>
                <w:lang w:val="en-US" w:eastAsia="zh-CN" w:bidi="ar"/>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23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煤矸石空心砖 240×200×115</w:t>
            </w:r>
          </w:p>
        </w:tc>
        <w:tc>
          <w:tcPr>
            <w:tcW w:w="245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Arial" w:hAnsi="Arial" w:cs="Arial"/>
                <w:i w:val="0"/>
                <w:iCs w:val="0"/>
                <w:color w:val="000000"/>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eastAsia" w:ascii="Arial" w:hAnsi="Arial" w:eastAsia="宋体" w:cs="Arial"/>
                <w:i w:val="0"/>
                <w:iCs w:val="0"/>
                <w:color w:val="000000"/>
                <w:kern w:val="0"/>
                <w:sz w:val="20"/>
                <w:szCs w:val="20"/>
                <w:u w:val="none"/>
                <w:lang w:val="en-US" w:eastAsia="zh-CN" w:bidi="ar"/>
              </w:rPr>
              <w:t>块</w:t>
            </w:r>
          </w:p>
        </w:tc>
        <w:tc>
          <w:tcPr>
            <w:tcW w:w="2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auto"/>
                <w:sz w:val="20"/>
                <w:szCs w:val="20"/>
                <w:u w:val="none"/>
                <w:lang w:val="en-US"/>
              </w:rPr>
            </w:pPr>
            <w:r>
              <w:rPr>
                <w:rFonts w:hint="eastAsia" w:ascii="Arial" w:hAnsi="Arial" w:eastAsia="宋体" w:cs="Arial"/>
                <w:i w:val="0"/>
                <w:iCs w:val="0"/>
                <w:color w:val="auto"/>
                <w:kern w:val="0"/>
                <w:sz w:val="20"/>
                <w:szCs w:val="20"/>
                <w:u w:val="none"/>
                <w:lang w:val="en-US" w:eastAsia="zh-CN" w:bidi="ar"/>
              </w:rPr>
              <w:t>2</w:t>
            </w:r>
            <w:r>
              <w:rPr>
                <w:rFonts w:hint="default" w:ascii="Arial" w:hAnsi="Arial" w:eastAsia="宋体" w:cs="Arial"/>
                <w:i w:val="0"/>
                <w:iCs w:val="0"/>
                <w:color w:val="auto"/>
                <w:kern w:val="0"/>
                <w:sz w:val="20"/>
                <w:szCs w:val="20"/>
                <w:u w:val="none"/>
                <w:lang w:val="en-US" w:eastAsia="zh-CN" w:bidi="ar"/>
              </w:rPr>
              <w:t>402</w:t>
            </w:r>
            <w:r>
              <w:rPr>
                <w:rFonts w:hint="eastAsia" w:ascii="Arial" w:hAnsi="Arial" w:eastAsia="宋体" w:cs="Arial"/>
                <w:i w:val="0"/>
                <w:iCs w:val="0"/>
                <w:color w:val="auto"/>
                <w:kern w:val="0"/>
                <w:sz w:val="20"/>
                <w:szCs w:val="20"/>
                <w:u w:val="none"/>
                <w:lang w:val="en-US" w:eastAsia="zh-CN" w:bidi="ar"/>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23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机砖 240×115×53</w:t>
            </w:r>
          </w:p>
        </w:tc>
        <w:tc>
          <w:tcPr>
            <w:tcW w:w="245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Arial" w:hAnsi="Arial" w:cs="Arial"/>
                <w:i w:val="0"/>
                <w:iCs w:val="0"/>
                <w:color w:val="000000"/>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eastAsia" w:ascii="Arial" w:hAnsi="Arial" w:eastAsia="宋体" w:cs="Arial"/>
                <w:i w:val="0"/>
                <w:iCs w:val="0"/>
                <w:color w:val="000000"/>
                <w:kern w:val="0"/>
                <w:sz w:val="20"/>
                <w:szCs w:val="20"/>
                <w:u w:val="none"/>
                <w:lang w:val="en-US" w:eastAsia="zh-CN" w:bidi="ar"/>
              </w:rPr>
              <w:t>块</w:t>
            </w:r>
          </w:p>
        </w:tc>
        <w:tc>
          <w:tcPr>
            <w:tcW w:w="2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auto"/>
                <w:sz w:val="20"/>
                <w:szCs w:val="20"/>
                <w:u w:val="none"/>
                <w:lang w:val="en-US"/>
              </w:rPr>
            </w:pPr>
            <w:r>
              <w:rPr>
                <w:rFonts w:hint="eastAsia" w:ascii="Arial" w:hAnsi="Arial" w:eastAsia="宋体" w:cs="Arial"/>
                <w:i w:val="0"/>
                <w:iCs w:val="0"/>
                <w:color w:val="auto"/>
                <w:kern w:val="0"/>
                <w:sz w:val="20"/>
                <w:szCs w:val="20"/>
                <w:u w:val="none"/>
                <w:lang w:val="en-US" w:eastAsia="zh-CN" w:bidi="ar"/>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23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煤矸石标准砖 240×115×53</w:t>
            </w:r>
          </w:p>
        </w:tc>
        <w:tc>
          <w:tcPr>
            <w:tcW w:w="245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Arial" w:hAnsi="Arial" w:cs="Arial"/>
                <w:i w:val="0"/>
                <w:iCs w:val="0"/>
                <w:color w:val="000000"/>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eastAsia" w:ascii="Arial" w:hAnsi="Arial" w:eastAsia="宋体" w:cs="Arial"/>
                <w:i w:val="0"/>
                <w:iCs w:val="0"/>
                <w:color w:val="000000"/>
                <w:kern w:val="0"/>
                <w:sz w:val="20"/>
                <w:szCs w:val="20"/>
                <w:u w:val="none"/>
                <w:lang w:val="en-US" w:eastAsia="zh-CN" w:bidi="ar"/>
              </w:rPr>
              <w:t>块</w:t>
            </w:r>
          </w:p>
        </w:tc>
        <w:tc>
          <w:tcPr>
            <w:tcW w:w="2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auto"/>
                <w:sz w:val="20"/>
                <w:szCs w:val="20"/>
                <w:u w:val="none"/>
                <w:lang w:val="en-US"/>
              </w:rPr>
            </w:pPr>
            <w:r>
              <w:rPr>
                <w:rFonts w:hint="eastAsia" w:ascii="Arial" w:hAnsi="Arial" w:eastAsia="宋体" w:cs="Arial"/>
                <w:i w:val="0"/>
                <w:iCs w:val="0"/>
                <w:color w:val="auto"/>
                <w:kern w:val="0"/>
                <w:sz w:val="20"/>
                <w:szCs w:val="20"/>
                <w:u w:val="none"/>
                <w:lang w:val="en-US" w:eastAsia="zh-CN" w:bidi="ar"/>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8" w:hRule="atLeast"/>
        </w:trPr>
        <w:tc>
          <w:tcPr>
            <w:tcW w:w="23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烧结粉煤灰砖 240×115×53</w:t>
            </w:r>
          </w:p>
        </w:tc>
        <w:tc>
          <w:tcPr>
            <w:tcW w:w="245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Arial" w:hAnsi="Arial" w:cs="Arial"/>
                <w:i w:val="0"/>
                <w:iCs w:val="0"/>
                <w:color w:val="000000"/>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eastAsia" w:ascii="Arial" w:hAnsi="Arial" w:eastAsia="宋体" w:cs="Arial"/>
                <w:i w:val="0"/>
                <w:iCs w:val="0"/>
                <w:color w:val="000000"/>
                <w:kern w:val="0"/>
                <w:sz w:val="20"/>
                <w:szCs w:val="20"/>
                <w:u w:val="none"/>
                <w:lang w:val="en-US" w:eastAsia="zh-CN" w:bidi="ar"/>
              </w:rPr>
              <w:t>块</w:t>
            </w:r>
          </w:p>
        </w:tc>
        <w:tc>
          <w:tcPr>
            <w:tcW w:w="2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Arial" w:hAnsi="Arial" w:cs="Arial"/>
                <w:i w:val="0"/>
                <w:iCs w:val="0"/>
                <w:color w:val="auto"/>
                <w:sz w:val="20"/>
                <w:szCs w:val="20"/>
                <w:u w:val="none"/>
                <w:lang w:val="en-US"/>
              </w:rPr>
            </w:pPr>
            <w:r>
              <w:rPr>
                <w:rFonts w:hint="eastAsia" w:ascii="Arial" w:hAnsi="Arial" w:eastAsia="宋体" w:cs="Arial"/>
                <w:i w:val="0"/>
                <w:iCs w:val="0"/>
                <w:color w:val="auto"/>
                <w:kern w:val="0"/>
                <w:sz w:val="20"/>
                <w:szCs w:val="20"/>
                <w:u w:val="none"/>
                <w:lang w:val="en-US" w:eastAsia="zh-CN" w:bidi="ar"/>
              </w:rPr>
              <w:t>2000</w:t>
            </w:r>
          </w:p>
        </w:tc>
      </w:tr>
    </w:tbl>
    <w:p>
      <w:pPr>
        <w:pStyle w:val="2"/>
        <w:rPr>
          <w:rFonts w:hint="default" w:asciiTheme="minorEastAsia" w:hAnsiTheme="minorEastAsia" w:eastAsiaTheme="minorEastAsia" w:cstheme="minorEastAsia"/>
          <w:kern w:val="2"/>
          <w:sz w:val="32"/>
          <w:szCs w:val="32"/>
          <w:lang w:val="en-US" w:eastAsia="zh-CN" w:bidi="ar-SA"/>
        </w:rPr>
      </w:pPr>
      <w:r>
        <w:rPr>
          <w:rFonts w:hint="eastAsia" w:asciiTheme="minorEastAsia" w:hAnsiTheme="minorEastAsia" w:eastAsiaTheme="minorEastAsia" w:cstheme="minorEastAsia"/>
          <w:kern w:val="2"/>
          <w:sz w:val="32"/>
          <w:szCs w:val="32"/>
          <w:lang w:val="en-US" w:eastAsia="zh-CN" w:bidi="ar-SA"/>
        </w:rPr>
        <w:t>注：</w:t>
      </w:r>
      <w:r>
        <w:rPr>
          <w:rFonts w:hint="default" w:asciiTheme="minorEastAsia" w:hAnsiTheme="minorEastAsia" w:eastAsiaTheme="minorEastAsia" w:cstheme="minorEastAsia"/>
          <w:kern w:val="2"/>
          <w:sz w:val="32"/>
          <w:szCs w:val="32"/>
          <w:lang w:val="en-US" w:eastAsia="zh-CN" w:bidi="ar-SA"/>
        </w:rPr>
        <w:t>采购人不对合同期间货物的采购数量做任何承诺，暂估采购数量仅作参考，如合同期间货物的采购数量不足或采购数量差距较大，据实进行结算，供应商不得以此为由调整供货单价，采购人对供应商不承担任何违约责任。</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lNWFjOTI2ZTY0MjExMTBhOThiOTgzMzQyNTVmN2IifQ=="/>
  </w:docVars>
  <w:rsids>
    <w:rsidRoot w:val="009613ED"/>
    <w:rsid w:val="00044BC6"/>
    <w:rsid w:val="000949EF"/>
    <w:rsid w:val="00134148"/>
    <w:rsid w:val="002E3A9F"/>
    <w:rsid w:val="003339BF"/>
    <w:rsid w:val="003C148E"/>
    <w:rsid w:val="00537807"/>
    <w:rsid w:val="007B2B8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B316DB7"/>
    <w:rsid w:val="0B4D3BF1"/>
    <w:rsid w:val="0E76255C"/>
    <w:rsid w:val="0EE32E18"/>
    <w:rsid w:val="0F4A52C7"/>
    <w:rsid w:val="118B7221"/>
    <w:rsid w:val="122B630F"/>
    <w:rsid w:val="1409144A"/>
    <w:rsid w:val="15E50ECA"/>
    <w:rsid w:val="16675465"/>
    <w:rsid w:val="1720040C"/>
    <w:rsid w:val="17602EFE"/>
    <w:rsid w:val="17B120CF"/>
    <w:rsid w:val="17B77C73"/>
    <w:rsid w:val="17D11706"/>
    <w:rsid w:val="18963AA9"/>
    <w:rsid w:val="19255C97"/>
    <w:rsid w:val="19FF0946"/>
    <w:rsid w:val="1A29745A"/>
    <w:rsid w:val="1B862808"/>
    <w:rsid w:val="1BA50EE0"/>
    <w:rsid w:val="1BBC447B"/>
    <w:rsid w:val="1C2A3722"/>
    <w:rsid w:val="1E594203"/>
    <w:rsid w:val="1EFC62AD"/>
    <w:rsid w:val="1F586514"/>
    <w:rsid w:val="1F6B2440"/>
    <w:rsid w:val="1FE17043"/>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C559EE"/>
    <w:rsid w:val="388008B3"/>
    <w:rsid w:val="392E34E6"/>
    <w:rsid w:val="39A9599C"/>
    <w:rsid w:val="39E15381"/>
    <w:rsid w:val="3A2B6F44"/>
    <w:rsid w:val="3B2A0FAA"/>
    <w:rsid w:val="3B8406BA"/>
    <w:rsid w:val="3C2F4ACA"/>
    <w:rsid w:val="3D424389"/>
    <w:rsid w:val="3DBC7F10"/>
    <w:rsid w:val="3ED01E68"/>
    <w:rsid w:val="4019701E"/>
    <w:rsid w:val="407C4056"/>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6026953"/>
    <w:rsid w:val="56A936C4"/>
    <w:rsid w:val="56FE3F90"/>
    <w:rsid w:val="58044C05"/>
    <w:rsid w:val="58600F69"/>
    <w:rsid w:val="591B0458"/>
    <w:rsid w:val="59590F26"/>
    <w:rsid w:val="5A1A187F"/>
    <w:rsid w:val="5AD06625"/>
    <w:rsid w:val="5BFE59D4"/>
    <w:rsid w:val="5D662547"/>
    <w:rsid w:val="5FDC6467"/>
    <w:rsid w:val="604653D4"/>
    <w:rsid w:val="60CD01D3"/>
    <w:rsid w:val="60D3511D"/>
    <w:rsid w:val="60EB2945"/>
    <w:rsid w:val="627831CA"/>
    <w:rsid w:val="642E19FC"/>
    <w:rsid w:val="65695331"/>
    <w:rsid w:val="65FE5602"/>
    <w:rsid w:val="660C2B2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7279151A"/>
    <w:rsid w:val="72802C82"/>
    <w:rsid w:val="729519F7"/>
    <w:rsid w:val="731E270E"/>
    <w:rsid w:val="73C61A83"/>
    <w:rsid w:val="75BD0595"/>
    <w:rsid w:val="7608705F"/>
    <w:rsid w:val="76984A3E"/>
    <w:rsid w:val="77471FC0"/>
    <w:rsid w:val="777FA5D6"/>
    <w:rsid w:val="77B42785"/>
    <w:rsid w:val="787E1A12"/>
    <w:rsid w:val="78A5543C"/>
    <w:rsid w:val="78D45AD6"/>
    <w:rsid w:val="79317671"/>
    <w:rsid w:val="79D83AC2"/>
    <w:rsid w:val="7DE41F56"/>
    <w:rsid w:val="7E0856E7"/>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autoRedefine/>
    <w:qFormat/>
    <w:uiPriority w:val="0"/>
    <w:pPr>
      <w:keepNext/>
      <w:keepLines/>
      <w:tabs>
        <w:tab w:val="left" w:pos="420"/>
      </w:tabs>
      <w:spacing w:before="340" w:after="330" w:line="578" w:lineRule="auto"/>
      <w:outlineLvl w:val="0"/>
    </w:pPr>
    <w:rPr>
      <w:b/>
      <w:bCs/>
      <w:kern w:val="44"/>
      <w:sz w:val="44"/>
      <w:szCs w:val="44"/>
    </w:rPr>
  </w:style>
  <w:style w:type="paragraph" w:styleId="6">
    <w:name w:val="heading 2"/>
    <w:basedOn w:val="1"/>
    <w:next w:val="1"/>
    <w:autoRedefine/>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7">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autoRedefine/>
    <w:unhideWhenUsed/>
    <w:qFormat/>
    <w:uiPriority w:val="0"/>
    <w:pPr>
      <w:ind w:firstLine="420"/>
    </w:pPr>
  </w:style>
  <w:style w:type="paragraph" w:styleId="3">
    <w:name w:val="Body Text Indent"/>
    <w:basedOn w:val="1"/>
    <w:next w:val="4"/>
    <w:autoRedefine/>
    <w:qFormat/>
    <w:uiPriority w:val="0"/>
    <w:pPr>
      <w:spacing w:after="120" w:afterLines="0"/>
      <w:ind w:left="420" w:leftChars="200"/>
    </w:pPr>
  </w:style>
  <w:style w:type="paragraph" w:styleId="4">
    <w:name w:val="envelope return"/>
    <w:basedOn w:val="1"/>
    <w:autoRedefine/>
    <w:qFormat/>
    <w:uiPriority w:val="0"/>
    <w:pPr>
      <w:snapToGrid w:val="0"/>
    </w:pPr>
    <w:rPr>
      <w:rFonts w:ascii="Arial" w:hAnsi="Arial"/>
      <w:szCs w:val="20"/>
    </w:rPr>
  </w:style>
  <w:style w:type="paragraph" w:styleId="8">
    <w:name w:val="Body Text"/>
    <w:basedOn w:val="1"/>
    <w:autoRedefine/>
    <w:qFormat/>
    <w:uiPriority w:val="99"/>
    <w:pPr>
      <w:tabs>
        <w:tab w:val="left" w:pos="420"/>
      </w:tabs>
      <w:ind w:firstLine="480"/>
    </w:pPr>
    <w:rPr>
      <w:rFonts w:ascii="等线" w:hAnsi="等线" w:eastAsia="等线" w:cs="等线"/>
      <w:lang w:val="zh-CN" w:bidi="zh-CN"/>
    </w:rPr>
  </w:style>
  <w:style w:type="paragraph" w:styleId="9">
    <w:name w:val="Plain Text"/>
    <w:autoRedefine/>
    <w:qFormat/>
    <w:uiPriority w:val="0"/>
    <w:pPr>
      <w:widowControl w:val="0"/>
      <w:jc w:val="both"/>
    </w:pPr>
    <w:rPr>
      <w:rFonts w:ascii="宋体" w:hAnsi="Courier New" w:eastAsiaTheme="minorEastAsia" w:cstheme="minorBidi"/>
      <w:kern w:val="2"/>
      <w:sz w:val="21"/>
      <w:szCs w:val="20"/>
      <w:lang w:val="en-US" w:eastAsia="zh-CN" w:bidi="ar-SA"/>
    </w:rPr>
  </w:style>
  <w:style w:type="paragraph" w:styleId="10">
    <w:name w:val="Normal (Web)"/>
    <w:basedOn w:val="1"/>
    <w:uiPriority w:val="0"/>
    <w:pPr>
      <w:spacing w:before="100" w:beforeAutospacing="1" w:after="100" w:afterAutospacing="1"/>
      <w:ind w:left="0" w:right="0"/>
      <w:jc w:val="left"/>
    </w:pPr>
    <w:rPr>
      <w:kern w:val="0"/>
      <w:sz w:val="24"/>
      <w:lang w:val="en-US" w:eastAsia="zh-CN" w:bidi="ar"/>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5">
    <w:name w:val="Table Normal"/>
    <w:autoRedefine/>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72</Words>
  <Characters>72</Characters>
  <Lines>22</Lines>
  <Paragraphs>6</Paragraphs>
  <TotalTime>2</TotalTime>
  <ScaleCrop>false</ScaleCrop>
  <LinksUpToDate>false</LinksUpToDate>
  <CharactersWithSpaces>72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亦旧.</cp:lastModifiedBy>
  <cp:lastPrinted>2021-05-25T08:19:00Z</cp:lastPrinted>
  <dcterms:modified xsi:type="dcterms:W3CDTF">2024-04-16T00:22:54Z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ECC8566045A84053B9B6B5C8CA024709</vt:lpwstr>
  </property>
</Properties>
</file>