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pPr>
        <w:spacing w:line="520" w:lineRule="exac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一、工作内容：</w:t>
      </w:r>
    </w:p>
    <w:p>
      <w:pPr>
        <w:spacing w:line="52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1.本项目按照专业分包的方式进行分包，分包包括但不限于工作服务的租金、人员工资、管理费用、措施费、利润、规费、税金、质量、安全、工期、验收、安全文明施工、扬尘污染防治、包括场外运输费、场内运费、机械进出场费及安拆费、为自有人员和设备购买意外险等；</w:t>
      </w:r>
    </w:p>
    <w:p>
      <w:pPr>
        <w:spacing w:line="52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本项目14栋单体（其中洋房7层共4栋、洋房8层共3栋，商业2栋为3层和5层，洋房11层共3栋，使用12台物料提升机，洋房11层共3栋，高层2栋为23层和24层，使用2台施工升降机），承包范围包括且不仅限于施工升降机和物料提升机、配备</w:t>
      </w:r>
      <w:r>
        <w:rPr>
          <w:rFonts w:hint="eastAsia" w:asciiTheme="minorEastAsia" w:hAnsiTheme="minorEastAsia" w:cstheme="minorEastAsia"/>
          <w:sz w:val="32"/>
          <w:szCs w:val="32"/>
          <w:lang w:val="en-US" w:eastAsia="zh-CN"/>
        </w:rPr>
        <w:t>16名</w:t>
      </w:r>
      <w:r>
        <w:rPr>
          <w:rFonts w:hint="eastAsia" w:asciiTheme="minorEastAsia" w:hAnsiTheme="minorEastAsia" w:eastAsiaTheme="minorEastAsia" w:cstheme="minorEastAsia"/>
          <w:sz w:val="32"/>
          <w:szCs w:val="32"/>
          <w:lang w:val="en-US" w:eastAsia="zh-CN"/>
        </w:rPr>
        <w:t>操作人员（</w:t>
      </w:r>
      <w:r>
        <w:rPr>
          <w:rFonts w:hint="eastAsia" w:asciiTheme="minorEastAsia" w:hAnsiTheme="minorEastAsia" w:cstheme="minorEastAsia"/>
          <w:sz w:val="32"/>
          <w:szCs w:val="32"/>
          <w:lang w:val="en-US" w:eastAsia="zh-CN"/>
        </w:rPr>
        <w:t>其中一台施工升降机配备两名操作人员，一台物料提升机配备12名操作人员，</w:t>
      </w:r>
      <w:bookmarkStart w:id="0" w:name="_GoBack"/>
      <w:bookmarkEnd w:id="0"/>
      <w:r>
        <w:rPr>
          <w:rFonts w:hint="eastAsia" w:asciiTheme="minorEastAsia" w:hAnsiTheme="minorEastAsia" w:eastAsiaTheme="minorEastAsia" w:cstheme="minorEastAsia"/>
          <w:sz w:val="32"/>
          <w:szCs w:val="32"/>
          <w:lang w:val="en-US" w:eastAsia="zh-CN"/>
        </w:rPr>
        <w:t>人员必须持证上岗且证件在有限期内）、专用配电箱、设备至配电室的供电电缆、楼层防护门及楼层呼叫器（含安装）、操作人员防护棚、设备构件进场基础处理、预埋件安装、施工升降机和物料提升机的安装、拆除、进退场、检测、验收、办理使用登记、过程中定期维保（需满足行业规范、监理单位、建设单位及当地主管部门的要求）、维修、大修、易损配件的定期更换、扶墙的安拆等；</w:t>
      </w:r>
    </w:p>
    <w:p>
      <w:pPr>
        <w:spacing w:line="52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3.操作工人上下班时间按照工人时间执行，加班费不</w:t>
      </w:r>
      <w:r>
        <w:rPr>
          <w:rFonts w:hint="eastAsia" w:asciiTheme="minorEastAsia" w:hAnsiTheme="minorEastAsia" w:cstheme="minorEastAsia"/>
          <w:sz w:val="32"/>
          <w:szCs w:val="32"/>
          <w:lang w:val="en-US" w:eastAsia="zh-CN"/>
        </w:rPr>
        <w:t>再</w:t>
      </w:r>
      <w:r>
        <w:rPr>
          <w:rFonts w:hint="eastAsia" w:asciiTheme="minorEastAsia" w:hAnsiTheme="minorEastAsia" w:eastAsiaTheme="minorEastAsia" w:cstheme="minorEastAsia"/>
          <w:sz w:val="32"/>
          <w:szCs w:val="32"/>
          <w:lang w:val="en-US" w:eastAsia="zh-CN"/>
        </w:rPr>
        <w:t>另行记取，综合考虑在报价内；</w:t>
      </w:r>
    </w:p>
    <w:p>
      <w:pPr>
        <w:spacing w:line="520" w:lineRule="exact"/>
        <w:ind w:firstLine="640" w:firstLineChars="200"/>
        <w:rPr>
          <w:rFonts w:hint="eastAsia" w:ascii="仿宋_GB2312" w:hAnsi="仿宋_GB2312" w:eastAsia="仿宋_GB2312" w:cs="仿宋_GB2312"/>
          <w:b/>
          <w:bCs/>
          <w:sz w:val="32"/>
          <w:szCs w:val="32"/>
        </w:rPr>
      </w:pPr>
      <w:r>
        <w:rPr>
          <w:rFonts w:hint="eastAsia" w:asciiTheme="minorEastAsia" w:hAnsiTheme="minorEastAsia" w:eastAsiaTheme="minorEastAsia" w:cstheme="minorEastAsia"/>
          <w:sz w:val="32"/>
          <w:szCs w:val="32"/>
          <w:lang w:val="en-US" w:eastAsia="zh-CN"/>
        </w:rPr>
        <w:t>4.选用设备型号规格为：所有设备均为2022年01月01日后出厂设备，所有租赁设备的产权必须为投标方所拥有，要求设备性能良好，安全装置齐全有效，能保证施工需要。</w:t>
      </w: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rPr>
        <w:t>采购人要求</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default" w:asciiTheme="minorEastAsia" w:hAnsiTheme="minorEastAsia" w:eastAsiaTheme="minorEastAsia" w:cstheme="minorEastAsia"/>
          <w:sz w:val="32"/>
          <w:szCs w:val="32"/>
          <w:lang w:val="en-US" w:eastAsia="zh-CN"/>
        </w:rPr>
        <w:t>1、</w:t>
      </w:r>
      <w:r>
        <w:rPr>
          <w:rFonts w:hint="eastAsia" w:asciiTheme="minorEastAsia" w:hAnsiTheme="minorEastAsia" w:cstheme="minorEastAsia"/>
          <w:sz w:val="32"/>
          <w:szCs w:val="32"/>
          <w:lang w:val="en-US" w:eastAsia="zh-CN"/>
        </w:rPr>
        <w:t>供应商</w:t>
      </w:r>
      <w:r>
        <w:rPr>
          <w:rFonts w:hint="default" w:asciiTheme="minorEastAsia" w:hAnsiTheme="minorEastAsia" w:eastAsiaTheme="minorEastAsia" w:cstheme="minorEastAsia"/>
          <w:sz w:val="32"/>
          <w:szCs w:val="32"/>
          <w:lang w:val="en-US" w:eastAsia="zh-CN"/>
        </w:rPr>
        <w:t>应详细了解施工现场情况，</w:t>
      </w:r>
      <w:r>
        <w:rPr>
          <w:rFonts w:hint="eastAsia" w:asciiTheme="minorEastAsia" w:hAnsiTheme="minorEastAsia" w:cstheme="minorEastAsia"/>
          <w:sz w:val="32"/>
          <w:szCs w:val="32"/>
          <w:lang w:val="en-US" w:eastAsia="zh-CN"/>
        </w:rPr>
        <w:t>供应商</w:t>
      </w:r>
      <w:r>
        <w:rPr>
          <w:rFonts w:hint="default" w:asciiTheme="minorEastAsia" w:hAnsiTheme="minorEastAsia" w:eastAsiaTheme="minorEastAsia" w:cstheme="minorEastAsia"/>
          <w:sz w:val="32"/>
          <w:szCs w:val="32"/>
          <w:lang w:val="en-US" w:eastAsia="zh-CN"/>
        </w:rPr>
        <w:t>施工升降机和物料提升机应符合国家及地方相关监管部门要求并验收通过。发布</w:t>
      </w:r>
      <w:r>
        <w:rPr>
          <w:rFonts w:hint="eastAsia" w:asciiTheme="minorEastAsia" w:hAnsiTheme="minorEastAsia" w:cstheme="minorEastAsia"/>
          <w:sz w:val="32"/>
          <w:szCs w:val="32"/>
          <w:lang w:val="en-US" w:eastAsia="zh-CN"/>
        </w:rPr>
        <w:t>成交</w:t>
      </w:r>
      <w:r>
        <w:rPr>
          <w:rFonts w:hint="default" w:asciiTheme="minorEastAsia" w:hAnsiTheme="minorEastAsia" w:eastAsiaTheme="minorEastAsia" w:cstheme="minorEastAsia"/>
          <w:sz w:val="32"/>
          <w:szCs w:val="32"/>
          <w:lang w:val="en-US" w:eastAsia="zh-CN"/>
        </w:rPr>
        <w:t>通知书前，根据需要对拟</w:t>
      </w:r>
      <w:r>
        <w:rPr>
          <w:rFonts w:hint="eastAsia" w:asciiTheme="minorEastAsia" w:hAnsiTheme="minorEastAsia" w:cstheme="minorEastAsia"/>
          <w:sz w:val="32"/>
          <w:szCs w:val="32"/>
          <w:lang w:val="en-US" w:eastAsia="zh-CN"/>
        </w:rPr>
        <w:t>成交</w:t>
      </w:r>
      <w:r>
        <w:rPr>
          <w:rFonts w:hint="default" w:asciiTheme="minorEastAsia" w:hAnsiTheme="minorEastAsia" w:eastAsiaTheme="minorEastAsia" w:cstheme="minorEastAsia"/>
          <w:sz w:val="32"/>
          <w:szCs w:val="32"/>
          <w:lang w:val="en-US" w:eastAsia="zh-CN"/>
        </w:rPr>
        <w:t>人进行资格、履约能力进行考察，重点考察有关投标文件中的承诺能否落实。经考察合格者发</w:t>
      </w:r>
      <w:r>
        <w:rPr>
          <w:rFonts w:hint="eastAsia" w:asciiTheme="minorEastAsia" w:hAnsiTheme="minorEastAsia" w:cstheme="minorEastAsia"/>
          <w:sz w:val="32"/>
          <w:szCs w:val="32"/>
          <w:lang w:val="en-US" w:eastAsia="zh-CN"/>
        </w:rPr>
        <w:t>成交</w:t>
      </w:r>
      <w:r>
        <w:rPr>
          <w:rFonts w:hint="default" w:asciiTheme="minorEastAsia" w:hAnsiTheme="minorEastAsia" w:eastAsiaTheme="minorEastAsia" w:cstheme="minorEastAsia"/>
          <w:sz w:val="32"/>
          <w:szCs w:val="32"/>
          <w:lang w:val="en-US" w:eastAsia="zh-CN"/>
        </w:rPr>
        <w:t>通知书。签订固定单价合同（具体以实际租赁时间结算。租赁期限自施工升降机和物料提升机开始正常使用时开始计算</w:t>
      </w:r>
      <w:r>
        <w:rPr>
          <w:rFonts w:hint="eastAsia" w:asciiTheme="minorEastAsia" w:hAnsiTheme="minorEastAsia" w:cstheme="minorEastAsia"/>
          <w:sz w:val="32"/>
          <w:szCs w:val="32"/>
          <w:lang w:val="en-US" w:eastAsia="zh-CN"/>
        </w:rPr>
        <w:t>，</w:t>
      </w:r>
      <w:r>
        <w:rPr>
          <w:rFonts w:hint="default" w:asciiTheme="minorEastAsia" w:hAnsiTheme="minorEastAsia" w:eastAsiaTheme="minorEastAsia" w:cstheme="minorEastAsia"/>
          <w:sz w:val="32"/>
          <w:szCs w:val="32"/>
          <w:lang w:val="en-US" w:eastAsia="zh-CN"/>
        </w:rPr>
        <w:t>发包人通知退场之日计费结束）。</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eastAsia" w:asciiTheme="minorEastAsia" w:hAnsiTheme="minorEastAsia" w:cstheme="minorEastAsia"/>
          <w:sz w:val="32"/>
          <w:szCs w:val="32"/>
          <w:lang w:val="en-US" w:eastAsia="zh-CN"/>
        </w:rPr>
        <w:t>2</w:t>
      </w:r>
      <w:r>
        <w:rPr>
          <w:rFonts w:hint="default" w:asciiTheme="minorEastAsia" w:hAnsiTheme="minorEastAsia" w:eastAsiaTheme="minorEastAsia" w:cstheme="minorEastAsia"/>
          <w:sz w:val="32"/>
          <w:szCs w:val="32"/>
          <w:lang w:val="en-US" w:eastAsia="zh-CN"/>
        </w:rPr>
        <w:t>、施工升降机和物料提升机工作时间：早6：30至晚6：30，根据工人上班时间进行适当调整；</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eastAsia" w:asciiTheme="minorEastAsia" w:hAnsiTheme="minorEastAsia" w:cstheme="minorEastAsia"/>
          <w:sz w:val="32"/>
          <w:szCs w:val="32"/>
          <w:lang w:val="en-US" w:eastAsia="zh-CN"/>
        </w:rPr>
        <w:t>3</w:t>
      </w:r>
      <w:r>
        <w:rPr>
          <w:rFonts w:hint="default" w:asciiTheme="minorEastAsia" w:hAnsiTheme="minorEastAsia" w:eastAsiaTheme="minorEastAsia" w:cstheme="minorEastAsia"/>
          <w:sz w:val="32"/>
          <w:szCs w:val="32"/>
          <w:lang w:val="en-US" w:eastAsia="zh-CN"/>
        </w:rPr>
        <w:t>、过年期间、环保管控期间的停工及其他非发包人原因造成的停工，停工期间租赁费用不予计取。</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eastAsia" w:asciiTheme="minorEastAsia" w:hAnsiTheme="minorEastAsia" w:cstheme="minorEastAsia"/>
          <w:sz w:val="32"/>
          <w:szCs w:val="32"/>
          <w:lang w:val="en-US" w:eastAsia="zh-CN"/>
        </w:rPr>
        <w:t>4</w:t>
      </w:r>
      <w:r>
        <w:rPr>
          <w:rFonts w:hint="default" w:asciiTheme="minorEastAsia" w:hAnsiTheme="minorEastAsia" w:eastAsiaTheme="minorEastAsia" w:cstheme="minorEastAsia"/>
          <w:sz w:val="32"/>
          <w:szCs w:val="32"/>
          <w:lang w:val="en-US" w:eastAsia="zh-CN"/>
        </w:rPr>
        <w:t>、无条件服从现场有关安全生产管理。</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eastAsia" w:asciiTheme="minorEastAsia" w:hAnsiTheme="minorEastAsia" w:cstheme="minorEastAsia"/>
          <w:sz w:val="32"/>
          <w:szCs w:val="32"/>
          <w:lang w:val="en-US" w:eastAsia="zh-CN"/>
        </w:rPr>
        <w:t>5</w:t>
      </w:r>
      <w:r>
        <w:rPr>
          <w:rFonts w:hint="default" w:asciiTheme="minorEastAsia" w:hAnsiTheme="minorEastAsia" w:eastAsiaTheme="minorEastAsia" w:cstheme="minorEastAsia"/>
          <w:sz w:val="32"/>
          <w:szCs w:val="32"/>
          <w:lang w:val="en-US" w:eastAsia="zh-CN"/>
        </w:rPr>
        <w:t>、</w:t>
      </w:r>
      <w:r>
        <w:rPr>
          <w:rFonts w:hint="eastAsia" w:asciiTheme="minorEastAsia" w:hAnsi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提供的机械必须符合亳州市安监部门要求；</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eastAsia" w:asciiTheme="minorEastAsia" w:hAnsiTheme="minorEastAsia" w:cstheme="minorEastAsia"/>
          <w:sz w:val="32"/>
          <w:szCs w:val="32"/>
          <w:lang w:val="en-US" w:eastAsia="zh-CN"/>
        </w:rPr>
        <w:t>6</w:t>
      </w:r>
      <w:r>
        <w:rPr>
          <w:rFonts w:hint="default" w:asciiTheme="minorEastAsia" w:hAnsiTheme="minorEastAsia" w:eastAsiaTheme="minorEastAsia" w:cstheme="minorEastAsia"/>
          <w:sz w:val="32"/>
          <w:szCs w:val="32"/>
          <w:lang w:val="en-US" w:eastAsia="zh-CN"/>
        </w:rPr>
        <w:t>、</w:t>
      </w:r>
      <w:r>
        <w:rPr>
          <w:rFonts w:hint="eastAsia" w:asciiTheme="minorEastAsia" w:hAnsiTheme="minorEastAsia" w:cstheme="minorEastAsia"/>
          <w:sz w:val="32"/>
          <w:szCs w:val="32"/>
          <w:lang w:val="en-US" w:eastAsia="zh-CN"/>
        </w:rPr>
        <w:t>成交人进场前</w:t>
      </w:r>
      <w:r>
        <w:rPr>
          <w:rFonts w:hint="default" w:asciiTheme="minorEastAsia" w:hAnsiTheme="minorEastAsia" w:eastAsiaTheme="minorEastAsia" w:cstheme="minorEastAsia"/>
          <w:sz w:val="32"/>
          <w:szCs w:val="32"/>
          <w:lang w:val="en-US" w:eastAsia="zh-CN"/>
        </w:rPr>
        <w:t>需向</w:t>
      </w:r>
      <w:r>
        <w:rPr>
          <w:rFonts w:hint="eastAsia" w:asciiTheme="minorEastAsia" w:hAnsi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提交相关企业资质证明、特种设备制造许可证、合格证、特种作业操作证等相关资料，且后续不断根据</w:t>
      </w:r>
      <w:r>
        <w:rPr>
          <w:rFonts w:hint="eastAsia" w:asciiTheme="minorEastAsia" w:hAnsi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要求，提供相关资料；</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eastAsia" w:asciiTheme="minorEastAsia" w:hAnsiTheme="minorEastAsia" w:cstheme="minorEastAsia"/>
          <w:sz w:val="32"/>
          <w:szCs w:val="32"/>
          <w:lang w:val="en-US" w:eastAsia="zh-CN"/>
        </w:rPr>
        <w:t>7</w:t>
      </w:r>
      <w:r>
        <w:rPr>
          <w:rFonts w:hint="default" w:asciiTheme="minorEastAsia" w:hAnsiTheme="minorEastAsia" w:eastAsiaTheme="minorEastAsia" w:cstheme="minorEastAsia"/>
          <w:sz w:val="32"/>
          <w:szCs w:val="32"/>
          <w:lang w:val="en-US" w:eastAsia="zh-CN"/>
        </w:rPr>
        <w:t>、</w:t>
      </w:r>
      <w:r>
        <w:rPr>
          <w:rFonts w:hint="eastAsia" w:asciiTheme="minorEastAsia" w:hAnsi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需每半月对租赁设备进行维修保养及检查一次，相应时间节点为每月月中 15 号及月末最后一天；检查主要对机械的结构、连接部位、安全装置和机械垂直度进行全面检查，并实行检查人员负责制，经检查人员检查后签字确认，并交</w:t>
      </w:r>
      <w:r>
        <w:rPr>
          <w:rFonts w:hint="eastAsia" w:asciiTheme="minorEastAsia" w:hAnsi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备案；</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eastAsia" w:asciiTheme="minorEastAsia" w:hAnsiTheme="minorEastAsia" w:cstheme="minorEastAsia"/>
          <w:sz w:val="32"/>
          <w:szCs w:val="32"/>
          <w:lang w:val="en-US" w:eastAsia="zh-CN"/>
        </w:rPr>
        <w:t>8</w:t>
      </w:r>
      <w:r>
        <w:rPr>
          <w:rFonts w:hint="default" w:asciiTheme="minorEastAsia" w:hAnsiTheme="minorEastAsia" w:eastAsiaTheme="minorEastAsia" w:cstheme="minorEastAsia"/>
          <w:sz w:val="32"/>
          <w:szCs w:val="32"/>
          <w:lang w:val="en-US" w:eastAsia="zh-CN"/>
        </w:rPr>
        <w:t>、施工升降机或物料提升机租赁 10 台及以上时，</w:t>
      </w:r>
      <w:r>
        <w:rPr>
          <w:rFonts w:hint="eastAsia" w:asciiTheme="minorEastAsia" w:hAnsi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需配备专职维修人员驻场；</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eastAsia" w:asciiTheme="minorEastAsia" w:hAnsiTheme="minorEastAsia" w:cstheme="minorEastAsia"/>
          <w:sz w:val="32"/>
          <w:szCs w:val="32"/>
          <w:lang w:val="en-US" w:eastAsia="zh-CN"/>
        </w:rPr>
        <w:t>9</w:t>
      </w:r>
      <w:r>
        <w:rPr>
          <w:rFonts w:hint="default" w:asciiTheme="minorEastAsia" w:hAnsiTheme="minorEastAsia" w:eastAsiaTheme="minorEastAsia" w:cstheme="minorEastAsia"/>
          <w:sz w:val="32"/>
          <w:szCs w:val="32"/>
          <w:lang w:val="en-US" w:eastAsia="zh-CN"/>
        </w:rPr>
        <w:t>、驻场人员每周自检：</w:t>
      </w:r>
      <w:r>
        <w:rPr>
          <w:rFonts w:hint="eastAsia" w:asciiTheme="minorEastAsia" w:hAnsi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驻场维修保养人员需每周对施工现场在用设备实行全覆盖式自检；</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eastAsia" w:asciiTheme="minorEastAsia" w:hAnsiTheme="minorEastAsia" w:cstheme="minorEastAsia"/>
          <w:sz w:val="32"/>
          <w:szCs w:val="32"/>
          <w:lang w:val="en-US" w:eastAsia="zh-CN"/>
        </w:rPr>
        <w:t>10</w:t>
      </w:r>
      <w:r>
        <w:rPr>
          <w:rFonts w:hint="default" w:asciiTheme="minorEastAsia" w:hAnsiTheme="minorEastAsia" w:eastAsiaTheme="minorEastAsia" w:cstheme="minorEastAsia"/>
          <w:sz w:val="32"/>
          <w:szCs w:val="32"/>
          <w:lang w:val="en-US" w:eastAsia="zh-CN"/>
        </w:rPr>
        <w:t>、机械安拆、顶升作业工作期间，不得影响</w:t>
      </w:r>
      <w:r>
        <w:rPr>
          <w:rFonts w:hint="eastAsia" w:asciiTheme="minorEastAsia" w:hAnsi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正常施工，否则</w:t>
      </w:r>
      <w:r>
        <w:rPr>
          <w:rFonts w:hint="eastAsia" w:asciiTheme="minorEastAsia" w:hAnsi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有权对</w:t>
      </w:r>
      <w:r>
        <w:rPr>
          <w:rFonts w:hint="eastAsia" w:asciiTheme="minorEastAsia" w:hAnsi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进行处罚；若发生上述情况，每延期</w:t>
      </w:r>
      <w:r>
        <w:rPr>
          <w:rFonts w:hint="eastAsia" w:asciiTheme="minorEastAsia" w:hAnsiTheme="minorEastAsia" w:cstheme="minorEastAsia"/>
          <w:sz w:val="32"/>
          <w:szCs w:val="32"/>
          <w:lang w:val="en-US" w:eastAsia="zh-CN"/>
        </w:rPr>
        <w:t>1</w:t>
      </w:r>
      <w:r>
        <w:rPr>
          <w:rFonts w:hint="default" w:asciiTheme="minorEastAsia" w:hAnsiTheme="minorEastAsia" w:eastAsiaTheme="minorEastAsia" w:cstheme="minorEastAsia"/>
          <w:sz w:val="32"/>
          <w:szCs w:val="32"/>
          <w:lang w:val="en-US" w:eastAsia="zh-CN"/>
        </w:rPr>
        <w:t>天，</w:t>
      </w:r>
      <w:r>
        <w:rPr>
          <w:rFonts w:hint="eastAsia" w:asciiTheme="minorEastAsia" w:hAnsi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按日租金的双倍进行处罚；</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eastAsia" w:asciiTheme="minorEastAsia" w:hAnsiTheme="minorEastAsia" w:cstheme="minorEastAsia"/>
          <w:sz w:val="32"/>
          <w:szCs w:val="32"/>
          <w:lang w:val="en-US" w:eastAsia="zh-CN"/>
        </w:rPr>
        <w:t>11</w:t>
      </w:r>
      <w:r>
        <w:rPr>
          <w:rFonts w:hint="default" w:asciiTheme="minorEastAsia" w:hAnsiTheme="minorEastAsia" w:eastAsiaTheme="minorEastAsia" w:cstheme="minorEastAsia"/>
          <w:sz w:val="32"/>
          <w:szCs w:val="32"/>
          <w:lang w:val="en-US" w:eastAsia="zh-CN"/>
        </w:rPr>
        <w:t>、</w:t>
      </w:r>
      <w:r>
        <w:rPr>
          <w:rFonts w:hint="eastAsia" w:asciiTheme="minorEastAsia" w:hAnsi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应采取有效措施，防止机械噪声或环境污染；相关机械应定期进行噪音检测；</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eastAsia" w:asciiTheme="minorEastAsia" w:hAnsiTheme="minorEastAsia" w:cstheme="minorEastAsia"/>
          <w:sz w:val="32"/>
          <w:szCs w:val="32"/>
          <w:lang w:val="en-US" w:eastAsia="zh-CN"/>
        </w:rPr>
        <w:t>12</w:t>
      </w:r>
      <w:r>
        <w:rPr>
          <w:rFonts w:hint="default" w:asciiTheme="minorEastAsia" w:hAnsiTheme="minorEastAsia" w:eastAsiaTheme="minorEastAsia" w:cstheme="minorEastAsia"/>
          <w:sz w:val="32"/>
          <w:szCs w:val="32"/>
          <w:lang w:val="en-US" w:eastAsia="zh-CN"/>
        </w:rPr>
        <w:t>、发生机械故障后，</w:t>
      </w:r>
      <w:r>
        <w:rPr>
          <w:rFonts w:hint="eastAsia" w:asciiTheme="minorEastAsia" w:hAnsi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应于 3 小时内到现场，组织抢修；因故障及维修保养等原因造成的机械停用，每台设备每次不得超过 6 小时，每台设备每月累计不得超过 24 小时；每台设备每月累计停用时间在 24~48h 的，按照日租金扣除相应费用；每台设备每月累计停用时间超过 48h 的，按照日租金 2 倍扣除相应费用，且</w:t>
      </w:r>
      <w:r>
        <w:rPr>
          <w:rFonts w:hint="eastAsia" w:asciiTheme="minorEastAsia" w:hAnsi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有权追究因此造成的损失；</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eastAsia" w:asciiTheme="minorEastAsia" w:hAnsiTheme="minorEastAsia" w:cstheme="minorEastAsia"/>
          <w:sz w:val="32"/>
          <w:szCs w:val="32"/>
          <w:lang w:val="en-US" w:eastAsia="zh-CN"/>
        </w:rPr>
        <w:t>13</w:t>
      </w:r>
      <w:r>
        <w:rPr>
          <w:rFonts w:hint="default" w:asciiTheme="minorEastAsia" w:hAnsiTheme="minorEastAsia" w:eastAsiaTheme="minorEastAsia" w:cstheme="minorEastAsia"/>
          <w:sz w:val="32"/>
          <w:szCs w:val="32"/>
          <w:lang w:val="en-US" w:eastAsia="zh-CN"/>
        </w:rPr>
        <w:t>、施工升降机和物料提升机平台要求：梯笼门使用翻板式，翻板式梯笼门必须使用花纹钢板作为踏板，踏板两侧设置防护栏杆。</w:t>
      </w:r>
    </w:p>
    <w:p>
      <w:pPr>
        <w:spacing w:line="520" w:lineRule="exact"/>
        <w:ind w:firstLine="640" w:firstLineChars="200"/>
        <w:rPr>
          <w:rFonts w:hint="default" w:asciiTheme="minorEastAsia" w:hAnsiTheme="minorEastAsia" w:eastAsiaTheme="minorEastAsia" w:cstheme="minorEastAsia"/>
          <w:sz w:val="32"/>
          <w:szCs w:val="32"/>
          <w:lang w:val="en-US" w:eastAsia="zh-CN"/>
        </w:rPr>
      </w:pPr>
    </w:p>
    <w:p>
      <w:pPr>
        <w:pStyle w:val="10"/>
        <w:rPr>
          <w:rFonts w:hint="eastAsia"/>
          <w:lang w:val="en-US" w:eastAsia="zh-CN"/>
        </w:rPr>
      </w:pPr>
    </w:p>
    <w:p>
      <w:pPr>
        <w:spacing w:line="520" w:lineRule="exact"/>
        <w:ind w:firstLine="640" w:firstLineChars="200"/>
        <w:rPr>
          <w:rFonts w:hint="default" w:ascii="仿宋_GB2312" w:hAnsi="仿宋_GB2312" w:eastAsia="仿宋_GB2312" w:cs="仿宋_GB2312"/>
          <w:sz w:val="32"/>
          <w:szCs w:val="32"/>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VlNWFjOTI2ZTY0MjExMTBhOThiOTgzMzQyNTVmN2IifQ=="/>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4FF3157"/>
    <w:rsid w:val="066824AC"/>
    <w:rsid w:val="066F1D0E"/>
    <w:rsid w:val="06AB3CF2"/>
    <w:rsid w:val="06AE3E0A"/>
    <w:rsid w:val="07794418"/>
    <w:rsid w:val="07F95559"/>
    <w:rsid w:val="08334683"/>
    <w:rsid w:val="084C6B81"/>
    <w:rsid w:val="086504F8"/>
    <w:rsid w:val="094762F4"/>
    <w:rsid w:val="0B316DB7"/>
    <w:rsid w:val="0B4D3BF1"/>
    <w:rsid w:val="0E76255C"/>
    <w:rsid w:val="0EE32E18"/>
    <w:rsid w:val="0F4A52C7"/>
    <w:rsid w:val="118B7221"/>
    <w:rsid w:val="122B630F"/>
    <w:rsid w:val="1409144A"/>
    <w:rsid w:val="15E50ECA"/>
    <w:rsid w:val="16675465"/>
    <w:rsid w:val="1720040C"/>
    <w:rsid w:val="17602EFE"/>
    <w:rsid w:val="17B120CF"/>
    <w:rsid w:val="17B77C73"/>
    <w:rsid w:val="17D11706"/>
    <w:rsid w:val="18963AA9"/>
    <w:rsid w:val="19255C97"/>
    <w:rsid w:val="19FF0946"/>
    <w:rsid w:val="1A29745A"/>
    <w:rsid w:val="1B862808"/>
    <w:rsid w:val="1BA50EE0"/>
    <w:rsid w:val="1BBC447B"/>
    <w:rsid w:val="1C2A3722"/>
    <w:rsid w:val="1E594203"/>
    <w:rsid w:val="1EFC62AD"/>
    <w:rsid w:val="1F586514"/>
    <w:rsid w:val="1F6B2440"/>
    <w:rsid w:val="1FE17043"/>
    <w:rsid w:val="21C916A0"/>
    <w:rsid w:val="221C0459"/>
    <w:rsid w:val="22204F24"/>
    <w:rsid w:val="223B582C"/>
    <w:rsid w:val="232437D5"/>
    <w:rsid w:val="23AA508F"/>
    <w:rsid w:val="253A6668"/>
    <w:rsid w:val="25C56045"/>
    <w:rsid w:val="25D7012F"/>
    <w:rsid w:val="25E87F6B"/>
    <w:rsid w:val="26650304"/>
    <w:rsid w:val="26A24E49"/>
    <w:rsid w:val="26AE1A55"/>
    <w:rsid w:val="27CC5A46"/>
    <w:rsid w:val="28205DAC"/>
    <w:rsid w:val="284D3501"/>
    <w:rsid w:val="286E3521"/>
    <w:rsid w:val="299D3B3E"/>
    <w:rsid w:val="2B7D1B09"/>
    <w:rsid w:val="2CA862FE"/>
    <w:rsid w:val="2CBF5B79"/>
    <w:rsid w:val="2DB72D51"/>
    <w:rsid w:val="2EA72D69"/>
    <w:rsid w:val="2FA81E31"/>
    <w:rsid w:val="3025488D"/>
    <w:rsid w:val="323435E7"/>
    <w:rsid w:val="326E7E26"/>
    <w:rsid w:val="32DD707A"/>
    <w:rsid w:val="335A6BD0"/>
    <w:rsid w:val="34D348B8"/>
    <w:rsid w:val="35F951F0"/>
    <w:rsid w:val="35FC6972"/>
    <w:rsid w:val="36C559EE"/>
    <w:rsid w:val="388008B3"/>
    <w:rsid w:val="39A9599C"/>
    <w:rsid w:val="39E15381"/>
    <w:rsid w:val="3A2B6F44"/>
    <w:rsid w:val="3B2A0FAA"/>
    <w:rsid w:val="3B8406BA"/>
    <w:rsid w:val="3C2F4ACA"/>
    <w:rsid w:val="3D424389"/>
    <w:rsid w:val="3DBC7F10"/>
    <w:rsid w:val="3ED01E68"/>
    <w:rsid w:val="4019701E"/>
    <w:rsid w:val="407C4056"/>
    <w:rsid w:val="4162149D"/>
    <w:rsid w:val="421649E1"/>
    <w:rsid w:val="43313FC3"/>
    <w:rsid w:val="439E2535"/>
    <w:rsid w:val="43CC0E50"/>
    <w:rsid w:val="44C2414A"/>
    <w:rsid w:val="452A0524"/>
    <w:rsid w:val="459359FA"/>
    <w:rsid w:val="46A12F7F"/>
    <w:rsid w:val="47217705"/>
    <w:rsid w:val="47361E51"/>
    <w:rsid w:val="47564260"/>
    <w:rsid w:val="489A45C2"/>
    <w:rsid w:val="49247038"/>
    <w:rsid w:val="4932021F"/>
    <w:rsid w:val="494444F5"/>
    <w:rsid w:val="4BCE6E1F"/>
    <w:rsid w:val="4BED10E7"/>
    <w:rsid w:val="4CA26BF2"/>
    <w:rsid w:val="4D047E1C"/>
    <w:rsid w:val="4D4E1987"/>
    <w:rsid w:val="4D9A16A2"/>
    <w:rsid w:val="4EC40452"/>
    <w:rsid w:val="4EC8443A"/>
    <w:rsid w:val="4F2C6C47"/>
    <w:rsid w:val="502A587C"/>
    <w:rsid w:val="504D489E"/>
    <w:rsid w:val="514364CA"/>
    <w:rsid w:val="51D72884"/>
    <w:rsid w:val="53174839"/>
    <w:rsid w:val="537E791D"/>
    <w:rsid w:val="54372316"/>
    <w:rsid w:val="546122D3"/>
    <w:rsid w:val="54FB1595"/>
    <w:rsid w:val="56026953"/>
    <w:rsid w:val="56A936C4"/>
    <w:rsid w:val="56FE3F90"/>
    <w:rsid w:val="58044C05"/>
    <w:rsid w:val="58600F69"/>
    <w:rsid w:val="591B0458"/>
    <w:rsid w:val="59590F26"/>
    <w:rsid w:val="5A1A187F"/>
    <w:rsid w:val="5B2C0B67"/>
    <w:rsid w:val="5BFE59D4"/>
    <w:rsid w:val="5D457474"/>
    <w:rsid w:val="5D662547"/>
    <w:rsid w:val="5FDC6467"/>
    <w:rsid w:val="604653D4"/>
    <w:rsid w:val="60CD01D3"/>
    <w:rsid w:val="60D3511D"/>
    <w:rsid w:val="60EB2945"/>
    <w:rsid w:val="627831CA"/>
    <w:rsid w:val="642E19FC"/>
    <w:rsid w:val="65695331"/>
    <w:rsid w:val="65FE5602"/>
    <w:rsid w:val="660C2B22"/>
    <w:rsid w:val="66833198"/>
    <w:rsid w:val="672E75A8"/>
    <w:rsid w:val="6783033A"/>
    <w:rsid w:val="679715F1"/>
    <w:rsid w:val="682269E1"/>
    <w:rsid w:val="687E455F"/>
    <w:rsid w:val="69766FE4"/>
    <w:rsid w:val="69A02DFB"/>
    <w:rsid w:val="6A162110"/>
    <w:rsid w:val="6A7603B2"/>
    <w:rsid w:val="6B827EC3"/>
    <w:rsid w:val="6BBC75A6"/>
    <w:rsid w:val="6BC730D8"/>
    <w:rsid w:val="6BDD159D"/>
    <w:rsid w:val="6BF568E6"/>
    <w:rsid w:val="6C8D2FC3"/>
    <w:rsid w:val="7279151A"/>
    <w:rsid w:val="72802C82"/>
    <w:rsid w:val="729519F7"/>
    <w:rsid w:val="731E270E"/>
    <w:rsid w:val="73C61A83"/>
    <w:rsid w:val="75BD0595"/>
    <w:rsid w:val="7608705F"/>
    <w:rsid w:val="76984A3E"/>
    <w:rsid w:val="77471FC0"/>
    <w:rsid w:val="777FA5D6"/>
    <w:rsid w:val="77B42785"/>
    <w:rsid w:val="787E1A12"/>
    <w:rsid w:val="78A5543C"/>
    <w:rsid w:val="78D45AD6"/>
    <w:rsid w:val="79317671"/>
    <w:rsid w:val="79D83AC2"/>
    <w:rsid w:val="7DE41F56"/>
    <w:rsid w:val="7E0856E7"/>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tabs>
        <w:tab w:val="left" w:pos="420"/>
      </w:tabs>
      <w:spacing w:before="340" w:after="330" w:line="578" w:lineRule="auto"/>
      <w:outlineLvl w:val="0"/>
    </w:pPr>
    <w:rPr>
      <w:b/>
      <w:bCs/>
      <w:kern w:val="44"/>
      <w:sz w:val="44"/>
      <w:szCs w:val="44"/>
    </w:rPr>
  </w:style>
  <w:style w:type="paragraph" w:styleId="4">
    <w:name w:val="heading 2"/>
    <w:basedOn w:val="1"/>
    <w:next w:val="1"/>
    <w:autoRedefine/>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5">
    <w:name w:val="heading 3"/>
    <w:basedOn w:val="1"/>
    <w:next w:val="1"/>
    <w:autoRedefine/>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99"/>
    <w:pPr>
      <w:tabs>
        <w:tab w:val="left" w:pos="420"/>
      </w:tabs>
      <w:ind w:firstLine="480"/>
    </w:pPr>
    <w:rPr>
      <w:rFonts w:ascii="等线" w:hAnsi="等线" w:eastAsia="等线" w:cs="等线"/>
      <w:lang w:val="zh-CN" w:bidi="zh-CN"/>
    </w:rPr>
  </w:style>
  <w:style w:type="paragraph" w:styleId="6">
    <w:name w:val="Body Text Indent"/>
    <w:basedOn w:val="1"/>
    <w:next w:val="7"/>
    <w:autoRedefine/>
    <w:qFormat/>
    <w:uiPriority w:val="0"/>
    <w:pPr>
      <w:spacing w:after="120" w:afterLines="0"/>
      <w:ind w:left="420" w:leftChars="200"/>
    </w:pPr>
  </w:style>
  <w:style w:type="paragraph" w:styleId="7">
    <w:name w:val="envelope return"/>
    <w:basedOn w:val="1"/>
    <w:autoRedefine/>
    <w:qFormat/>
    <w:uiPriority w:val="0"/>
    <w:pPr>
      <w:snapToGrid w:val="0"/>
    </w:pPr>
    <w:rPr>
      <w:rFonts w:ascii="Arial" w:hAnsi="Arial"/>
      <w:szCs w:val="20"/>
    </w:rPr>
  </w:style>
  <w:style w:type="paragraph" w:styleId="8">
    <w:name w:val="Plain Text"/>
    <w:autoRedefine/>
    <w:qFormat/>
    <w:uiPriority w:val="0"/>
    <w:pPr>
      <w:widowControl w:val="0"/>
      <w:jc w:val="both"/>
    </w:pPr>
    <w:rPr>
      <w:rFonts w:ascii="宋体" w:hAnsi="Courier New" w:eastAsiaTheme="minorEastAsia" w:cstheme="minorBidi"/>
      <w:kern w:val="2"/>
      <w:sz w:val="21"/>
      <w:szCs w:val="20"/>
      <w:lang w:val="en-US" w:eastAsia="zh-CN" w:bidi="ar-SA"/>
    </w:rPr>
  </w:style>
  <w:style w:type="paragraph" w:styleId="9">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styleId="10">
    <w:name w:val="Body Text First Indent 2"/>
    <w:basedOn w:val="6"/>
    <w:next w:val="1"/>
    <w:autoRedefine/>
    <w:unhideWhenUsed/>
    <w:qFormat/>
    <w:uiPriority w:val="0"/>
    <w:pPr>
      <w:ind w:firstLine="420"/>
    </w:p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Table Paragraph"/>
    <w:basedOn w:val="1"/>
    <w:autoRedefine/>
    <w:qFormat/>
    <w:uiPriority w:val="1"/>
    <w:pPr>
      <w:autoSpaceDE w:val="0"/>
      <w:autoSpaceDN w:val="0"/>
      <w:jc w:val="left"/>
    </w:pPr>
    <w:rPr>
      <w:rFonts w:ascii="宋体" w:hAnsi="宋体" w:eastAsia="宋体" w:cs="宋体"/>
      <w:kern w:val="0"/>
      <w:sz w:val="22"/>
    </w:rPr>
  </w:style>
  <w:style w:type="table" w:customStyle="1" w:styleId="15">
    <w:name w:val="Table Normal"/>
    <w:autoRedefine/>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72</Words>
  <Characters>72</Characters>
  <Lines>22</Lines>
  <Paragraphs>6</Paragraphs>
  <TotalTime>6</TotalTime>
  <ScaleCrop>false</ScaleCrop>
  <LinksUpToDate>false</LinksUpToDate>
  <CharactersWithSpaces>72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亦旧.</cp:lastModifiedBy>
  <cp:lastPrinted>2021-05-25T08:19:00Z</cp:lastPrinted>
  <dcterms:modified xsi:type="dcterms:W3CDTF">2024-04-16T00:27:08Z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ECC8566045A84053B9B6B5C8CA024709</vt:lpwstr>
  </property>
</Properties>
</file>