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bookmarkStart w:id="444" w:name="_GoBack"/>
      <w:bookmarkEnd w:id="444"/>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auto"/>
          <w:sz w:val="28"/>
          <w:szCs w:val="28"/>
          <w:highlight w:val="none"/>
          <w:u w:val="none"/>
          <w:lang w:val="en-US" w:eastAsia="zh-CN"/>
        </w:rPr>
        <w:t>亳州逸合府项目桩基工程质量检测</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029</w:t>
      </w:r>
      <w:r>
        <w:rPr>
          <w:rFonts w:hint="default" w:ascii="Times New Roman" w:hAnsi="Times New Roman" w:eastAsia="楷体" w:cs="Times New Roman"/>
          <w:kern w:val="0"/>
          <w:sz w:val="28"/>
          <w:szCs w:val="28"/>
          <w:highlight w:val="none"/>
          <w:shd w:val="clear" w:color="auto" w:fill="auto"/>
          <w:lang w:val="en-US" w:eastAsia="zh-CN"/>
        </w:rPr>
        <w:t>号</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Times New Roman" w:hAnsi="Times New Roman" w:eastAsia="楷体" w:cs="Times New Roman"/>
          <w:kern w:val="0"/>
          <w:sz w:val="32"/>
          <w:szCs w:val="32"/>
          <w:highlight w:val="none"/>
          <w:shd w:val="clear" w:color="auto" w:fill="auto"/>
          <w:lang w:val="en-US" w:eastAsia="zh-CN"/>
        </w:rPr>
        <w:t>亳州通恒置业有限公司</w:t>
      </w:r>
      <w:permEnd w:id="2"/>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2024年4</w:t>
      </w:r>
      <w:r>
        <w:rPr>
          <w:rFonts w:hint="eastAsia" w:ascii="Times New Roman" w:hAnsi="Times New Roman" w:eastAsia="楷体" w:cs="Times New Roman"/>
          <w:kern w:val="0"/>
          <w:sz w:val="32"/>
          <w:szCs w:val="32"/>
          <w:highlight w:val="none"/>
          <w:u w:val="none"/>
          <w:shd w:val="clear" w:color="auto" w:fill="auto"/>
          <w:lang w:val="en-US" w:eastAsia="zh-CN"/>
        </w:rPr>
        <w:t>月18日</w:t>
      </w:r>
      <w:permEnd w:id="3"/>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（合理低价法）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34</w:t>
      </w:r>
    </w:p>
    <w:permEnd w:id="4"/>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黑体" w:hAnsi="黑体" w:eastAsia="黑体" w:cs="黑体"/>
          <w:sz w:val="28"/>
          <w:szCs w:val="28"/>
          <w:highlight w:val="none"/>
          <w:lang w:val="en-US" w:eastAsia="zh-CN"/>
        </w:rPr>
      </w:pPr>
      <w:permStart w:id="5" w:edGrp="everyone"/>
      <w:r>
        <w:rPr>
          <w:rFonts w:hint="eastAsia" w:ascii="Times New Roman" w:hAnsi="Times New Roman" w:eastAsia="黑体" w:cs="Times New Roman"/>
          <w:color w:val="auto"/>
          <w:sz w:val="28"/>
          <w:szCs w:val="28"/>
          <w:highlight w:val="none"/>
          <w:u w:val="none"/>
          <w:lang w:val="en-US" w:eastAsia="zh-CN"/>
        </w:rPr>
        <w:t>亳州逸合府项目桩基工程质量检测</w:t>
      </w:r>
      <w:permEnd w:id="5"/>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166"/>
      <w:bookmarkStart w:id="1" w:name="_Toc179632536"/>
      <w:bookmarkStart w:id="2" w:name="_Toc246996909"/>
      <w:bookmarkStart w:id="3" w:name="_Toc152042295"/>
      <w:bookmarkStart w:id="4" w:name="_Toc144974487"/>
      <w:bookmarkStart w:id="5" w:name="_Toc152045519"/>
      <w:bookmarkStart w:id="6" w:name="_Toc247085680"/>
      <w:bookmarkStart w:id="7" w:name="_Toc296602410"/>
    </w:p>
    <w:bookmarkEnd w:id="0"/>
    <w:bookmarkEnd w:id="1"/>
    <w:bookmarkEnd w:id="2"/>
    <w:bookmarkEnd w:id="3"/>
    <w:bookmarkEnd w:id="4"/>
    <w:bookmarkEnd w:id="5"/>
    <w:bookmarkEnd w:id="6"/>
    <w:bookmark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bookmarkStart w:id="8" w:name="_Toc246996910"/>
      <w:bookmarkStart w:id="9" w:name="_Toc179632537"/>
      <w:bookmarkStart w:id="10" w:name="_Toc144974488"/>
      <w:bookmarkStart w:id="11" w:name="_Toc152045520"/>
      <w:bookmarkStart w:id="12" w:name="_Toc296602411"/>
      <w:bookmarkStart w:id="13" w:name="_Toc152042296"/>
      <w:bookmarkStart w:id="14" w:name="_Toc246996167"/>
      <w:bookmarkStart w:id="15" w:name="_Toc24708568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cstheme="minorEastAsia"/>
          <w:sz w:val="28"/>
          <w:szCs w:val="28"/>
          <w:highlight w:val="none"/>
          <w:lang w:val="en-US" w:eastAsia="zh-CN"/>
        </w:rPr>
        <w:t>亳州逸合府项目桩基工程质量检测</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BZJK-2024-</w:t>
      </w:r>
      <w:r>
        <w:rPr>
          <w:rFonts w:hint="eastAsia" w:asciiTheme="minorEastAsia" w:hAnsiTheme="minorEastAsia" w:cstheme="minorEastAsia"/>
          <w:sz w:val="28"/>
          <w:szCs w:val="28"/>
          <w:highlight w:val="none"/>
          <w:u w:val="single"/>
          <w:lang w:val="en-US" w:eastAsia="zh-CN"/>
        </w:rPr>
        <w:t>029</w:t>
      </w:r>
      <w:r>
        <w:rPr>
          <w:rFonts w:hint="eastAsia" w:asciiTheme="minorEastAsia" w:hAnsiTheme="minorEastAsia" w:cstheme="minorEastAsia"/>
          <w:sz w:val="28"/>
          <w:szCs w:val="28"/>
          <w:highlight w:val="none"/>
          <w:lang w:val="en-US" w:eastAsia="zh-CN"/>
        </w:rPr>
        <w:t>号</w:t>
      </w:r>
      <w:permEnd w:id="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8" w:edGrp="everyone"/>
      <w:r>
        <w:rPr>
          <w:rFonts w:hint="eastAsia" w:asciiTheme="minorEastAsia" w:hAnsiTheme="minorEastAsia" w:cstheme="minorEastAsia"/>
          <w:sz w:val="28"/>
          <w:szCs w:val="28"/>
          <w:highlight w:val="none"/>
          <w:lang w:val="en-US" w:eastAsia="zh-CN"/>
        </w:rPr>
        <w:t>企业自筹</w:t>
      </w:r>
    </w:p>
    <w:permEnd w:id="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9" w:edGrp="everyone"/>
      <w:r>
        <w:rPr>
          <w:rFonts w:hint="eastAsia" w:asciiTheme="minorEastAsia" w:hAnsiTheme="minorEastAsia" w:cstheme="minorEastAsia"/>
          <w:sz w:val="28"/>
          <w:szCs w:val="28"/>
          <w:highlight w:val="none"/>
          <w:lang w:val="en-US" w:eastAsia="zh-CN"/>
        </w:rPr>
        <w:t>亳州通恒置业有限公司</w:t>
      </w:r>
    </w:p>
    <w:permEnd w:id="9"/>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10" w:edGrp="everyone"/>
      <w:r>
        <w:rPr>
          <w:rFonts w:hint="eastAsia" w:asciiTheme="minorEastAsia" w:hAnsiTheme="minorEastAsia" w:cstheme="minorEastAsia"/>
          <w:sz w:val="28"/>
          <w:szCs w:val="28"/>
          <w:highlight w:val="none"/>
          <w:lang w:val="en-US" w:eastAsia="zh-CN"/>
        </w:rPr>
        <w:t>亳州</w:t>
      </w:r>
      <w:r>
        <w:rPr>
          <w:rFonts w:hint="eastAsia" w:asciiTheme="minorEastAsia" w:hAnsiTheme="minorEastAsia" w:eastAsiaTheme="minorEastAsia" w:cstheme="minorEastAsia"/>
          <w:sz w:val="28"/>
          <w:szCs w:val="28"/>
          <w:highlight w:val="none"/>
          <w:lang w:val="en-US" w:eastAsia="zh-CN"/>
        </w:rPr>
        <w:t>逸合府项目位于亳州市谯城经济技术产业开发区华佗大道与利辛路交叉口</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本</w:t>
      </w:r>
      <w:r>
        <w:rPr>
          <w:rFonts w:hint="eastAsia" w:asciiTheme="minorEastAsia" w:hAnsiTheme="minorEastAsia" w:eastAsiaTheme="minorEastAsia" w:cstheme="minorEastAsia"/>
          <w:sz w:val="28"/>
          <w:szCs w:val="28"/>
          <w:highlight w:val="none"/>
          <w:lang w:val="en-US" w:eastAsia="zh-CN"/>
        </w:rPr>
        <w:t>项目总用地面积134680.30平方米，总建筑面积362853.30平方米。</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11" w:edGrp="everyone"/>
      <w:r>
        <w:rPr>
          <w:rFonts w:hint="eastAsia" w:asciiTheme="minorEastAsia" w:hAnsiTheme="minorEastAsia" w:eastAsiaTheme="minorEastAsia" w:cstheme="minorEastAsia"/>
          <w:sz w:val="28"/>
          <w:szCs w:val="28"/>
          <w:highlight w:val="none"/>
          <w:lang w:val="en-US" w:eastAsia="zh-CN"/>
        </w:rPr>
        <w:t>桩基检测项目：抗拔桩共计1797根，其中试桩检测6根，按照施工图纸要求进行单桩抗拔承载力检测33根，低应变检测539根；CFG桩共计6017根，其中试桩检测6根，按照施工图纸要求进行复合地基静载试验75根和单桩静载试验75根，低应变检测18</w:t>
      </w:r>
      <w:r>
        <w:rPr>
          <w:rFonts w:hint="eastAsia" w:asciiTheme="minorEastAsia" w:hAnsiTheme="minorEastAsia" w:cstheme="minorEastAsia"/>
          <w:sz w:val="28"/>
          <w:szCs w:val="28"/>
          <w:highlight w:val="none"/>
          <w:lang w:val="en-US" w:eastAsia="zh-CN"/>
        </w:rPr>
        <w:t>06</w:t>
      </w:r>
      <w:r>
        <w:rPr>
          <w:rFonts w:hint="eastAsia" w:asciiTheme="minorEastAsia" w:hAnsiTheme="minorEastAsia" w:eastAsiaTheme="minorEastAsia" w:cstheme="minorEastAsia"/>
          <w:sz w:val="28"/>
          <w:szCs w:val="28"/>
          <w:highlight w:val="none"/>
          <w:lang w:val="en-US" w:eastAsia="zh-CN"/>
        </w:rPr>
        <w:t>根</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并出具检测报告。</w:t>
      </w:r>
      <w:permEnd w:id="1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服务</w:t>
      </w:r>
      <w:r>
        <w:rPr>
          <w:rFonts w:hint="eastAsia" w:asciiTheme="minorEastAsia" w:hAnsiTheme="minorEastAsia" w:eastAsiaTheme="minorEastAsia" w:cstheme="minorEastAsia"/>
          <w:sz w:val="28"/>
          <w:szCs w:val="28"/>
          <w:highlight w:val="none"/>
          <w:lang w:val="en-US" w:eastAsia="zh-CN"/>
        </w:rPr>
        <w:t>标准：</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，符合有关试验检测规范、操作规程，</w:t>
      </w:r>
      <w:r>
        <w:rPr>
          <w:rFonts w:hint="eastAsia" w:asciiTheme="minorEastAsia" w:hAnsiTheme="minorEastAsia" w:cstheme="minorEastAsia"/>
          <w:sz w:val="28"/>
          <w:szCs w:val="28"/>
          <w:highlight w:val="none"/>
        </w:rPr>
        <w:t>满足亳州市质量主管部门要求，检测报告须得到亳州市质量主管部门的认可。</w:t>
      </w:r>
      <w:permEnd w:id="1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color w:val="auto"/>
          <w:sz w:val="28"/>
          <w:szCs w:val="28"/>
          <w:highlight w:val="none"/>
          <w:lang w:val="en-US" w:eastAsia="zh-CN"/>
        </w:rPr>
        <w:t>试桩检测7天，工程桩</w:t>
      </w:r>
      <w:r>
        <w:rPr>
          <w:rFonts w:hint="eastAsia" w:asciiTheme="minorEastAsia" w:hAnsiTheme="minorEastAsia" w:cstheme="minorEastAsia"/>
          <w:color w:val="auto"/>
          <w:sz w:val="28"/>
          <w:szCs w:val="28"/>
          <w:highlight w:val="none"/>
          <w:lang w:val="en-US" w:eastAsia="zh-CN"/>
        </w:rPr>
        <w:t>检测7</w:t>
      </w:r>
      <w:r>
        <w:rPr>
          <w:rFonts w:hint="eastAsia" w:asciiTheme="minorEastAsia" w:hAnsiTheme="minorEastAsia" w:eastAsiaTheme="minorEastAsia" w:cstheme="minorEastAsia"/>
          <w:color w:val="auto"/>
          <w:sz w:val="28"/>
          <w:szCs w:val="28"/>
          <w:highlight w:val="none"/>
          <w:lang w:val="en-US" w:eastAsia="zh-CN"/>
        </w:rPr>
        <w:t>天</w:t>
      </w:r>
      <w:r>
        <w:rPr>
          <w:rFonts w:hint="eastAsia" w:asciiTheme="minorEastAsia" w:hAnsiTheme="minorEastAsia" w:cstheme="minorEastAsia"/>
          <w:color w:val="auto"/>
          <w:sz w:val="28"/>
          <w:szCs w:val="28"/>
          <w:highlight w:val="none"/>
          <w:lang w:val="en-US" w:eastAsia="zh-CN"/>
        </w:rPr>
        <w:t>一栋楼；分阶段实施，具体以现场工程部要求为主。</w:t>
      </w:r>
      <w:permEnd w:id="1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4" w:edGrp="everyone"/>
      <w:r>
        <w:rPr>
          <w:rFonts w:hint="eastAsia" w:asciiTheme="minorEastAsia" w:hAnsiTheme="minorEastAsia" w:cstheme="minorEastAsia"/>
          <w:color w:val="auto"/>
          <w:sz w:val="28"/>
          <w:szCs w:val="28"/>
          <w:highlight w:val="none"/>
          <w:lang w:val="en-US" w:eastAsia="zh-CN"/>
        </w:rPr>
        <w:t>（含税：6%）</w:t>
      </w:r>
      <w:permEnd w:id="14"/>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cstheme="minorEastAsia"/>
          <w:color w:val="auto"/>
          <w:sz w:val="28"/>
          <w:szCs w:val="28"/>
          <w:highlight w:val="none"/>
          <w:u w:val="none"/>
          <w:lang w:val="en-US" w:eastAsia="zh-CN"/>
        </w:rPr>
        <w:t>760000元</w:t>
      </w:r>
      <w:permEnd w:id="15"/>
      <w:r>
        <w:rPr>
          <w:rFonts w:hint="eastAsia" w:asciiTheme="minorEastAsia" w:hAnsiTheme="minorEastAsia" w:cstheme="minorEastAsia"/>
          <w:sz w:val="28"/>
          <w:szCs w:val="28"/>
          <w:highlight w:val="none"/>
          <w:lang w:val="en-US" w:eastAsia="zh-CN"/>
        </w:rPr>
        <w:t>，投标人根据招标文件附件清单，</w:t>
      </w:r>
      <w:r>
        <w:rPr>
          <w:rFonts w:hint="eastAsia" w:asciiTheme="minorEastAsia" w:hAnsiTheme="minorEastAsia" w:eastAsiaTheme="minorEastAsia" w:cstheme="minorEastAsia"/>
          <w:sz w:val="28"/>
          <w:szCs w:val="28"/>
          <w:highlight w:val="none"/>
          <w:lang w:val="en-US" w:eastAsia="zh-CN"/>
        </w:rPr>
        <w:t>按</w:t>
      </w:r>
      <w:permStart w:id="16" w:edGrp="everyone"/>
      <w:r>
        <w:rPr>
          <w:rFonts w:hint="eastAsia" w:asciiTheme="minorEastAsia" w:hAnsiTheme="minorEastAsia" w:cstheme="minorEastAsia"/>
          <w:color w:val="auto"/>
          <w:sz w:val="28"/>
          <w:szCs w:val="28"/>
          <w:highlight w:val="none"/>
          <w:u w:val="none"/>
          <w:lang w:val="en-US" w:eastAsia="zh-CN"/>
        </w:rPr>
        <w:t>综合单价</w:t>
      </w:r>
      <w:permEnd w:id="16"/>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eastAsia" w:asciiTheme="minorEastAsia" w:hAnsiTheme="minorEastAsia" w:eastAsiaTheme="minorEastAsia" w:cstheme="minorEastAsia"/>
          <w:color w:val="auto"/>
          <w:sz w:val="28"/>
          <w:szCs w:val="28"/>
          <w:highlight w:val="none"/>
          <w:lang w:val="en-US" w:eastAsia="zh-CN"/>
        </w:rPr>
        <w:t>独立法人资格</w:t>
      </w:r>
      <w:permEnd w:id="17"/>
      <w:r>
        <w:rPr>
          <w:rFonts w:hint="eastAsia" w:asciiTheme="minorEastAsia" w:hAnsiTheme="minorEastAsia" w:eastAsiaTheme="minorEastAsia" w:cstheme="minorEastAsia"/>
          <w:sz w:val="28"/>
          <w:szCs w:val="28"/>
          <w:highlight w:val="none"/>
          <w:lang w:val="en-US" w:eastAsia="zh-CN"/>
        </w:rPr>
        <w:t>，并在人员、设备、资金等方面具有承担本项目的能力</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cs="Times New Roman"/>
          <w:sz w:val="32"/>
          <w:szCs w:val="32"/>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具有</w:t>
      </w:r>
      <w:permStart w:id="18" w:edGrp="everyone"/>
      <w:r>
        <w:rPr>
          <w:rFonts w:hint="default" w:ascii="Times New Roman" w:hAnsi="Times New Roman" w:cs="Times New Roman"/>
          <w:sz w:val="32"/>
          <w:szCs w:val="32"/>
          <w:lang w:val="en-US" w:eastAsia="zh-CN"/>
        </w:rPr>
        <w:t>投标人必须同时具备以下①</w:t>
      </w:r>
      <w:r>
        <w:rPr>
          <w:rFonts w:hint="eastAsia" w:ascii="Times New Roman" w:hAnsi="Times New Roman" w:cs="Times New Roman"/>
          <w:sz w:val="32"/>
          <w:szCs w:val="32"/>
          <w:lang w:val="en-US" w:eastAsia="zh-CN"/>
        </w:rPr>
        <w:t>、</w:t>
      </w:r>
      <w:r>
        <w:rPr>
          <w:rFonts w:hint="default" w:ascii="Times New Roman" w:hAnsi="Times New Roman" w:cs="Times New Roman"/>
          <w:sz w:val="32"/>
          <w:szCs w:val="32"/>
          <w:lang w:val="en-US" w:eastAsia="zh-CN"/>
        </w:rPr>
        <w:t>②资质条件：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cs="Times New Roman"/>
          <w:sz w:val="32"/>
          <w:szCs w:val="32"/>
          <w:lang w:val="en-US" w:eastAsia="zh-CN"/>
        </w:rPr>
      </w:pPr>
      <w:r>
        <w:rPr>
          <w:rFonts w:hint="default" w:ascii="Times New Roman" w:hAnsi="Times New Roman" w:cs="Times New Roman"/>
          <w:sz w:val="32"/>
          <w:szCs w:val="32"/>
          <w:lang w:val="en-US" w:eastAsia="zh-CN"/>
        </w:rPr>
        <w:t>①</w:t>
      </w:r>
      <w:r>
        <w:rPr>
          <w:rFonts w:hint="eastAsia" w:ascii="Times New Roman" w:hAnsi="Times New Roman" w:cs="Times New Roman"/>
          <w:sz w:val="32"/>
          <w:szCs w:val="32"/>
          <w:lang w:val="en-US" w:eastAsia="zh-CN"/>
        </w:rPr>
        <w:t>投标人须具备建设行政主管部门颁发的建设工程质量检测机构资质证书（检测范围须含地基基础工程检测）或建设工程质量检测机构综合资质证书或专项资质证书（专项资质证书须包括：地基基础）。</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imes New Roman" w:hAnsi="Times New Roman" w:cs="Times New Roman"/>
          <w:sz w:val="32"/>
          <w:szCs w:val="32"/>
          <w:lang w:val="en-US" w:eastAsia="zh-CN"/>
        </w:rPr>
        <w:t>②投标人须具备有效的CMA计量认证证书。</w:t>
      </w:r>
      <w:permEnd w:id="18"/>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permStart w:id="19" w:edGrp="everyone"/>
      <w:r>
        <w:rPr>
          <w:rFonts w:hint="eastAsia" w:asciiTheme="minorEastAsia" w:hAnsiTheme="minorEastAsia" w:cstheme="minorEastAsia"/>
          <w:color w:val="auto"/>
          <w:sz w:val="28"/>
          <w:szCs w:val="28"/>
          <w:highlight w:val="none"/>
          <w:u w:val="none"/>
          <w:lang w:val="en-US" w:eastAsia="zh-CN"/>
        </w:rPr>
        <w:t>中级及以上工程师（建设工程类），同时具备经亳州市质量主管部门登记的地基基础专项上岗证</w:t>
      </w:r>
      <w:permEnd w:id="19"/>
      <w:r>
        <w:rPr>
          <w:rFonts w:hint="eastAsia" w:asciiTheme="minorEastAsia" w:hAnsiTheme="minorEastAsia" w:eastAsiaTheme="minorEastAsia" w:cstheme="minorEastAsia"/>
          <w:sz w:val="28"/>
          <w:szCs w:val="28"/>
          <w:highlight w:val="none"/>
          <w:lang w:val="en-US" w:eastAsia="zh-CN"/>
        </w:rPr>
        <w:t>执业资格</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）提供</w:t>
      </w:r>
      <w:permStart w:id="20" w:edGrp="everyone"/>
      <w:r>
        <w:rPr>
          <w:rFonts w:hint="eastAsia" w:asciiTheme="minorEastAsia" w:hAnsiTheme="minorEastAsia" w:cstheme="minorEastAsia"/>
          <w:sz w:val="28"/>
          <w:szCs w:val="28"/>
          <w:highlight w:val="none"/>
          <w:u w:val="single"/>
          <w:lang w:val="en-US" w:eastAsia="zh-CN"/>
        </w:rPr>
        <w:t>2021</w:t>
      </w:r>
      <w:permEnd w:id="20"/>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21" w:edGrp="everyone"/>
      <w:r>
        <w:rPr>
          <w:rFonts w:hint="eastAsia" w:asciiTheme="minorEastAsia" w:hAnsiTheme="minorEastAsia" w:cstheme="minorEastAsia"/>
          <w:sz w:val="28"/>
          <w:szCs w:val="28"/>
          <w:highlight w:val="none"/>
          <w:u w:val="single"/>
          <w:lang w:val="en-US" w:eastAsia="zh-CN"/>
        </w:rPr>
        <w:t>1</w:t>
      </w:r>
      <w:permEnd w:id="21"/>
      <w:r>
        <w:rPr>
          <w:rFonts w:hint="eastAsia" w:asciiTheme="minorEastAsia" w:hAnsiTheme="minorEastAsia" w:eastAsiaTheme="minorEastAsia" w:cstheme="minorEastAsia"/>
          <w:sz w:val="28"/>
          <w:szCs w:val="28"/>
          <w:highlight w:val="none"/>
          <w:lang w:val="en-US" w:eastAsia="zh-CN"/>
        </w:rPr>
        <w:t>个，以</w:t>
      </w:r>
      <w:permStart w:id="22"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22"/>
      <w:r>
        <w:rPr>
          <w:rFonts w:hint="eastAsia" w:asciiTheme="minorEastAsia" w:hAnsiTheme="minorEastAsia" w:eastAsiaTheme="minorEastAsia" w:cstheme="minorEastAsia"/>
          <w:sz w:val="28"/>
          <w:szCs w:val="28"/>
          <w:highlight w:val="none"/>
          <w:lang w:val="en-US" w:eastAsia="zh-CN"/>
        </w:rPr>
        <w:t>为准。类似项目业绩指：</w:t>
      </w:r>
      <w:permStart w:id="23" w:edGrp="everyone"/>
      <w:r>
        <w:rPr>
          <w:rFonts w:hint="eastAsia" w:asciiTheme="minorEastAsia" w:hAnsiTheme="minorEastAsia" w:cstheme="minorEastAsia"/>
          <w:sz w:val="28"/>
          <w:szCs w:val="28"/>
          <w:highlight w:val="none"/>
          <w:lang w:val="en-US" w:eastAsia="zh-CN"/>
        </w:rPr>
        <w:t>单项合同金额不低于</w:t>
      </w:r>
      <w:r>
        <w:rPr>
          <w:rFonts w:hint="eastAsia" w:asciiTheme="minorEastAsia" w:hAnsiTheme="minorEastAsia" w:cstheme="minorEastAsia"/>
          <w:sz w:val="28"/>
          <w:szCs w:val="28"/>
          <w:highlight w:val="none"/>
          <w:u w:val="single"/>
          <w:lang w:val="en-US" w:eastAsia="zh-CN"/>
        </w:rPr>
        <w:t>50</w:t>
      </w:r>
      <w:r>
        <w:rPr>
          <w:rFonts w:hint="eastAsia" w:asciiTheme="minorEastAsia" w:hAnsiTheme="minorEastAsia" w:cstheme="minorEastAsia"/>
          <w:sz w:val="28"/>
          <w:szCs w:val="28"/>
          <w:highlight w:val="none"/>
          <w:lang w:val="en-US" w:eastAsia="zh-CN"/>
        </w:rPr>
        <w:t>万元的桩基工程质量检测业绩</w:t>
      </w:r>
      <w:r>
        <w:rPr>
          <w:rFonts w:hint="eastAsia" w:asciiTheme="minorEastAsia" w:hAnsiTheme="minorEastAsia" w:cstheme="minorEastAsia"/>
          <w:sz w:val="28"/>
          <w:szCs w:val="28"/>
          <w:highlight w:val="none"/>
          <w:u w:val="none"/>
          <w:lang w:val="en-US" w:eastAsia="zh-CN"/>
        </w:rPr>
        <w:t>。</w:t>
      </w:r>
      <w:permEnd w:id="2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24"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复印件或扫描件装订入投标文件中</w:t>
      </w:r>
      <w:permEnd w:id="24"/>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permStart w:id="25" w:edGrp="everyone"/>
      <w:r>
        <w:rPr>
          <w:rFonts w:hint="eastAsia" w:asciiTheme="minorEastAsia" w:hAnsiTheme="minorEastAsia" w:eastAsiaTheme="minorEastAsia" w:cstheme="minorEastAsia"/>
          <w:color w:val="FF0000"/>
          <w:sz w:val="28"/>
          <w:szCs w:val="28"/>
          <w:highlight w:val="none"/>
          <w:lang w:val="en-US" w:eastAsia="zh-CN"/>
        </w:rPr>
        <w:t>不接受</w:t>
      </w:r>
      <w:permEnd w:id="25"/>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26" w:edGrp="everyone"/>
      <w:r>
        <w:rPr>
          <w:rFonts w:hint="eastAsia" w:asciiTheme="minorEastAsia" w:hAnsiTheme="minorEastAsia" w:cstheme="minorEastAsia"/>
          <w:color w:val="FF0000"/>
          <w:sz w:val="28"/>
          <w:szCs w:val="28"/>
          <w:highlight w:val="none"/>
          <w:lang w:val="en-US" w:eastAsia="zh-CN"/>
        </w:rPr>
        <w:t>/</w:t>
      </w:r>
      <w:permEnd w:id="26"/>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7" w:edGrp="everyone"/>
      <w:r>
        <w:rPr>
          <w:rFonts w:hint="eastAsia" w:asciiTheme="minorEastAsia" w:hAnsiTheme="minorEastAsia" w:cstheme="minorEastAsia"/>
          <w:color w:val="FF0000"/>
          <w:sz w:val="28"/>
          <w:szCs w:val="28"/>
          <w:highlight w:val="none"/>
          <w:lang w:val="en-US" w:eastAsia="zh-CN"/>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permEnd w:id="27"/>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8"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4</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30</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permEnd w:id="28"/>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9" w:edGrp="everyone"/>
      <w:r>
        <w:rPr>
          <w:rFonts w:hint="default" w:asciiTheme="minorEastAsia" w:hAnsiTheme="minorEastAsia" w:cstheme="minorEastAsia"/>
          <w:color w:val="auto"/>
          <w:sz w:val="28"/>
          <w:szCs w:val="28"/>
          <w:highlight w:val="none"/>
          <w:lang w:val="en-US" w:eastAsia="zh-CN"/>
        </w:rPr>
        <w:t>不允许</w:t>
      </w:r>
      <w:permEnd w:id="29"/>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30" w:edGrp="everyone"/>
      <w:r>
        <w:rPr>
          <w:rFonts w:hint="default" w:asciiTheme="minorEastAsia" w:hAnsiTheme="minorEastAsia" w:cstheme="minorEastAsia"/>
          <w:color w:val="auto"/>
          <w:sz w:val="28"/>
          <w:szCs w:val="28"/>
          <w:highlight w:val="none"/>
          <w:u w:val="none"/>
          <w:lang w:val="en-US" w:eastAsia="zh-CN"/>
        </w:rPr>
        <w:t>15</w:t>
      </w:r>
      <w:r>
        <w:rPr>
          <w:rFonts w:hint="eastAsia" w:asciiTheme="minorEastAsia" w:hAnsiTheme="minorEastAsia" w:cstheme="minorEastAsia"/>
          <w:color w:val="auto"/>
          <w:sz w:val="28"/>
          <w:szCs w:val="28"/>
          <w:highlight w:val="none"/>
          <w:u w:val="none"/>
          <w:lang w:val="en-US" w:eastAsia="zh-CN"/>
        </w:rPr>
        <w:t>0</w:t>
      </w:r>
      <w:r>
        <w:rPr>
          <w:rFonts w:hint="default" w:asciiTheme="minorEastAsia" w:hAnsiTheme="minorEastAsia" w:cstheme="minorEastAsia"/>
          <w:color w:val="auto"/>
          <w:sz w:val="28"/>
          <w:szCs w:val="28"/>
          <w:highlight w:val="none"/>
          <w:u w:val="none"/>
          <w:lang w:val="en-US" w:eastAsia="zh-CN"/>
        </w:rPr>
        <w:t>00元</w:t>
      </w:r>
      <w:r>
        <w:rPr>
          <w:rFonts w:hint="default" w:asciiTheme="minorEastAsia" w:hAnsiTheme="minorEastAsia" w:eastAsiaTheme="minorEastAsia" w:cstheme="minorEastAsia"/>
          <w:sz w:val="28"/>
          <w:szCs w:val="28"/>
          <w:highlight w:val="none"/>
          <w:lang w:val="en-US" w:eastAsia="zh-CN"/>
        </w:rPr>
        <w:t>（人民币）</w:t>
      </w:r>
      <w:permEnd w:id="30"/>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1" w:edGrp="everyone"/>
      <w:r>
        <w:rPr>
          <w:rFonts w:hint="eastAsia" w:ascii="Times New Roman" w:hAnsi="Times New Roman" w:eastAsia="华文仿宋" w:cs="Times New Roman"/>
          <w:color w:val="000000"/>
          <w:kern w:val="0"/>
          <w:sz w:val="32"/>
          <w:szCs w:val="32"/>
          <w:lang w:eastAsia="zh-CN" w:bidi="ar"/>
        </w:rPr>
        <w:t>亳州通恒置业有限公司</w:t>
      </w:r>
    </w:p>
    <w:permEnd w:id="31"/>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32" w:edGrp="everyone"/>
      <w:r>
        <w:rPr>
          <w:rFonts w:hint="eastAsia" w:asciiTheme="minorEastAsia" w:hAnsiTheme="minorEastAsia" w:cstheme="minorEastAsia"/>
          <w:sz w:val="28"/>
          <w:szCs w:val="28"/>
          <w:highlight w:val="none"/>
          <w:lang w:val="en-US" w:eastAsia="zh-CN"/>
        </w:rPr>
        <w:t>安徽省亳州市谯城区药都路1289号</w:t>
      </w:r>
      <w:permEnd w:id="3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3" w:edGrp="everyone"/>
      <w:r>
        <w:rPr>
          <w:rFonts w:hint="eastAsia" w:asciiTheme="minorEastAsia" w:hAnsiTheme="minorEastAsia" w:cstheme="minorEastAsia"/>
          <w:sz w:val="28"/>
          <w:szCs w:val="28"/>
          <w:highlight w:val="none"/>
          <w:lang w:val="en-US" w:eastAsia="zh-CN"/>
        </w:rPr>
        <w:t>孙工</w:t>
      </w:r>
      <w:permEnd w:id="3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34" w:edGrp="everyone"/>
      <w:r>
        <w:rPr>
          <w:rFonts w:hint="eastAsia" w:asciiTheme="minorEastAsia" w:hAnsiTheme="minorEastAsia" w:cstheme="minorEastAsia"/>
          <w:sz w:val="28"/>
          <w:szCs w:val="28"/>
          <w:highlight w:val="none"/>
          <w:shd w:val="clear"/>
          <w:lang w:val="en-US" w:eastAsia="zh-CN"/>
        </w:rPr>
        <w:t>0558-5585196</w:t>
      </w:r>
      <w:permEnd w:id="34"/>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auto"/>
          <w:kern w:val="2"/>
          <w:sz w:val="28"/>
          <w:szCs w:val="28"/>
          <w:highlight w:val="none"/>
          <w:lang w:eastAsia="zh-CN" w:bidi="ar"/>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5" w:edGrp="everyone"/>
      <w:r>
        <w:rPr>
          <w:rFonts w:hint="eastAsia" w:asciiTheme="minorEastAsia" w:hAnsiTheme="minorEastAsia" w:eastAsiaTheme="minorEastAsia" w:cstheme="minorEastAsia"/>
          <w:color w:val="auto"/>
          <w:kern w:val="2"/>
          <w:sz w:val="28"/>
          <w:szCs w:val="28"/>
          <w:highlight w:val="none"/>
          <w:lang w:eastAsia="zh-CN" w:bidi="ar"/>
        </w:rPr>
        <w:t>亳州通恒置业有限公司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auto"/>
          <w:sz w:val="28"/>
          <w:szCs w:val="28"/>
          <w:highlight w:val="none"/>
          <w:lang w:val="en-US" w:eastAsia="zh-CN"/>
        </w:rPr>
        <w:t>2024</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4</w:t>
      </w:r>
      <w:r>
        <w:rPr>
          <w:rFonts w:hint="eastAsia" w:asciiTheme="minorEastAsia" w:hAnsiTheme="minorEastAsia" w:eastAsiaTheme="minorEastAsia" w:cstheme="minorEastAsia"/>
          <w:color w:val="auto"/>
          <w:sz w:val="28"/>
          <w:szCs w:val="28"/>
          <w:highlight w:val="none"/>
          <w:lang w:val="en-US" w:eastAsia="zh-CN"/>
        </w:rPr>
        <w:t>月</w:t>
      </w:r>
      <w:r>
        <w:rPr>
          <w:rFonts w:hint="eastAsia" w:asciiTheme="minorEastAsia" w:hAnsiTheme="minorEastAsia" w:cstheme="minorEastAsia"/>
          <w:color w:val="auto"/>
          <w:sz w:val="28"/>
          <w:szCs w:val="28"/>
          <w:highlight w:val="none"/>
          <w:lang w:val="en-US" w:eastAsia="zh-CN"/>
        </w:rPr>
        <w:t>18</w:t>
      </w:r>
      <w:r>
        <w:rPr>
          <w:rFonts w:hint="eastAsia" w:asciiTheme="minorEastAsia" w:hAnsiTheme="minorEastAsia" w:eastAsiaTheme="minorEastAsia" w:cstheme="minorEastAsia"/>
          <w:color w:val="auto"/>
          <w:sz w:val="28"/>
          <w:szCs w:val="28"/>
          <w:highlight w:val="none"/>
          <w:lang w:val="en-US" w:eastAsia="zh-CN"/>
        </w:rPr>
        <w:t>日</w:t>
      </w:r>
      <w:permEnd w:id="35"/>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36"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36"/>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pStyle w:val="6"/>
              <w:topLinePunct/>
              <w:spacing w:line="440" w:lineRule="exact"/>
              <w:ind w:firstLine="420" w:firstLineChars="200"/>
              <w:rPr>
                <w:rFonts w:hint="default" w:ascii="Times New Roman" w:hAnsi="Times New Roman" w:cs="Times New Roman"/>
                <w:szCs w:val="21"/>
                <w:highlight w:val="none"/>
              </w:rPr>
            </w:pPr>
            <w:permStart w:id="37" w:edGrp="everyone"/>
            <w:r>
              <w:rPr>
                <w:rFonts w:hint="eastAsia" w:hAnsi="宋体"/>
                <w:sz w:val="21"/>
                <w:szCs w:val="21"/>
                <w:lang w:val="en-US" w:eastAsia="zh-CN"/>
              </w:rPr>
              <w:t>/</w:t>
            </w:r>
            <w:permEnd w:id="3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permStart w:id="3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接受</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sz w:val="21"/>
                <w:szCs w:val="21"/>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接  受</w:t>
            </w:r>
            <w:permEnd w:id="3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sz w:val="21"/>
                <w:szCs w:val="21"/>
                <w:lang w:val="en-US" w:eastAsia="zh-CN"/>
              </w:rPr>
            </w:pPr>
            <w:permStart w:id="39" w:edGrp="everyone"/>
            <w:r>
              <w:rPr>
                <w:rFonts w:hint="eastAsia" w:hAnsi="宋体"/>
                <w:sz w:val="21"/>
                <w:szCs w:val="21"/>
                <w:lang w:val="en-US" w:eastAsia="zh-CN"/>
              </w:rPr>
              <w:t>/</w:t>
            </w:r>
            <w:permEnd w:id="3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40" w:edGrp="everyone" w:colFirst="2" w:colLast="2"/>
            <w:r>
              <w:rPr>
                <w:rFonts w:hint="default" w:ascii="Times New Roman" w:hAnsi="Times New Roman" w:cs="Times New Roman"/>
                <w:szCs w:val="21"/>
                <w:highlight w:val="none"/>
              </w:rPr>
              <w:t>1.9.1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cs="Times New Roman"/>
                <w:color w:val="FF0000"/>
                <w:sz w:val="21"/>
                <w:szCs w:val="21"/>
                <w:highlight w:val="none"/>
              </w:rPr>
              <w:t>织</w:t>
            </w:r>
          </w:p>
        </w:tc>
      </w:tr>
      <w:permEnd w:id="40"/>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41" w:edGrp="everyone" w:colFirst="2" w:colLast="2"/>
            <w:r>
              <w:rPr>
                <w:rFonts w:hint="default" w:ascii="Times New Roman" w:hAnsi="Times New Roman" w:cs="Times New Roman"/>
                <w:szCs w:val="21"/>
                <w:highlight w:val="none"/>
              </w:rPr>
              <w:t>1.10.1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cs="Times New Roman"/>
                <w:color w:val="FF0000"/>
                <w:sz w:val="21"/>
                <w:szCs w:val="21"/>
                <w:highlight w:val="none"/>
              </w:rPr>
              <w:t>开</w:t>
            </w:r>
          </w:p>
        </w:tc>
      </w:tr>
      <w:permEnd w:id="41"/>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42"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4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1.12.1</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2"/>
                <w:sz w:val="21"/>
                <w:szCs w:val="21"/>
                <w:highlight w:val="none"/>
                <w:lang w:val="en-US" w:eastAsia="zh-CN" w:bidi="ar-SA"/>
              </w:rPr>
            </w:pPr>
            <w:permStart w:id="43" w:edGrp="everyone"/>
            <w:r>
              <w:rPr>
                <w:rFonts w:hint="eastAsia" w:hAnsi="宋体"/>
                <w:sz w:val="21"/>
                <w:szCs w:val="21"/>
                <w:lang w:val="en-US" w:eastAsia="zh-CN"/>
              </w:rPr>
              <w:t>详见第一章招标公告、第四章合同条款及格式、第五章供货要求。</w:t>
            </w:r>
            <w:permEnd w:id="4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3.2.5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permStart w:id="44" w:edGrp="everyone"/>
            <w:r>
              <w:rPr>
                <w:rFonts w:hint="eastAsia" w:ascii="Times New Roman" w:hAnsi="Times New Roman" w:cs="Times New Roman"/>
                <w:szCs w:val="21"/>
                <w:highlight w:val="none"/>
                <w:u w:val="single"/>
                <w:lang w:val="en-US" w:eastAsia="zh-CN"/>
              </w:rPr>
              <w:t>详见第一章招标公告。</w:t>
            </w:r>
            <w:permEnd w:id="4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0" w:firstLineChars="0"/>
              <w:jc w:val="left"/>
              <w:rPr>
                <w:rFonts w:hint="eastAsia" w:hAnsi="宋体"/>
                <w:color w:val="FF0000"/>
                <w:szCs w:val="21"/>
                <w:lang w:val="en-US" w:eastAsia="zh-CN"/>
              </w:rPr>
            </w:pPr>
            <w:permStart w:id="45" w:edGrp="everyone"/>
            <w:r>
              <w:rPr>
                <w:rFonts w:hint="eastAsia" w:hAnsi="宋体"/>
                <w:color w:val="FF0000"/>
                <w:szCs w:val="21"/>
              </w:rPr>
              <w:t>不需要</w:t>
            </w:r>
            <w:r>
              <w:rPr>
                <w:rFonts w:hint="eastAsia" w:hAnsi="宋体"/>
                <w:color w:val="FF0000"/>
                <w:szCs w:val="21"/>
              </w:rPr>
              <w:sym w:font="Wingdings 2" w:char="00A3"/>
            </w:r>
          </w:p>
          <w:p>
            <w:pPr>
              <w:autoSpaceDE w:val="0"/>
              <w:autoSpaceDN w:val="0"/>
              <w:adjustRightInd w:val="0"/>
              <w:snapToGrid w:val="0"/>
              <w:spacing w:line="440" w:lineRule="exact"/>
              <w:ind w:firstLine="0" w:firstLineChars="0"/>
              <w:jc w:val="left"/>
              <w:rPr>
                <w:rFonts w:hint="eastAsia" w:ascii="Times New Roman" w:hAnsi="Times New Roman" w:cs="Times New Roman" w:eastAsiaTheme="minorEastAsia"/>
                <w:color w:val="FF0000"/>
                <w:szCs w:val="21"/>
                <w:highlight w:val="none"/>
                <w:lang w:eastAsia="zh-CN"/>
              </w:rPr>
            </w:pPr>
            <w:r>
              <w:rPr>
                <w:rFonts w:hint="eastAsia" w:hAnsi="宋体"/>
                <w:color w:val="FF0000"/>
                <w:szCs w:val="21"/>
              </w:rPr>
              <w:t>需</w:t>
            </w:r>
            <w:r>
              <w:rPr>
                <w:rFonts w:hint="eastAsia" w:hAnsi="宋体"/>
                <w:color w:val="FF0000"/>
                <w:szCs w:val="21"/>
                <w:lang w:val="en-US" w:eastAsia="zh-CN"/>
              </w:rPr>
              <w:t xml:space="preserve">  </w:t>
            </w:r>
            <w:r>
              <w:rPr>
                <w:rFonts w:hint="eastAsia" w:hAnsi="宋体"/>
                <w:color w:val="FF0000"/>
                <w:szCs w:val="21"/>
              </w:rPr>
              <w:t>要</w:t>
            </w:r>
            <w:r>
              <w:rPr>
                <w:rFonts w:hint="eastAsia" w:hAnsi="宋体"/>
                <w:color w:val="FF0000"/>
                <w:szCs w:val="21"/>
                <w:lang w:eastAsia="zh-CN"/>
              </w:rPr>
              <w:t>☑</w:t>
            </w:r>
          </w:p>
          <w:permEnd w:id="45"/>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w:t>
            </w:r>
            <w:permStart w:id="46" w:edGrp="everyone"/>
            <w:r>
              <w:rPr>
                <w:rFonts w:hint="default" w:ascii="Times New Roman" w:hAnsi="Times New Roman" w:cs="Times New Roman"/>
                <w:color w:val="FF0000"/>
                <w:szCs w:val="21"/>
                <w:highlight w:val="none"/>
              </w:rPr>
              <w:t>银行汇款或转账</w:t>
            </w:r>
            <w:permEnd w:id="46"/>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47" w:edGrp="everyone"/>
            <w:r>
              <w:rPr>
                <w:rFonts w:hint="eastAsia" w:ascii="Times New Roman" w:hAnsi="Times New Roman" w:cs="Times New Roman"/>
                <w:color w:val="FF0000"/>
                <w:szCs w:val="21"/>
                <w:highlight w:val="none"/>
                <w:u w:val="single"/>
                <w:lang w:val="en-US" w:eastAsia="zh-CN"/>
              </w:rPr>
              <w:t>15000元</w:t>
            </w:r>
            <w:permEnd w:id="47"/>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8" w:edGrp="everyone"/>
            <w:r>
              <w:rPr>
                <w:rFonts w:hint="eastAsia" w:ascii="Times New Roman" w:hAnsi="Times New Roman" w:cs="Times New Roman"/>
                <w:color w:val="FF0000"/>
                <w:szCs w:val="21"/>
                <w:highlight w:val="none"/>
                <w:lang w:val="en-US" w:eastAsia="zh-CN"/>
              </w:rPr>
              <w:t>BZJK-2024-029号保证金</w:t>
            </w:r>
            <w:permEnd w:id="48"/>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line="382" w:lineRule="auto"/>
              <w:jc w:val="center"/>
              <w:rPr>
                <w:rFonts w:ascii="Arial"/>
                <w:sz w:val="21"/>
              </w:rPr>
            </w:pPr>
          </w:p>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21"/>
                <w:szCs w:val="21"/>
              </w:rPr>
              <w:t>3.5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29"/>
              <w:spacing w:before="68" w:line="221" w:lineRule="auto"/>
              <w:jc w:val="center"/>
              <w:rPr>
                <w:rFonts w:hint="eastAsia" w:ascii="Times New Roman" w:hAnsi="Times New Roman" w:cs="Times New Roman"/>
                <w:szCs w:val="21"/>
                <w:highlight w:val="none"/>
                <w:lang w:val="en-US" w:eastAsia="zh-CN"/>
              </w:rPr>
            </w:pPr>
            <w:r>
              <w:rPr>
                <w:spacing w:val="-2"/>
              </w:rPr>
              <w:t>资格审查资料的特殊要求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pStyle w:val="29"/>
              <w:spacing w:before="152" w:line="227" w:lineRule="auto"/>
              <w:ind w:left="129"/>
            </w:pPr>
            <w:permStart w:id="49" w:edGrp="everyone"/>
            <w:r>
              <w:rPr>
                <w:rFonts w:hint="eastAsia" w:ascii="Times New Roman" w:hAnsi="Times New Roman" w:eastAsia="宋体" w:cs="Times New Roman"/>
                <w:spacing w:val="-9"/>
                <w:sz w:val="22"/>
                <w:szCs w:val="22"/>
                <w:lang w:eastAsia="zh-CN"/>
              </w:rPr>
              <w:t>☑</w:t>
            </w:r>
            <w:r>
              <w:rPr>
                <w:spacing w:val="-9"/>
              </w:rPr>
              <w:t>无</w:t>
            </w:r>
          </w:p>
          <w:p>
            <w:pPr>
              <w:pStyle w:val="29"/>
              <w:spacing w:before="64" w:line="227" w:lineRule="auto"/>
              <w:ind w:left="129" w:leftChars="0"/>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31"/>
                <w:szCs w:val="31"/>
              </w:rPr>
              <w:t>□</w:t>
            </w:r>
            <w:r>
              <w:rPr>
                <w:spacing w:val="-2"/>
              </w:rPr>
              <w:t>有，具体要求：</w:t>
            </w:r>
            <w:permEnd w:id="4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1"/>
                <w:sz w:val="21"/>
                <w:szCs w:val="21"/>
              </w:rPr>
              <w:t>3.5.2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29"/>
              <w:spacing w:before="69" w:line="221" w:lineRule="auto"/>
              <w:jc w:val="center"/>
              <w:rPr>
                <w:rFonts w:hint="eastAsia" w:ascii="Times New Roman" w:hAnsi="Times New Roman" w:cs="Times New Roman"/>
                <w:szCs w:val="21"/>
                <w:highlight w:val="none"/>
                <w:lang w:val="en-US" w:eastAsia="zh-CN"/>
              </w:rPr>
            </w:pPr>
            <w:r>
              <w:rPr>
                <w:spacing w:val="-1"/>
              </w:rPr>
              <w:t>近年财务状况的年份要求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pStyle w:val="29"/>
              <w:tabs>
                <w:tab w:val="left" w:pos="663"/>
              </w:tabs>
              <w:spacing w:before="69" w:line="221" w:lineRule="auto"/>
              <w:ind w:left="0" w:leftChars="0"/>
              <w:rPr>
                <w:rFonts w:hint="eastAsia" w:ascii="Times New Roman" w:hAnsi="Times New Roman" w:cs="Times New Roman"/>
                <w:szCs w:val="21"/>
                <w:highlight w:val="none"/>
                <w:lang w:val="en-US" w:eastAsia="zh-CN"/>
              </w:rPr>
            </w:pPr>
            <w:permStart w:id="50" w:edGrp="everyone"/>
            <w:r>
              <w:rPr>
                <w:rFonts w:hint="eastAsia"/>
                <w:spacing w:val="6"/>
                <w:u w:val="single" w:color="auto"/>
                <w:lang w:val="en-US" w:eastAsia="zh-CN"/>
              </w:rPr>
              <w:t>/</w:t>
            </w:r>
            <w:r>
              <w:rPr>
                <w:spacing w:val="-3"/>
              </w:rPr>
              <w:t>年至</w:t>
            </w:r>
            <w:r>
              <w:rPr>
                <w:rFonts w:hint="eastAsia"/>
                <w:spacing w:val="6"/>
                <w:u w:val="single" w:color="auto"/>
                <w:lang w:val="en-US" w:eastAsia="zh-CN"/>
              </w:rPr>
              <w:t>/</w:t>
            </w:r>
            <w:r>
              <w:rPr>
                <w:spacing w:val="-3"/>
              </w:rPr>
              <w:t>年</w:t>
            </w:r>
            <w:permEnd w:id="5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3.5.5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近年发生的诉讼及仲裁情况的时间要求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ind w:firstLine="0" w:firstLineChars="0"/>
              <w:jc w:val="left"/>
              <w:rPr>
                <w:rFonts w:hint="eastAsia" w:ascii="Times New Roman" w:hAnsi="Times New Roman" w:eastAsia="Times New Roman" w:cs="Times New Roman"/>
                <w:spacing w:val="-1"/>
                <w:sz w:val="21"/>
                <w:szCs w:val="21"/>
                <w:lang w:val="en-US" w:eastAsia="zh-CN"/>
              </w:rPr>
            </w:pPr>
            <w:permStart w:id="51" w:edGrp="everyone"/>
            <w:r>
              <w:rPr>
                <w:rFonts w:hint="eastAsia"/>
                <w:spacing w:val="6"/>
                <w:u w:val="single" w:color="auto"/>
                <w:lang w:val="en-US" w:eastAsia="zh-CN"/>
              </w:rPr>
              <w:t>/</w:t>
            </w:r>
            <w:r>
              <w:rPr>
                <w:spacing w:val="-3"/>
              </w:rPr>
              <w:t>年至</w:t>
            </w:r>
            <w:r>
              <w:rPr>
                <w:rFonts w:hint="eastAsia"/>
                <w:spacing w:val="6"/>
                <w:u w:val="single" w:color="auto"/>
                <w:lang w:val="en-US" w:eastAsia="zh-CN"/>
              </w:rPr>
              <w:t>/</w:t>
            </w:r>
            <w:r>
              <w:rPr>
                <w:spacing w:val="-3"/>
              </w:rPr>
              <w:t>年</w:t>
            </w:r>
            <w:permEnd w:id="5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color w:val="FF0000"/>
                <w:szCs w:val="21"/>
                <w:highlight w:val="none"/>
                <w:lang w:val="en-US" w:eastAsia="zh-CN"/>
              </w:rPr>
            </w:pPr>
            <w:permStart w:id="52"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允  许</w:t>
            </w:r>
            <w:permEnd w:id="5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53"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53"/>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3.7.3A（3）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54"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FF0000"/>
                <w:sz w:val="24"/>
                <w:szCs w:val="24"/>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5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55" w:edGrp="everyone"/>
            <w:r>
              <w:rPr>
                <w:rFonts w:hint="eastAsia" w:ascii="Times New Roman" w:hAnsi="Times New Roman" w:cs="Times New Roman"/>
                <w:color w:val="FF0000"/>
                <w:szCs w:val="21"/>
                <w:highlight w:val="none"/>
                <w:lang w:val="en-US" w:eastAsia="zh-CN"/>
              </w:rPr>
              <w:t>开标地址：亳州交通投资控股集团有限公司15楼开标室（药都大道与希夷大道交叉口东北角15楼）；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招标人：亳州通恒置业有限公司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亳州逸合府项目桩基工程质量检测</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项目编号：BZJK-2024-</w:t>
            </w:r>
            <w:r>
              <w:rPr>
                <w:rFonts w:hint="eastAsia" w:ascii="Times New Roman" w:hAnsi="Times New Roman" w:cs="Times New Roman"/>
                <w:color w:val="FF0000"/>
                <w:szCs w:val="21"/>
                <w:highlight w:val="none"/>
                <w:u w:val="single"/>
                <w:lang w:val="en-US" w:eastAsia="zh-CN"/>
              </w:rPr>
              <w:t>029</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2024</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4</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30</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5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212" w:line="187" w:lineRule="auto"/>
              <w:jc w:val="center"/>
              <w:rPr>
                <w:rFonts w:hint="eastAsia" w:ascii="Times New Roman" w:hAnsi="Times New Roman" w:eastAsia="Times New Roman" w:cs="Times New Roman"/>
                <w:kern w:val="2"/>
                <w:sz w:val="21"/>
                <w:szCs w:val="21"/>
                <w:lang w:val="en-US" w:eastAsia="zh-CN" w:bidi="ar-SA"/>
              </w:rPr>
            </w:pPr>
            <w:r>
              <w:rPr>
                <w:rFonts w:ascii="Times New Roman" w:hAnsi="Times New Roman" w:eastAsia="Times New Roman" w:cs="Times New Roman"/>
                <w:spacing w:val="-1"/>
                <w:sz w:val="21"/>
                <w:szCs w:val="21"/>
              </w:rPr>
              <w:t>4.2.1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29"/>
              <w:spacing w:before="174" w:line="221" w:lineRule="auto"/>
              <w:jc w:val="center"/>
              <w:rPr>
                <w:rFonts w:hint="eastAsia" w:ascii="宋体" w:hAnsi="宋体" w:eastAsia="宋体" w:cs="宋体"/>
                <w:kern w:val="2"/>
                <w:sz w:val="21"/>
                <w:szCs w:val="21"/>
                <w:lang w:val="en-US" w:eastAsia="zh-CN" w:bidi="ar-SA"/>
              </w:rPr>
            </w:pPr>
            <w:r>
              <w:rPr>
                <w:spacing w:val="-2"/>
              </w:rPr>
              <w:t>投标截止时间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6.3.2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7.6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56"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eastAsiaTheme="minorEastAsia"/>
                <w:color w:val="FF0000"/>
                <w:sz w:val="21"/>
                <w:szCs w:val="21"/>
                <w:highlight w:val="none"/>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要求</w:t>
            </w:r>
          </w:p>
          <w:permEnd w:id="56"/>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57"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57"/>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58" w:edGrp="everyone"/>
            <w:r>
              <w:rPr>
                <w:rFonts w:hint="eastAsia" w:ascii="Times New Roman" w:hAnsi="Times New Roman" w:cs="Times New Roman"/>
                <w:b/>
                <w:bCs/>
                <w:color w:val="FF0000"/>
                <w:szCs w:val="21"/>
                <w:highlight w:val="none"/>
                <w:lang w:val="en-US" w:eastAsia="zh-CN"/>
              </w:rPr>
              <w:t>中标价款的10%</w:t>
            </w:r>
            <w:permEnd w:id="58"/>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59"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服务期满</w:t>
            </w:r>
            <w:r>
              <w:rPr>
                <w:rFonts w:hint="default" w:ascii="Times New Roman" w:hAnsi="Times New Roman" w:cs="Times New Roman"/>
                <w:color w:val="FF0000"/>
                <w:szCs w:val="21"/>
                <w:highlight w:val="none"/>
              </w:rPr>
              <w:t>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5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246996918"/>
      <w:bookmarkStart w:id="17" w:name="_Toc179632546"/>
      <w:bookmarkStart w:id="18" w:name="_Toc144974497"/>
      <w:bookmarkStart w:id="19" w:name="_Toc152045529"/>
      <w:bookmarkStart w:id="20" w:name="_Toc247085689"/>
      <w:bookmarkStart w:id="21" w:name="_Toc296602420"/>
      <w:bookmarkStart w:id="22" w:name="_Toc152042305"/>
      <w:bookmarkStart w:id="23" w:name="_Toc246996175"/>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6996919"/>
      <w:bookmarkStart w:id="25" w:name="_Toc152045530"/>
      <w:bookmarkStart w:id="26" w:name="_Toc246996176"/>
      <w:bookmarkStart w:id="27" w:name="_Toc179632547"/>
      <w:bookmarkStart w:id="28" w:name="_Toc247085690"/>
      <w:bookmarkStart w:id="29" w:name="_Toc144974498"/>
      <w:bookmarkStart w:id="30" w:name="_Toc152042306"/>
      <w:bookmarkStart w:id="31" w:name="_Toc296602421"/>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1.1.6 </w:t>
      </w:r>
      <w:r>
        <w:rPr>
          <w:rFonts w:hint="eastAsia"/>
          <w:lang w:val="en-US" w:eastAsia="zh-CN"/>
        </w:rPr>
        <w:t>本招标</w:t>
      </w:r>
      <w:r>
        <w:rPr>
          <w:rFonts w:hint="eastAsia"/>
        </w:rPr>
        <w:t>项目建设规模：见投标人须知前附表。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1.1.7 </w:t>
      </w:r>
      <w:r>
        <w:rPr>
          <w:rFonts w:hint="eastAsia"/>
          <w:lang w:val="en-US" w:eastAsia="zh-CN"/>
        </w:rPr>
        <w:t>本招标</w:t>
      </w:r>
      <w:r>
        <w:rPr>
          <w:rFonts w:hint="eastAsia"/>
        </w:rPr>
        <w:t>项目投资估算：见投标人须知前附表。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46996920"/>
      <w:bookmarkStart w:id="33" w:name="_Toc179632548"/>
      <w:bookmarkStart w:id="34" w:name="_Toc296602422"/>
      <w:bookmarkStart w:id="35" w:name="_Toc152042307"/>
      <w:bookmarkStart w:id="36" w:name="_Toc144974499"/>
      <w:bookmarkStart w:id="37" w:name="_Toc152045531"/>
      <w:bookmarkStart w:id="38" w:name="_Toc247085691"/>
      <w:bookmarkStart w:id="39" w:name="_Toc246996177"/>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46996921"/>
      <w:bookmarkStart w:id="41" w:name="_Toc152045532"/>
      <w:bookmarkStart w:id="42" w:name="_Toc296602423"/>
      <w:bookmarkStart w:id="43" w:name="_Toc247085692"/>
      <w:bookmarkStart w:id="44" w:name="_Toc246996178"/>
      <w:bookmarkStart w:id="45" w:name="_Toc152042308"/>
      <w:bookmarkStart w:id="46" w:name="_Toc144974500"/>
      <w:bookmarkStart w:id="47" w:name="_Toc179632549"/>
      <w:r>
        <w:rPr>
          <w:rFonts w:hint="eastAsia"/>
        </w:rPr>
        <w:t>1.3 招标范围、</w:t>
      </w:r>
      <w:r>
        <w:rPr>
          <w:rFonts w:hint="eastAsia"/>
          <w:lang w:val="en-US" w:eastAsia="zh-CN"/>
        </w:rPr>
        <w:t>服务期限</w:t>
      </w:r>
      <w:r>
        <w:rPr>
          <w:rFonts w:hint="eastAsia"/>
        </w:rPr>
        <w:t>、质量要求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w:t>
      </w:r>
      <w:r>
        <w:rPr>
          <w:rFonts w:hint="eastAsia"/>
          <w:lang w:eastAsia="zh-CN"/>
        </w:rPr>
        <w:t>服务期限</w:t>
      </w:r>
      <w:r>
        <w:rPr>
          <w:rFonts w:hint="eastAsia"/>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44974502"/>
      <w:bookmarkStart w:id="49" w:name="_Toc246996179"/>
      <w:bookmarkStart w:id="50" w:name="_Toc152045534"/>
      <w:bookmarkStart w:id="51" w:name="_Toc179632551"/>
      <w:bookmarkStart w:id="52" w:name="_Toc246996922"/>
      <w:bookmarkStart w:id="53" w:name="_Toc152042310"/>
      <w:bookmarkStart w:id="54" w:name="_Toc296602424"/>
      <w:bookmarkStart w:id="55" w:name="_Toc247085693"/>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1.4.1 投标人应具备承担本招标项目的资质条件、能力和信誉。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（5）项目负责人的资格要求：见投标人须知前附表；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（6）其他主要人员要求：见投标人须知前附表；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（7）其他有关要求：见投标人须知前附表。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1.4.2 投标人须知前附表规定接受联合体投标的，除应符合本章第1.4.1项和投标人须知前附表的要求外，还应遵守以下规定：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（1）为招标人不具有独立法人资格的附属机构（单位）；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（2）为招标项目前期工作提供咨询服务的；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（9）被责令停业的；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ermStart w:id="60"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w:t>
      </w:r>
    </w:p>
    <w:permEnd w:id="60"/>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单位负责人为同一人或者存在控股、管理关系的不同单位，不得同时参加本招标项目投标。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52045535"/>
      <w:bookmarkStart w:id="57" w:name="_Toc144974503"/>
      <w:bookmarkStart w:id="58" w:name="_Toc179632552"/>
      <w:bookmarkStart w:id="59" w:name="_Toc296602425"/>
      <w:bookmarkStart w:id="60" w:name="_Toc246996923"/>
      <w:bookmarkStart w:id="61" w:name="_Toc247085694"/>
      <w:bookmarkStart w:id="62" w:name="_Toc152042311"/>
      <w:bookmarkStart w:id="63" w:name="_Toc246996180"/>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44974504"/>
      <w:bookmarkStart w:id="65" w:name="_Toc152045536"/>
      <w:bookmarkStart w:id="66" w:name="_Toc246996181"/>
      <w:bookmarkStart w:id="67" w:name="_Toc296602426"/>
      <w:bookmarkStart w:id="68" w:name="_Toc247085695"/>
      <w:bookmarkStart w:id="69" w:name="_Toc152042312"/>
      <w:bookmarkStart w:id="70" w:name="_Toc179632553"/>
      <w:bookmarkStart w:id="71" w:name="_Toc246996924"/>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47085696"/>
      <w:bookmarkStart w:id="74" w:name="_Toc246996182"/>
      <w:bookmarkStart w:id="75" w:name="_Toc152045537"/>
      <w:bookmarkStart w:id="76" w:name="_Toc246996925"/>
      <w:bookmarkStart w:id="77" w:name="_Toc296602427"/>
      <w:bookmarkStart w:id="78" w:name="_Toc152042313"/>
      <w:bookmarkStart w:id="79" w:name="_Toc179632554"/>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247085697"/>
      <w:bookmarkStart w:id="81" w:name="_Toc246996183"/>
      <w:bookmarkStart w:id="82" w:name="_Toc246996926"/>
      <w:bookmarkStart w:id="83" w:name="_Toc152042314"/>
      <w:bookmarkStart w:id="84" w:name="_Toc152045538"/>
      <w:bookmarkStart w:id="85" w:name="_Toc179632555"/>
      <w:bookmarkStart w:id="86" w:name="_Toc144974506"/>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152045539"/>
      <w:bookmarkStart w:id="89" w:name="_Toc247513962"/>
      <w:bookmarkStart w:id="90" w:name="_Toc152042315"/>
      <w:bookmarkStart w:id="91" w:name="_Toc247527563"/>
      <w:bookmarkStart w:id="92" w:name="_Toc247592876"/>
      <w:bookmarkStart w:id="93" w:name="_Toc144974507"/>
      <w:bookmarkStart w:id="94" w:name="_Toc296602429"/>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52042316"/>
      <w:bookmarkStart w:id="96" w:name="_Toc247592877"/>
      <w:bookmarkStart w:id="97" w:name="_Toc247513963"/>
      <w:bookmarkStart w:id="98" w:name="_Toc247527564"/>
      <w:bookmarkStart w:id="99" w:name="_Toc144974508"/>
      <w:bookmarkStart w:id="100" w:name="_Toc152045540"/>
      <w:bookmarkStart w:id="101" w:name="_Toc296602430"/>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投标人须知前附表规定应当由分包人实施的非主体、非关键性工作，投标人应当按照第五章“发包人要求”的规定提供分包人侯选名单及其相应资料。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投标人拟在中标后将中标项目的部分非主体、非关键性工作进行分包的，应符合投标人须知前附表规定的分包内容、分包金额和资质要求等限制性条件，除投标人须知前附表规定的非主体、非关键性设计工作外，其他工作不得分包。中标人不得向他人转让中标项目，接受分包的人不得再次分包。中标人应当就分包项目向招标人负责，接受分包的人就分包项目承担连带责任。</w:t>
      </w:r>
    </w:p>
    <w:p>
      <w:pPr>
        <w:pStyle w:val="4"/>
        <w:pageBreakBefore w:val="0"/>
        <w:widowControl w:val="0"/>
        <w:kinsoku/>
        <w:wordWrap/>
        <w:overflowPunct/>
        <w:topLinePunct w:val="0"/>
        <w:autoSpaceDE/>
        <w:autoSpaceDN/>
        <w:bidi w:val="0"/>
        <w:adjustRightInd/>
        <w:snapToGrid/>
        <w:spacing w:line="240" w:lineRule="auto"/>
        <w:textAlignment w:val="auto"/>
        <w:rPr>
          <w:rFonts w:ascii="Arial"/>
          <w:sz w:val="21"/>
        </w:rPr>
      </w:pPr>
      <w:r>
        <w:rPr>
          <w:rFonts w:hint="eastAsia"/>
        </w:rPr>
        <w:t>1.12 响应和偏差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1.12.2  投标人应根据招标文件的要求提供投标勘察纲要等内容以对招标文件作出响应。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sz w:val="21"/>
          <w:szCs w:val="21"/>
        </w:rPr>
      </w:pPr>
      <w:r>
        <w:rPr>
          <w:rFonts w:hint="eastAsia"/>
        </w:rPr>
        <w:t>1.12.3  投标人须知前附表允许投标文件偏离招标文件某些要求的， 偏差应当符合招标文件规定的偏差范围和幅度</w:t>
      </w:r>
      <w:r>
        <w:rPr>
          <w:spacing w:val="-2"/>
          <w:sz w:val="21"/>
          <w:szCs w:val="21"/>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52045542"/>
      <w:bookmarkStart w:id="104" w:name="_Toc179632560"/>
      <w:bookmarkStart w:id="105" w:name="_Toc246996930"/>
      <w:bookmarkStart w:id="106" w:name="_Toc152042318"/>
      <w:bookmarkStart w:id="107" w:name="_Toc144974510"/>
      <w:bookmarkStart w:id="108" w:name="_Toc247085701"/>
      <w:bookmarkStart w:id="109" w:name="_Toc246996187"/>
      <w:bookmarkStart w:id="110" w:name="_Toc296602432"/>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44974511"/>
      <w:bookmarkStart w:id="112" w:name="_Toc246996931"/>
      <w:bookmarkStart w:id="113" w:name="_Toc179632561"/>
      <w:bookmarkStart w:id="114" w:name="_Toc152042319"/>
      <w:bookmarkStart w:id="115" w:name="_Toc246996188"/>
      <w:bookmarkStart w:id="116" w:name="_Toc152045543"/>
      <w:bookmarkStart w:id="117" w:name="_Toc296602433"/>
      <w:bookmarkStart w:id="118" w:name="_Toc247085702"/>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（5）发包人要求；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1.10 款、第 2.2 款和第 2.3 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79632562"/>
      <w:bookmarkStart w:id="120" w:name="_Toc152042320"/>
      <w:bookmarkStart w:id="121" w:name="_Toc152045544"/>
      <w:bookmarkStart w:id="122" w:name="_Toc296602434"/>
      <w:bookmarkStart w:id="123" w:name="_Toc246996932"/>
      <w:bookmarkStart w:id="124" w:name="_Toc144974512"/>
      <w:bookmarkStart w:id="125" w:name="_Toc247085703"/>
      <w:bookmarkStart w:id="126" w:name="_Toc246996189"/>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96602435"/>
      <w:bookmarkStart w:id="128" w:name="_Toc144974513"/>
      <w:bookmarkStart w:id="129" w:name="_Toc247085704"/>
      <w:bookmarkStart w:id="130" w:name="_Toc246996190"/>
      <w:bookmarkStart w:id="131" w:name="_Toc179632563"/>
      <w:bookmarkStart w:id="132" w:name="_Toc152045545"/>
      <w:bookmarkStart w:id="133" w:name="_Toc152042321"/>
      <w:bookmarkStart w:id="134" w:name="_Toc246996933"/>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2.3.1招标人可以书面形式修改招标文件，并通知所有已购买招标文件的投标人。但如果修改招标文件的时间距投标截止时间不足15天，并且修改内容影响投标文件编制的，将相应延长投标截止时间。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79632564"/>
      <w:bookmarkStart w:id="136" w:name="_Toc246996934"/>
      <w:bookmarkStart w:id="137" w:name="_Toc296602436"/>
      <w:bookmarkStart w:id="138" w:name="_Toc246996191"/>
      <w:bookmarkStart w:id="139" w:name="_Toc144974514"/>
      <w:bookmarkStart w:id="140" w:name="_Toc152045546"/>
      <w:bookmarkStart w:id="141" w:name="_Toc247085705"/>
      <w:bookmarkStart w:id="142" w:name="_Toc152042322"/>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96602437"/>
      <w:bookmarkStart w:id="144" w:name="_Toc152045547"/>
      <w:bookmarkStart w:id="145" w:name="_Toc144974515"/>
      <w:bookmarkStart w:id="146" w:name="_Toc179632565"/>
      <w:bookmarkStart w:id="147" w:name="_Toc152042323"/>
      <w:bookmarkStart w:id="148" w:name="_Toc247085706"/>
      <w:bookmarkStart w:id="149" w:name="_Toc246996192"/>
      <w:bookmarkStart w:id="150" w:name="_Toc246996935"/>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四、服务费用清单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六、服务方案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246996193"/>
      <w:bookmarkStart w:id="152" w:name="_Toc179632566"/>
      <w:bookmarkStart w:id="153" w:name="_Toc152045548"/>
      <w:bookmarkStart w:id="154" w:name="_Toc246996936"/>
      <w:bookmarkStart w:id="155" w:name="_Toc247085707"/>
      <w:bookmarkStart w:id="156" w:name="_Toc144974516"/>
      <w:bookmarkStart w:id="157" w:name="_Toc152042324"/>
      <w:bookmarkStart w:id="158" w:name="_Toc296602438"/>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52045549"/>
      <w:bookmarkStart w:id="160" w:name="_Toc179632567"/>
      <w:bookmarkStart w:id="161" w:name="_Toc144974517"/>
      <w:bookmarkStart w:id="162" w:name="_Toc152042325"/>
      <w:r>
        <w:rPr>
          <w:rFonts w:hint="eastAsia"/>
        </w:rPr>
        <w:t>3.2.1 投标报价应包括国家规定的增值税税金， 除投标人须知前附表另有规定外， 增值税税 金按一般计税方法计算。投标人应按第六章“投标文件格式” 的要求在投标函中进行报价并填写设计费用清单。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本项目的报价方式见投标人须知前附表。投标人在投标截止时间前修改投标函中的投 标报价总额，应同时修改投标文件“勘察费用清单”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6996937"/>
      <w:bookmarkStart w:id="164" w:name="_Toc296602439"/>
      <w:bookmarkStart w:id="165" w:name="_Toc247085708"/>
      <w:bookmarkStart w:id="166" w:name="_Toc246996194"/>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79632568"/>
      <w:bookmarkStart w:id="168" w:name="_Toc296602440"/>
      <w:bookmarkStart w:id="169" w:name="_Toc246996195"/>
      <w:bookmarkStart w:id="170" w:name="_Toc152042326"/>
      <w:bookmarkStart w:id="171" w:name="_Toc247085709"/>
      <w:bookmarkStart w:id="172" w:name="_Toc144974518"/>
      <w:bookmarkStart w:id="173" w:name="_Toc152045550"/>
      <w:bookmarkStart w:id="174" w:name="_Toc246996938"/>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152042328"/>
      <w:bookmarkStart w:id="176" w:name="_Toc296602441"/>
      <w:bookmarkStart w:id="177" w:name="_Toc247085710"/>
      <w:bookmarkStart w:id="178" w:name="_Toc179632570"/>
      <w:bookmarkStart w:id="179" w:name="_Toc152045552"/>
      <w:bookmarkStart w:id="180" w:name="_Toc246996196"/>
      <w:bookmarkStart w:id="181" w:name="_Toc246996939"/>
      <w:bookmarkStart w:id="182" w:name="_Toc144974520"/>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3.5.1“投标人基本情况表”应附投标人有效的营业执照（统一社会信用代码）、资质证书等材料的扫描件或复印件。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3.5.2“近年财务状况表”应附经会计师事务所或审计机构审计的财务会计报表，包括资产负债表、现金流量表、利润表和财务情况说明书等扫描件或复印件。具体要求见投标人须知前附表。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3.5.3“近年完成的类似项目情况表”应附中标通知书和（或）合同协议书、发包人出具的证明文件；具体时间要求见投标人须知前附表，每张表格只填写一个项目，并标明序号。具体要求见投标人须知前附表。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“正在实施和新承接的项目情况表”应附中标通知书和（或）合同协议书扫描件或复印件。每张表格只填写一个项目，并标明序号。具体要求见投标人须知前附表。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3.5.5“近年发生的重大诉讼及仲裁情况”应说明相关情况，并附法院或仲裁机构作出的判决、裁决等有关法律文书扫描件或复印件。具体要求见投标人须知前附表。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3.5.6“拟委任的主要人员汇总表”应填报满足本章第 1.4.1 项规定的项目负责人和其他主要人员的相关信息。“主要人员简历表”中项目负责人应附身份证、学历证、职称证、执业资格证书和社保缴费证明复印件，管理过的项目业绩须附合同协议书复印件；其他主要人员应附身份证、学历证、职称证、有关证书和社保缴费证明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3.5.7投标人须知前附表规定接受联合体投标的，本章第3.5.1项至第3.5.5项规定的表格和资料应包括联合体各方相关情况。</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3.6  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投标人提供两个或两个以上投标报价，或者在投标文件中提供一个报价，但同时提供两个或两个以上勘察方案的， 视为提供备选方案。</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46996940"/>
      <w:bookmarkStart w:id="184" w:name="_Toc152042329"/>
      <w:bookmarkStart w:id="185" w:name="_Toc144974521"/>
      <w:bookmarkStart w:id="186" w:name="_Toc152045553"/>
      <w:bookmarkStart w:id="187" w:name="_Toc247085711"/>
      <w:bookmarkStart w:id="188" w:name="_Toc179632571"/>
      <w:bookmarkStart w:id="189" w:name="_Toc296602442"/>
      <w:bookmarkStart w:id="190" w:name="_Toc246996197"/>
      <w:r>
        <w:rPr>
          <w:rFonts w:hint="eastAsia"/>
        </w:rPr>
        <w:t>3.</w:t>
      </w:r>
      <w:r>
        <w:rPr>
          <w:rFonts w:hint="eastAsia"/>
          <w:lang w:val="en-US" w:eastAsia="zh-CN"/>
        </w:rPr>
        <w:t>7</w:t>
      </w:r>
      <w:r>
        <w:rPr>
          <w:rFonts w:hint="eastAsia"/>
        </w:rPr>
        <w:t>投标文件的编制</w:t>
      </w:r>
      <w:bookmarkEnd w:id="183"/>
      <w:bookmarkEnd w:id="184"/>
      <w:bookmarkEnd w:id="185"/>
      <w:bookmarkEnd w:id="186"/>
      <w:bookmarkEnd w:id="187"/>
      <w:bookmarkEnd w:id="188"/>
      <w:bookmarkEnd w:id="189"/>
      <w:bookmarkEnd w:id="190"/>
      <w:bookmarkStart w:id="191" w:name="_Toc179632573"/>
      <w:bookmarkStart w:id="192" w:name="_Toc144974523"/>
      <w:bookmarkStart w:id="193" w:name="_Toc152042331"/>
      <w:bookmarkStart w:id="194" w:name="_Toc152045555"/>
      <w:bookmarkStart w:id="195" w:name="_Toc247085713"/>
      <w:bookmarkStart w:id="196" w:name="_Toc246996942"/>
      <w:bookmarkStart w:id="197" w:name="_Toc24699619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98" w:name="_Toc296602443"/>
      <w:r>
        <w:rPr>
          <w:rFonts w:hint="eastAsia"/>
        </w:rPr>
        <w:t>3.7.1 投标文件应按第</w:t>
      </w:r>
      <w:r>
        <w:rPr>
          <w:rFonts w:hint="eastAsia"/>
          <w:lang w:val="en-US" w:eastAsia="zh-CN"/>
        </w:rPr>
        <w:t>六</w:t>
      </w:r>
      <w:r>
        <w:rPr>
          <w:rFonts w:hint="eastAsia"/>
        </w:rPr>
        <w:t>章“投标文件格式”进行编写，如有必要，可以增加附页，作为投标文件的组成部分。其中，投标函附录（如要求）在满足招标文件实质性要求的基础上，可以提出比招标文件要求更有利于招标人的承诺。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投标文件应当对招标文件有关招标范围、投标有效期、服务期限、质量标准、发包人要求等实质性内容作出响应。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3.7.3 投标文件应用投标文件制作软件进行编制（不褪色的材料书写或打印），并由投标人的法定代表人或其授权的代理人签字或盖单位章。投标人的法定代表人授权代理人签字的，投标文件应附由法定代表人签署的授权委托书。投标文件应尽量避免涂改、行间插字或删除。如果出现上述情况，改动之处应加盖单位章或由投标人的法定代表人或其授权的代理人签字确认。签字或盖章的具体要求见投标人须知前附表。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3.7.4投标文件份数要求见投标人须知前附表。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3.7.5投标文件装订要求见投标人须知前附表规定。 </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44974524"/>
      <w:bookmarkStart w:id="200" w:name="_Toc246996200"/>
      <w:bookmarkStart w:id="201" w:name="_Toc152045556"/>
      <w:bookmarkStart w:id="202" w:name="_Toc152042332"/>
      <w:bookmarkStart w:id="203" w:name="_Toc179632574"/>
      <w:bookmarkStart w:id="204" w:name="_Toc247085714"/>
      <w:bookmarkStart w:id="205" w:name="_Toc296602444"/>
      <w:bookmarkStart w:id="206" w:name="_Toc246996943"/>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7" w:name="_Toc144974525"/>
      <w:bookmarkStart w:id="208" w:name="_Toc179632575"/>
      <w:bookmarkStart w:id="209" w:name="_Toc247085715"/>
      <w:bookmarkStart w:id="210" w:name="_Toc246996201"/>
      <w:bookmarkStart w:id="211" w:name="_Toc152042333"/>
      <w:bookmarkStart w:id="212" w:name="_Toc246996944"/>
      <w:bookmarkStart w:id="213" w:name="_Toc152045557"/>
      <w:r>
        <w:rPr>
          <w:rFonts w:hint="eastAsia"/>
        </w:rPr>
        <w:t>4.1.1 投标文件应密封包装，并在封套的封口处加盖投标人单位章或由投标人的法定代表人或其授权的代理人签字。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296602446"/>
      <w:bookmarkStart w:id="216" w:name="_Toc246996202"/>
      <w:bookmarkStart w:id="217" w:name="_Toc247085716"/>
      <w:bookmarkStart w:id="218" w:name="_Toc179632576"/>
      <w:bookmarkStart w:id="219" w:name="_Toc152042334"/>
      <w:bookmarkStart w:id="220" w:name="_Toc144974526"/>
      <w:bookmarkStart w:id="221" w:name="_Toc246996945"/>
      <w:bookmarkStart w:id="222" w:name="_Toc152045558"/>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246996203"/>
      <w:bookmarkStart w:id="224" w:name="_Toc247085717"/>
      <w:bookmarkStart w:id="225" w:name="_Toc144974527"/>
      <w:bookmarkStart w:id="226" w:name="_Toc179632577"/>
      <w:bookmarkStart w:id="227" w:name="_Toc152042335"/>
      <w:bookmarkStart w:id="228" w:name="_Toc246996946"/>
      <w:bookmarkStart w:id="229" w:name="_Toc296602447"/>
      <w:bookmarkStart w:id="230" w:name="_Toc152045559"/>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44974528"/>
      <w:bookmarkStart w:id="232" w:name="_Toc296602448"/>
      <w:bookmarkStart w:id="233" w:name="_Toc246996204"/>
      <w:bookmarkStart w:id="234" w:name="_Toc179632578"/>
      <w:bookmarkStart w:id="235" w:name="_Toc247085718"/>
      <w:bookmarkStart w:id="236" w:name="_Toc246996947"/>
      <w:bookmarkStart w:id="237" w:name="_Toc152045560"/>
      <w:bookmarkStart w:id="238" w:name="_Toc152042336"/>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152045561"/>
      <w:bookmarkStart w:id="240" w:name="_Toc246996948"/>
      <w:bookmarkStart w:id="241" w:name="_Toc296602449"/>
      <w:bookmarkStart w:id="242" w:name="_Toc179632579"/>
      <w:bookmarkStart w:id="243" w:name="_Toc144974529"/>
      <w:bookmarkStart w:id="244" w:name="_Toc247085719"/>
      <w:bookmarkStart w:id="245" w:name="_Toc152042337"/>
      <w:bookmarkStart w:id="246" w:name="_Toc246996205"/>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（3）宣布开标人、唱标人、记录人、监标人等有关人员姓名（如有）；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（4）检查投标文件的密封情况，按照投标人须知前附表规定的开标顺序当众开标， 公布招标项目名称、投标人名称、投标保证金的递交情况、投标报价、服务期限及其他内容，并记录在案；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（5）投标人代表、招标人代表、监标人、记录人等有关人员（如有）在开标记录上签字确认；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144974530"/>
      <w:bookmarkStart w:id="249" w:name="_Toc246996206"/>
      <w:bookmarkStart w:id="250" w:name="_Toc296602451"/>
      <w:bookmarkStart w:id="251" w:name="_Toc179632580"/>
      <w:bookmarkStart w:id="252" w:name="_Toc247085720"/>
      <w:bookmarkStart w:id="253" w:name="_Toc152045562"/>
      <w:bookmarkStart w:id="254" w:name="_Toc152042338"/>
      <w:bookmarkStart w:id="255" w:name="_Toc246996949"/>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296602452"/>
      <w:bookmarkStart w:id="257" w:name="_Toc144974531"/>
      <w:bookmarkStart w:id="258" w:name="_Toc152045563"/>
      <w:bookmarkStart w:id="259" w:name="_Toc247085721"/>
      <w:bookmarkStart w:id="260" w:name="_Toc179632581"/>
      <w:bookmarkStart w:id="261" w:name="_Toc246996950"/>
      <w:bookmarkStart w:id="262" w:name="_Toc152042339"/>
      <w:bookmarkStart w:id="263" w:name="_Toc246996207"/>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246996951"/>
      <w:bookmarkStart w:id="265" w:name="_Toc246996208"/>
      <w:bookmarkStart w:id="266" w:name="_Toc152042340"/>
      <w:bookmarkStart w:id="267" w:name="_Toc152045564"/>
      <w:bookmarkStart w:id="268" w:name="_Toc144974532"/>
      <w:bookmarkStart w:id="269" w:name="_Toc179632582"/>
      <w:bookmarkStart w:id="270" w:name="_Toc296602453"/>
      <w:bookmarkStart w:id="271" w:name="_Toc247085722"/>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152042341"/>
      <w:bookmarkStart w:id="273" w:name="_Toc246996952"/>
      <w:bookmarkStart w:id="274" w:name="_Toc247085723"/>
      <w:bookmarkStart w:id="275" w:name="_Toc246996209"/>
      <w:bookmarkStart w:id="276" w:name="_Toc144974533"/>
      <w:bookmarkStart w:id="277" w:name="_Toc179632583"/>
      <w:bookmarkStart w:id="278" w:name="_Toc152045565"/>
      <w:bookmarkStart w:id="279" w:name="_Toc296602454"/>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6.3.1评标委员会按照第三章“评标办法”规定的方法、评审因素、标准和程序对投标文件进行评审。第三章“评标办法”没有规定的方法、评审因素和标准，不作为评标依据。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6.3.2 评标完成后，评标委员会应当向招标人提交书面评标报告和中标候选人名单。评标委员会推荐中标候选人的人数见投标人须知前附表。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246996953"/>
      <w:bookmarkStart w:id="281" w:name="_Toc152045566"/>
      <w:bookmarkStart w:id="282" w:name="_Toc246996210"/>
      <w:bookmarkStart w:id="283" w:name="_Toc247085724"/>
      <w:bookmarkStart w:id="284" w:name="_Toc152042342"/>
      <w:bookmarkStart w:id="285" w:name="_Toc179632584"/>
      <w:bookmarkStart w:id="286" w:name="_Toc144974534"/>
      <w:bookmarkStart w:id="287" w:name="_Toc296602455"/>
      <w:r>
        <w:rPr>
          <w:rFonts w:hint="eastAsia"/>
        </w:rPr>
        <w:t>7. 合同授予</w:t>
      </w:r>
      <w:bookmarkEnd w:id="280"/>
      <w:bookmarkEnd w:id="281"/>
      <w:bookmarkEnd w:id="282"/>
      <w:bookmarkEnd w:id="283"/>
      <w:bookmarkEnd w:id="284"/>
      <w:bookmarkEnd w:id="285"/>
      <w:bookmarkEnd w:id="286"/>
      <w:bookmarkEnd w:id="287"/>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144974535"/>
      <w:bookmarkStart w:id="289" w:name="_Toc246996211"/>
      <w:bookmarkStart w:id="290" w:name="_Toc296602456"/>
      <w:bookmarkStart w:id="291" w:name="_Toc152042343"/>
      <w:bookmarkStart w:id="292" w:name="_Toc152045567"/>
      <w:bookmarkStart w:id="293" w:name="_Toc246996954"/>
      <w:bookmarkStart w:id="294" w:name="_Toc179632585"/>
      <w:bookmarkStart w:id="295" w:name="_Toc247085725"/>
      <w:r>
        <w:rPr>
          <w:rFonts w:hint="eastAsia"/>
        </w:rPr>
        <w:t>7.1中标候选人公示</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招标人在收到评标报告之日起 3 日内，按照投标人须知前附表规定的公示媒介和期限公示中标候选人。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7.2 评标结果异议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投标人或者其他利害关系人对评标结果有异议的，应当在中标候选人公示期间提出。招标人将在收到异议之日起 3 日内作出答复；作出答复前，将暂停招标投标活动。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7.3 中标候选人履约能力审查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7.4 定标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按照投标人须知前附表的规定， 招标人或招标人授权的评标委员会依法确定中标人。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179632586"/>
      <w:bookmarkStart w:id="297" w:name="_Toc246996212"/>
      <w:bookmarkStart w:id="298" w:name="_Toc144974536"/>
      <w:bookmarkStart w:id="299" w:name="_Toc296602458"/>
      <w:bookmarkStart w:id="300" w:name="_Toc152042344"/>
      <w:bookmarkStart w:id="301" w:name="_Toc247085726"/>
      <w:bookmarkStart w:id="302" w:name="_Toc246996955"/>
      <w:bookmarkStart w:id="303" w:name="_Toc152045568"/>
      <w:r>
        <w:rPr>
          <w:rFonts w:hint="eastAsia"/>
        </w:rPr>
        <w:t>7.5 中标通知</w:t>
      </w:r>
      <w:bookmarkEnd w:id="296"/>
      <w:bookmarkEnd w:id="297"/>
      <w:bookmarkEnd w:id="298"/>
      <w:bookmarkEnd w:id="299"/>
      <w:bookmarkEnd w:id="300"/>
      <w:bookmarkEnd w:id="301"/>
      <w:bookmarkEnd w:id="302"/>
      <w:bookmarkEnd w:id="30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在本章第 3.3 款规定的投标有效期内，招标人以书面形式向中标人发出中标通知书，同时将中标结果通知未中标的投标人。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04" w:name="_Toc144974537"/>
      <w:bookmarkStart w:id="305" w:name="_Toc246996213"/>
      <w:bookmarkStart w:id="306" w:name="_Toc152042345"/>
      <w:bookmarkStart w:id="307" w:name="_Toc246996956"/>
      <w:bookmarkStart w:id="308" w:name="_Toc179632587"/>
      <w:bookmarkStart w:id="309" w:name="_Toc247085727"/>
      <w:bookmarkStart w:id="310" w:name="_Toc296602459"/>
      <w:bookmarkStart w:id="311" w:name="_Toc152045569"/>
      <w:r>
        <w:rPr>
          <w:rFonts w:hint="eastAsia"/>
        </w:rPr>
        <w:t>7.7 履约担保</w:t>
      </w:r>
      <w:bookmarkEnd w:id="304"/>
      <w:bookmarkEnd w:id="305"/>
      <w:bookmarkEnd w:id="306"/>
      <w:bookmarkEnd w:id="307"/>
      <w:bookmarkEnd w:id="308"/>
      <w:bookmarkEnd w:id="309"/>
      <w:bookmarkEnd w:id="310"/>
      <w:bookmarkEnd w:id="311"/>
      <w:r>
        <w:rPr>
          <w:rFonts w:hint="eastAsia"/>
        </w:rPr>
        <w:t>（履约保证金）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2" w:name="_Toc296602460"/>
      <w:bookmarkStart w:id="313" w:name="_Toc246996214"/>
      <w:bookmarkStart w:id="314" w:name="_Toc247085728"/>
      <w:bookmarkStart w:id="315" w:name="_Toc144974538"/>
      <w:bookmarkStart w:id="316" w:name="_Toc152042346"/>
      <w:bookmarkStart w:id="317" w:name="_Toc179632588"/>
      <w:bookmarkStart w:id="318" w:name="_Toc246996957"/>
      <w:bookmarkStart w:id="319" w:name="_Toc152045570"/>
      <w:r>
        <w:rPr>
          <w:rFonts w:hint="eastAsia"/>
        </w:rPr>
        <w:t>7.8 签订合同</w:t>
      </w:r>
      <w:bookmarkEnd w:id="312"/>
      <w:bookmarkEnd w:id="313"/>
      <w:bookmarkEnd w:id="314"/>
      <w:bookmarkEnd w:id="315"/>
      <w:bookmarkEnd w:id="316"/>
      <w:bookmarkEnd w:id="317"/>
      <w:bookmarkEnd w:id="318"/>
      <w:bookmarkEnd w:id="31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7.7.1  招标人和中标人应当在中标通知书发出之日起 30日内，根据招标文件和中标人的投标文件订立书面合同。中标人无正当理由拒签合同，在签订合同时向招标人提出附加条件， 或者不按照招标文件要求提交履约保证金的，招标人有权取消其中标资格，其投标保证金不予退还；给招标人造成的损失超过投标保证金数额的， 中标人还应当对超过部分予以赔偿。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7.7.3 联合体中标的， 联合体各方应当共同与招标人签订合同， 就中标项目向招标人承担连带责任。</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0" w:name="_Toc296602461"/>
      <w:r>
        <w:rPr>
          <w:rFonts w:hint="eastAsia"/>
        </w:rPr>
        <w:t>8. 纪律和监督</w:t>
      </w:r>
      <w:bookmarkEnd w:id="32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179632593"/>
      <w:bookmarkStart w:id="322" w:name="_Toc246996962"/>
      <w:bookmarkStart w:id="323" w:name="_Toc152045575"/>
      <w:bookmarkStart w:id="324" w:name="_Toc246996219"/>
      <w:bookmarkStart w:id="325" w:name="_Toc247085733"/>
      <w:bookmarkStart w:id="326" w:name="_Toc152042351"/>
      <w:bookmarkStart w:id="327" w:name="_Toc296590983"/>
      <w:bookmarkStart w:id="328" w:name="_Toc144974543"/>
      <w:bookmarkStart w:id="329" w:name="_Toc296602462"/>
      <w:r>
        <w:rPr>
          <w:rFonts w:hint="eastAsia"/>
        </w:rPr>
        <w:t>8.1 对招标人的纪律要求</w:t>
      </w:r>
      <w:bookmarkEnd w:id="321"/>
      <w:bookmarkEnd w:id="322"/>
      <w:bookmarkEnd w:id="323"/>
      <w:bookmarkEnd w:id="324"/>
      <w:bookmarkEnd w:id="325"/>
      <w:bookmarkEnd w:id="326"/>
      <w:bookmarkEnd w:id="327"/>
      <w:bookmarkEnd w:id="328"/>
      <w:bookmarkEnd w:id="32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0" w:name="_Toc179632594"/>
      <w:bookmarkStart w:id="331" w:name="_Toc247085734"/>
      <w:bookmarkStart w:id="332" w:name="_Toc296602463"/>
      <w:bookmarkStart w:id="333" w:name="_Toc246996220"/>
      <w:bookmarkStart w:id="334" w:name="_Toc152045576"/>
      <w:bookmarkStart w:id="335" w:name="_Toc246996963"/>
      <w:bookmarkStart w:id="336" w:name="_Toc144974544"/>
      <w:bookmarkStart w:id="337" w:name="_Toc152042352"/>
      <w:r>
        <w:rPr>
          <w:rFonts w:hint="eastAsia"/>
        </w:rPr>
        <w:t>8.2 对投标人的纪律要求</w:t>
      </w:r>
      <w:bookmarkEnd w:id="330"/>
      <w:bookmarkEnd w:id="331"/>
      <w:bookmarkEnd w:id="332"/>
      <w:bookmarkEnd w:id="333"/>
      <w:bookmarkEnd w:id="334"/>
      <w:bookmarkEnd w:id="335"/>
      <w:bookmarkEnd w:id="336"/>
      <w:bookmarkEnd w:id="33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8" w:name="_Toc247085735"/>
      <w:bookmarkStart w:id="339" w:name="_Toc152045577"/>
      <w:bookmarkStart w:id="340" w:name="_Toc179632595"/>
      <w:bookmarkStart w:id="341" w:name="_Toc152042353"/>
      <w:bookmarkStart w:id="342" w:name="_Toc144974545"/>
      <w:bookmarkStart w:id="343" w:name="_Toc246996964"/>
      <w:bookmarkStart w:id="344" w:name="_Toc296602464"/>
      <w:bookmarkStart w:id="345" w:name="_Toc246996221"/>
      <w:r>
        <w:rPr>
          <w:rFonts w:hint="eastAsia"/>
        </w:rPr>
        <w:t>8.3 对评标委员会成员的纪律要求</w:t>
      </w:r>
      <w:bookmarkEnd w:id="338"/>
      <w:bookmarkEnd w:id="339"/>
      <w:bookmarkEnd w:id="340"/>
      <w:bookmarkEnd w:id="341"/>
      <w:bookmarkEnd w:id="342"/>
      <w:bookmarkEnd w:id="343"/>
      <w:bookmarkEnd w:id="344"/>
      <w:bookmarkEnd w:id="34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6" w:name="_Toc246996965"/>
      <w:bookmarkStart w:id="347" w:name="_Toc152042354"/>
      <w:bookmarkStart w:id="348" w:name="_Toc296602465"/>
      <w:bookmarkStart w:id="349" w:name="_Toc247085736"/>
      <w:bookmarkStart w:id="350" w:name="_Toc152045578"/>
      <w:bookmarkStart w:id="351" w:name="_Toc179632596"/>
      <w:bookmarkStart w:id="352" w:name="_Toc246996222"/>
      <w:bookmarkStart w:id="353" w:name="_Toc144974546"/>
      <w:r>
        <w:rPr>
          <w:rFonts w:hint="eastAsia"/>
        </w:rPr>
        <w:t>8.4 对与评标活动有关的工作人员的纪律要求</w:t>
      </w:r>
      <w:bookmarkEnd w:id="346"/>
      <w:bookmarkEnd w:id="347"/>
      <w:bookmarkEnd w:id="348"/>
      <w:bookmarkEnd w:id="349"/>
      <w:bookmarkEnd w:id="350"/>
      <w:bookmarkEnd w:id="351"/>
      <w:bookmarkEnd w:id="35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4"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4"/>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5" w:name="_Toc152042356"/>
      <w:bookmarkStart w:id="356" w:name="_Toc247085737"/>
      <w:bookmarkStart w:id="357" w:name="_Toc296602466"/>
      <w:bookmarkStart w:id="358" w:name="_Toc152045579"/>
      <w:bookmarkStart w:id="359" w:name="_Toc246996223"/>
      <w:bookmarkStart w:id="360" w:name="_Toc179632597"/>
      <w:bookmarkStart w:id="361" w:name="_Toc246996966"/>
      <w:r>
        <w:rPr>
          <w:rFonts w:hint="eastAsia"/>
        </w:rPr>
        <w:t>8.5 投诉</w:t>
      </w:r>
      <w:bookmarkEnd w:id="353"/>
      <w:bookmarkEnd w:id="355"/>
      <w:bookmarkEnd w:id="356"/>
      <w:bookmarkEnd w:id="357"/>
      <w:bookmarkEnd w:id="358"/>
      <w:bookmarkEnd w:id="359"/>
      <w:bookmarkEnd w:id="360"/>
      <w:bookmarkEnd w:id="36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2" w:name="_Toc296602468"/>
      <w:r>
        <w:rPr>
          <w:rFonts w:hint="eastAsia"/>
          <w:lang w:val="en-US" w:eastAsia="zh-CN"/>
        </w:rPr>
        <w:t>9</w:t>
      </w:r>
      <w:r>
        <w:rPr>
          <w:rFonts w:hint="eastAsia"/>
        </w:rPr>
        <w:t>．电子招标投标</w:t>
      </w:r>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采用电子招标投标，对投标文件的编制、密封和标记、递交、开标、评标等的具体要求，见投标人须知前附表。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246996967"/>
      <w:bookmarkStart w:id="364" w:name="_Toc179632598"/>
      <w:bookmarkStart w:id="365" w:name="_Toc144974547"/>
      <w:bookmarkStart w:id="366" w:name="_Toc296602467"/>
      <w:bookmarkStart w:id="367" w:name="_Toc247085738"/>
      <w:bookmarkStart w:id="368" w:name="_Toc246996224"/>
      <w:bookmarkStart w:id="369" w:name="_Toc152045580"/>
      <w:bookmarkStart w:id="370" w:name="_Toc152042357"/>
      <w:r>
        <w:rPr>
          <w:rFonts w:hint="eastAsia"/>
          <w:lang w:val="en-US" w:eastAsia="zh-CN"/>
        </w:rPr>
        <w:t>10</w:t>
      </w:r>
      <w:r>
        <w:rPr>
          <w:rFonts w:hint="eastAsia"/>
        </w:rPr>
        <w:t>.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（合理低价法）</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i w:val="0"/>
                <w:iCs w:val="0"/>
                <w:color w:val="auto"/>
                <w:kern w:val="0"/>
                <w:sz w:val="24"/>
                <w:szCs w:val="24"/>
                <w:highlight w:val="none"/>
                <w:u w:val="none"/>
              </w:rPr>
            </w:pPr>
            <w:permStart w:id="61" w:edGrp="everyone"/>
            <w:r>
              <w:rPr>
                <w:rFonts w:hint="default" w:ascii="Times New Roman" w:hAnsi="Times New Roman" w:cs="Times New Roman"/>
                <w:i w:val="0"/>
                <w:iCs w:val="0"/>
                <w:color w:val="auto"/>
                <w:kern w:val="0"/>
                <w:sz w:val="24"/>
                <w:szCs w:val="24"/>
                <w:highlight w:val="none"/>
                <w:u w:val="none"/>
                <w:lang w:val="en-US" w:eastAsia="zh-CN"/>
              </w:rPr>
              <w:t>以评审合格的投标人的投标报价为</w:t>
            </w:r>
            <w:r>
              <w:rPr>
                <w:rFonts w:hint="default" w:ascii="Times New Roman" w:hAnsi="Times New Roman" w:cs="Times New Roman" w:eastAsiaTheme="minorEastAsia"/>
                <w:i w:val="0"/>
                <w:iCs w:val="0"/>
                <w:color w:val="auto"/>
                <w:kern w:val="0"/>
                <w:sz w:val="24"/>
                <w:szCs w:val="24"/>
                <w:highlight w:val="none"/>
                <w:u w:val="none"/>
              </w:rPr>
              <w:t>有效报价：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i w:val="0"/>
                <w:iCs w:val="0"/>
                <w:color w:val="auto"/>
                <w:kern w:val="0"/>
                <w:sz w:val="24"/>
                <w:szCs w:val="24"/>
                <w:highlight w:val="none"/>
                <w:u w:val="none"/>
              </w:rPr>
            </w:pPr>
            <w:r>
              <w:rPr>
                <w:rFonts w:hint="default" w:ascii="Times New Roman" w:hAnsi="Times New Roman" w:cs="Times New Roman" w:eastAsiaTheme="minorEastAsia"/>
                <w:i w:val="0"/>
                <w:iCs w:val="0"/>
                <w:color w:val="auto"/>
                <w:kern w:val="0"/>
                <w:sz w:val="24"/>
                <w:szCs w:val="24"/>
                <w:highlight w:val="none"/>
                <w:u w:val="none"/>
              </w:rPr>
              <w:t>（</w:t>
            </w:r>
            <w:r>
              <w:rPr>
                <w:rFonts w:hint="default" w:ascii="Times New Roman" w:hAnsi="Times New Roman" w:cs="Times New Roman"/>
                <w:i w:val="0"/>
                <w:iCs w:val="0"/>
                <w:color w:val="auto"/>
                <w:kern w:val="0"/>
                <w:sz w:val="24"/>
                <w:szCs w:val="24"/>
                <w:highlight w:val="none"/>
                <w:u w:val="none"/>
                <w:lang w:val="en-US" w:eastAsia="zh-CN"/>
              </w:rPr>
              <w:t>1</w:t>
            </w:r>
            <w:r>
              <w:rPr>
                <w:rFonts w:hint="default" w:ascii="Times New Roman" w:hAnsi="Times New Roman" w:cs="Times New Roman" w:eastAsiaTheme="minorEastAsia"/>
                <w:i w:val="0"/>
                <w:iCs w:val="0"/>
                <w:color w:val="auto"/>
                <w:kern w:val="0"/>
                <w:sz w:val="24"/>
                <w:szCs w:val="24"/>
                <w:highlight w:val="none"/>
                <w:u w:val="none"/>
              </w:rPr>
              <w:t>）有效报价为1</w:t>
            </w:r>
            <w:r>
              <w:rPr>
                <w:rFonts w:hint="default" w:ascii="Times New Roman" w:hAnsi="Times New Roman" w:cs="Times New Roman"/>
                <w:i w:val="0"/>
                <w:iCs w:val="0"/>
                <w:color w:val="auto"/>
                <w:kern w:val="0"/>
                <w:sz w:val="24"/>
                <w:szCs w:val="24"/>
                <w:highlight w:val="none"/>
                <w:u w:val="none"/>
                <w:lang w:val="en-US" w:eastAsia="zh-CN"/>
              </w:rPr>
              <w:t>0</w:t>
            </w:r>
            <w:r>
              <w:rPr>
                <w:rFonts w:hint="default" w:ascii="Times New Roman" w:hAnsi="Times New Roman" w:cs="Times New Roman" w:eastAsiaTheme="minorEastAsia"/>
                <w:i w:val="0"/>
                <w:iCs w:val="0"/>
                <w:color w:val="auto"/>
                <w:kern w:val="0"/>
                <w:sz w:val="24"/>
                <w:szCs w:val="24"/>
                <w:highlight w:val="none"/>
                <w:u w:val="none"/>
              </w:rPr>
              <w:t>家</w:t>
            </w:r>
            <w:r>
              <w:rPr>
                <w:rFonts w:hint="default" w:ascii="Times New Roman" w:hAnsi="Times New Roman" w:cs="Times New Roman"/>
                <w:i w:val="0"/>
                <w:iCs w:val="0"/>
                <w:color w:val="auto"/>
                <w:kern w:val="0"/>
                <w:sz w:val="24"/>
                <w:szCs w:val="24"/>
                <w:highlight w:val="none"/>
                <w:u w:val="none"/>
                <w:lang w:val="en-US" w:eastAsia="zh-CN"/>
              </w:rPr>
              <w:t>及以上</w:t>
            </w:r>
            <w:r>
              <w:rPr>
                <w:rFonts w:hint="default" w:ascii="Times New Roman" w:hAnsi="Times New Roman" w:cs="Times New Roman" w:eastAsiaTheme="minorEastAsia"/>
                <w:i w:val="0"/>
                <w:iCs w:val="0"/>
                <w:color w:val="auto"/>
                <w:kern w:val="0"/>
                <w:sz w:val="24"/>
                <w:szCs w:val="24"/>
                <w:highlight w:val="none"/>
                <w:u w:val="none"/>
              </w:rPr>
              <w:t>时，去掉2个最高价和2个最低价，取余下投标人的</w:t>
            </w:r>
            <w:r>
              <w:rPr>
                <w:rFonts w:hint="default" w:ascii="Times New Roman" w:hAnsi="Times New Roman" w:cs="Times New Roman"/>
                <w:i w:val="0"/>
                <w:iCs w:val="0"/>
                <w:color w:val="auto"/>
                <w:kern w:val="0"/>
                <w:sz w:val="24"/>
                <w:szCs w:val="24"/>
                <w:highlight w:val="none"/>
                <w:u w:val="none"/>
                <w:lang w:val="en-US" w:eastAsia="zh-CN"/>
              </w:rPr>
              <w:t>报价算术平均值，现场抽取随机值a（2%、2.5%、3%、3.5%、4%），以算术平均值乘以（1-a）作为评标基准价；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rPr>
              <w:t>（</w:t>
            </w:r>
            <w:r>
              <w:rPr>
                <w:rFonts w:hint="default" w:ascii="Times New Roman" w:hAnsi="Times New Roman" w:cs="Times New Roman"/>
                <w:i w:val="0"/>
                <w:iCs w:val="0"/>
                <w:color w:val="auto"/>
                <w:kern w:val="0"/>
                <w:sz w:val="24"/>
                <w:szCs w:val="24"/>
                <w:highlight w:val="none"/>
                <w:u w:val="none"/>
                <w:lang w:val="en-US" w:eastAsia="zh-CN"/>
              </w:rPr>
              <w:t>2</w:t>
            </w:r>
            <w:r>
              <w:rPr>
                <w:rFonts w:hint="default" w:ascii="Times New Roman" w:hAnsi="Times New Roman" w:cs="Times New Roman" w:eastAsiaTheme="minorEastAsia"/>
                <w:i w:val="0"/>
                <w:iCs w:val="0"/>
                <w:color w:val="auto"/>
                <w:kern w:val="0"/>
                <w:sz w:val="24"/>
                <w:szCs w:val="24"/>
                <w:highlight w:val="none"/>
                <w:u w:val="none"/>
              </w:rPr>
              <w:t>）有效报价为</w:t>
            </w:r>
            <w:r>
              <w:rPr>
                <w:rFonts w:hint="default" w:ascii="Times New Roman" w:hAnsi="Times New Roman" w:cs="Times New Roman"/>
                <w:i w:val="0"/>
                <w:iCs w:val="0"/>
                <w:color w:val="auto"/>
                <w:kern w:val="0"/>
                <w:sz w:val="24"/>
                <w:szCs w:val="24"/>
                <w:highlight w:val="none"/>
                <w:u w:val="none"/>
                <w:lang w:val="en-US" w:eastAsia="zh-CN"/>
              </w:rPr>
              <w:t>6</w:t>
            </w:r>
            <w:r>
              <w:rPr>
                <w:rFonts w:hint="default" w:ascii="Times New Roman" w:hAnsi="Times New Roman" w:cs="Times New Roman" w:eastAsiaTheme="minorEastAsia"/>
                <w:i w:val="0"/>
                <w:iCs w:val="0"/>
                <w:color w:val="auto"/>
                <w:kern w:val="0"/>
                <w:sz w:val="24"/>
                <w:szCs w:val="24"/>
                <w:highlight w:val="none"/>
                <w:u w:val="none"/>
              </w:rPr>
              <w:t>（含）家至 10（</w:t>
            </w:r>
            <w:r>
              <w:rPr>
                <w:rFonts w:hint="default" w:ascii="Times New Roman" w:hAnsi="Times New Roman" w:cs="Times New Roman"/>
                <w:i w:val="0"/>
                <w:iCs w:val="0"/>
                <w:color w:val="auto"/>
                <w:kern w:val="0"/>
                <w:sz w:val="24"/>
                <w:szCs w:val="24"/>
                <w:highlight w:val="none"/>
                <w:u w:val="none"/>
                <w:lang w:val="en-US" w:eastAsia="zh-CN"/>
              </w:rPr>
              <w:t>不</w:t>
            </w:r>
            <w:r>
              <w:rPr>
                <w:rFonts w:hint="default" w:ascii="Times New Roman" w:hAnsi="Times New Roman" w:cs="Times New Roman" w:eastAsiaTheme="minorEastAsia"/>
                <w:i w:val="0"/>
                <w:iCs w:val="0"/>
                <w:color w:val="auto"/>
                <w:kern w:val="0"/>
                <w:sz w:val="24"/>
                <w:szCs w:val="24"/>
                <w:highlight w:val="none"/>
                <w:u w:val="none"/>
              </w:rPr>
              <w:t>含）家时，去掉1个最高价和1个最低价，取余下投标人的</w:t>
            </w:r>
            <w:r>
              <w:rPr>
                <w:rFonts w:hint="default" w:ascii="Times New Roman" w:hAnsi="Times New Roman" w:cs="Times New Roman"/>
                <w:i w:val="0"/>
                <w:iCs w:val="0"/>
                <w:color w:val="auto"/>
                <w:kern w:val="0"/>
                <w:sz w:val="24"/>
                <w:szCs w:val="24"/>
                <w:highlight w:val="none"/>
                <w:u w:val="none"/>
                <w:lang w:val="en-US" w:eastAsia="zh-CN"/>
              </w:rPr>
              <w:t>报价</w:t>
            </w:r>
            <w:r>
              <w:rPr>
                <w:rFonts w:hint="default" w:ascii="Times New Roman" w:hAnsi="Times New Roman" w:cs="Times New Roman" w:eastAsiaTheme="minorEastAsia"/>
                <w:i w:val="0"/>
                <w:iCs w:val="0"/>
                <w:color w:val="auto"/>
                <w:kern w:val="0"/>
                <w:sz w:val="24"/>
                <w:szCs w:val="24"/>
                <w:highlight w:val="none"/>
                <w:u w:val="none"/>
              </w:rPr>
              <w:t>进行</w:t>
            </w:r>
            <w:r>
              <w:rPr>
                <w:rFonts w:hint="default" w:ascii="Times New Roman" w:hAnsi="Times New Roman" w:cs="Times New Roman"/>
                <w:i w:val="0"/>
                <w:iCs w:val="0"/>
                <w:color w:val="auto"/>
                <w:kern w:val="0"/>
                <w:sz w:val="24"/>
                <w:szCs w:val="24"/>
                <w:highlight w:val="none"/>
                <w:u w:val="none"/>
                <w:lang w:val="en-US" w:eastAsia="zh-CN"/>
              </w:rPr>
              <w:t>算术平均值，现场抽取随机值a（2%、2.5%、3%、3.5%、4%），以算术平均值乘以（1-a）作为评标基准价；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i w:val="0"/>
                <w:iCs w:val="0"/>
                <w:color w:val="auto"/>
                <w:kern w:val="0"/>
                <w:sz w:val="24"/>
                <w:szCs w:val="24"/>
                <w:highlight w:val="none"/>
                <w:u w:val="none"/>
              </w:rPr>
            </w:pPr>
            <w:r>
              <w:rPr>
                <w:rFonts w:hint="default" w:ascii="Times New Roman" w:hAnsi="Times New Roman" w:cs="Times New Roman" w:eastAsiaTheme="minorEastAsia"/>
                <w:i w:val="0"/>
                <w:iCs w:val="0"/>
                <w:color w:val="auto"/>
                <w:kern w:val="0"/>
                <w:sz w:val="24"/>
                <w:szCs w:val="24"/>
                <w:highlight w:val="none"/>
                <w:u w:val="none"/>
              </w:rPr>
              <w:t>（</w:t>
            </w:r>
            <w:r>
              <w:rPr>
                <w:rFonts w:hint="default" w:ascii="Times New Roman" w:hAnsi="Times New Roman" w:cs="Times New Roman"/>
                <w:i w:val="0"/>
                <w:iCs w:val="0"/>
                <w:color w:val="auto"/>
                <w:kern w:val="0"/>
                <w:sz w:val="24"/>
                <w:szCs w:val="24"/>
                <w:highlight w:val="none"/>
                <w:u w:val="none"/>
                <w:lang w:val="en-US" w:eastAsia="zh-CN"/>
              </w:rPr>
              <w:t>3</w:t>
            </w:r>
            <w:r>
              <w:rPr>
                <w:rFonts w:hint="default" w:ascii="Times New Roman" w:hAnsi="Times New Roman" w:cs="Times New Roman" w:eastAsiaTheme="minorEastAsia"/>
                <w:i w:val="0"/>
                <w:iCs w:val="0"/>
                <w:color w:val="auto"/>
                <w:kern w:val="0"/>
                <w:sz w:val="24"/>
                <w:szCs w:val="24"/>
                <w:highlight w:val="none"/>
                <w:u w:val="none"/>
              </w:rPr>
              <w:t>）有效报价在</w:t>
            </w:r>
            <w:r>
              <w:rPr>
                <w:rFonts w:hint="default" w:ascii="Times New Roman" w:hAnsi="Times New Roman" w:cs="Times New Roman"/>
                <w:i w:val="0"/>
                <w:iCs w:val="0"/>
                <w:color w:val="auto"/>
                <w:kern w:val="0"/>
                <w:sz w:val="24"/>
                <w:szCs w:val="24"/>
                <w:highlight w:val="none"/>
                <w:u w:val="none"/>
                <w:lang w:val="en-US" w:eastAsia="zh-CN"/>
              </w:rPr>
              <w:t>6</w:t>
            </w:r>
            <w:r>
              <w:rPr>
                <w:rFonts w:hint="default" w:ascii="Times New Roman" w:hAnsi="Times New Roman" w:cs="Times New Roman" w:eastAsiaTheme="minorEastAsia"/>
                <w:i w:val="0"/>
                <w:iCs w:val="0"/>
                <w:color w:val="auto"/>
                <w:kern w:val="0"/>
                <w:sz w:val="24"/>
                <w:szCs w:val="24"/>
                <w:highlight w:val="none"/>
                <w:u w:val="none"/>
              </w:rPr>
              <w:t>家以下时，取所有投标人的</w:t>
            </w:r>
            <w:r>
              <w:rPr>
                <w:rFonts w:hint="default" w:ascii="Times New Roman" w:hAnsi="Times New Roman" w:cs="Times New Roman"/>
                <w:i w:val="0"/>
                <w:iCs w:val="0"/>
                <w:color w:val="auto"/>
                <w:kern w:val="0"/>
                <w:sz w:val="24"/>
                <w:szCs w:val="24"/>
                <w:highlight w:val="none"/>
                <w:u w:val="none"/>
                <w:lang w:val="en-US" w:eastAsia="zh-CN"/>
              </w:rPr>
              <w:t>报价</w:t>
            </w:r>
            <w:r>
              <w:rPr>
                <w:rFonts w:hint="default" w:ascii="Times New Roman" w:hAnsi="Times New Roman" w:cs="Times New Roman" w:eastAsiaTheme="minorEastAsia"/>
                <w:i w:val="0"/>
                <w:iCs w:val="0"/>
                <w:color w:val="auto"/>
                <w:kern w:val="0"/>
                <w:sz w:val="24"/>
                <w:szCs w:val="24"/>
                <w:highlight w:val="none"/>
                <w:u w:val="none"/>
              </w:rPr>
              <w:t>进行</w:t>
            </w:r>
            <w:r>
              <w:rPr>
                <w:rFonts w:hint="default" w:ascii="Times New Roman" w:hAnsi="Times New Roman" w:cs="Times New Roman"/>
                <w:i w:val="0"/>
                <w:iCs w:val="0"/>
                <w:color w:val="auto"/>
                <w:kern w:val="0"/>
                <w:sz w:val="24"/>
                <w:szCs w:val="24"/>
                <w:highlight w:val="none"/>
                <w:u w:val="none"/>
                <w:lang w:val="en-US" w:eastAsia="zh-CN"/>
              </w:rPr>
              <w:t>算术平均值，现场抽取随机值a（2%、2.5%、3%、3.5%、4%），以算术平均值乘以（1-a）作为评标基准价；</w:t>
            </w:r>
          </w:p>
          <w:p>
            <w:pPr>
              <w:wordWrap w:val="0"/>
              <w:spacing w:line="440" w:lineRule="exact"/>
              <w:ind w:firstLine="480" w:firstLineChars="200"/>
              <w:rPr>
                <w:rFonts w:hint="default" w:ascii="Times New Roman" w:hAnsi="Times New Roman" w:cs="Times New Roman" w:eastAsiaTheme="minorEastAsia"/>
                <w:i w:val="0"/>
                <w:iCs w:val="0"/>
                <w:color w:val="auto"/>
                <w:kern w:val="0"/>
                <w:sz w:val="24"/>
                <w:szCs w:val="24"/>
                <w:highlight w:val="none"/>
                <w:u w:val="none"/>
                <w:lang w:eastAsia="zh-CN"/>
              </w:rPr>
            </w:pPr>
            <w:r>
              <w:rPr>
                <w:rFonts w:hint="default" w:ascii="Times New Roman" w:hAnsi="Times New Roman" w:cs="Times New Roman" w:eastAsiaTheme="minorEastAsia"/>
                <w:i w:val="0"/>
                <w:iCs w:val="0"/>
                <w:color w:val="auto"/>
                <w:kern w:val="0"/>
                <w:sz w:val="24"/>
                <w:szCs w:val="24"/>
                <w:highlight w:val="none"/>
                <w:u w:val="none"/>
              </w:rPr>
              <w:t>取所有纳入评标基准价计算的投标报价与评标基准价相减，其差值绝对值最小的为第一名，次小的为第二名……以此类推</w:t>
            </w:r>
            <w:r>
              <w:rPr>
                <w:rFonts w:hint="default" w:ascii="Times New Roman" w:hAnsi="Times New Roman" w:cs="Times New Roman" w:eastAsiaTheme="minorEastAsia"/>
                <w:i w:val="0"/>
                <w:iCs w:val="0"/>
                <w:color w:val="auto"/>
                <w:kern w:val="0"/>
                <w:sz w:val="24"/>
                <w:szCs w:val="24"/>
                <w:highlight w:val="none"/>
                <w:u w:val="none"/>
                <w:lang w:eastAsia="zh-CN"/>
              </w:rPr>
              <w:t>；</w:t>
            </w:r>
            <w:r>
              <w:rPr>
                <w:rFonts w:hint="default" w:ascii="Times New Roman" w:hAnsi="Times New Roman" w:cs="Times New Roman" w:eastAsiaTheme="minorEastAsia"/>
                <w:i w:val="0"/>
                <w:iCs w:val="0"/>
                <w:color w:val="auto"/>
                <w:kern w:val="0"/>
                <w:sz w:val="24"/>
                <w:szCs w:val="24"/>
                <w:highlight w:val="none"/>
                <w:u w:val="none"/>
                <w:lang w:val="en-US" w:eastAsia="zh-CN"/>
              </w:rPr>
              <w:t>差值绝对值相同的，以投标报价低的优先；投标报价也相同的，由招标人或其授权的评标委员会自行确定排序（一般宜采用投票制）</w:t>
            </w:r>
            <w:r>
              <w:rPr>
                <w:rFonts w:hint="default" w:ascii="Times New Roman" w:hAnsi="Times New Roman" w:cs="Times New Roman" w:eastAsiaTheme="minorEastAsia"/>
                <w:i w:val="0"/>
                <w:iCs w:val="0"/>
                <w:color w:val="auto"/>
                <w:kern w:val="0"/>
                <w:sz w:val="24"/>
                <w:szCs w:val="24"/>
                <w:highlight w:val="none"/>
                <w:u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u w:val="none"/>
              </w:rPr>
              <w:t>（说明：去掉1个或 2个最高价，是指按照有效报价排序，从排序最高的有效报价依次去掉；去掉1个或2个最低价，是指按照有效报价排序，从排序最低的有效报价依次去掉。）</w:t>
            </w:r>
            <w:permEnd w:id="61"/>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2"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67" w:edGrp="everyone"/>
            <w:r>
              <w:rPr>
                <w:rFonts w:hint="eastAsia" w:ascii="Times New Roman" w:hAnsi="Times New Roman" w:cs="Times New Roman"/>
                <w:kern w:val="0"/>
                <w:sz w:val="24"/>
                <w:szCs w:val="24"/>
                <w:highlight w:val="none"/>
                <w:lang w:val="en-US" w:eastAsia="zh-CN"/>
              </w:rPr>
              <w:t>符合第二章“投标人须知”第1.4.1项规定</w:t>
            </w:r>
            <w:permEnd w:id="67"/>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6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6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7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71"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7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7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7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7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7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7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permEnd w:id="7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8"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发包人要求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permEnd w:id="78"/>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71" w:name="_Toc152042366"/>
      <w:bookmarkStart w:id="372" w:name="_Toc152045589"/>
      <w:bookmarkStart w:id="373" w:name="_Toc246996975"/>
      <w:bookmarkStart w:id="374" w:name="_Toc247085747"/>
      <w:bookmarkStart w:id="375" w:name="_Toc179632607"/>
      <w:bookmarkStart w:id="376" w:name="_Toc246996232"/>
      <w:bookmarkStart w:id="377" w:name="_Toc296602477"/>
      <w:bookmarkStart w:id="378" w:name="_Toc144974556"/>
    </w:p>
    <w:p>
      <w:pPr>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合理低价法。评标委员会对满足招标文件实质要求的投标文件，</w:t>
      </w:r>
      <w:r>
        <w:rPr>
          <w:rFonts w:hint="eastAsia" w:ascii="Times New Roman" w:hAnsi="Times New Roman" w:cs="Times New Roman" w:eastAsiaTheme="minorEastAsia"/>
          <w:kern w:val="0"/>
          <w:sz w:val="24"/>
          <w:szCs w:val="24"/>
          <w:highlight w:val="none"/>
          <w:lang w:val="en-US" w:eastAsia="zh-CN"/>
        </w:rPr>
        <w:t>按照本章</w:t>
      </w:r>
      <w:r>
        <w:rPr>
          <w:rFonts w:hint="eastAsia" w:ascii="Times New Roman" w:hAnsi="Times New Roman" w:cs="Times New Roman"/>
          <w:kern w:val="0"/>
          <w:sz w:val="24"/>
          <w:szCs w:val="24"/>
          <w:highlight w:val="none"/>
          <w:lang w:val="en-US" w:eastAsia="zh-CN"/>
        </w:rPr>
        <w:t>“</w:t>
      </w:r>
      <w:r>
        <w:rPr>
          <w:rFonts w:hint="eastAsia" w:ascii="Times New Roman" w:hAnsi="Times New Roman" w:cs="Times New Roman" w:eastAsiaTheme="minorEastAsia"/>
          <w:kern w:val="0"/>
          <w:sz w:val="24"/>
          <w:szCs w:val="24"/>
          <w:highlight w:val="none"/>
          <w:lang w:val="en-US" w:eastAsia="zh-CN"/>
        </w:rPr>
        <w:t>评标办法前附表</w:t>
      </w:r>
      <w:r>
        <w:rPr>
          <w:rFonts w:hint="eastAsia" w:ascii="Times New Roman" w:hAnsi="Times New Roman" w:cs="Times New Roman"/>
          <w:kern w:val="0"/>
          <w:sz w:val="24"/>
          <w:szCs w:val="24"/>
          <w:highlight w:val="none"/>
          <w:lang w:val="en-US" w:eastAsia="zh-CN"/>
        </w:rPr>
        <w:t>”中的评标办法</w:t>
      </w:r>
      <w:r>
        <w:rPr>
          <w:rFonts w:hint="eastAsia" w:ascii="Times New Roman" w:hAnsi="Times New Roman" w:cs="Times New Roman" w:eastAsiaTheme="minorEastAsia"/>
          <w:kern w:val="0"/>
          <w:sz w:val="24"/>
          <w:szCs w:val="24"/>
          <w:highlight w:val="none"/>
          <w:lang w:val="en-US" w:eastAsia="zh-CN"/>
        </w:rPr>
        <w:t>推荐中标候选人</w:t>
      </w:r>
      <w:r>
        <w:rPr>
          <w:rFonts w:hint="eastAsia" w:ascii="Times New Roman" w:hAnsi="Times New Roman" w:cs="Times New Roman"/>
          <w:kern w:val="0"/>
          <w:sz w:val="24"/>
          <w:szCs w:val="24"/>
          <w:highlight w:val="none"/>
          <w:lang w:val="en-US" w:eastAsia="zh-CN"/>
        </w:rPr>
        <w:t>，或根据招标人授权直接确定中标人，但投标报价低于其成本的除外。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topLinePunct/>
        <w:spacing w:line="460" w:lineRule="atLeast"/>
        <w:jc w:val="center"/>
        <w:rPr>
          <w:rFonts w:hint="eastAsia" w:ascii="微软雅黑" w:hAnsi="微软雅黑" w:eastAsia="微软雅黑" w:cs="微软雅黑"/>
          <w:b/>
          <w:color w:val="auto"/>
          <w:kern w:val="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eastAsiaTheme="minorEastAsia"/>
                <w:kern w:val="0"/>
                <w:sz w:val="24"/>
                <w:szCs w:val="24"/>
                <w:highlight w:val="none"/>
                <w:shd w:val="clear" w:color="auto" w:fill="auto"/>
                <w:lang w:eastAsia="zh-CN" w:bidi="ar"/>
              </w:rPr>
              <w:t>亳州通恒置业有限公司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lang w:val="en-US" w:eastAsia="zh-CN"/>
              </w:rPr>
            </w:pPr>
            <w:r>
              <w:rPr>
                <w:rFonts w:hint="default" w:ascii="Times New Roman" w:hAnsi="Times New Roman" w:cs="Times New Roman"/>
                <w:kern w:val="0"/>
                <w:sz w:val="24"/>
                <w:szCs w:val="24"/>
                <w:highlight w:val="none"/>
                <w:shd w:val="clear" w:color="auto" w:fill="auto"/>
                <w:lang w:val="en-US" w:eastAsia="zh-CN"/>
              </w:rPr>
              <w:t>本工程分为两个施工标段，项目无预付款。一标段桩基施工完成，提供所有试桩/工程桩正式检测报告后15天内，招标人向中标人支付该标段检测费用的70%，一标段全部桩基验收合格后，招标人向中标人支付至该标段检测费用的100%。二标段付款方式同一标段。付款前中标人需向招标人提供等额增值税专用发票。</w:t>
            </w:r>
            <w:r>
              <w:rPr>
                <w:rFonts w:hint="default" w:ascii="Times New Roman" w:hAnsi="Times New Roman" w:cs="Times New Roman"/>
                <w:b/>
                <w:bCs/>
                <w:kern w:val="0"/>
                <w:sz w:val="24"/>
                <w:szCs w:val="24"/>
                <w:highlight w:val="none"/>
                <w:shd w:val="clear" w:color="auto" w:fill="auto"/>
                <w:lang w:val="en-US" w:eastAsia="zh-CN"/>
              </w:rPr>
              <w:t>最终结算价款以现场实际完成检测数量为准，据实进行结算。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lang w:val="en-US" w:eastAsia="zh-CN"/>
              </w:rPr>
            </w:pPr>
            <w:permStart w:id="79" w:edGrp="everyone"/>
            <w:r>
              <w:rPr>
                <w:rFonts w:hint="default" w:ascii="Times New Roman" w:hAnsi="Times New Roman" w:cs="Times New Roman" w:eastAsiaTheme="minorEastAsia"/>
                <w:kern w:val="0"/>
                <w:sz w:val="24"/>
                <w:szCs w:val="24"/>
                <w:highlight w:val="none"/>
                <w:shd w:val="clear" w:color="auto" w:fill="auto"/>
                <w:lang w:val="en-US" w:eastAsia="zh-CN"/>
              </w:rPr>
              <w:t>试桩检测7天，工程桩</w:t>
            </w:r>
            <w:r>
              <w:rPr>
                <w:rFonts w:hint="default" w:ascii="Times New Roman" w:hAnsi="Times New Roman" w:cs="Times New Roman"/>
                <w:kern w:val="0"/>
                <w:sz w:val="24"/>
                <w:szCs w:val="24"/>
                <w:highlight w:val="none"/>
                <w:shd w:val="clear" w:color="auto" w:fill="auto"/>
                <w:lang w:val="en-US" w:eastAsia="zh-CN"/>
              </w:rPr>
              <w:t>检测7</w:t>
            </w:r>
            <w:r>
              <w:rPr>
                <w:rFonts w:hint="default" w:ascii="Times New Roman" w:hAnsi="Times New Roman" w:cs="Times New Roman" w:eastAsiaTheme="minorEastAsia"/>
                <w:kern w:val="0"/>
                <w:sz w:val="24"/>
                <w:szCs w:val="24"/>
                <w:highlight w:val="none"/>
                <w:shd w:val="clear" w:color="auto" w:fill="auto"/>
                <w:lang w:val="en-US" w:eastAsia="zh-CN"/>
              </w:rPr>
              <w:t>天</w:t>
            </w:r>
            <w:r>
              <w:rPr>
                <w:rFonts w:hint="default" w:ascii="Times New Roman" w:hAnsi="Times New Roman" w:cs="Times New Roman"/>
                <w:kern w:val="0"/>
                <w:sz w:val="24"/>
                <w:szCs w:val="24"/>
                <w:highlight w:val="none"/>
                <w:shd w:val="clear" w:color="auto" w:fill="auto"/>
                <w:lang w:val="en-US" w:eastAsia="zh-CN"/>
              </w:rPr>
              <w:t>一栋楼；分阶段实施，具体以现场工程部要求为主。</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shd w:val="clear" w:color="auto" w:fill="auto"/>
                <w:lang w:val="en-US" w:eastAsia="zh-CN"/>
              </w:rPr>
            </w:pPr>
            <w:r>
              <w:rPr>
                <w:rFonts w:hint="default" w:ascii="Times New Roman" w:hAnsi="Times New Roman" w:cs="Times New Roman" w:eastAsiaTheme="minorEastAsia"/>
                <w:kern w:val="0"/>
                <w:sz w:val="24"/>
                <w:szCs w:val="24"/>
                <w:highlight w:val="none"/>
                <w:shd w:val="clear" w:color="auto" w:fill="auto"/>
                <w:lang w:val="en-US" w:eastAsia="zh-CN"/>
              </w:rPr>
              <w:t>抗拔桩工程桩单桩抗拔承载力暂按试桩要求及说明信息报价，后期按设计确定承载力比值予以调整。竖向承载力及桩身完整性检测按单价据实结算；考虑工期要求检测设备及人员不低于</w:t>
            </w:r>
            <w:r>
              <w:rPr>
                <w:rFonts w:hint="default" w:ascii="Times New Roman" w:hAnsi="Times New Roman" w:cs="Times New Roman"/>
                <w:kern w:val="0"/>
                <w:sz w:val="24"/>
                <w:szCs w:val="24"/>
                <w:highlight w:val="none"/>
                <w:shd w:val="clear" w:color="auto" w:fill="auto"/>
                <w:lang w:val="en-US" w:eastAsia="zh-CN"/>
              </w:rPr>
              <w:t>3</w:t>
            </w:r>
            <w:r>
              <w:rPr>
                <w:rFonts w:hint="default" w:ascii="Times New Roman" w:hAnsi="Times New Roman" w:cs="Times New Roman" w:eastAsiaTheme="minorEastAsia"/>
                <w:kern w:val="0"/>
                <w:sz w:val="24"/>
                <w:szCs w:val="24"/>
                <w:highlight w:val="none"/>
                <w:shd w:val="clear" w:color="auto" w:fill="auto"/>
                <w:lang w:val="en-US" w:eastAsia="zh-CN"/>
              </w:rPr>
              <w:t>套</w:t>
            </w:r>
            <w:r>
              <w:rPr>
                <w:rFonts w:hint="default" w:ascii="Times New Roman" w:hAnsi="Times New Roman" w:cs="Times New Roman"/>
                <w:kern w:val="0"/>
                <w:sz w:val="24"/>
                <w:szCs w:val="24"/>
                <w:highlight w:val="none"/>
                <w:shd w:val="clear" w:color="auto" w:fill="auto"/>
                <w:lang w:val="en-US" w:eastAsia="zh-CN"/>
              </w:rPr>
              <w:t>，最终工程量按照现场实际工程量结算</w:t>
            </w:r>
            <w:r>
              <w:rPr>
                <w:rFonts w:hint="default" w:ascii="Times New Roman" w:hAnsi="Times New Roman" w:cs="Times New Roman" w:eastAsiaTheme="minorEastAsia"/>
                <w:kern w:val="0"/>
                <w:sz w:val="24"/>
                <w:szCs w:val="24"/>
                <w:highlight w:val="none"/>
                <w:shd w:val="clear" w:color="auto" w:fill="auto"/>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shd w:val="clear" w:color="auto" w:fill="auto"/>
                <w:lang w:val="en-US" w:eastAsia="zh-CN"/>
              </w:rPr>
            </w:pPr>
            <w:r>
              <w:rPr>
                <w:rFonts w:hint="default" w:ascii="Times New Roman" w:hAnsi="Times New Roman" w:cs="Times New Roman"/>
                <w:kern w:val="0"/>
                <w:sz w:val="24"/>
                <w:szCs w:val="24"/>
                <w:highlight w:val="none"/>
                <w:shd w:val="clear" w:color="auto" w:fill="auto"/>
                <w:lang w:val="en-US" w:eastAsia="zh-CN"/>
              </w:rPr>
              <w:t>满足亳州市质量主管部门要求，检测报告须得到亳州市质量主管部门的认可</w:t>
            </w:r>
            <w:r>
              <w:rPr>
                <w:rFonts w:hint="eastAsia" w:ascii="Times New Roman" w:hAnsi="Times New Roman" w:cs="Times New Roman"/>
                <w:kern w:val="0"/>
                <w:sz w:val="24"/>
                <w:szCs w:val="24"/>
                <w:highlight w:val="none"/>
                <w:shd w:val="clear" w:color="auto" w:fill="auto"/>
                <w:lang w:val="en-US" w:eastAsia="zh-CN"/>
              </w:rPr>
              <w:t>。</w:t>
            </w:r>
            <w:permEnd w:id="79"/>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371"/>
      <w:bookmarkEnd w:id="372"/>
      <w:bookmarkEnd w:id="373"/>
      <w:bookmarkEnd w:id="374"/>
      <w:bookmarkEnd w:id="375"/>
      <w:bookmarkEnd w:id="376"/>
      <w:bookmarkEnd w:id="377"/>
      <w:bookmarkEnd w:id="378"/>
      <w:r>
        <w:rPr>
          <w:rFonts w:hint="eastAsia" w:asciiTheme="majorEastAsia" w:hAnsiTheme="majorEastAsia" w:eastAsiaTheme="majorEastAsia" w:cstheme="majorEastAsia"/>
          <w:b/>
          <w:bCs/>
          <w:sz w:val="32"/>
          <w:szCs w:val="32"/>
          <w:highlight w:val="none"/>
          <w:lang w:val="en-US" w:eastAsia="zh-CN"/>
        </w:rPr>
        <w:t>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ermStart w:id="80" w:edGrp="everyone"/>
      <w:r>
        <w:rPr>
          <w:rFonts w:hint="eastAsia" w:ascii="Times New Roman" w:hAnsi="Times New Roman" w:cs="Times New Roman"/>
          <w:kern w:val="0"/>
          <w:sz w:val="24"/>
          <w:szCs w:val="24"/>
          <w:highlight w:val="none"/>
          <w:lang w:val="en-US" w:eastAsia="zh-CN"/>
        </w:rPr>
        <w:t>发包人应当根据项目情况在本章中明确相应的要求，包括但不限于以下内容以下内容：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1.项目概况：亳州逸合府项目售楼部位于亳州市谯城经济技术产业开发区华佗大道与利辛路交叉口，</w:t>
      </w:r>
      <w:r>
        <w:rPr>
          <w:rFonts w:hint="default" w:ascii="Times New Roman" w:hAnsi="Times New Roman" w:cs="Times New Roman"/>
          <w:kern w:val="0"/>
          <w:sz w:val="24"/>
          <w:szCs w:val="24"/>
          <w:highlight w:val="none"/>
          <w:lang w:val="en-US" w:eastAsia="zh-CN"/>
        </w:rPr>
        <w:t>本</w:t>
      </w:r>
      <w:r>
        <w:rPr>
          <w:rFonts w:hint="eastAsia" w:ascii="Times New Roman" w:hAnsi="Times New Roman" w:cs="Times New Roman"/>
          <w:kern w:val="0"/>
          <w:sz w:val="24"/>
          <w:szCs w:val="24"/>
          <w:highlight w:val="none"/>
          <w:lang w:val="en-US" w:eastAsia="zh-CN"/>
        </w:rPr>
        <w:t>项目总用地面积134680.30平方米，总建筑面积362853.30平方米。</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服务范围及内容：桩基检测项目：抗拔桩共计1797根，其中试桩检测6根，按照施工图纸要求进行单桩抗拔承载力检测33根，低应变检测539根；CFG桩共计6017根，其中试桩检测6根，按照施工图纸要求进行复合地基静载试验75根和单桩静载试验75根，低应变检测1806根并出具检测报告。备注：抗拔桩工程桩单桩抗拔承载力暂按试桩要求及说明信息报价，后期按设计确定承载力比值予以调整。竖向承载力及桩身完整性检测按单价据实结算；</w:t>
      </w:r>
      <w:r>
        <w:rPr>
          <w:rFonts w:hint="eastAsia" w:ascii="Times New Roman" w:hAnsi="Times New Roman" w:cs="Times New Roman"/>
          <w:b/>
          <w:bCs/>
          <w:kern w:val="0"/>
          <w:sz w:val="24"/>
          <w:szCs w:val="24"/>
          <w:highlight w:val="none"/>
          <w:lang w:val="en-US" w:eastAsia="zh-CN"/>
        </w:rPr>
        <w:t>考虑工期要求，中标单位应当在本项目施工现场配置检测设备不低于3套，并配备相应的检测人员，检测人员应当具备经亳州市质量主管部门登记的地基基础专项上岗证，具体实施以招标人要求为准。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3.服务依据：符合国家、地方、行业现行相关规范合格标准。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4.具体人员要求：能满足现场检测工作要求，且满足发包人的要求；</w:t>
      </w:r>
      <w:r>
        <w:rPr>
          <w:rFonts w:hint="eastAsia" w:ascii="Times New Roman" w:hAnsi="Times New Roman" w:cs="Times New Roman"/>
          <w:kern w:val="0"/>
          <w:sz w:val="24"/>
          <w:szCs w:val="24"/>
          <w:highlight w:val="none"/>
          <w:u w:val="none"/>
          <w:lang w:val="en-US" w:eastAsia="zh-CN"/>
        </w:rPr>
        <w:t>具备经亳州市质量主管部门登记的地基基础专项上岗证</w:t>
      </w:r>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5.成果文件的份数、载体要求：</w:t>
      </w:r>
      <w:r>
        <w:rPr>
          <w:rFonts w:hint="eastAsia" w:ascii="Times New Roman" w:hAnsi="Times New Roman" w:cs="Times New Roman" w:eastAsiaTheme="minorEastAsia"/>
          <w:kern w:val="0"/>
          <w:sz w:val="24"/>
          <w:szCs w:val="24"/>
          <w:highlight w:val="none"/>
        </w:rPr>
        <w:t>每次出具的检测报告数量为纸质版不少于</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份及电子版1份。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6.发包人的其他要求：</w:t>
      </w:r>
    </w:p>
    <w:p>
      <w:pPr>
        <w:keepNext w:val="0"/>
        <w:keepLines w:val="0"/>
        <w:pageBreakBefore w:val="0"/>
        <w:kinsoku/>
        <w:wordWrap w:val="0"/>
        <w:overflowPunct/>
        <w:topLinePunct w:val="0"/>
        <w:bidi w:val="0"/>
        <w:snapToGrid/>
        <w:spacing w:line="440" w:lineRule="exact"/>
        <w:ind w:firstLine="480" w:firstLineChars="200"/>
        <w:textAlignment w:val="auto"/>
        <w:rPr>
          <w:rFonts w:hint="eastAsia" w:ascii="Times New Roman" w:hAnsi="Times New Roman" w:cs="Times New Roman" w:eastAsiaTheme="minorEastAsia"/>
          <w:b w:val="0"/>
          <w:bCs w:val="0"/>
          <w:kern w:val="0"/>
          <w:sz w:val="24"/>
          <w:szCs w:val="24"/>
          <w:highlight w:val="none"/>
        </w:rPr>
      </w:pPr>
      <w:r>
        <w:rPr>
          <w:rFonts w:hint="eastAsia" w:ascii="Times New Roman" w:hAnsi="Times New Roman" w:cs="Times New Roman" w:eastAsiaTheme="minorEastAsia"/>
          <w:b w:val="0"/>
          <w:bCs w:val="0"/>
          <w:kern w:val="0"/>
          <w:sz w:val="24"/>
          <w:szCs w:val="24"/>
          <w:highlight w:val="none"/>
          <w:lang w:val="en-US" w:eastAsia="zh-CN"/>
        </w:rPr>
        <w:t>6.</w:t>
      </w:r>
      <w:r>
        <w:rPr>
          <w:rFonts w:hint="eastAsia" w:ascii="Times New Roman" w:hAnsi="Times New Roman" w:cs="Times New Roman" w:eastAsiaTheme="minorEastAsia"/>
          <w:b w:val="0"/>
          <w:bCs w:val="0"/>
          <w:kern w:val="0"/>
          <w:sz w:val="24"/>
          <w:szCs w:val="24"/>
          <w:highlight w:val="none"/>
        </w:rPr>
        <w:t>1</w:t>
      </w:r>
      <w:r>
        <w:rPr>
          <w:rFonts w:hint="eastAsia" w:ascii="Times New Roman" w:hAnsi="Times New Roman" w:cs="Times New Roman" w:eastAsiaTheme="minorEastAsia"/>
          <w:b w:val="0"/>
          <w:bCs w:val="0"/>
          <w:kern w:val="0"/>
          <w:sz w:val="24"/>
          <w:szCs w:val="24"/>
          <w:highlight w:val="none"/>
          <w:lang w:val="en-US" w:eastAsia="zh-CN"/>
        </w:rPr>
        <w:t xml:space="preserve"> </w:t>
      </w:r>
      <w:r>
        <w:rPr>
          <w:rFonts w:hint="eastAsia" w:ascii="Times New Roman" w:hAnsi="Times New Roman" w:cs="Times New Roman" w:eastAsiaTheme="minorEastAsia"/>
          <w:b w:val="0"/>
          <w:bCs w:val="0"/>
          <w:kern w:val="0"/>
          <w:sz w:val="24"/>
          <w:szCs w:val="24"/>
          <w:highlight w:val="none"/>
        </w:rPr>
        <w:t>安全责任</w:t>
      </w:r>
    </w:p>
    <w:p>
      <w:pPr>
        <w:keepNext w:val="0"/>
        <w:keepLines w:val="0"/>
        <w:pageBreakBefore w:val="0"/>
        <w:kinsoku/>
        <w:wordWrap w:val="0"/>
        <w:overflowPunct/>
        <w:topLinePunct w:val="0"/>
        <w:bidi w:val="0"/>
        <w:snapToGrid/>
        <w:spacing w:line="440" w:lineRule="exact"/>
        <w:ind w:firstLine="480" w:firstLineChars="200"/>
        <w:textAlignment w:val="auto"/>
        <w:rPr>
          <w:rFonts w:hint="eastAsia" w:ascii="Times New Roman" w:hAnsi="Times New Roman" w:cs="Times New Roman" w:eastAsiaTheme="minorEastAsia"/>
          <w:b w:val="0"/>
          <w:bCs w:val="0"/>
          <w:kern w:val="0"/>
          <w:sz w:val="24"/>
          <w:szCs w:val="24"/>
          <w:highlight w:val="none"/>
        </w:rPr>
      </w:pPr>
      <w:r>
        <w:rPr>
          <w:rFonts w:hint="eastAsia" w:ascii="Times New Roman" w:hAnsi="Times New Roman" w:cs="Times New Roman" w:eastAsiaTheme="minorEastAsia"/>
          <w:b w:val="0"/>
          <w:bCs w:val="0"/>
          <w:kern w:val="0"/>
          <w:sz w:val="24"/>
          <w:szCs w:val="24"/>
          <w:highlight w:val="none"/>
        </w:rPr>
        <w:t>（1）合同履行期间</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b w:val="0"/>
          <w:bCs w:val="0"/>
          <w:kern w:val="0"/>
          <w:sz w:val="24"/>
          <w:szCs w:val="24"/>
          <w:highlight w:val="none"/>
        </w:rPr>
        <w:t>必须做好安全防护工作并严格按照工程建设安全生产有关管理规定组织检测，采取必要的安全防护措施，消除事故隐患，独立承担安全责任。</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b w:val="0"/>
          <w:bCs w:val="0"/>
          <w:kern w:val="0"/>
          <w:sz w:val="24"/>
          <w:szCs w:val="24"/>
          <w:highlight w:val="none"/>
        </w:rPr>
        <w:t>应为其现场工作人员配备必要劳务和安全防护用品并督促其正确使用，同时对现场工作人员进行安全教育培训，告知现场工作人员危险因素及防范措施。因</w:t>
      </w:r>
      <w:r>
        <w:rPr>
          <w:rFonts w:hint="eastAsia" w:ascii="Times New Roman" w:hAnsi="Times New Roman" w:cs="Times New Roman"/>
          <w:b w:val="0"/>
          <w:bCs w:val="0"/>
          <w:kern w:val="0"/>
          <w:sz w:val="24"/>
          <w:szCs w:val="24"/>
          <w:highlight w:val="none"/>
          <w:lang w:val="en-US" w:eastAsia="zh-CN"/>
        </w:rPr>
        <w:t>中</w:t>
      </w:r>
      <w:r>
        <w:rPr>
          <w:rFonts w:hint="eastAsia" w:ascii="Times New Roman" w:hAnsi="Times New Roman" w:cs="Times New Roman" w:eastAsiaTheme="minorEastAsia"/>
          <w:b w:val="0"/>
          <w:bCs w:val="0"/>
          <w:kern w:val="0"/>
          <w:sz w:val="24"/>
          <w:szCs w:val="24"/>
          <w:highlight w:val="none"/>
          <w:lang w:eastAsia="zh-CN"/>
        </w:rPr>
        <w:t>标人</w:t>
      </w:r>
      <w:r>
        <w:rPr>
          <w:rFonts w:hint="eastAsia" w:ascii="Times New Roman" w:hAnsi="Times New Roman" w:cs="Times New Roman" w:eastAsiaTheme="minorEastAsia"/>
          <w:b w:val="0"/>
          <w:bCs w:val="0"/>
          <w:kern w:val="0"/>
          <w:sz w:val="24"/>
          <w:szCs w:val="24"/>
          <w:highlight w:val="none"/>
        </w:rPr>
        <w:t>原因引起的他人、自身安全事故均由</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b w:val="0"/>
          <w:bCs w:val="0"/>
          <w:kern w:val="0"/>
          <w:sz w:val="24"/>
          <w:szCs w:val="24"/>
          <w:highlight w:val="none"/>
        </w:rPr>
        <w:t>负责。因</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b w:val="0"/>
          <w:bCs w:val="0"/>
          <w:kern w:val="0"/>
          <w:sz w:val="24"/>
          <w:szCs w:val="24"/>
          <w:highlight w:val="none"/>
        </w:rPr>
        <w:t>原因造成他人或自身人身伤害或财产损失的，赔偿责任均由</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b w:val="0"/>
          <w:bCs w:val="0"/>
          <w:kern w:val="0"/>
          <w:sz w:val="24"/>
          <w:szCs w:val="24"/>
          <w:highlight w:val="none"/>
        </w:rPr>
        <w:t>承担，</w:t>
      </w:r>
      <w:r>
        <w:rPr>
          <w:rFonts w:hint="eastAsia" w:ascii="Times New Roman" w:hAnsi="Times New Roman" w:cs="Times New Roman" w:eastAsiaTheme="minorEastAsia"/>
          <w:b w:val="0"/>
          <w:bCs w:val="0"/>
          <w:kern w:val="0"/>
          <w:sz w:val="24"/>
          <w:szCs w:val="24"/>
          <w:highlight w:val="none"/>
          <w:lang w:eastAsia="zh-CN"/>
        </w:rPr>
        <w:t>发包人</w:t>
      </w:r>
      <w:r>
        <w:rPr>
          <w:rFonts w:hint="eastAsia" w:ascii="Times New Roman" w:hAnsi="Times New Roman" w:cs="Times New Roman" w:eastAsiaTheme="minorEastAsia"/>
          <w:b w:val="0"/>
          <w:bCs w:val="0"/>
          <w:kern w:val="0"/>
          <w:sz w:val="24"/>
          <w:szCs w:val="24"/>
          <w:highlight w:val="none"/>
        </w:rPr>
        <w:t>不承担任何赔偿责任。</w:t>
      </w:r>
      <w:r>
        <w:rPr>
          <w:rFonts w:hint="eastAsia" w:ascii="Times New Roman" w:hAnsi="Times New Roman" w:cs="Times New Roman" w:eastAsiaTheme="minorEastAsia"/>
          <w:b w:val="0"/>
          <w:bCs w:val="0"/>
          <w:kern w:val="0"/>
          <w:sz w:val="24"/>
          <w:szCs w:val="24"/>
          <w:highlight w:val="none"/>
          <w:lang w:eastAsia="zh-CN"/>
        </w:rPr>
        <w:t>发包人</w:t>
      </w:r>
      <w:r>
        <w:rPr>
          <w:rFonts w:hint="eastAsia" w:ascii="Times New Roman" w:hAnsi="Times New Roman" w:cs="Times New Roman" w:eastAsiaTheme="minorEastAsia"/>
          <w:b w:val="0"/>
          <w:bCs w:val="0"/>
          <w:kern w:val="0"/>
          <w:sz w:val="24"/>
          <w:szCs w:val="24"/>
          <w:highlight w:val="none"/>
        </w:rPr>
        <w:t>先予赔付的，</w:t>
      </w:r>
      <w:r>
        <w:rPr>
          <w:rFonts w:hint="eastAsia" w:ascii="Times New Roman" w:hAnsi="Times New Roman" w:cs="Times New Roman" w:eastAsiaTheme="minorEastAsia"/>
          <w:b w:val="0"/>
          <w:bCs w:val="0"/>
          <w:kern w:val="0"/>
          <w:sz w:val="24"/>
          <w:szCs w:val="24"/>
          <w:highlight w:val="none"/>
          <w:lang w:val="en-US" w:eastAsia="zh-CN"/>
        </w:rPr>
        <w:t>有权对</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b w:val="0"/>
          <w:bCs w:val="0"/>
          <w:kern w:val="0"/>
          <w:sz w:val="24"/>
          <w:szCs w:val="24"/>
          <w:highlight w:val="none"/>
          <w:lang w:val="en-US" w:eastAsia="zh-CN"/>
        </w:rPr>
        <w:t>进行追偿</w:t>
      </w:r>
      <w:r>
        <w:rPr>
          <w:rFonts w:hint="eastAsia" w:ascii="Times New Roman" w:hAnsi="Times New Roman" w:cs="Times New Roman" w:eastAsiaTheme="minorEastAsia"/>
          <w:b w:val="0"/>
          <w:bCs w:val="0"/>
          <w:kern w:val="0"/>
          <w:sz w:val="24"/>
          <w:szCs w:val="24"/>
          <w:highlight w:val="none"/>
        </w:rPr>
        <w:t>。</w:t>
      </w:r>
    </w:p>
    <w:p>
      <w:pPr>
        <w:keepNext w:val="0"/>
        <w:keepLines w:val="0"/>
        <w:pageBreakBefore w:val="0"/>
        <w:kinsoku/>
        <w:wordWrap w:val="0"/>
        <w:overflowPunct/>
        <w:topLinePunct w:val="0"/>
        <w:bidi w:val="0"/>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必须遵守</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安全现场管理规定并于本合同签订后</w:t>
      </w:r>
      <w:r>
        <w:rPr>
          <w:rFonts w:hint="eastAsia" w:ascii="Times New Roman" w:hAnsi="Times New Roman" w:cs="Times New Roman" w:eastAsiaTheme="minorEastAsia"/>
          <w:kern w:val="0"/>
          <w:sz w:val="24"/>
          <w:szCs w:val="24"/>
          <w:highlight w:val="none"/>
          <w:lang w:val="en-US" w:eastAsia="zh-CN"/>
        </w:rPr>
        <w:t>最迟20日内</w:t>
      </w:r>
      <w:r>
        <w:rPr>
          <w:rFonts w:hint="eastAsia" w:ascii="Times New Roman" w:hAnsi="Times New Roman" w:cs="Times New Roman" w:eastAsiaTheme="minorEastAsia"/>
          <w:kern w:val="0"/>
          <w:sz w:val="24"/>
          <w:szCs w:val="24"/>
          <w:highlight w:val="none"/>
        </w:rPr>
        <w:t>与</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签订《相关方安全管理协议》。因</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不配合签订《相关方安全管理协议》、进行安全备案产生的工期延误责任由</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承担。</w:t>
      </w:r>
    </w:p>
    <w:p>
      <w:pPr>
        <w:keepNext w:val="0"/>
        <w:keepLines w:val="0"/>
        <w:pageBreakBefore w:val="0"/>
        <w:kinsoku/>
        <w:wordWrap w:val="0"/>
        <w:overflowPunct/>
        <w:topLinePunct w:val="0"/>
        <w:bidi w:val="0"/>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应保证在本项目从业的各专业施工人员已按照国家有关规定经过专业培训并持证上岗且证书均在有效期内，</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应保证进入现场的机械设备（含机上操作人员）均是符合国家相关规定要求的，相关证件齐全且均在有效期内，否则视为</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违约，</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有权要求</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停止作业进行整改，由此产生的费用及工期延误责任均由</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承担；</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拒不整改或不在</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要求时间内整改的，</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有权要求</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支付违约金</w:t>
      </w:r>
      <w:r>
        <w:rPr>
          <w:rFonts w:hint="eastAsia" w:ascii="Times New Roman" w:hAnsi="Times New Roman" w:cs="Times New Roman" w:eastAsiaTheme="minorEastAsia"/>
          <w:kern w:val="0"/>
          <w:sz w:val="24"/>
          <w:szCs w:val="24"/>
          <w:highlight w:val="none"/>
          <w:u w:val="none"/>
        </w:rPr>
        <w:t>500元</w:t>
      </w:r>
      <w:r>
        <w:rPr>
          <w:rFonts w:hint="eastAsia" w:ascii="Times New Roman" w:hAnsi="Times New Roman" w:cs="Times New Roman" w:eastAsiaTheme="minorEastAsia"/>
          <w:kern w:val="0"/>
          <w:sz w:val="24"/>
          <w:szCs w:val="24"/>
          <w:highlight w:val="none"/>
          <w:u w:val="none"/>
          <w:lang w:val="en-US" w:eastAsia="zh-CN"/>
        </w:rPr>
        <w:t>-1000元</w:t>
      </w:r>
      <w:r>
        <w:rPr>
          <w:rFonts w:hint="eastAsia" w:ascii="Times New Roman" w:hAnsi="Times New Roman" w:cs="Times New Roman" w:eastAsiaTheme="minorEastAsia"/>
          <w:kern w:val="0"/>
          <w:sz w:val="24"/>
          <w:szCs w:val="24"/>
          <w:highlight w:val="none"/>
          <w:u w:val="none"/>
        </w:rPr>
        <w:t>/</w:t>
      </w:r>
      <w:r>
        <w:rPr>
          <w:rFonts w:hint="eastAsia" w:ascii="Times New Roman" w:hAnsi="Times New Roman" w:cs="Times New Roman" w:eastAsiaTheme="minorEastAsia"/>
          <w:kern w:val="0"/>
          <w:sz w:val="24"/>
          <w:szCs w:val="24"/>
          <w:highlight w:val="none"/>
          <w:u w:val="none"/>
          <w:lang w:val="en-US" w:eastAsia="zh-CN"/>
        </w:rPr>
        <w:t>人</w:t>
      </w:r>
      <w:r>
        <w:rPr>
          <w:rFonts w:hint="eastAsia" w:ascii="Times New Roman" w:hAnsi="Times New Roman" w:cs="Times New Roman" w:eastAsiaTheme="minorEastAsia"/>
          <w:kern w:val="0"/>
          <w:sz w:val="24"/>
          <w:szCs w:val="24"/>
          <w:highlight w:val="none"/>
          <w:u w:val="none"/>
        </w:rPr>
        <w:t>次</w:t>
      </w: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此外发包人</w:t>
      </w:r>
      <w:r>
        <w:rPr>
          <w:rFonts w:hint="eastAsia" w:ascii="Times New Roman" w:hAnsi="Times New Roman" w:cs="Times New Roman" w:eastAsiaTheme="minorEastAsia"/>
          <w:kern w:val="0"/>
          <w:sz w:val="24"/>
          <w:szCs w:val="24"/>
          <w:highlight w:val="none"/>
        </w:rPr>
        <w:t>有权单方无责解除本合同，由此产生的工期延误和给</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造成的损失均由</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承担。</w:t>
      </w:r>
    </w:p>
    <w:p>
      <w:pPr>
        <w:keepNext w:val="0"/>
        <w:keepLines w:val="0"/>
        <w:pageBreakBefore w:val="0"/>
        <w:kinsoku/>
        <w:wordWrap w:val="0"/>
        <w:overflowPunct/>
        <w:topLinePunct w:val="0"/>
        <w:bidi w:val="0"/>
        <w:snapToGrid/>
        <w:spacing w:line="440" w:lineRule="exact"/>
        <w:ind w:firstLine="480" w:firstLineChars="200"/>
        <w:textAlignment w:val="auto"/>
        <w:rPr>
          <w:rFonts w:hint="eastAsia" w:ascii="Times New Roman" w:hAnsi="Times New Roman" w:cs="Times New Roman" w:eastAsiaTheme="minorEastAsia"/>
          <w:b w:val="0"/>
          <w:bCs w:val="0"/>
          <w:kern w:val="0"/>
          <w:sz w:val="24"/>
          <w:szCs w:val="24"/>
          <w:highlight w:val="none"/>
        </w:rPr>
      </w:pPr>
      <w:r>
        <w:rPr>
          <w:rFonts w:hint="eastAsia" w:ascii="Times New Roman" w:hAnsi="Times New Roman" w:cs="Times New Roman" w:eastAsiaTheme="minorEastAsia"/>
          <w:b w:val="0"/>
          <w:bCs w:val="0"/>
          <w:kern w:val="0"/>
          <w:sz w:val="24"/>
          <w:szCs w:val="24"/>
          <w:highlight w:val="none"/>
          <w:lang w:val="en-US" w:eastAsia="zh-CN"/>
        </w:rPr>
        <w:t xml:space="preserve">6.2 </w:t>
      </w:r>
      <w:r>
        <w:rPr>
          <w:rFonts w:hint="eastAsia" w:ascii="Times New Roman" w:hAnsi="Times New Roman" w:cs="Times New Roman" w:eastAsiaTheme="minorEastAsia"/>
          <w:b w:val="0"/>
          <w:bCs w:val="0"/>
          <w:kern w:val="0"/>
          <w:sz w:val="24"/>
          <w:szCs w:val="24"/>
          <w:highlight w:val="none"/>
        </w:rPr>
        <w:t>环保责任</w:t>
      </w:r>
    </w:p>
    <w:p>
      <w:pPr>
        <w:keepNext w:val="0"/>
        <w:keepLines w:val="0"/>
        <w:pageBreakBefore w:val="0"/>
        <w:kinsoku/>
        <w:wordWrap w:val="0"/>
        <w:overflowPunct/>
        <w:topLinePunct w:val="0"/>
        <w:bidi w:val="0"/>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（1）检测产生的</w:t>
      </w:r>
      <w:r>
        <w:rPr>
          <w:rFonts w:hint="eastAsia" w:ascii="Times New Roman" w:hAnsi="Times New Roman" w:cs="Times New Roman" w:eastAsiaTheme="minorEastAsia"/>
          <w:kern w:val="0"/>
          <w:sz w:val="24"/>
          <w:szCs w:val="24"/>
          <w:highlight w:val="none"/>
          <w:lang w:val="de-DE"/>
        </w:rPr>
        <w:t>垃圾由</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lang w:val="de-DE"/>
        </w:rPr>
        <w:t>负责清运出场</w:t>
      </w:r>
      <w:r>
        <w:rPr>
          <w:rFonts w:hint="eastAsia" w:ascii="Times New Roman" w:hAnsi="Times New Roman" w:cs="Times New Roman" w:eastAsiaTheme="minorEastAsia"/>
          <w:kern w:val="0"/>
          <w:sz w:val="24"/>
          <w:szCs w:val="24"/>
          <w:highlight w:val="none"/>
        </w:rPr>
        <w:t>并</w:t>
      </w:r>
      <w:r>
        <w:rPr>
          <w:rFonts w:hint="eastAsia" w:ascii="Times New Roman" w:hAnsi="Times New Roman" w:cs="Times New Roman" w:eastAsiaTheme="minorEastAsia"/>
          <w:kern w:val="0"/>
          <w:sz w:val="24"/>
          <w:szCs w:val="24"/>
          <w:highlight w:val="none"/>
          <w:lang w:val="de-DE"/>
        </w:rPr>
        <w:t>及时通过合法合规途径运输、处置，</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不负责指定地点。检测垃圾</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转运时应适当湿润，并且按规定及时清运、消纳。废弃物严禁任意堆放、丢弃、侵倒、贮存或私自填埋。存放废弃物场所必须密封，转运废弃物车辆必须密闭，防止造成扬尘。检测垃圾</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限期</w:t>
      </w:r>
      <w:r>
        <w:rPr>
          <w:rFonts w:hint="eastAsia" w:ascii="Times New Roman" w:hAnsi="Times New Roman" w:cs="Times New Roman" w:eastAsiaTheme="minorEastAsia"/>
          <w:kern w:val="0"/>
          <w:sz w:val="24"/>
          <w:szCs w:val="24"/>
          <w:highlight w:val="none"/>
          <w:lang w:val="en-US" w:eastAsia="zh-CN"/>
        </w:rPr>
        <w:t>要求</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清理的，</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应在要求时间内清运完毕，否则每延期一日，</w:t>
      </w:r>
      <w:r>
        <w:rPr>
          <w:rFonts w:hint="eastAsia" w:ascii="Times New Roman" w:hAnsi="Times New Roman" w:cs="Times New Roman" w:eastAsiaTheme="minorEastAsia"/>
          <w:kern w:val="0"/>
          <w:sz w:val="24"/>
          <w:szCs w:val="24"/>
          <w:highlight w:val="none"/>
          <w:lang w:eastAsia="zh-CN"/>
        </w:rPr>
        <w:t>投标人</w:t>
      </w:r>
      <w:r>
        <w:rPr>
          <w:rFonts w:hint="eastAsia" w:ascii="Times New Roman" w:hAnsi="Times New Roman" w:cs="Times New Roman" w:eastAsiaTheme="minorEastAsia"/>
          <w:kern w:val="0"/>
          <w:sz w:val="24"/>
          <w:szCs w:val="24"/>
          <w:highlight w:val="none"/>
        </w:rPr>
        <w:t>须向</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支付违约金</w:t>
      </w:r>
      <w:r>
        <w:rPr>
          <w:rFonts w:hint="eastAsia" w:ascii="Times New Roman" w:hAnsi="Times New Roman" w:cs="Times New Roman"/>
          <w:kern w:val="0"/>
          <w:sz w:val="24"/>
          <w:szCs w:val="24"/>
          <w:highlight w:val="none"/>
          <w:u w:val="none"/>
          <w:lang w:val="en-US" w:eastAsia="zh-CN"/>
        </w:rPr>
        <w:t xml:space="preserve"> 50</w:t>
      </w:r>
      <w:r>
        <w:rPr>
          <w:rFonts w:hint="eastAsia" w:ascii="Times New Roman" w:hAnsi="Times New Roman" w:cs="Times New Roman" w:eastAsiaTheme="minorEastAsia"/>
          <w:kern w:val="0"/>
          <w:sz w:val="24"/>
          <w:szCs w:val="24"/>
          <w:highlight w:val="none"/>
          <w:u w:val="none"/>
        </w:rPr>
        <w:t>0</w:t>
      </w:r>
      <w:r>
        <w:rPr>
          <w:rFonts w:hint="eastAsia" w:ascii="Times New Roman" w:hAnsi="Times New Roman" w:cs="Times New Roman" w:eastAsiaTheme="minorEastAsia"/>
          <w:kern w:val="0"/>
          <w:sz w:val="24"/>
          <w:szCs w:val="24"/>
          <w:highlight w:val="none"/>
        </w:rPr>
        <w:t>元。</w:t>
      </w:r>
    </w:p>
    <w:p>
      <w:pPr>
        <w:keepNext w:val="0"/>
        <w:keepLines w:val="0"/>
        <w:pageBreakBefore w:val="0"/>
        <w:kinsoku/>
        <w:wordWrap w:val="0"/>
        <w:overflowPunct/>
        <w:topLinePunct w:val="0"/>
        <w:bidi w:val="0"/>
        <w:snapToGrid/>
        <w:spacing w:line="440" w:lineRule="exact"/>
        <w:ind w:firstLine="480" w:firstLineChars="200"/>
        <w:textAlignment w:val="auto"/>
        <w:rPr>
          <w:rFonts w:hint="eastAsia" w:ascii="Times New Roman" w:hAnsi="Times New Roman" w:cs="Times New Roman" w:eastAsiaTheme="minorEastAsia"/>
          <w:b w:val="0"/>
          <w:bCs w:val="0"/>
          <w:kern w:val="0"/>
          <w:sz w:val="24"/>
          <w:szCs w:val="24"/>
          <w:highlight w:val="none"/>
        </w:rPr>
      </w:pPr>
      <w:r>
        <w:rPr>
          <w:rFonts w:hint="eastAsia" w:ascii="Times New Roman" w:hAnsi="Times New Roman" w:cs="Times New Roman" w:eastAsiaTheme="minorEastAsia"/>
          <w:kern w:val="0"/>
          <w:sz w:val="24"/>
          <w:szCs w:val="24"/>
          <w:highlight w:val="none"/>
        </w:rPr>
        <w:t>（2）</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有权对</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的环保工作进行监督检查，对</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出现违反环保规定行为的，</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有权要求</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立即整改。</w:t>
      </w:r>
      <w:r>
        <w:rPr>
          <w:rFonts w:hint="eastAsia" w:ascii="Times New Roman" w:hAnsi="Times New Roman" w:cs="Times New Roman" w:eastAsiaTheme="minorEastAsia"/>
          <w:b w:val="0"/>
          <w:bCs w:val="0"/>
          <w:kern w:val="0"/>
          <w:sz w:val="24"/>
          <w:szCs w:val="24"/>
          <w:highlight w:val="none"/>
        </w:rPr>
        <w:t xml:space="preserve"> </w:t>
      </w:r>
    </w:p>
    <w:p>
      <w:pPr>
        <w:keepNext w:val="0"/>
        <w:keepLines w:val="0"/>
        <w:pageBreakBefore w:val="0"/>
        <w:kinsoku/>
        <w:wordWrap w:val="0"/>
        <w:overflowPunct/>
        <w:topLinePunct w:val="0"/>
        <w:bidi w:val="0"/>
        <w:snapToGrid/>
        <w:spacing w:before="0" w:beforeLines="-2147483648" w:line="440" w:lineRule="exact"/>
        <w:ind w:firstLine="480" w:firstLineChars="200"/>
        <w:textAlignment w:val="auto"/>
        <w:rPr>
          <w:rFonts w:hint="eastAsia" w:ascii="Times New Roman" w:hAnsi="Times New Roman" w:cs="Times New Roman" w:eastAsiaTheme="minorEastAsia"/>
          <w:b w:val="0"/>
          <w:bCs w:val="0"/>
          <w:kern w:val="0"/>
          <w:sz w:val="24"/>
          <w:szCs w:val="24"/>
          <w:highlight w:val="none"/>
        </w:rPr>
      </w:pPr>
      <w:r>
        <w:rPr>
          <w:rFonts w:hint="eastAsia" w:ascii="Times New Roman" w:hAnsi="Times New Roman" w:cs="Times New Roman" w:eastAsiaTheme="minorEastAsia"/>
          <w:b w:val="0"/>
          <w:bCs w:val="0"/>
          <w:kern w:val="0"/>
          <w:sz w:val="24"/>
          <w:szCs w:val="24"/>
          <w:highlight w:val="none"/>
          <w:lang w:val="en-US" w:eastAsia="zh-CN"/>
        </w:rPr>
        <w:t xml:space="preserve">6.3 </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b w:val="0"/>
          <w:bCs w:val="0"/>
          <w:kern w:val="0"/>
          <w:sz w:val="24"/>
          <w:szCs w:val="24"/>
          <w:highlight w:val="none"/>
        </w:rPr>
        <w:t>责任</w:t>
      </w:r>
    </w:p>
    <w:p>
      <w:pPr>
        <w:keepNext w:val="0"/>
        <w:keepLines w:val="0"/>
        <w:pageBreakBefore w:val="0"/>
        <w:kinsoku/>
        <w:wordWrap w:val="0"/>
        <w:overflowPunct/>
        <w:topLinePunct w:val="0"/>
        <w:bidi w:val="0"/>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（1）在合同约定的时间内，进行现场检测，按时提交检测报告。</w:t>
      </w:r>
    </w:p>
    <w:p>
      <w:pPr>
        <w:wordWrap w:val="0"/>
        <w:spacing w:line="440" w:lineRule="exact"/>
        <w:ind w:firstLine="480" w:firstLineChars="200"/>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kern w:val="0"/>
          <w:sz w:val="24"/>
          <w:szCs w:val="24"/>
          <w:highlight w:val="none"/>
          <w:lang w:val="en-US" w:eastAsia="zh-CN"/>
        </w:rPr>
        <w:t>自行考虑场地内使用吊车及汽车等服务</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kern w:val="0"/>
          <w:sz w:val="24"/>
          <w:szCs w:val="24"/>
          <w:highlight w:val="none"/>
          <w:lang w:val="en-US" w:eastAsia="zh-CN"/>
        </w:rPr>
        <w:t>设备使用的设施设备。</w:t>
      </w:r>
    </w:p>
    <w:p>
      <w:pPr>
        <w:wordWrap w:val="0"/>
        <w:spacing w:line="440" w:lineRule="exact"/>
        <w:ind w:firstLine="480" w:firstLineChars="200"/>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kern w:val="0"/>
          <w:sz w:val="24"/>
          <w:szCs w:val="24"/>
          <w:highlight w:val="none"/>
          <w:lang w:val="en-US" w:eastAsia="zh-CN"/>
        </w:rPr>
        <w:t>根据发包人提供的用电位置，自行考虑电线电缆长度等问题；</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lang w:val="en-US" w:eastAsia="zh-CN"/>
        </w:rPr>
        <w:t>装表计量的（装表时须告知</w:t>
      </w:r>
      <w:r>
        <w:rPr>
          <w:rFonts w:hint="eastAsia" w:ascii="Times New Roman" w:hAnsi="Times New Roman" w:cs="Times New Roman"/>
          <w:kern w:val="0"/>
          <w:sz w:val="24"/>
          <w:szCs w:val="24"/>
          <w:highlight w:val="none"/>
          <w:lang w:val="en-US" w:eastAsia="zh-CN"/>
        </w:rPr>
        <w:t>发包人</w:t>
      </w:r>
      <w:r>
        <w:rPr>
          <w:rFonts w:hint="eastAsia" w:ascii="Times New Roman" w:hAnsi="Times New Roman" w:cs="Times New Roman" w:eastAsiaTheme="minorEastAsia"/>
          <w:kern w:val="0"/>
          <w:sz w:val="24"/>
          <w:szCs w:val="24"/>
          <w:highlight w:val="none"/>
          <w:lang w:val="en-US" w:eastAsia="zh-CN"/>
        </w:rPr>
        <w:t>，并经</w:t>
      </w:r>
      <w:r>
        <w:rPr>
          <w:rFonts w:hint="eastAsia" w:ascii="Times New Roman" w:hAnsi="Times New Roman" w:cs="Times New Roman"/>
          <w:kern w:val="0"/>
          <w:sz w:val="24"/>
          <w:szCs w:val="24"/>
          <w:highlight w:val="none"/>
          <w:lang w:val="en-US" w:eastAsia="zh-CN"/>
        </w:rPr>
        <w:t>发包人</w:t>
      </w:r>
      <w:r>
        <w:rPr>
          <w:rFonts w:hint="eastAsia" w:ascii="Times New Roman" w:hAnsi="Times New Roman" w:cs="Times New Roman" w:eastAsiaTheme="minorEastAsia"/>
          <w:kern w:val="0"/>
          <w:sz w:val="24"/>
          <w:szCs w:val="24"/>
          <w:highlight w:val="none"/>
          <w:lang w:val="en-US" w:eastAsia="zh-CN"/>
        </w:rPr>
        <w:t>专业部门认定，否则视为未装表；</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lang w:val="en-US" w:eastAsia="zh-CN"/>
        </w:rPr>
        <w:t>未装表的，以发包方装表计量数据为准；双方均未装表计量的，按工程结算款的7‰，在结算时扣除），水电费则据实结算，价格执行</w:t>
      </w:r>
      <w:r>
        <w:rPr>
          <w:rFonts w:hint="eastAsia" w:ascii="Times New Roman" w:hAnsi="Times New Roman" w:cs="Times New Roman"/>
          <w:kern w:val="0"/>
          <w:sz w:val="24"/>
          <w:szCs w:val="24"/>
          <w:highlight w:val="none"/>
          <w:lang w:val="en-US" w:eastAsia="zh-CN"/>
        </w:rPr>
        <w:t>发包人</w:t>
      </w:r>
      <w:r>
        <w:rPr>
          <w:rFonts w:hint="eastAsia" w:ascii="Times New Roman" w:hAnsi="Times New Roman" w:cs="Times New Roman" w:eastAsiaTheme="minorEastAsia"/>
          <w:kern w:val="0"/>
          <w:sz w:val="24"/>
          <w:szCs w:val="24"/>
          <w:highlight w:val="none"/>
          <w:lang w:val="en-US" w:eastAsia="zh-CN"/>
        </w:rPr>
        <w:t>水电费对外执行价。</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lang w:val="en-US" w:eastAsia="zh-CN"/>
        </w:rPr>
        <w:t>所使用水电费在结算时</w:t>
      </w:r>
      <w:r>
        <w:rPr>
          <w:rFonts w:hint="eastAsia" w:ascii="Times New Roman" w:hAnsi="Times New Roman" w:cs="Times New Roman"/>
          <w:kern w:val="0"/>
          <w:sz w:val="24"/>
          <w:szCs w:val="24"/>
          <w:highlight w:val="none"/>
          <w:lang w:val="en-US" w:eastAsia="zh-CN"/>
        </w:rPr>
        <w:t>发包人</w:t>
      </w:r>
      <w:r>
        <w:rPr>
          <w:rFonts w:hint="eastAsia" w:ascii="Times New Roman" w:hAnsi="Times New Roman" w:cs="Times New Roman" w:eastAsiaTheme="minorEastAsia"/>
          <w:kern w:val="0"/>
          <w:sz w:val="24"/>
          <w:szCs w:val="24"/>
          <w:highlight w:val="none"/>
          <w:lang w:val="en-US" w:eastAsia="zh-CN"/>
        </w:rPr>
        <w:t>有权从工程款中直接扣除。</w:t>
      </w:r>
    </w:p>
    <w:p>
      <w:pPr>
        <w:keepNext w:val="0"/>
        <w:keepLines w:val="0"/>
        <w:pageBreakBefore w:val="0"/>
        <w:kinsoku/>
        <w:wordWrap w:val="0"/>
        <w:overflowPunct/>
        <w:topLinePunct w:val="0"/>
        <w:bidi w:val="0"/>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（4）严格按相关规范进行检测，确保检测质量，并对测试结果负责。</w:t>
      </w:r>
    </w:p>
    <w:p>
      <w:pPr>
        <w:keepNext w:val="0"/>
        <w:keepLines w:val="0"/>
        <w:pageBreakBefore w:val="0"/>
        <w:kinsoku/>
        <w:wordWrap w:val="0"/>
        <w:overflowPunct/>
        <w:topLinePunct w:val="0"/>
        <w:bidi w:val="0"/>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kern w:val="0"/>
          <w:sz w:val="24"/>
          <w:szCs w:val="24"/>
          <w:highlight w:val="none"/>
          <w:lang w:val="en-US" w:eastAsia="zh-CN"/>
        </w:rPr>
        <w:t>出具的检测报告必须符合国家规范要求，各类资质印章齐全，检测人、审核人等签字人均应签字，否则报告无效，发包人可拒绝支付检测费用，且不免除</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kern w:val="0"/>
          <w:sz w:val="24"/>
          <w:szCs w:val="24"/>
          <w:highlight w:val="none"/>
          <w:lang w:val="en-US" w:eastAsia="zh-CN"/>
        </w:rPr>
        <w:t>承担逾期提交检测成果的违约责任。</w:t>
      </w:r>
    </w:p>
    <w:p>
      <w:pPr>
        <w:keepNext w:val="0"/>
        <w:keepLines w:val="0"/>
        <w:pageBreakBefore w:val="0"/>
        <w:kinsoku/>
        <w:wordWrap w:val="0"/>
        <w:overflowPunct/>
        <w:topLinePunct w:val="0"/>
        <w:bidi w:val="0"/>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（6）规范、标准中规定有检测时限的，</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kern w:val="0"/>
          <w:sz w:val="24"/>
          <w:szCs w:val="24"/>
          <w:highlight w:val="none"/>
          <w:lang w:val="en-US" w:eastAsia="zh-CN"/>
        </w:rPr>
        <w:t xml:space="preserve">本着以规范、标准规定的时限为原则，安排检测。 </w:t>
      </w:r>
    </w:p>
    <w:p>
      <w:pPr>
        <w:keepNext w:val="0"/>
        <w:keepLines w:val="0"/>
        <w:pageBreakBefore w:val="0"/>
        <w:kinsoku/>
        <w:wordWrap w:val="0"/>
        <w:overflowPunct/>
        <w:topLinePunct w:val="0"/>
        <w:bidi w:val="0"/>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kern w:val="0"/>
          <w:sz w:val="24"/>
          <w:szCs w:val="24"/>
          <w:highlight w:val="none"/>
          <w:lang w:val="en-US" w:eastAsia="zh-CN"/>
        </w:rPr>
        <w:t>独立地实施符合国家标准的检测，并依据相应的标准规范对检测结果进行客观、公正、科学、准确的判定。</w:t>
      </w:r>
    </w:p>
    <w:p>
      <w:pPr>
        <w:keepNext w:val="0"/>
        <w:keepLines w:val="0"/>
        <w:pageBreakBefore w:val="0"/>
        <w:kinsoku/>
        <w:wordWrap w:val="0"/>
        <w:overflowPunct/>
        <w:topLinePunct w:val="0"/>
        <w:bidi w:val="0"/>
        <w:snapToGrid/>
        <w:spacing w:before="0" w:beforeLines="-2147483648" w:line="440" w:lineRule="exact"/>
        <w:ind w:firstLine="480" w:firstLineChars="200"/>
        <w:textAlignment w:val="auto"/>
        <w:rPr>
          <w:rFonts w:hint="eastAsia" w:ascii="Times New Roman" w:hAnsi="Times New Roman" w:cs="Times New Roman" w:eastAsiaTheme="minorEastAsia"/>
          <w:b w:val="0"/>
          <w:bCs w:val="0"/>
          <w:kern w:val="0"/>
          <w:sz w:val="24"/>
          <w:szCs w:val="24"/>
          <w:highlight w:val="none"/>
        </w:rPr>
      </w:pPr>
      <w:r>
        <w:rPr>
          <w:rFonts w:hint="eastAsia" w:ascii="Times New Roman" w:hAnsi="Times New Roman" w:cs="Times New Roman" w:eastAsiaTheme="minorEastAsia"/>
          <w:b w:val="0"/>
          <w:bCs w:val="0"/>
          <w:kern w:val="0"/>
          <w:sz w:val="24"/>
          <w:highlight w:val="none"/>
          <w:lang w:val="en-US" w:eastAsia="zh-CN"/>
        </w:rPr>
        <w:t xml:space="preserve">6.4 </w:t>
      </w:r>
      <w:r>
        <w:rPr>
          <w:rFonts w:hint="eastAsia" w:ascii="Times New Roman" w:hAnsi="Times New Roman" w:cs="Times New Roman" w:eastAsiaTheme="minorEastAsia"/>
          <w:b w:val="0"/>
          <w:bCs w:val="0"/>
          <w:kern w:val="0"/>
          <w:sz w:val="24"/>
          <w:szCs w:val="24"/>
          <w:highlight w:val="none"/>
        </w:rPr>
        <w:t>保密要求</w:t>
      </w:r>
    </w:p>
    <w:p>
      <w:pPr>
        <w:keepNext w:val="0"/>
        <w:keepLines w:val="0"/>
        <w:pageBreakBefore w:val="0"/>
        <w:kinsoku/>
        <w:wordWrap w:val="0"/>
        <w:overflowPunct/>
        <w:topLinePunct w:val="0"/>
        <w:bidi w:val="0"/>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合同履行过程中</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所获取的</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商业秘密（包含但不仅限于图纸、方案、文件以及声明需要保密的资料信息等）或其他应当保密的信息，未经</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同意，</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严禁外泄，亦不得出于本合同以外的目的，自行使用前述信息，否则</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有权要求</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向</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支付违约金</w:t>
      </w:r>
      <w:r>
        <w:rPr>
          <w:rFonts w:hint="eastAsia" w:ascii="Times New Roman" w:hAnsi="Times New Roman" w:cs="Times New Roman"/>
          <w:kern w:val="0"/>
          <w:sz w:val="24"/>
          <w:szCs w:val="24"/>
          <w:highlight w:val="none"/>
          <w:lang w:val="en-US" w:eastAsia="zh-CN"/>
        </w:rPr>
        <w:t>5000</w:t>
      </w:r>
      <w:r>
        <w:rPr>
          <w:rFonts w:hint="eastAsia" w:ascii="Times New Roman" w:hAnsi="Times New Roman" w:cs="Times New Roman" w:eastAsiaTheme="minorEastAsia"/>
          <w:kern w:val="0"/>
          <w:sz w:val="24"/>
          <w:szCs w:val="24"/>
          <w:highlight w:val="none"/>
        </w:rPr>
        <w:t>元/次，并赔偿</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由此产生的损失。该等保密义务不因本协议的终止而解除，直至上述专有信息被合法地公开为止方可解除。</w:t>
      </w:r>
    </w:p>
    <w:p>
      <w:pPr>
        <w:keepNext w:val="0"/>
        <w:keepLines w:val="0"/>
        <w:pageBreakBefore w:val="0"/>
        <w:kinsoku/>
        <w:wordWrap w:val="0"/>
        <w:overflowPunct/>
        <w:topLinePunct w:val="0"/>
        <w:bidi w:val="0"/>
        <w:snapToGrid/>
        <w:spacing w:before="0" w:beforeLines="-2147483648" w:line="440" w:lineRule="exact"/>
        <w:ind w:firstLine="480" w:firstLineChars="200"/>
        <w:textAlignment w:val="auto"/>
        <w:rPr>
          <w:rFonts w:hint="eastAsia" w:ascii="Times New Roman" w:hAnsi="Times New Roman" w:cs="Times New Roman" w:eastAsiaTheme="minorEastAsia"/>
          <w:b w:val="0"/>
          <w:bCs w:val="0"/>
          <w:kern w:val="0"/>
          <w:sz w:val="24"/>
          <w:szCs w:val="24"/>
          <w:highlight w:val="none"/>
        </w:rPr>
      </w:pPr>
      <w:r>
        <w:rPr>
          <w:rFonts w:hint="eastAsia" w:ascii="Times New Roman" w:hAnsi="Times New Roman" w:cs="Times New Roman" w:eastAsiaTheme="minorEastAsia"/>
          <w:b w:val="0"/>
          <w:bCs w:val="0"/>
          <w:kern w:val="0"/>
          <w:sz w:val="24"/>
          <w:highlight w:val="none"/>
          <w:lang w:val="en-US" w:eastAsia="zh-CN"/>
        </w:rPr>
        <w:t xml:space="preserve">6.5 </w:t>
      </w:r>
      <w:r>
        <w:rPr>
          <w:rFonts w:hint="eastAsia" w:ascii="Times New Roman" w:hAnsi="Times New Roman" w:cs="Times New Roman" w:eastAsiaTheme="minorEastAsia"/>
          <w:b w:val="0"/>
          <w:bCs w:val="0"/>
          <w:kern w:val="0"/>
          <w:sz w:val="24"/>
          <w:szCs w:val="24"/>
          <w:highlight w:val="none"/>
        </w:rPr>
        <w:t>其他要求</w:t>
      </w:r>
    </w:p>
    <w:p>
      <w:pPr>
        <w:keepNext w:val="0"/>
        <w:keepLines w:val="0"/>
        <w:pageBreakBefore w:val="0"/>
        <w:kinsoku/>
        <w:wordWrap w:val="0"/>
        <w:overflowPunct/>
        <w:topLinePunct w:val="0"/>
        <w:bidi w:val="0"/>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1</w:t>
      </w: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rPr>
        <w:t>合同履行期间，就合同范围内的检测内容如</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实际委派的范围与本合同约定的范围不完全一致时，</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同意不就此向</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提出任何索赔。</w:t>
      </w:r>
    </w:p>
    <w:p>
      <w:pPr>
        <w:keepNext w:val="0"/>
        <w:keepLines w:val="0"/>
        <w:pageBreakBefore w:val="0"/>
        <w:kinsoku/>
        <w:wordWrap w:val="0"/>
        <w:overflowPunct/>
        <w:topLinePunct w:val="0"/>
        <w:bidi w:val="0"/>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2</w:t>
      </w: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rPr>
        <w:t>检测时进场检测设备要求</w:t>
      </w:r>
      <w:r>
        <w:rPr>
          <w:rFonts w:hint="eastAsia" w:ascii="Times New Roman" w:hAnsi="Times New Roman" w:cs="Times New Roman"/>
          <w:kern w:val="0"/>
          <w:sz w:val="24"/>
          <w:szCs w:val="24"/>
          <w:highlight w:val="none"/>
          <w:lang w:val="en-US" w:eastAsia="zh-CN"/>
        </w:rPr>
        <w:t>3</w:t>
      </w:r>
      <w:r>
        <w:rPr>
          <w:rFonts w:hint="eastAsia" w:ascii="Times New Roman" w:hAnsi="Times New Roman" w:cs="Times New Roman" w:eastAsiaTheme="minorEastAsia"/>
          <w:kern w:val="0"/>
          <w:sz w:val="24"/>
          <w:szCs w:val="24"/>
          <w:highlight w:val="none"/>
        </w:rPr>
        <w:t>套，具体以</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通知为准。</w:t>
      </w:r>
    </w:p>
    <w:p>
      <w:pPr>
        <w:keepNext w:val="0"/>
        <w:keepLines w:val="0"/>
        <w:pageBreakBefore w:val="0"/>
        <w:kinsoku/>
        <w:wordWrap w:val="0"/>
        <w:overflowPunct/>
        <w:topLinePunct w:val="0"/>
        <w:bidi w:val="0"/>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3</w:t>
      </w: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kern w:val="0"/>
          <w:sz w:val="24"/>
          <w:szCs w:val="24"/>
          <w:highlight w:val="none"/>
          <w:lang w:eastAsia="zh-CN"/>
        </w:rPr>
        <w:t>若未能及时</w:t>
      </w:r>
      <w:r>
        <w:rPr>
          <w:rFonts w:hint="eastAsia" w:ascii="Times New Roman" w:hAnsi="Times New Roman" w:cs="Times New Roman" w:eastAsiaTheme="minorEastAsia"/>
          <w:kern w:val="0"/>
          <w:sz w:val="24"/>
          <w:szCs w:val="24"/>
          <w:highlight w:val="none"/>
        </w:rPr>
        <w:t>签订合同</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应根据</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要求及时开展地基基础及桩基检测工作，</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应在</w:t>
      </w:r>
      <w:r>
        <w:rPr>
          <w:rFonts w:hint="eastAsia" w:ascii="Times New Roman" w:hAnsi="Times New Roman" w:cs="Times New Roman"/>
          <w:kern w:val="0"/>
          <w:sz w:val="24"/>
          <w:szCs w:val="24"/>
          <w:highlight w:val="none"/>
          <w:lang w:eastAsia="zh-CN"/>
        </w:rPr>
        <w:t>招标文件及</w:t>
      </w:r>
      <w:r>
        <w:rPr>
          <w:rFonts w:hint="eastAsia" w:ascii="Times New Roman" w:hAnsi="Times New Roman" w:cs="Times New Roman" w:eastAsiaTheme="minorEastAsia"/>
          <w:kern w:val="0"/>
          <w:sz w:val="24"/>
          <w:szCs w:val="24"/>
          <w:highlight w:val="none"/>
        </w:rPr>
        <w:t>合同约定的时间内，按本合同约定要求完成检测工作任务并向</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出具质量合格的检测报告书。</w:t>
      </w:r>
    </w:p>
    <w:p>
      <w:pPr>
        <w:keepNext w:val="0"/>
        <w:keepLines w:val="0"/>
        <w:pageBreakBefore w:val="0"/>
        <w:kinsoku/>
        <w:wordWrap w:val="0"/>
        <w:overflowPunct/>
        <w:topLinePunct w:val="0"/>
        <w:bidi w:val="0"/>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kern w:val="0"/>
          <w:sz w:val="24"/>
          <w:szCs w:val="24"/>
          <w:highlight w:val="none"/>
          <w:lang w:val="en-US" w:eastAsia="zh-CN"/>
        </w:rPr>
        <w:t>中标人</w:t>
      </w:r>
      <w:r>
        <w:rPr>
          <w:rFonts w:hint="eastAsia" w:ascii="Times New Roman" w:hAnsi="Times New Roman" w:cs="Times New Roman" w:eastAsiaTheme="minorEastAsia"/>
          <w:kern w:val="0"/>
          <w:sz w:val="24"/>
          <w:szCs w:val="24"/>
          <w:highlight w:val="none"/>
        </w:rPr>
        <w:t>应依据国家相关技术规范及检测标准开展检测工作并撰写全面、真实、完整的检测报告书，并将检测过程和相关原始数据清晰、完整记录。如</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有需要，</w:t>
      </w:r>
      <w:r>
        <w:rPr>
          <w:rFonts w:hint="eastAsia" w:ascii="Times New Roman" w:hAnsi="Times New Roman" w:cs="Times New Roman"/>
          <w:kern w:val="0"/>
          <w:sz w:val="24"/>
          <w:szCs w:val="24"/>
          <w:highlight w:val="none"/>
          <w:lang w:val="en-US" w:eastAsia="zh-CN"/>
        </w:rPr>
        <w:t>中标人</w:t>
      </w:r>
      <w:r>
        <w:rPr>
          <w:rFonts w:hint="eastAsia" w:ascii="Times New Roman" w:hAnsi="Times New Roman" w:cs="Times New Roman" w:eastAsiaTheme="minorEastAsia"/>
          <w:kern w:val="0"/>
          <w:sz w:val="24"/>
          <w:szCs w:val="24"/>
          <w:highlight w:val="none"/>
        </w:rPr>
        <w:t>应将原始记录连同合格成果文件一同交给</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w:t>
      </w:r>
    </w:p>
    <w:p>
      <w:pPr>
        <w:keepNext w:val="0"/>
        <w:keepLines w:val="0"/>
        <w:pageBreakBefore w:val="0"/>
        <w:kinsoku/>
        <w:wordWrap w:val="0"/>
        <w:overflowPunct/>
        <w:topLinePunct w:val="0"/>
        <w:bidi w:val="0"/>
        <w:snapToGrid/>
        <w:spacing w:after="0"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（5）</w:t>
      </w:r>
      <w:r>
        <w:rPr>
          <w:rFonts w:hint="eastAsia" w:ascii="Times New Roman" w:hAnsi="Times New Roman" w:cs="Times New Roman"/>
          <w:kern w:val="0"/>
          <w:sz w:val="24"/>
          <w:szCs w:val="24"/>
          <w:highlight w:val="none"/>
          <w:lang w:val="en-US" w:eastAsia="zh-CN"/>
        </w:rPr>
        <w:t>中标人</w:t>
      </w:r>
      <w:r>
        <w:rPr>
          <w:rFonts w:hint="eastAsia" w:ascii="Times New Roman" w:hAnsi="Times New Roman" w:cs="Times New Roman" w:eastAsiaTheme="minorEastAsia"/>
          <w:kern w:val="0"/>
          <w:sz w:val="24"/>
          <w:szCs w:val="24"/>
          <w:highlight w:val="none"/>
        </w:rPr>
        <w:t>应确保其受委托的本合同任务在其资质允许范围，且确保其资质真实有效。</w:t>
      </w:r>
    </w:p>
    <w:p>
      <w:pPr>
        <w:keepNext w:val="0"/>
        <w:keepLines w:val="0"/>
        <w:pageBreakBefore w:val="0"/>
        <w:widowControl/>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（6）</w:t>
      </w:r>
      <w:r>
        <w:rPr>
          <w:rFonts w:hint="eastAsia" w:ascii="Times New Roman" w:hAnsi="Times New Roman" w:cs="Times New Roman"/>
          <w:kern w:val="0"/>
          <w:sz w:val="24"/>
          <w:szCs w:val="24"/>
          <w:highlight w:val="none"/>
          <w:lang w:val="en-US" w:eastAsia="zh-CN"/>
        </w:rPr>
        <w:t>中标人</w:t>
      </w:r>
      <w:r>
        <w:rPr>
          <w:rFonts w:hint="eastAsia" w:ascii="Times New Roman" w:hAnsi="Times New Roman" w:cs="Times New Roman" w:eastAsiaTheme="minorEastAsia"/>
          <w:kern w:val="0"/>
          <w:sz w:val="24"/>
          <w:szCs w:val="24"/>
          <w:highlight w:val="none"/>
          <w:lang w:val="en-US" w:eastAsia="zh-CN"/>
        </w:rPr>
        <w:t>应</w:t>
      </w:r>
      <w:r>
        <w:rPr>
          <w:rFonts w:hint="eastAsia" w:ascii="Times New Roman" w:hAnsi="Times New Roman" w:cs="Times New Roman" w:eastAsiaTheme="minorEastAsia"/>
          <w:kern w:val="0"/>
          <w:sz w:val="24"/>
          <w:szCs w:val="24"/>
          <w:highlight w:val="none"/>
        </w:rPr>
        <w:t>向</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提供相关政策、法规的</w:t>
      </w:r>
      <w:r>
        <w:rPr>
          <w:rFonts w:hint="eastAsia" w:ascii="Times New Roman" w:hAnsi="Times New Roman" w:cs="Times New Roman"/>
          <w:kern w:val="0"/>
          <w:sz w:val="24"/>
          <w:szCs w:val="24"/>
          <w:highlight w:val="none"/>
          <w:lang w:eastAsia="zh-CN"/>
        </w:rPr>
        <w:t>免费</w:t>
      </w:r>
      <w:r>
        <w:rPr>
          <w:rFonts w:hint="eastAsia" w:ascii="Times New Roman" w:hAnsi="Times New Roman" w:cs="Times New Roman" w:eastAsiaTheme="minorEastAsia"/>
          <w:kern w:val="0"/>
          <w:sz w:val="24"/>
          <w:szCs w:val="24"/>
          <w:highlight w:val="none"/>
        </w:rPr>
        <w:t>咨询服务。</w:t>
      </w:r>
    </w:p>
    <w:p>
      <w:pPr>
        <w:keepNext w:val="0"/>
        <w:keepLines w:val="0"/>
        <w:pageBreakBefore w:val="0"/>
        <w:widowControl/>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eastAsiaTheme="minorEastAsia"/>
          <w:kern w:val="0"/>
          <w:sz w:val="24"/>
          <w:szCs w:val="24"/>
          <w:highlight w:val="none"/>
          <w:lang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7</w:t>
      </w:r>
      <w:r>
        <w:rPr>
          <w:rFonts w:hint="eastAsia" w:ascii="Times New Roman" w:hAnsi="Times New Roman" w:cs="Times New Roman"/>
          <w:kern w:val="0"/>
          <w:sz w:val="24"/>
          <w:szCs w:val="24"/>
          <w:highlight w:val="none"/>
          <w:lang w:eastAsia="zh-CN"/>
        </w:rPr>
        <w:t>）若</w:t>
      </w:r>
      <w:r>
        <w:rPr>
          <w:rFonts w:hint="eastAsia" w:ascii="Times New Roman" w:hAnsi="Times New Roman" w:cs="Times New Roman"/>
          <w:kern w:val="0"/>
          <w:sz w:val="24"/>
          <w:szCs w:val="24"/>
          <w:highlight w:val="none"/>
          <w:lang w:val="en-US" w:eastAsia="zh-CN"/>
        </w:rPr>
        <w:t>中标人</w:t>
      </w:r>
      <w:r>
        <w:rPr>
          <w:rFonts w:hint="eastAsia" w:ascii="Times New Roman" w:hAnsi="Times New Roman" w:cs="Times New Roman"/>
          <w:kern w:val="0"/>
          <w:sz w:val="24"/>
          <w:szCs w:val="24"/>
          <w:highlight w:val="none"/>
          <w:lang w:eastAsia="zh-CN"/>
        </w:rPr>
        <w:t>无法</w:t>
      </w:r>
      <w:r>
        <w:rPr>
          <w:rFonts w:hint="default" w:ascii="Times New Roman" w:hAnsi="Times New Roman" w:cs="Times New Roman"/>
          <w:kern w:val="0"/>
          <w:sz w:val="24"/>
          <w:szCs w:val="24"/>
          <w:highlight w:val="none"/>
          <w:shd w:val="clear" w:color="auto" w:fill="auto"/>
          <w:lang w:val="en-US" w:eastAsia="zh-CN"/>
        </w:rPr>
        <w:t>满足亳州市质量主管部门要求，</w:t>
      </w:r>
      <w:r>
        <w:rPr>
          <w:rFonts w:hint="eastAsia" w:ascii="Times New Roman" w:hAnsi="Times New Roman" w:cs="Times New Roman"/>
          <w:kern w:val="0"/>
          <w:sz w:val="24"/>
          <w:szCs w:val="24"/>
          <w:highlight w:val="none"/>
          <w:shd w:val="clear" w:color="auto" w:fill="auto"/>
          <w:lang w:val="en-US" w:eastAsia="zh-CN"/>
        </w:rPr>
        <w:t>以及</w:t>
      </w:r>
      <w:r>
        <w:rPr>
          <w:rFonts w:hint="default" w:ascii="Times New Roman" w:hAnsi="Times New Roman" w:cs="Times New Roman"/>
          <w:kern w:val="0"/>
          <w:sz w:val="24"/>
          <w:szCs w:val="24"/>
          <w:highlight w:val="none"/>
          <w:shd w:val="clear" w:color="auto" w:fill="auto"/>
          <w:lang w:val="en-US" w:eastAsia="zh-CN"/>
        </w:rPr>
        <w:t>检测报告</w:t>
      </w:r>
      <w:r>
        <w:rPr>
          <w:rFonts w:hint="eastAsia" w:ascii="Times New Roman" w:hAnsi="Times New Roman" w:cs="Times New Roman"/>
          <w:kern w:val="0"/>
          <w:sz w:val="24"/>
          <w:szCs w:val="24"/>
          <w:highlight w:val="none"/>
          <w:shd w:val="clear" w:color="auto" w:fill="auto"/>
          <w:lang w:val="en-US" w:eastAsia="zh-CN"/>
        </w:rPr>
        <w:t>不能</w:t>
      </w:r>
      <w:r>
        <w:rPr>
          <w:rFonts w:hint="default" w:ascii="Times New Roman" w:hAnsi="Times New Roman" w:cs="Times New Roman"/>
          <w:kern w:val="0"/>
          <w:sz w:val="24"/>
          <w:szCs w:val="24"/>
          <w:highlight w:val="none"/>
          <w:shd w:val="clear" w:color="auto" w:fill="auto"/>
          <w:lang w:val="en-US" w:eastAsia="zh-CN"/>
        </w:rPr>
        <w:t>得到亳州市质量主管部门的认可</w:t>
      </w:r>
      <w:r>
        <w:rPr>
          <w:rFonts w:hint="eastAsia" w:ascii="Times New Roman" w:hAnsi="Times New Roman" w:cs="Times New Roman"/>
          <w:kern w:val="0"/>
          <w:sz w:val="24"/>
          <w:szCs w:val="24"/>
          <w:highlight w:val="none"/>
          <w:shd w:val="clear" w:color="auto" w:fill="auto"/>
          <w:lang w:val="en-US" w:eastAsia="zh-CN"/>
        </w:rPr>
        <w:t>，发包人有权解除合同，中标人须向发包人支付</w:t>
      </w:r>
      <w:r>
        <w:rPr>
          <w:rFonts w:hint="eastAsia" w:ascii="Times New Roman" w:hAnsi="Times New Roman" w:cs="Times New Roman"/>
          <w:kern w:val="0"/>
          <w:sz w:val="24"/>
          <w:highlight w:val="none"/>
          <w:shd w:val="clear" w:color="auto" w:fill="auto"/>
        </w:rPr>
        <w:t>合同价款20%</w:t>
      </w:r>
      <w:r>
        <w:rPr>
          <w:rFonts w:hint="eastAsia" w:ascii="Times New Roman" w:hAnsi="Times New Roman" w:cs="Times New Roman"/>
          <w:kern w:val="0"/>
          <w:sz w:val="24"/>
          <w:highlight w:val="none"/>
          <w:shd w:val="clear" w:color="auto" w:fill="auto"/>
          <w:lang w:val="en-US" w:eastAsia="zh-CN"/>
        </w:rPr>
        <w:t>的</w:t>
      </w:r>
      <w:r>
        <w:rPr>
          <w:rFonts w:hint="eastAsia" w:ascii="Times New Roman" w:hAnsi="Times New Roman" w:cs="Times New Roman"/>
          <w:kern w:val="0"/>
          <w:sz w:val="24"/>
          <w:szCs w:val="24"/>
          <w:highlight w:val="none"/>
          <w:shd w:val="clear" w:color="auto" w:fill="auto"/>
          <w:lang w:val="en-US" w:eastAsia="zh-CN"/>
        </w:rPr>
        <w:t>违约金。</w:t>
      </w:r>
    </w:p>
    <w:p>
      <w:pPr>
        <w:keepNext w:val="0"/>
        <w:keepLines w:val="0"/>
        <w:pageBreakBefore w:val="0"/>
        <w:widowControl/>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6.6</w:t>
      </w:r>
      <w:r>
        <w:rPr>
          <w:rFonts w:hint="eastAsia"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val="en-US" w:eastAsia="zh-CN"/>
        </w:rPr>
        <w:t>工程量</w:t>
      </w:r>
      <w:r>
        <w:rPr>
          <w:rFonts w:hint="eastAsia" w:ascii="Times New Roman" w:hAnsi="Times New Roman" w:cs="Times New Roman"/>
          <w:kern w:val="0"/>
          <w:sz w:val="24"/>
          <w:szCs w:val="24"/>
          <w:highlight w:val="none"/>
          <w:lang w:eastAsia="zh-CN"/>
        </w:rPr>
        <w:t>清单（单位：人民币）</w:t>
      </w:r>
    </w:p>
    <w:p>
      <w:pPr>
        <w:keepNext w:val="0"/>
        <w:keepLines w:val="0"/>
        <w:pageBreakBefore w:val="0"/>
        <w:widowControl/>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szCs w:val="24"/>
          <w:highlight w:val="none"/>
          <w:lang w:eastAsia="zh-CN"/>
        </w:rPr>
      </w:pPr>
    </w:p>
    <w:p>
      <w:pPr>
        <w:keepNext w:val="0"/>
        <w:keepLines w:val="0"/>
        <w:pageBreakBefore w:val="0"/>
        <w:widowControl/>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szCs w:val="24"/>
          <w:highlight w:val="none"/>
          <w:lang w:eastAsia="zh-CN"/>
        </w:rPr>
      </w:pPr>
    </w:p>
    <w:tbl>
      <w:tblPr>
        <w:tblStyle w:val="15"/>
        <w:tblpPr w:leftFromText="180" w:rightFromText="180" w:vertAnchor="text" w:horzAnchor="page" w:tblpXSpec="center" w:tblpY="1045"/>
        <w:tblOverlap w:val="never"/>
        <w:tblW w:w="1071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77"/>
        <w:gridCol w:w="750"/>
        <w:gridCol w:w="652"/>
        <w:gridCol w:w="735"/>
        <w:gridCol w:w="840"/>
        <w:gridCol w:w="795"/>
        <w:gridCol w:w="660"/>
        <w:gridCol w:w="960"/>
        <w:gridCol w:w="825"/>
        <w:gridCol w:w="750"/>
        <w:gridCol w:w="735"/>
        <w:gridCol w:w="945"/>
        <w:gridCol w:w="900"/>
        <w:gridCol w:w="4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0719" w:type="dxa"/>
            <w:gridSpan w:val="14"/>
            <w:vMerge w:val="restar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亳州逸合府项目桩基工程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0719" w:type="dxa"/>
            <w:gridSpan w:val="14"/>
            <w:vMerge w:val="continue"/>
            <w:tcBorders>
              <w:top w:val="nil"/>
              <w:left w:val="nil"/>
              <w:bottom w:val="nil"/>
              <w:right w:val="nil"/>
            </w:tcBorders>
            <w:shd w:val="clear" w:color="auto" w:fill="auto"/>
            <w:vAlign w:val="center"/>
          </w:tcPr>
          <w:p>
            <w:pPr>
              <w:jc w:val="center"/>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6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楼号</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桩型</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总桩数(根）</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桩径（mm）</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低应变检测数量（根）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单桩承载力特征值（kN)</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单桩检测数量（根）</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复合地基承载力特征值（kPa）</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桩间距（mm)</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单桩检测数量（根）</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单桩检测单价（元/根）</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复合地基检测单价（元/根）</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低应变检测单价（元/根）</w:t>
            </w:r>
          </w:p>
        </w:tc>
        <w:tc>
          <w:tcPr>
            <w:tcW w:w="4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试验桩</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试验桩</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411</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1300*1450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411</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1300*1450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356</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1500*1500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356</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1500*1500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411</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1300*1450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411</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1300*1450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411</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1300*1450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1600*1600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411</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1300*1450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配电房-试验桩</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抗拔灌注桩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P1-配电房</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抗拔灌注桩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P2-配电房</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抗拔灌注桩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S-5配套</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抗拔灌注桩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S-6配套</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抗拔灌注桩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S-7配套</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抗拔灌注桩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S-8配套</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抗拔灌注桩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地下车库-试验桩</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抗拔灌注桩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人防地下室</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抗拔灌注桩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约400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地下车库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抗拔灌注桩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约1500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750"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652"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735"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840"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795"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660"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960"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825"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750"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735"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945"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9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bl>
    <w:p>
      <w:pPr>
        <w:keepNext w:val="0"/>
        <w:keepLines w:val="0"/>
        <w:pageBreakBefore w:val="0"/>
        <w:kinsoku/>
        <w:wordWrap/>
        <w:overflowPunct/>
        <w:topLinePunct w:val="0"/>
        <w:bidi w:val="0"/>
        <w:snapToGrid/>
        <w:spacing w:line="380" w:lineRule="atLeast"/>
        <w:textAlignment w:val="auto"/>
        <w:rPr>
          <w:rFonts w:hint="eastAsia" w:ascii="宋体" w:hAnsi="宋体" w:eastAsia="宋体" w:cs="Times New Roman"/>
          <w:b/>
          <w:bCs/>
          <w:color w:val="auto"/>
          <w:szCs w:val="21"/>
        </w:rPr>
      </w:pPr>
    </w:p>
    <w:p>
      <w:pPr>
        <w:keepNext w:val="0"/>
        <w:keepLines w:val="0"/>
        <w:pageBreakBefore w:val="0"/>
        <w:kinsoku/>
        <w:wordWrap/>
        <w:overflowPunct/>
        <w:topLinePunct w:val="0"/>
        <w:bidi w:val="0"/>
        <w:snapToGrid/>
        <w:spacing w:line="380" w:lineRule="atLeast"/>
        <w:ind w:firstLine="316" w:firstLineChars="150"/>
        <w:textAlignment w:val="auto"/>
        <w:rPr>
          <w:rFonts w:hint="default" w:ascii="宋体" w:hAnsi="宋体" w:eastAsia="宋体" w:cs="Times New Roman"/>
          <w:b/>
          <w:bCs/>
          <w:color w:val="auto"/>
          <w:szCs w:val="21"/>
          <w:lang w:val="en-US" w:eastAsia="zh-CN"/>
        </w:rPr>
      </w:pPr>
      <w:r>
        <w:rPr>
          <w:rFonts w:hint="eastAsia" w:ascii="宋体" w:hAnsi="宋体" w:eastAsia="宋体" w:cs="Times New Roman"/>
          <w:b/>
          <w:bCs/>
          <w:color w:val="auto"/>
          <w:szCs w:val="21"/>
        </w:rPr>
        <w:t>注</w:t>
      </w:r>
      <w:r>
        <w:rPr>
          <w:rFonts w:ascii="宋体" w:hAnsi="宋体" w:eastAsia="宋体" w:cs="Times New Roman"/>
          <w:b/>
          <w:bCs/>
          <w:color w:val="auto"/>
          <w:szCs w:val="21"/>
        </w:rPr>
        <w:t>:</w:t>
      </w:r>
      <w:r>
        <w:rPr>
          <w:rFonts w:hint="eastAsia" w:ascii="宋体" w:hAnsi="宋体" w:eastAsia="宋体" w:cs="Times New Roman"/>
          <w:b/>
          <w:bCs/>
          <w:color w:val="auto"/>
          <w:szCs w:val="21"/>
        </w:rPr>
        <w:t>（</w:t>
      </w:r>
      <w:r>
        <w:rPr>
          <w:rFonts w:ascii="宋体" w:hAnsi="宋体" w:eastAsia="宋体" w:cs="Times New Roman"/>
          <w:b/>
          <w:bCs/>
          <w:color w:val="auto"/>
          <w:szCs w:val="21"/>
        </w:rPr>
        <w:t>1</w:t>
      </w:r>
      <w:r>
        <w:rPr>
          <w:rFonts w:hint="eastAsia" w:ascii="宋体" w:hAnsi="宋体" w:eastAsia="宋体" w:cs="Times New Roman"/>
          <w:b/>
          <w:bCs/>
          <w:color w:val="auto"/>
          <w:szCs w:val="21"/>
        </w:rPr>
        <w:t>）本</w:t>
      </w:r>
      <w:r>
        <w:rPr>
          <w:rFonts w:hint="eastAsia" w:ascii="宋体" w:hAnsi="宋体" w:eastAsia="宋体" w:cs="Times New Roman"/>
          <w:b/>
          <w:bCs/>
          <w:color w:val="auto"/>
          <w:szCs w:val="21"/>
          <w:lang w:val="en-US" w:eastAsia="zh-CN"/>
        </w:rPr>
        <w:t>项目</w:t>
      </w:r>
      <w:r>
        <w:rPr>
          <w:rFonts w:hint="eastAsia" w:ascii="宋体" w:hAnsi="宋体" w:eastAsia="宋体" w:cs="Times New Roman"/>
          <w:b/>
          <w:bCs/>
          <w:color w:val="auto"/>
          <w:szCs w:val="21"/>
        </w:rPr>
        <w:t>采用全费用综合单价计价，单价包死不调，总价据实结算。</w:t>
      </w:r>
    </w:p>
    <w:p>
      <w:pPr>
        <w:keepNext w:val="0"/>
        <w:keepLines w:val="0"/>
        <w:pageBreakBefore w:val="0"/>
        <w:widowControl/>
        <w:kinsoku/>
        <w:wordWrap w:val="0"/>
        <w:overflowPunct/>
        <w:topLinePunct w:val="0"/>
        <w:autoSpaceDE/>
        <w:autoSpaceDN/>
        <w:bidi w:val="0"/>
        <w:adjustRightInd/>
        <w:snapToGrid/>
        <w:spacing w:line="440" w:lineRule="exact"/>
        <w:ind w:firstLine="422" w:firstLineChars="200"/>
        <w:jc w:val="left"/>
        <w:textAlignment w:val="auto"/>
        <w:rPr>
          <w:rFonts w:hint="eastAsia" w:ascii="Times New Roman" w:hAnsi="Times New Roman" w:cs="Times New Roman"/>
          <w:kern w:val="0"/>
          <w:sz w:val="24"/>
          <w:szCs w:val="24"/>
          <w:highlight w:val="none"/>
          <w:lang w:val="en-US" w:eastAsia="zh-CN"/>
        </w:rPr>
      </w:pPr>
      <w:r>
        <w:rPr>
          <w:rFonts w:hint="eastAsia" w:ascii="宋体" w:hAnsi="宋体" w:eastAsia="宋体" w:cs="Times New Roman"/>
          <w:b/>
          <w:bCs/>
          <w:color w:val="auto"/>
          <w:szCs w:val="21"/>
        </w:rPr>
        <w:t>单价包含但不限于人工费、材料费、机械费、企业管理费、利润、规费、税金以及项目实施过程中可能产生的设备</w:t>
      </w:r>
      <w:r>
        <w:rPr>
          <w:rFonts w:hint="eastAsia" w:ascii="宋体" w:hAnsi="宋体" w:eastAsia="宋体" w:cs="Times New Roman"/>
          <w:b/>
          <w:bCs/>
          <w:color w:val="auto"/>
          <w:szCs w:val="21"/>
          <w:lang w:eastAsia="zh-CN"/>
        </w:rPr>
        <w:t>（</w:t>
      </w:r>
      <w:r>
        <w:rPr>
          <w:rFonts w:hint="eastAsia" w:ascii="宋体" w:hAnsi="宋体" w:eastAsia="宋体" w:cs="Times New Roman"/>
          <w:b/>
          <w:bCs/>
          <w:color w:val="auto"/>
          <w:szCs w:val="21"/>
          <w:lang w:val="en-US" w:eastAsia="zh-CN"/>
        </w:rPr>
        <w:t>含大型机械）</w:t>
      </w:r>
      <w:r>
        <w:rPr>
          <w:rFonts w:hint="eastAsia" w:ascii="宋体" w:hAnsi="宋体" w:eastAsia="宋体" w:cs="Times New Roman"/>
          <w:b/>
          <w:bCs/>
          <w:color w:val="auto"/>
          <w:szCs w:val="21"/>
        </w:rPr>
        <w:t>安拆、挪移、涉及第三方的技术指导、咨询、人员出场、差旅</w:t>
      </w:r>
      <w:r>
        <w:rPr>
          <w:rFonts w:hint="eastAsia" w:ascii="宋体" w:hAnsi="宋体" w:eastAsia="宋体" w:cs="Times New Roman"/>
          <w:b/>
          <w:bCs/>
          <w:color w:val="auto"/>
          <w:szCs w:val="21"/>
          <w:lang w:val="en-US" w:eastAsia="zh-CN"/>
        </w:rPr>
        <w:t>食宿</w:t>
      </w:r>
      <w:r>
        <w:rPr>
          <w:rFonts w:hint="eastAsia" w:ascii="宋体" w:hAnsi="宋体" w:eastAsia="宋体" w:cs="Times New Roman"/>
          <w:b/>
          <w:bCs/>
          <w:color w:val="auto"/>
          <w:szCs w:val="21"/>
        </w:rPr>
        <w:t>等费用。</w:t>
      </w:r>
      <w:permEnd w:id="80"/>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379" w:name="_Toc144974856"/>
      <w:bookmarkStart w:id="380" w:name="_Toc247527827"/>
      <w:bookmarkStart w:id="381" w:name="_Toc247514246"/>
      <w:bookmarkStart w:id="382" w:name="_Toc152045787"/>
      <w:bookmarkStart w:id="383" w:name="_Toc300835209"/>
      <w:bookmarkStart w:id="384" w:name="_Toc152042576"/>
      <w:r>
        <w:rPr>
          <w:rFonts w:hint="default" w:ascii="Times New Roman" w:hAnsi="Times New Roman" w:cs="Times New Roman"/>
        </w:rPr>
        <w:t>目    录</w:t>
      </w:r>
      <w:bookmarkEnd w:id="379"/>
      <w:bookmarkEnd w:id="380"/>
      <w:bookmarkEnd w:id="381"/>
      <w:bookmarkEnd w:id="382"/>
      <w:bookmarkEnd w:id="383"/>
      <w:bookmarkEnd w:id="384"/>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val="en-US"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四、服务费用清单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六、服务方案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eastAsia="黑体" w:cs="Times New Roman"/>
          <w:sz w:val="20"/>
          <w:szCs w:val="20"/>
        </w:rPr>
      </w:pPr>
      <w:bookmarkStart w:id="385" w:name="_Toc152042577"/>
      <w:bookmarkStart w:id="386" w:name="_Toc152045788"/>
      <w:bookmarkStart w:id="387" w:name="_Toc144974857"/>
      <w:bookmarkStart w:id="388" w:name="_Toc300835210"/>
      <w:bookmarkStart w:id="389" w:name="_Toc247527828"/>
      <w:bookmarkStart w:id="390" w:name="_Toc247514247"/>
      <w:r>
        <w:rPr>
          <w:rFonts w:hint="default" w:ascii="Times New Roman" w:hAnsi="Times New Roman" w:cs="Times New Roman"/>
        </w:rPr>
        <w:t>一、投标函及投标函附录</w:t>
      </w:r>
      <w:bookmarkEnd w:id="385"/>
      <w:bookmarkEnd w:id="386"/>
      <w:bookmarkEnd w:id="387"/>
      <w:bookmarkEnd w:id="388"/>
      <w:bookmarkEnd w:id="389"/>
      <w:bookmarkEnd w:id="390"/>
    </w:p>
    <w:p>
      <w:pPr>
        <w:spacing w:line="440" w:lineRule="exact"/>
        <w:rPr>
          <w:rFonts w:hint="default" w:ascii="Times New Roman" w:hAnsi="Times New Roman" w:cs="Times New Roman" w:eastAsiaTheme="minorEastAsia"/>
          <w:sz w:val="20"/>
          <w:szCs w:val="20"/>
          <w:lang w:val="en-US" w:eastAsia="zh-CN"/>
        </w:rPr>
      </w:pPr>
      <w:bookmarkStart w:id="391" w:name="_Toc300835212"/>
      <w:bookmarkStart w:id="392" w:name="_Toc152042579"/>
      <w:bookmarkStart w:id="393" w:name="_Toc247527830"/>
      <w:bookmarkStart w:id="394" w:name="_Toc144974859"/>
      <w:bookmarkStart w:id="395" w:name="_Toc247514249"/>
      <w:bookmarkStart w:id="396" w:name="_Toc152045790"/>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招标项目招标文件的全部内容，愿意以</w:t>
      </w:r>
      <w:permStart w:id="81"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的投标总报价（其中，增值税税率为</w:t>
      </w:r>
      <w:r>
        <w:rPr>
          <w:rFonts w:hint="eastAsia" w:ascii="Times New Roman" w:hAnsi="Times New Roman" w:cs="Times New Roman"/>
          <w:szCs w:val="21"/>
          <w:u w:val="single"/>
          <w:lang w:val="en-US" w:eastAsia="zh-CN"/>
        </w:rPr>
        <w:t>6%</w:t>
      </w:r>
      <w:r>
        <w:rPr>
          <w:rFonts w:hint="eastAsia" w:ascii="Times New Roman" w:hAnsi="Times New Roman" w:cs="Times New Roman"/>
          <w:szCs w:val="21"/>
          <w:lang w:val="en-US" w:eastAsia="zh-CN"/>
        </w:rPr>
        <w:t>）</w:t>
      </w:r>
      <w:permEnd w:id="81"/>
      <w:r>
        <w:rPr>
          <w:rFonts w:hint="eastAsia" w:ascii="Times New Roman" w:hAnsi="Times New Roman" w:cs="Times New Roman"/>
          <w:szCs w:val="21"/>
          <w:lang w:val="en-US" w:eastAsia="zh-CN"/>
        </w:rPr>
        <w:t>，服务期限：</w:t>
      </w:r>
      <w:permStart w:id="82" w:edGrp="everyone"/>
      <w:r>
        <w:rPr>
          <w:rFonts w:hint="default" w:ascii="Times New Roman" w:hAnsi="Times New Roman" w:cs="Times New Roman" w:eastAsiaTheme="minorEastAsia"/>
          <w:color w:val="auto"/>
          <w:sz w:val="21"/>
          <w:szCs w:val="21"/>
          <w:highlight w:val="none"/>
          <w:u w:val="single"/>
          <w:lang w:val="en-US" w:eastAsia="zh-CN"/>
        </w:rPr>
        <w:t>试桩检测7天，工程桩</w:t>
      </w:r>
      <w:r>
        <w:rPr>
          <w:rFonts w:hint="default" w:ascii="Times New Roman" w:hAnsi="Times New Roman" w:cs="Times New Roman"/>
          <w:color w:val="auto"/>
          <w:sz w:val="21"/>
          <w:szCs w:val="21"/>
          <w:highlight w:val="none"/>
          <w:u w:val="single"/>
          <w:lang w:val="en-US" w:eastAsia="zh-CN"/>
        </w:rPr>
        <w:t>检测7</w:t>
      </w:r>
      <w:r>
        <w:rPr>
          <w:rFonts w:hint="default" w:ascii="Times New Roman" w:hAnsi="Times New Roman" w:cs="Times New Roman" w:eastAsiaTheme="minorEastAsia"/>
          <w:color w:val="auto"/>
          <w:sz w:val="21"/>
          <w:szCs w:val="21"/>
          <w:highlight w:val="none"/>
          <w:u w:val="single"/>
          <w:lang w:val="en-US" w:eastAsia="zh-CN"/>
        </w:rPr>
        <w:t>天</w:t>
      </w:r>
      <w:r>
        <w:rPr>
          <w:rFonts w:hint="default" w:ascii="Times New Roman" w:hAnsi="Times New Roman" w:cs="Times New Roman"/>
          <w:color w:val="auto"/>
          <w:sz w:val="21"/>
          <w:szCs w:val="21"/>
          <w:highlight w:val="none"/>
          <w:u w:val="single"/>
          <w:lang w:val="en-US" w:eastAsia="zh-CN"/>
        </w:rPr>
        <w:t>一栋楼；分阶段实施，具体以现场工程部要求为主</w:t>
      </w:r>
      <w:permEnd w:id="82"/>
      <w:r>
        <w:rPr>
          <w:rFonts w:hint="eastAsia" w:ascii="Times New Roman" w:hAnsi="Times New Roman" w:cs="Times New Roman"/>
          <w:szCs w:val="21"/>
          <w:u w:val="none"/>
          <w:lang w:val="en-US" w:eastAsia="zh-CN"/>
        </w:rPr>
        <w:t>，按合同约定完成本项全部工作。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（1）投标函及投标函附录；（2）法定代表人身份证明或授权委托书；（3）联合体协议书（如有）；（4）投标保证金（如有）；（5）服务费用清单；（6）资格审查资料；（7）服务方案；（8）其他资料；.......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391"/>
    <w:bookmarkEnd w:id="392"/>
    <w:bookmarkEnd w:id="393"/>
    <w:bookmarkEnd w:id="394"/>
    <w:bookmarkEnd w:id="395"/>
    <w:bookmarkEnd w:id="396"/>
    <w:p>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pPr>
        <w:spacing w:line="440" w:lineRule="exact"/>
        <w:rPr>
          <w:rFonts w:hint="eastAsia" w:ascii="Times New Roman" w:hAnsi="Times New Roman" w:cs="Times New Roman" w:eastAsiaTheme="minorEastAsia"/>
          <w:sz w:val="20"/>
          <w:szCs w:val="20"/>
          <w:lang w:eastAsia="zh-CN"/>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3702"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1984" w:type="dxa"/>
            <w:vAlign w:val="center"/>
          </w:tcPr>
          <w:p>
            <w:pPr>
              <w:spacing w:line="440" w:lineRule="exact"/>
              <w:jc w:val="both"/>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服务期限</w:t>
            </w:r>
          </w:p>
        </w:tc>
        <w:tc>
          <w:tcPr>
            <w:tcW w:w="1984" w:type="dxa"/>
            <w:vAlign w:val="center"/>
          </w:tcPr>
          <w:p>
            <w:pPr>
              <w:spacing w:line="440" w:lineRule="exact"/>
              <w:jc w:val="both"/>
              <w:rPr>
                <w:rFonts w:hint="default" w:ascii="Times New Roman" w:hAnsi="Times New Roman" w:cs="Times New Roman" w:eastAsiaTheme="minorEastAsia"/>
                <w:sz w:val="20"/>
                <w:szCs w:val="20"/>
                <w:u w:val="none"/>
                <w:vertAlign w:val="baseline"/>
                <w:lang w:val="en-US" w:eastAsia="zh-CN"/>
              </w:rPr>
            </w:pPr>
            <w:r>
              <w:rPr>
                <w:rFonts w:hint="eastAsia" w:ascii="Times New Roman" w:hAnsi="Times New Roman" w:cs="Times New Roman" w:eastAsiaTheme="minorEastAsia"/>
                <w:sz w:val="20"/>
                <w:szCs w:val="20"/>
                <w:u w:val="none"/>
                <w:lang w:val="en-US" w:eastAsia="zh-CN"/>
              </w:rPr>
              <w:t>试桩检测7天，工程桩</w:t>
            </w:r>
            <w:r>
              <w:rPr>
                <w:rFonts w:hint="eastAsia" w:ascii="Times New Roman" w:hAnsi="Times New Roman" w:cs="Times New Roman"/>
                <w:sz w:val="20"/>
                <w:szCs w:val="20"/>
                <w:u w:val="none"/>
                <w:lang w:val="en-US" w:eastAsia="zh-CN"/>
              </w:rPr>
              <w:t>检测7</w:t>
            </w:r>
            <w:r>
              <w:rPr>
                <w:rFonts w:hint="eastAsia" w:ascii="Times New Roman" w:hAnsi="Times New Roman" w:cs="Times New Roman" w:eastAsiaTheme="minorEastAsia"/>
                <w:sz w:val="20"/>
                <w:szCs w:val="20"/>
                <w:u w:val="none"/>
                <w:lang w:val="en-US" w:eastAsia="zh-CN"/>
              </w:rPr>
              <w:t>天</w:t>
            </w:r>
            <w:r>
              <w:rPr>
                <w:rFonts w:hint="eastAsia" w:ascii="Times New Roman" w:hAnsi="Times New Roman" w:cs="Times New Roman"/>
                <w:sz w:val="20"/>
                <w:szCs w:val="20"/>
                <w:u w:val="none"/>
                <w:lang w:val="en-US" w:eastAsia="zh-CN"/>
              </w:rPr>
              <w:t>一栋楼；分阶段实施，具体以现场工程部要求为主。</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bl>
    <w:p>
      <w:pPr>
        <w:spacing w:line="440" w:lineRule="exact"/>
        <w:rPr>
          <w:rFonts w:hint="eastAsia" w:ascii="Times New Roman" w:hAnsi="Times New Roman" w:cs="Times New Roman" w:eastAsiaTheme="minorEastAsia"/>
          <w:sz w:val="20"/>
          <w:szCs w:val="20"/>
          <w:lang w:eastAsia="zh-CN"/>
        </w:rPr>
      </w:pPr>
    </w:p>
    <w:p>
      <w:pPr>
        <w:spacing w:line="440" w:lineRule="exact"/>
        <w:rPr>
          <w:rFonts w:hint="eastAsia" w:ascii="Times New Roman" w:hAnsi="Times New Roman" w:cs="Times New Roman" w:eastAsiaTheme="minorEastAsia"/>
          <w:sz w:val="20"/>
          <w:szCs w:val="20"/>
          <w:lang w:eastAsia="zh-CN"/>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eastAsia" w:ascii="Times New Roman" w:hAnsi="Times New Roman" w:cs="Times New Roman" w:eastAsiaTheme="minorEastAsia"/>
          <w:sz w:val="20"/>
          <w:szCs w:val="20"/>
          <w:lang w:eastAsia="zh-CN"/>
        </w:rPr>
      </w:pPr>
    </w:p>
    <w:p>
      <w:pPr>
        <w:spacing w:line="440" w:lineRule="exact"/>
        <w:rPr>
          <w:rFonts w:hint="default" w:ascii="Times New Roman" w:hAnsi="Times New Roman" w:cs="Times New Roman"/>
          <w:szCs w:val="21"/>
        </w:rPr>
      </w:pPr>
    </w:p>
    <w:p>
      <w:pPr>
        <w:rPr>
          <w:rFonts w:hint="default" w:ascii="Times New Roman" w:hAnsi="Times New Roman" w:cs="Times New Roman"/>
        </w:rPr>
      </w:pPr>
      <w:bookmarkStart w:id="397" w:name="_Toc247527831"/>
      <w:bookmarkStart w:id="398" w:name="_Toc144974860"/>
      <w:bookmarkStart w:id="399" w:name="_Toc300835213"/>
      <w:bookmarkStart w:id="400" w:name="_Toc247514283"/>
      <w:bookmarkStart w:id="401" w:name="_Toc152045791"/>
      <w:bookmarkStart w:id="402" w:name="_Toc152042580"/>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397"/>
      <w:bookmarkEnd w:id="398"/>
      <w:bookmarkEnd w:id="399"/>
      <w:bookmarkEnd w:id="400"/>
      <w:bookmarkEnd w:id="401"/>
      <w:bookmarkEnd w:id="402"/>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03" w:name="_Toc152042581"/>
      <w:bookmarkStart w:id="404" w:name="_Toc152045792"/>
      <w:bookmarkStart w:id="405" w:name="_Toc144974861"/>
      <w:bookmarkStart w:id="406" w:name="_Toc300835214"/>
      <w:bookmarkStart w:id="407" w:name="_Toc247527832"/>
      <w:bookmarkStart w:id="408" w:name="_Toc247514284"/>
      <w:r>
        <w:rPr>
          <w:rFonts w:hint="default" w:ascii="Times New Roman" w:hAnsi="Times New Roman" w:cs="Times New Roman"/>
        </w:rPr>
        <w:t>二、授权委托书</w:t>
      </w:r>
      <w:bookmarkEnd w:id="403"/>
      <w:bookmarkEnd w:id="404"/>
      <w:bookmarkEnd w:id="405"/>
      <w:bookmarkEnd w:id="406"/>
      <w:bookmarkEnd w:id="407"/>
      <w:bookmarkEnd w:id="408"/>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409" w:name="_Toc144974862"/>
      <w:bookmarkStart w:id="410" w:name="_Toc247514286"/>
      <w:bookmarkStart w:id="411" w:name="_Toc247527834"/>
      <w:bookmarkStart w:id="412" w:name="_Toc152045794"/>
      <w:bookmarkStart w:id="413" w:name="_Toc300835216"/>
      <w:bookmarkStart w:id="414" w:name="_Toc152042583"/>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409"/>
      <w:bookmarkEnd w:id="410"/>
      <w:bookmarkEnd w:id="411"/>
      <w:bookmarkEnd w:id="412"/>
      <w:bookmarkEnd w:id="413"/>
      <w:bookmarkEnd w:id="414"/>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15"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15"/>
    <w:p>
      <w:pPr>
        <w:rPr>
          <w:rFonts w:hint="default" w:ascii="Times New Roman" w:hAnsi="Times New Roman" w:cs="Times New Roman"/>
        </w:rPr>
      </w:pPr>
      <w:bookmarkStart w:id="416" w:name="_Toc247527835"/>
      <w:bookmarkStart w:id="417" w:name="_Toc300835218"/>
      <w:bookmarkStart w:id="418" w:name="_Toc152042584"/>
      <w:bookmarkStart w:id="419" w:name="_Toc152045795"/>
      <w:bookmarkStart w:id="420" w:name="_Toc144974863"/>
      <w:bookmarkStart w:id="421" w:name="_Toc247514287"/>
      <w:r>
        <w:rPr>
          <w:rFonts w:hint="default" w:ascii="Times New Roman" w:hAnsi="Times New Roman" w:cs="Times New Roman"/>
        </w:rPr>
        <w:br w:type="page"/>
      </w:r>
    </w:p>
    <w:p>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16"/>
      <w:bookmarkEnd w:id="417"/>
      <w:bookmarkEnd w:id="418"/>
      <w:bookmarkEnd w:id="419"/>
      <w:bookmarkEnd w:id="420"/>
      <w:bookmarkEnd w:id="421"/>
      <w:r>
        <w:rPr>
          <w:rFonts w:hint="eastAsia" w:ascii="Times New Roman" w:hAnsi="Times New Roman" w:cs="Times New Roman"/>
          <w:lang w:val="en-US" w:eastAsia="zh-CN"/>
        </w:rPr>
        <w:t>服务费用清单</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1.服务费用清单说明</w:t>
      </w:r>
    </w:p>
    <w:p>
      <w:pPr>
        <w:rPr>
          <w:rFonts w:hint="eastAsia" w:ascii="Times New Roman" w:hAnsi="Times New Roman" w:cs="Times New Roman"/>
          <w:lang w:val="en-US" w:eastAsia="zh-CN"/>
        </w:rPr>
      </w:pPr>
    </w:p>
    <w:p>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2.费用清单</w:t>
      </w:r>
    </w:p>
    <w:p>
      <w:pPr>
        <w:rPr>
          <w:rFonts w:hint="default" w:ascii="Times New Roman" w:hAnsi="Times New Roman" w:cs="Times New Roman"/>
          <w:lang w:val="en-US" w:eastAsia="zh-CN"/>
        </w:rPr>
      </w:pPr>
    </w:p>
    <w:p>
      <w:pPr>
        <w:jc w:val="right"/>
        <w:rPr>
          <w:rFonts w:hint="default" w:ascii="Times New Roman" w:hAnsi="Times New Roman" w:cs="Times New Roman"/>
          <w:lang w:val="en-US" w:eastAsia="zh-CN"/>
        </w:rPr>
      </w:pPr>
      <w:r>
        <w:rPr>
          <w:rFonts w:hint="eastAsia" w:ascii="Times New Roman" w:hAnsi="Times New Roman" w:cs="Times New Roman"/>
          <w:lang w:val="en-US" w:eastAsia="zh-CN"/>
        </w:rPr>
        <w:t>单位：人民币元</w:t>
      </w:r>
    </w:p>
    <w:tbl>
      <w:tblPr>
        <w:tblStyle w:val="15"/>
        <w:tblpPr w:leftFromText="180" w:rightFromText="180" w:vertAnchor="text" w:horzAnchor="page" w:tblpXSpec="center" w:tblpY="1045"/>
        <w:tblOverlap w:val="never"/>
        <w:tblW w:w="963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89"/>
        <w:gridCol w:w="648"/>
        <w:gridCol w:w="575"/>
        <w:gridCol w:w="596"/>
        <w:gridCol w:w="722"/>
        <w:gridCol w:w="746"/>
        <w:gridCol w:w="673"/>
        <w:gridCol w:w="831"/>
        <w:gridCol w:w="697"/>
        <w:gridCol w:w="746"/>
        <w:gridCol w:w="722"/>
        <w:gridCol w:w="758"/>
        <w:gridCol w:w="710"/>
        <w:gridCol w:w="6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1184" w:type="dxa"/>
            <w:gridSpan w:val="14"/>
            <w:vMerge w:val="restar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bookmarkStart w:id="422" w:name="_Toc300835221"/>
            <w:bookmarkStart w:id="423" w:name="_Toc152042585"/>
            <w:bookmarkStart w:id="424" w:name="_Toc152045796"/>
            <w:bookmarkStart w:id="425" w:name="_Toc247527836"/>
            <w:bookmarkStart w:id="426" w:name="_Toc144974864"/>
            <w:bookmarkStart w:id="427" w:name="_Toc247514288"/>
            <w:r>
              <w:rPr>
                <w:rFonts w:hint="eastAsia" w:ascii="宋体" w:hAnsi="宋体" w:eastAsia="宋体" w:cs="宋体"/>
                <w:b/>
                <w:bCs/>
                <w:i w:val="0"/>
                <w:iCs w:val="0"/>
                <w:color w:val="000000"/>
                <w:kern w:val="0"/>
                <w:sz w:val="22"/>
                <w:szCs w:val="22"/>
                <w:u w:val="none"/>
                <w:lang w:val="en-US" w:eastAsia="zh-CN" w:bidi="ar"/>
              </w:rPr>
              <w:t>亳州逸合府项目桩基工程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11184" w:type="dxa"/>
            <w:gridSpan w:val="14"/>
            <w:vMerge w:val="continue"/>
            <w:tcBorders>
              <w:top w:val="nil"/>
              <w:left w:val="nil"/>
              <w:bottom w:val="nil"/>
              <w:right w:val="nil"/>
            </w:tcBorders>
            <w:shd w:val="clear" w:color="auto" w:fill="auto"/>
            <w:vAlign w:val="center"/>
          </w:tcPr>
          <w:p>
            <w:pPr>
              <w:jc w:val="center"/>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楼号</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桩型</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总桩数(根）</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桩径（mm）</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低应变检测数量（根）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单桩承载力特征值（kN)</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单桩检测数量（根）</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复合地基承载力特征值（kPa）</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桩间距（mm)</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单桩检测数量（根）</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单桩检测单价（元/根）</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复合地基检测单价（元/根）</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低应变检测单价（元/根）</w:t>
            </w:r>
          </w:p>
        </w:tc>
        <w:tc>
          <w:tcPr>
            <w:tcW w:w="72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试验桩</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试验桩</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411</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1300*1450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411</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1300*1450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356</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1500*1500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356</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1500*1500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411</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1300*1450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411</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1300*1450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411</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1300*1450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315</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1600*1600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411</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1300*1450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265</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265</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265</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265</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265</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配电房-试验桩</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抗拔灌注桩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P1-配电房</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抗拔灌注桩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P2-配电房</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抗拔灌注桩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S-5配套</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抗拔灌注桩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S-6配套</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抗拔灌注桩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S-7配套</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抗拔灌注桩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S-8配套</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抗拔灌注桩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地下车库-试验桩</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抗拔灌注桩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人防地下室</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抗拔灌注桩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约400</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地下车库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抗拔灌注桩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约1500</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750"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658"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684"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840"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870"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780"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975"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810"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870"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840"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885"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825"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720"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bl>
    <w:p>
      <w:pPr>
        <w:keepNext w:val="0"/>
        <w:keepLines w:val="0"/>
        <w:pageBreakBefore w:val="0"/>
        <w:kinsoku/>
        <w:wordWrap/>
        <w:overflowPunct/>
        <w:topLinePunct w:val="0"/>
        <w:bidi w:val="0"/>
        <w:snapToGrid/>
        <w:spacing w:line="380" w:lineRule="atLeast"/>
        <w:textAlignment w:val="auto"/>
        <w:rPr>
          <w:rFonts w:hint="eastAsia" w:ascii="宋体" w:hAnsi="宋体" w:eastAsia="宋体" w:cs="Times New Roman"/>
          <w:b/>
          <w:bCs/>
          <w:color w:val="auto"/>
          <w:szCs w:val="21"/>
        </w:rPr>
      </w:pPr>
    </w:p>
    <w:p>
      <w:pPr>
        <w:keepNext w:val="0"/>
        <w:keepLines w:val="0"/>
        <w:pageBreakBefore w:val="0"/>
        <w:kinsoku/>
        <w:wordWrap/>
        <w:overflowPunct/>
        <w:topLinePunct w:val="0"/>
        <w:bidi w:val="0"/>
        <w:snapToGrid/>
        <w:spacing w:line="380" w:lineRule="atLeast"/>
        <w:ind w:firstLine="316" w:firstLineChars="150"/>
        <w:textAlignment w:val="auto"/>
        <w:rPr>
          <w:rFonts w:hint="default" w:ascii="宋体" w:hAnsi="宋体" w:eastAsia="宋体" w:cs="Times New Roman"/>
          <w:b/>
          <w:bCs/>
          <w:color w:val="auto"/>
          <w:szCs w:val="21"/>
          <w:lang w:val="en-US" w:eastAsia="zh-CN"/>
        </w:rPr>
      </w:pPr>
      <w:r>
        <w:rPr>
          <w:rFonts w:hint="eastAsia" w:ascii="宋体" w:hAnsi="宋体" w:eastAsia="宋体" w:cs="Times New Roman"/>
          <w:b/>
          <w:bCs/>
          <w:color w:val="auto"/>
          <w:szCs w:val="21"/>
        </w:rPr>
        <w:t>注</w:t>
      </w:r>
      <w:r>
        <w:rPr>
          <w:rFonts w:ascii="宋体" w:hAnsi="宋体" w:eastAsia="宋体" w:cs="Times New Roman"/>
          <w:b/>
          <w:bCs/>
          <w:color w:val="auto"/>
          <w:szCs w:val="21"/>
        </w:rPr>
        <w:t>:</w:t>
      </w:r>
      <w:r>
        <w:rPr>
          <w:rFonts w:hint="eastAsia" w:ascii="宋体" w:hAnsi="宋体" w:eastAsia="宋体" w:cs="Times New Roman"/>
          <w:b/>
          <w:bCs/>
          <w:color w:val="auto"/>
          <w:szCs w:val="21"/>
        </w:rPr>
        <w:t>（</w:t>
      </w:r>
      <w:r>
        <w:rPr>
          <w:rFonts w:ascii="宋体" w:hAnsi="宋体" w:eastAsia="宋体" w:cs="Times New Roman"/>
          <w:b/>
          <w:bCs/>
          <w:color w:val="auto"/>
          <w:szCs w:val="21"/>
        </w:rPr>
        <w:t>1</w:t>
      </w:r>
      <w:r>
        <w:rPr>
          <w:rFonts w:hint="eastAsia" w:ascii="宋体" w:hAnsi="宋体" w:eastAsia="宋体" w:cs="Times New Roman"/>
          <w:b/>
          <w:bCs/>
          <w:color w:val="auto"/>
          <w:szCs w:val="21"/>
        </w:rPr>
        <w:t>）本</w:t>
      </w:r>
      <w:r>
        <w:rPr>
          <w:rFonts w:hint="eastAsia" w:ascii="宋体" w:hAnsi="宋体" w:eastAsia="宋体" w:cs="Times New Roman"/>
          <w:b/>
          <w:bCs/>
          <w:color w:val="auto"/>
          <w:szCs w:val="21"/>
          <w:lang w:val="en-US" w:eastAsia="zh-CN"/>
        </w:rPr>
        <w:t>项目</w:t>
      </w:r>
      <w:r>
        <w:rPr>
          <w:rFonts w:hint="eastAsia" w:ascii="宋体" w:hAnsi="宋体" w:eastAsia="宋体" w:cs="Times New Roman"/>
          <w:b/>
          <w:bCs/>
          <w:color w:val="auto"/>
          <w:szCs w:val="21"/>
        </w:rPr>
        <w:t>采用全费用综合单价计价，单价包死不调，总价据实结算。</w:t>
      </w:r>
    </w:p>
    <w:p>
      <w:pPr>
        <w:rPr>
          <w:rFonts w:hint="default" w:ascii="Times New Roman" w:hAnsi="Times New Roman" w:cs="Times New Roman"/>
        </w:rPr>
      </w:pPr>
      <w:r>
        <w:rPr>
          <w:rFonts w:hint="eastAsia" w:ascii="宋体" w:hAnsi="宋体" w:eastAsia="宋体" w:cs="Times New Roman"/>
          <w:b/>
          <w:bCs/>
          <w:color w:val="auto"/>
          <w:szCs w:val="21"/>
        </w:rPr>
        <w:t>单价包含但不限于人工费、材料费、机械费、企业管理费、利润、规费、税金以及项目实施过程中可能产生的设备</w:t>
      </w:r>
      <w:r>
        <w:rPr>
          <w:rFonts w:hint="eastAsia" w:ascii="宋体" w:hAnsi="宋体" w:eastAsia="宋体" w:cs="Times New Roman"/>
          <w:b/>
          <w:bCs/>
          <w:color w:val="auto"/>
          <w:szCs w:val="21"/>
          <w:lang w:eastAsia="zh-CN"/>
        </w:rPr>
        <w:t>（</w:t>
      </w:r>
      <w:r>
        <w:rPr>
          <w:rFonts w:hint="eastAsia" w:ascii="宋体" w:hAnsi="宋体" w:eastAsia="宋体" w:cs="Times New Roman"/>
          <w:b/>
          <w:bCs/>
          <w:color w:val="auto"/>
          <w:szCs w:val="21"/>
          <w:lang w:val="en-US" w:eastAsia="zh-CN"/>
        </w:rPr>
        <w:t>含大型机械）</w:t>
      </w:r>
      <w:r>
        <w:rPr>
          <w:rFonts w:hint="eastAsia" w:ascii="宋体" w:hAnsi="宋体" w:eastAsia="宋体" w:cs="Times New Roman"/>
          <w:b/>
          <w:bCs/>
          <w:color w:val="auto"/>
          <w:szCs w:val="21"/>
        </w:rPr>
        <w:t>安拆、挪移、涉及第三方的技术指导、咨询、人员出场、差旅</w:t>
      </w:r>
      <w:r>
        <w:rPr>
          <w:rFonts w:hint="eastAsia" w:ascii="宋体" w:hAnsi="宋体" w:eastAsia="宋体" w:cs="Times New Roman"/>
          <w:b/>
          <w:bCs/>
          <w:color w:val="auto"/>
          <w:szCs w:val="21"/>
          <w:lang w:val="en-US" w:eastAsia="zh-CN"/>
        </w:rPr>
        <w:t>食宿</w:t>
      </w:r>
      <w:r>
        <w:rPr>
          <w:rFonts w:hint="eastAsia" w:ascii="宋体" w:hAnsi="宋体" w:eastAsia="宋体" w:cs="Times New Roman"/>
          <w:b/>
          <w:bCs/>
          <w:color w:val="auto"/>
          <w:szCs w:val="21"/>
        </w:rPr>
        <w:t>等费用。</w:t>
      </w:r>
      <w:r>
        <w:rPr>
          <w:rFonts w:hint="default" w:ascii="Times New Roman" w:hAnsi="Times New Roman" w:cs="Times New Roman"/>
        </w:rPr>
        <w:br w:type="page"/>
      </w:r>
    </w:p>
    <w:bookmarkEnd w:id="422"/>
    <w:bookmarkEnd w:id="423"/>
    <w:bookmarkEnd w:id="424"/>
    <w:bookmarkEnd w:id="425"/>
    <w:bookmarkEnd w:id="426"/>
    <w:bookmarkEnd w:id="427"/>
    <w:p>
      <w:pPr>
        <w:pStyle w:val="3"/>
        <w:jc w:val="center"/>
        <w:rPr>
          <w:rFonts w:hint="eastAsia"/>
          <w:highlight w:val="none"/>
        </w:rPr>
      </w:pPr>
      <w:bookmarkStart w:id="428" w:name="_Toc152045808"/>
      <w:bookmarkStart w:id="429" w:name="_Toc247527848"/>
      <w:bookmarkStart w:id="430" w:name="_Toc247085887"/>
      <w:bookmarkStart w:id="431" w:name="_Toc152045803"/>
      <w:bookmarkStart w:id="432" w:name="_Toc246996369"/>
      <w:bookmarkStart w:id="433" w:name="_Toc144974871"/>
      <w:bookmarkStart w:id="434" w:name="_Toc152042597"/>
      <w:bookmarkStart w:id="435" w:name="_Toc247514300"/>
      <w:bookmarkStart w:id="436" w:name="_Toc300835224"/>
      <w:bookmarkStart w:id="437" w:name="_Toc144974876"/>
      <w:bookmarkStart w:id="438" w:name="_Toc179632823"/>
      <w:bookmarkStart w:id="439" w:name="_Toc296602614"/>
      <w:bookmarkStart w:id="440" w:name="_Toc152042592"/>
      <w:bookmarkStart w:id="441" w:name="_Toc246997112"/>
      <w:r>
        <w:rPr>
          <w:rFonts w:hint="eastAsia"/>
          <w:highlight w:val="none"/>
          <w:lang w:val="en-US" w:eastAsia="zh-CN"/>
        </w:rPr>
        <w:t>五</w:t>
      </w:r>
      <w:r>
        <w:rPr>
          <w:highlight w:val="none"/>
        </w:rPr>
        <w:t>、资格审查资料</w:t>
      </w:r>
    </w:p>
    <w:p>
      <w:pPr>
        <w:pStyle w:val="4"/>
        <w:jc w:val="both"/>
        <w:rPr>
          <w:rFonts w:hint="eastAsia"/>
        </w:rPr>
      </w:pPr>
      <w:r>
        <w:t>（一）基本情况表</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pPr>
        <w:rPr>
          <w:rFonts w:hint="eastAsia"/>
        </w:rPr>
      </w:pPr>
      <w:r>
        <w:rPr>
          <w:rFonts w:hint="eastAsia"/>
        </w:rPr>
        <w:br w:type="page"/>
      </w:r>
    </w:p>
    <w:p>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“近年完成的类似项目情况表”应附合同协议书；具体时间要求见投标人须知前附表，每张表格只填写一个项目，并标明序号。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（四）拟委任的主要人员汇总表</w:t>
      </w:r>
    </w:p>
    <w:tbl>
      <w:tblPr>
        <w:tblStyle w:val="16"/>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注：</w:t>
      </w:r>
      <w:r>
        <w:rPr>
          <w:rFonts w:hint="eastAsia" w:ascii="Times New Roman" w:hAnsi="Times New Roman" w:eastAsia="宋体" w:cs="Times New Roman"/>
          <w:kern w:val="0"/>
          <w:sz w:val="24"/>
          <w:szCs w:val="24"/>
          <w:highlight w:val="none"/>
          <w:u w:val="none"/>
          <w:lang w:val="en-US" w:eastAsia="zh-CN"/>
        </w:rPr>
        <w:t>检测人员应当具备经亳州市质量主管部门登记的地基基础专项上岗证。</w:t>
      </w: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（五）主要人员简历表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从事本项目服务工作年限</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r>
        <w:rPr>
          <w:rFonts w:hint="default" w:ascii="Times New Roman" w:hAnsi="Times New Roman" w:eastAsia="宋体" w:cs="Times New Roman"/>
          <w:color w:val="auto"/>
          <w:kern w:val="2"/>
          <w:sz w:val="21"/>
          <w:szCs w:val="24"/>
          <w:highlight w:val="none"/>
          <w:u w:val="none"/>
          <w:lang w:val="en-US" w:eastAsia="zh-CN"/>
        </w:rPr>
        <w:t>检测人员应当具备经亳州市质量主管部门登记的地基基础专项上岗证。</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“拟委任的主要人员汇总表”应填报满足第二章投标人须知第1.4.1项规定的项目负责人和其他主要人员的相关信息。</w:t>
      </w:r>
    </w:p>
    <w:p>
      <w:pPr>
        <w:rPr>
          <w:rFonts w:hint="eastAsia"/>
          <w:i/>
          <w:iCs/>
          <w:color w:val="FF0000"/>
          <w:u w:val="single"/>
          <w:lang w:val="en-US" w:eastAsia="zh-CN"/>
        </w:rPr>
      </w:pPr>
      <w:r>
        <w:rPr>
          <w:rFonts w:hint="eastAsia"/>
          <w:i/>
          <w:iCs/>
          <w:color w:val="FF0000"/>
          <w:u w:val="single"/>
          <w:lang w:val="en-US" w:eastAsia="zh-CN"/>
        </w:rPr>
        <w:br w:type="page"/>
      </w:r>
    </w:p>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p>
      <w:pPr>
        <w:pStyle w:val="3"/>
        <w:jc w:val="center"/>
        <w:rPr>
          <w:rFonts w:hint="default" w:eastAsia="黑体"/>
          <w:highlight w:val="none"/>
          <w:lang w:val="en-US" w:eastAsia="zh-CN"/>
        </w:rPr>
      </w:pPr>
      <w:r>
        <w:rPr>
          <w:rFonts w:hint="eastAsia"/>
          <w:highlight w:val="none"/>
          <w:lang w:val="en-US" w:eastAsia="zh-CN"/>
        </w:rPr>
        <w:t>六</w:t>
      </w:r>
      <w:r>
        <w:rPr>
          <w:highlight w:val="none"/>
        </w:rPr>
        <w:t>、</w:t>
      </w:r>
      <w:r>
        <w:rPr>
          <w:rFonts w:hint="eastAsia"/>
          <w:highlight w:val="none"/>
          <w:lang w:val="en-US" w:eastAsia="zh-CN"/>
        </w:rPr>
        <w:t>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方案应包括（但不限于）下列内容：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一、项目概况；</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二、服务范围、服务内容；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三、工作依据、工作目标；</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四、机构设置（框图）、岗位职责；</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五、服务说明和服务方案；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六、拟投入的主要人员；</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七、质量、进度、保密等保证措施；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八、安全保证措施；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九、工作重点、难点分析；</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十、对本项目的合理化建议。</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442" w:name="_Toc300835233"/>
      <w:bookmarkStart w:id="443" w:name="_Toc271821942"/>
      <w:r>
        <w:rPr>
          <w:rFonts w:hint="eastAsia" w:ascii="Times New Roman" w:hAnsi="Times New Roman" w:cs="Times New Roman"/>
          <w:lang w:val="en-US" w:eastAsia="zh-CN"/>
        </w:rPr>
        <w:t>七</w:t>
      </w:r>
      <w:r>
        <w:rPr>
          <w:rFonts w:hint="default" w:ascii="Times New Roman" w:hAnsi="Times New Roman" w:cs="Times New Roman"/>
        </w:rPr>
        <w:t>、其他资料</w:t>
      </w:r>
      <w:bookmarkEnd w:id="442"/>
      <w:bookmarkEnd w:id="443"/>
    </w:p>
    <w:p>
      <w:pPr>
        <w:ind w:firstLine="420" w:firstLineChars="200"/>
        <w:rPr>
          <w:rFonts w:hint="eastAsia" w:ascii="Times New Roman" w:hAnsi="Times New Roman" w:eastAsiaTheme="minorEastAsia"/>
          <w:lang w:eastAsia="zh-CN"/>
        </w:rPr>
      </w:pPr>
      <w:permStart w:id="83" w:edGrp="everyone"/>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83"/>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36BA2CC8-427F-4896-ADB2-A7D2D1493B7B}"/>
  </w:font>
  <w:font w:name="Arial">
    <w:panose1 w:val="020B0604020202020204"/>
    <w:charset w:val="01"/>
    <w:family w:val="swiss"/>
    <w:pitch w:val="default"/>
    <w:sig w:usb0="E0002EFF" w:usb1="C000785B" w:usb2="00000009" w:usb3="00000000" w:csb0="400001FF" w:csb1="FFFF0000"/>
    <w:embedRegular r:id="rId2" w:fontKey="{566233C9-5BCB-453C-A9F3-5B51997AC9FF}"/>
  </w:font>
  <w:font w:name="黑体">
    <w:panose1 w:val="02010609060101010101"/>
    <w:charset w:val="86"/>
    <w:family w:val="auto"/>
    <w:pitch w:val="default"/>
    <w:sig w:usb0="800002BF" w:usb1="38CF7CFA" w:usb2="00000016" w:usb3="00000000" w:csb0="00040001" w:csb1="00000000"/>
    <w:embedRegular r:id="rId3" w:fontKey="{70958332-F719-4E5C-B1C7-2D64B170C6C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4" w:fontKey="{E0D02549-47F6-453D-8ED9-B720A1E4A5BB}"/>
  </w:font>
  <w:font w:name="方正小标宋简体">
    <w:panose1 w:val="03000509000000000000"/>
    <w:charset w:val="86"/>
    <w:family w:val="auto"/>
    <w:pitch w:val="default"/>
    <w:sig w:usb0="00000001" w:usb1="080E0000" w:usb2="00000000" w:usb3="00000000" w:csb0="00040000" w:csb1="00000000"/>
    <w:embedRegular r:id="rId5" w:fontKey="{5AF3BEA4-7B09-416A-86C4-0D9E1C75341D}"/>
  </w:font>
  <w:font w:name="楷体">
    <w:panose1 w:val="02010609060101010101"/>
    <w:charset w:val="86"/>
    <w:family w:val="auto"/>
    <w:pitch w:val="default"/>
    <w:sig w:usb0="800002BF" w:usb1="38CF7CFA" w:usb2="00000016" w:usb3="00000000" w:csb0="00040001" w:csb1="00000000"/>
    <w:embedRegular r:id="rId6" w:fontKey="{C29B4070-B220-42E8-9B31-62786B3436BE}"/>
  </w:font>
  <w:font w:name="华文仿宋">
    <w:panose1 w:val="02010600040101010101"/>
    <w:charset w:val="86"/>
    <w:family w:val="auto"/>
    <w:pitch w:val="default"/>
    <w:sig w:usb0="00000287" w:usb1="080F0000" w:usb2="00000000" w:usb3="00000000" w:csb0="0004009F" w:csb1="DFD70000"/>
    <w:embedRegular r:id="rId7" w:fontKey="{45AEFFE6-6865-4750-8FB7-4C207739C2F6}"/>
  </w:font>
  <w:font w:name="Wingdings 2">
    <w:panose1 w:val="05020102010507070707"/>
    <w:charset w:val="00"/>
    <w:family w:val="auto"/>
    <w:pitch w:val="default"/>
    <w:sig w:usb0="00000000" w:usb1="00000000" w:usb2="00000000" w:usb3="00000000" w:csb0="80000000" w:csb1="00000000"/>
    <w:embedRegular r:id="rId8" w:fontKey="{0B9CC92F-C455-44C2-9D16-9FF3C1CB159A}"/>
  </w:font>
  <w:font w:name="楷体_GB2312">
    <w:panose1 w:val="02010609030101010101"/>
    <w:charset w:val="86"/>
    <w:family w:val="modern"/>
    <w:pitch w:val="default"/>
    <w:sig w:usb0="00000001" w:usb1="080E0000" w:usb2="00000000" w:usb3="00000000" w:csb0="00040000" w:csb1="00000000"/>
    <w:embedRegular r:id="rId9" w:fontKey="{E8DC8ECF-0EF7-438B-B69A-6A92BD865A3D}"/>
  </w:font>
  <w:font w:name="微软雅黑">
    <w:panose1 w:val="020B0503020204020204"/>
    <w:charset w:val="86"/>
    <w:family w:val="auto"/>
    <w:pitch w:val="default"/>
    <w:sig w:usb0="80000287" w:usb1="2ACF3C50" w:usb2="00000016" w:usb3="00000000" w:csb0="0004001F" w:csb1="00000000"/>
    <w:embedRegular r:id="rId10" w:fontKey="{A2F4A1BA-ECF4-4934-B326-78A4AA8D992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trackRevisions w:val="1"/>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A4B92"/>
    <w:rsid w:val="002609D3"/>
    <w:rsid w:val="002C069E"/>
    <w:rsid w:val="0040224D"/>
    <w:rsid w:val="00733B0B"/>
    <w:rsid w:val="00764376"/>
    <w:rsid w:val="00796B76"/>
    <w:rsid w:val="007B63BD"/>
    <w:rsid w:val="00850CC0"/>
    <w:rsid w:val="00B00F2F"/>
    <w:rsid w:val="00CC6E85"/>
    <w:rsid w:val="00FF308E"/>
    <w:rsid w:val="011E6004"/>
    <w:rsid w:val="0145105E"/>
    <w:rsid w:val="019846E3"/>
    <w:rsid w:val="01CA1BFC"/>
    <w:rsid w:val="01CB0CDF"/>
    <w:rsid w:val="01CD2334"/>
    <w:rsid w:val="01E140D3"/>
    <w:rsid w:val="01EE4D0C"/>
    <w:rsid w:val="01F16263"/>
    <w:rsid w:val="02016132"/>
    <w:rsid w:val="02052599"/>
    <w:rsid w:val="0212370C"/>
    <w:rsid w:val="021D348F"/>
    <w:rsid w:val="026E5FAB"/>
    <w:rsid w:val="02983D41"/>
    <w:rsid w:val="029F2BC9"/>
    <w:rsid w:val="02A31129"/>
    <w:rsid w:val="02A46690"/>
    <w:rsid w:val="02AC508C"/>
    <w:rsid w:val="02BE075F"/>
    <w:rsid w:val="02DC548F"/>
    <w:rsid w:val="02F4317E"/>
    <w:rsid w:val="0324584F"/>
    <w:rsid w:val="032652C7"/>
    <w:rsid w:val="033964DC"/>
    <w:rsid w:val="034877EC"/>
    <w:rsid w:val="035021B2"/>
    <w:rsid w:val="03696450"/>
    <w:rsid w:val="037A4D47"/>
    <w:rsid w:val="038E65F9"/>
    <w:rsid w:val="03A04F32"/>
    <w:rsid w:val="03B407A6"/>
    <w:rsid w:val="03C10800"/>
    <w:rsid w:val="03C576FC"/>
    <w:rsid w:val="03C96DCC"/>
    <w:rsid w:val="03E33071"/>
    <w:rsid w:val="03FB71CD"/>
    <w:rsid w:val="04114082"/>
    <w:rsid w:val="04127BBC"/>
    <w:rsid w:val="041515CF"/>
    <w:rsid w:val="04185410"/>
    <w:rsid w:val="04210376"/>
    <w:rsid w:val="04212D24"/>
    <w:rsid w:val="042C575E"/>
    <w:rsid w:val="04382327"/>
    <w:rsid w:val="043A6EF6"/>
    <w:rsid w:val="043F5557"/>
    <w:rsid w:val="044363A4"/>
    <w:rsid w:val="04885B47"/>
    <w:rsid w:val="04994F9B"/>
    <w:rsid w:val="04A52387"/>
    <w:rsid w:val="04B54547"/>
    <w:rsid w:val="04CD15E8"/>
    <w:rsid w:val="04CF4810"/>
    <w:rsid w:val="04D63FDF"/>
    <w:rsid w:val="04EB08D2"/>
    <w:rsid w:val="04EC7DA2"/>
    <w:rsid w:val="04FA5DDC"/>
    <w:rsid w:val="050252F6"/>
    <w:rsid w:val="05107E95"/>
    <w:rsid w:val="055625ED"/>
    <w:rsid w:val="0572490A"/>
    <w:rsid w:val="057E3D65"/>
    <w:rsid w:val="058253F2"/>
    <w:rsid w:val="05872EB9"/>
    <w:rsid w:val="05933026"/>
    <w:rsid w:val="05BA17C0"/>
    <w:rsid w:val="05D9116E"/>
    <w:rsid w:val="05DA3601"/>
    <w:rsid w:val="061F0438"/>
    <w:rsid w:val="06292F58"/>
    <w:rsid w:val="062F07EF"/>
    <w:rsid w:val="063F4D83"/>
    <w:rsid w:val="064B59D4"/>
    <w:rsid w:val="06501BB5"/>
    <w:rsid w:val="06624967"/>
    <w:rsid w:val="06626753"/>
    <w:rsid w:val="066761DB"/>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D77390"/>
    <w:rsid w:val="07E04497"/>
    <w:rsid w:val="07EE56D8"/>
    <w:rsid w:val="083726B7"/>
    <w:rsid w:val="08554A0D"/>
    <w:rsid w:val="08563EE1"/>
    <w:rsid w:val="086D3DA1"/>
    <w:rsid w:val="08774BE1"/>
    <w:rsid w:val="088F5820"/>
    <w:rsid w:val="08903F11"/>
    <w:rsid w:val="08920BBB"/>
    <w:rsid w:val="08932D8F"/>
    <w:rsid w:val="08D35DAA"/>
    <w:rsid w:val="08ED571D"/>
    <w:rsid w:val="08F53A28"/>
    <w:rsid w:val="08F71A98"/>
    <w:rsid w:val="0922447E"/>
    <w:rsid w:val="0926237D"/>
    <w:rsid w:val="092D0C4C"/>
    <w:rsid w:val="096213E6"/>
    <w:rsid w:val="09641BD1"/>
    <w:rsid w:val="09646A02"/>
    <w:rsid w:val="0967298A"/>
    <w:rsid w:val="098F4C8F"/>
    <w:rsid w:val="099948FD"/>
    <w:rsid w:val="09A71C3D"/>
    <w:rsid w:val="09AF2C22"/>
    <w:rsid w:val="09B32D8C"/>
    <w:rsid w:val="09C37FE6"/>
    <w:rsid w:val="09D236A1"/>
    <w:rsid w:val="09DB25D9"/>
    <w:rsid w:val="09DF226A"/>
    <w:rsid w:val="09EC69D2"/>
    <w:rsid w:val="0A074254"/>
    <w:rsid w:val="0A2F73DC"/>
    <w:rsid w:val="0A3B332D"/>
    <w:rsid w:val="0A466107"/>
    <w:rsid w:val="0A500304"/>
    <w:rsid w:val="0A5234C1"/>
    <w:rsid w:val="0A704DEE"/>
    <w:rsid w:val="0A8B5261"/>
    <w:rsid w:val="0A8E5075"/>
    <w:rsid w:val="0A990F8B"/>
    <w:rsid w:val="0AA913FB"/>
    <w:rsid w:val="0AAE6B76"/>
    <w:rsid w:val="0AB37F43"/>
    <w:rsid w:val="0AB930A2"/>
    <w:rsid w:val="0AC16B42"/>
    <w:rsid w:val="0ADD0DF0"/>
    <w:rsid w:val="0AE54168"/>
    <w:rsid w:val="0AEB40E8"/>
    <w:rsid w:val="0B0E131B"/>
    <w:rsid w:val="0B416906"/>
    <w:rsid w:val="0B5D1C2A"/>
    <w:rsid w:val="0B685C3C"/>
    <w:rsid w:val="0B7202E7"/>
    <w:rsid w:val="0B7D2159"/>
    <w:rsid w:val="0B991D46"/>
    <w:rsid w:val="0B9F686D"/>
    <w:rsid w:val="0BCD088E"/>
    <w:rsid w:val="0BDE31B0"/>
    <w:rsid w:val="0C110CA2"/>
    <w:rsid w:val="0C2B1A59"/>
    <w:rsid w:val="0C4E5BBE"/>
    <w:rsid w:val="0C6404E7"/>
    <w:rsid w:val="0C773477"/>
    <w:rsid w:val="0C8A3559"/>
    <w:rsid w:val="0C9F113B"/>
    <w:rsid w:val="0CB70393"/>
    <w:rsid w:val="0CC46BE1"/>
    <w:rsid w:val="0CD3448B"/>
    <w:rsid w:val="0CF072F3"/>
    <w:rsid w:val="0D2466BD"/>
    <w:rsid w:val="0D3A1668"/>
    <w:rsid w:val="0D5C2246"/>
    <w:rsid w:val="0D6A3C45"/>
    <w:rsid w:val="0D6C5CC0"/>
    <w:rsid w:val="0D7F3B4D"/>
    <w:rsid w:val="0D84383E"/>
    <w:rsid w:val="0DA13B17"/>
    <w:rsid w:val="0DA277FF"/>
    <w:rsid w:val="0DB22432"/>
    <w:rsid w:val="0DB8057F"/>
    <w:rsid w:val="0DC21F49"/>
    <w:rsid w:val="0DC57869"/>
    <w:rsid w:val="0DD331D8"/>
    <w:rsid w:val="0DDB677F"/>
    <w:rsid w:val="0E093A81"/>
    <w:rsid w:val="0E1201C4"/>
    <w:rsid w:val="0E35096D"/>
    <w:rsid w:val="0E3C08A3"/>
    <w:rsid w:val="0E626142"/>
    <w:rsid w:val="0E6D3EE4"/>
    <w:rsid w:val="0E7E0566"/>
    <w:rsid w:val="0E8168AC"/>
    <w:rsid w:val="0E9601D9"/>
    <w:rsid w:val="0ED5373C"/>
    <w:rsid w:val="0EDF4D5E"/>
    <w:rsid w:val="0EF860F0"/>
    <w:rsid w:val="0EFB38FA"/>
    <w:rsid w:val="0EFD76DC"/>
    <w:rsid w:val="0F024085"/>
    <w:rsid w:val="0F076815"/>
    <w:rsid w:val="0F1438EF"/>
    <w:rsid w:val="0F463825"/>
    <w:rsid w:val="0F4B0F6A"/>
    <w:rsid w:val="0F4C5F6E"/>
    <w:rsid w:val="0F575798"/>
    <w:rsid w:val="0F5F5CB1"/>
    <w:rsid w:val="0F6D192D"/>
    <w:rsid w:val="0F6E4AA0"/>
    <w:rsid w:val="0F803E6A"/>
    <w:rsid w:val="0F886069"/>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D35E97"/>
    <w:rsid w:val="110152AC"/>
    <w:rsid w:val="11114551"/>
    <w:rsid w:val="112269D1"/>
    <w:rsid w:val="11356135"/>
    <w:rsid w:val="11800917"/>
    <w:rsid w:val="118955AD"/>
    <w:rsid w:val="11970BCB"/>
    <w:rsid w:val="1197226B"/>
    <w:rsid w:val="11AA0839"/>
    <w:rsid w:val="11C42470"/>
    <w:rsid w:val="11C71895"/>
    <w:rsid w:val="11CD444A"/>
    <w:rsid w:val="11E2334D"/>
    <w:rsid w:val="11E23663"/>
    <w:rsid w:val="11F058CE"/>
    <w:rsid w:val="11FC3F3B"/>
    <w:rsid w:val="124D3BAD"/>
    <w:rsid w:val="125A52C4"/>
    <w:rsid w:val="12655D96"/>
    <w:rsid w:val="128E3C38"/>
    <w:rsid w:val="12BF2922"/>
    <w:rsid w:val="12C942C8"/>
    <w:rsid w:val="12DC5F5E"/>
    <w:rsid w:val="12DC7F8C"/>
    <w:rsid w:val="12DF3872"/>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23741"/>
    <w:rsid w:val="142B5FE2"/>
    <w:rsid w:val="14542872"/>
    <w:rsid w:val="147E2423"/>
    <w:rsid w:val="1487273A"/>
    <w:rsid w:val="148C0203"/>
    <w:rsid w:val="148C28CB"/>
    <w:rsid w:val="14944440"/>
    <w:rsid w:val="14A059A0"/>
    <w:rsid w:val="14B97B05"/>
    <w:rsid w:val="14CD31B9"/>
    <w:rsid w:val="14DA6BBE"/>
    <w:rsid w:val="14E67563"/>
    <w:rsid w:val="14F50E56"/>
    <w:rsid w:val="14F71E87"/>
    <w:rsid w:val="14F926F4"/>
    <w:rsid w:val="15021B62"/>
    <w:rsid w:val="15037617"/>
    <w:rsid w:val="150A21BA"/>
    <w:rsid w:val="151779D1"/>
    <w:rsid w:val="1522437E"/>
    <w:rsid w:val="15283931"/>
    <w:rsid w:val="15382F40"/>
    <w:rsid w:val="157A67C8"/>
    <w:rsid w:val="158374C1"/>
    <w:rsid w:val="15A62ECC"/>
    <w:rsid w:val="15AF67AC"/>
    <w:rsid w:val="15B14179"/>
    <w:rsid w:val="15C516BD"/>
    <w:rsid w:val="16581CEF"/>
    <w:rsid w:val="166266B1"/>
    <w:rsid w:val="169528F0"/>
    <w:rsid w:val="16C724D4"/>
    <w:rsid w:val="16D411E7"/>
    <w:rsid w:val="16D85521"/>
    <w:rsid w:val="16E34161"/>
    <w:rsid w:val="16ED0036"/>
    <w:rsid w:val="170756D4"/>
    <w:rsid w:val="170F4587"/>
    <w:rsid w:val="174C1201"/>
    <w:rsid w:val="176115DC"/>
    <w:rsid w:val="176D7525"/>
    <w:rsid w:val="17824660"/>
    <w:rsid w:val="178F2FF8"/>
    <w:rsid w:val="179121FE"/>
    <w:rsid w:val="17915931"/>
    <w:rsid w:val="17C41ABF"/>
    <w:rsid w:val="18067406"/>
    <w:rsid w:val="18175D56"/>
    <w:rsid w:val="18276B10"/>
    <w:rsid w:val="1860323E"/>
    <w:rsid w:val="188E09E6"/>
    <w:rsid w:val="18930C59"/>
    <w:rsid w:val="189B5F22"/>
    <w:rsid w:val="18A70256"/>
    <w:rsid w:val="18A944F8"/>
    <w:rsid w:val="18B73074"/>
    <w:rsid w:val="18D53570"/>
    <w:rsid w:val="18DA76F1"/>
    <w:rsid w:val="19034C2D"/>
    <w:rsid w:val="1916127C"/>
    <w:rsid w:val="193D465D"/>
    <w:rsid w:val="193D4E12"/>
    <w:rsid w:val="1968609A"/>
    <w:rsid w:val="196C6238"/>
    <w:rsid w:val="198A59D6"/>
    <w:rsid w:val="199A63EE"/>
    <w:rsid w:val="19A73D74"/>
    <w:rsid w:val="19AA5416"/>
    <w:rsid w:val="19CE7FF6"/>
    <w:rsid w:val="19D70C6D"/>
    <w:rsid w:val="19E2271F"/>
    <w:rsid w:val="1A075570"/>
    <w:rsid w:val="1A1C623A"/>
    <w:rsid w:val="1A270D5F"/>
    <w:rsid w:val="1A4D4CED"/>
    <w:rsid w:val="1A797469"/>
    <w:rsid w:val="1A8850B8"/>
    <w:rsid w:val="1A9B5FFB"/>
    <w:rsid w:val="1A9E764E"/>
    <w:rsid w:val="1AA066C8"/>
    <w:rsid w:val="1ADB0B95"/>
    <w:rsid w:val="1AE30A23"/>
    <w:rsid w:val="1AF80851"/>
    <w:rsid w:val="1B0361BC"/>
    <w:rsid w:val="1B116412"/>
    <w:rsid w:val="1B262D26"/>
    <w:rsid w:val="1B2670F4"/>
    <w:rsid w:val="1B2D1E19"/>
    <w:rsid w:val="1B2D7FD6"/>
    <w:rsid w:val="1B3A5220"/>
    <w:rsid w:val="1B3B258E"/>
    <w:rsid w:val="1B652C95"/>
    <w:rsid w:val="1B675C26"/>
    <w:rsid w:val="1B70155F"/>
    <w:rsid w:val="1B723039"/>
    <w:rsid w:val="1B7700FA"/>
    <w:rsid w:val="1B894EBC"/>
    <w:rsid w:val="1B8C1172"/>
    <w:rsid w:val="1B9269B7"/>
    <w:rsid w:val="1BB12BB2"/>
    <w:rsid w:val="1BB62A4B"/>
    <w:rsid w:val="1BCE49E9"/>
    <w:rsid w:val="1BD12722"/>
    <w:rsid w:val="1BD15865"/>
    <w:rsid w:val="1BE93F50"/>
    <w:rsid w:val="1BFE7E24"/>
    <w:rsid w:val="1C026332"/>
    <w:rsid w:val="1C100B6A"/>
    <w:rsid w:val="1C1E32BB"/>
    <w:rsid w:val="1C2075D6"/>
    <w:rsid w:val="1C2B6CB4"/>
    <w:rsid w:val="1C3774BA"/>
    <w:rsid w:val="1C4E114E"/>
    <w:rsid w:val="1C50654A"/>
    <w:rsid w:val="1C5D5F8B"/>
    <w:rsid w:val="1C6E241C"/>
    <w:rsid w:val="1CB07DF9"/>
    <w:rsid w:val="1CC3681B"/>
    <w:rsid w:val="1CC7132A"/>
    <w:rsid w:val="1CF251D3"/>
    <w:rsid w:val="1CFF3217"/>
    <w:rsid w:val="1D0C3E62"/>
    <w:rsid w:val="1D1D0D81"/>
    <w:rsid w:val="1D5511C5"/>
    <w:rsid w:val="1D5835F0"/>
    <w:rsid w:val="1D594678"/>
    <w:rsid w:val="1D8C5045"/>
    <w:rsid w:val="1D9244F8"/>
    <w:rsid w:val="1D931CEA"/>
    <w:rsid w:val="1DA23161"/>
    <w:rsid w:val="1DC177D9"/>
    <w:rsid w:val="1E1A236E"/>
    <w:rsid w:val="1E225BB3"/>
    <w:rsid w:val="1E2A6113"/>
    <w:rsid w:val="1E2D212B"/>
    <w:rsid w:val="1E2E6E13"/>
    <w:rsid w:val="1E32182A"/>
    <w:rsid w:val="1E5A61EE"/>
    <w:rsid w:val="1E713E2F"/>
    <w:rsid w:val="1E980FE4"/>
    <w:rsid w:val="1EA41352"/>
    <w:rsid w:val="1EA573D8"/>
    <w:rsid w:val="1EA77665"/>
    <w:rsid w:val="1EB0513B"/>
    <w:rsid w:val="1EB72F76"/>
    <w:rsid w:val="1EC10726"/>
    <w:rsid w:val="1EE36B2C"/>
    <w:rsid w:val="1EF342CB"/>
    <w:rsid w:val="1F020A44"/>
    <w:rsid w:val="1F041BC7"/>
    <w:rsid w:val="1F127B09"/>
    <w:rsid w:val="1F2354C8"/>
    <w:rsid w:val="1F36160E"/>
    <w:rsid w:val="1F3F33F9"/>
    <w:rsid w:val="1F5D00BF"/>
    <w:rsid w:val="1F640255"/>
    <w:rsid w:val="1F671677"/>
    <w:rsid w:val="1F722047"/>
    <w:rsid w:val="1F904945"/>
    <w:rsid w:val="1FAA6A2E"/>
    <w:rsid w:val="1FB44E67"/>
    <w:rsid w:val="1FB91F4C"/>
    <w:rsid w:val="1FC11059"/>
    <w:rsid w:val="1FCF6E73"/>
    <w:rsid w:val="1FD251AF"/>
    <w:rsid w:val="1FDC7161"/>
    <w:rsid w:val="1FE570E2"/>
    <w:rsid w:val="1FE7673E"/>
    <w:rsid w:val="1FF16DE9"/>
    <w:rsid w:val="200E38F2"/>
    <w:rsid w:val="201E585F"/>
    <w:rsid w:val="202F059C"/>
    <w:rsid w:val="2049266D"/>
    <w:rsid w:val="204E2DA0"/>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2270787"/>
    <w:rsid w:val="224D73DD"/>
    <w:rsid w:val="22592601"/>
    <w:rsid w:val="22603DB2"/>
    <w:rsid w:val="226D7B83"/>
    <w:rsid w:val="227346A7"/>
    <w:rsid w:val="2293123C"/>
    <w:rsid w:val="22A570EC"/>
    <w:rsid w:val="22DD405B"/>
    <w:rsid w:val="232E56FD"/>
    <w:rsid w:val="233F5F96"/>
    <w:rsid w:val="235F4D23"/>
    <w:rsid w:val="236D4028"/>
    <w:rsid w:val="238A4DFC"/>
    <w:rsid w:val="23FA5BD1"/>
    <w:rsid w:val="24215F33"/>
    <w:rsid w:val="24226CC5"/>
    <w:rsid w:val="24312A4A"/>
    <w:rsid w:val="244A5E9A"/>
    <w:rsid w:val="244C4BB8"/>
    <w:rsid w:val="24691193"/>
    <w:rsid w:val="246C3A46"/>
    <w:rsid w:val="247152E7"/>
    <w:rsid w:val="24DE2F5E"/>
    <w:rsid w:val="24FF7718"/>
    <w:rsid w:val="251A7612"/>
    <w:rsid w:val="25237A22"/>
    <w:rsid w:val="252A5563"/>
    <w:rsid w:val="252E0774"/>
    <w:rsid w:val="25363E8C"/>
    <w:rsid w:val="25481BCE"/>
    <w:rsid w:val="256E1E26"/>
    <w:rsid w:val="25812F8D"/>
    <w:rsid w:val="25814DB7"/>
    <w:rsid w:val="25824959"/>
    <w:rsid w:val="25987A23"/>
    <w:rsid w:val="25BC46FF"/>
    <w:rsid w:val="25C517A2"/>
    <w:rsid w:val="25E17ECF"/>
    <w:rsid w:val="25EF41EA"/>
    <w:rsid w:val="25F5789E"/>
    <w:rsid w:val="25F87EEA"/>
    <w:rsid w:val="25FD6A72"/>
    <w:rsid w:val="2608561B"/>
    <w:rsid w:val="26196938"/>
    <w:rsid w:val="26261861"/>
    <w:rsid w:val="26382AAC"/>
    <w:rsid w:val="26506FAD"/>
    <w:rsid w:val="26656277"/>
    <w:rsid w:val="26663117"/>
    <w:rsid w:val="267771CA"/>
    <w:rsid w:val="26807144"/>
    <w:rsid w:val="26851ABB"/>
    <w:rsid w:val="268A362E"/>
    <w:rsid w:val="269560EE"/>
    <w:rsid w:val="26AF686C"/>
    <w:rsid w:val="26CA60FC"/>
    <w:rsid w:val="26D16018"/>
    <w:rsid w:val="26DB3228"/>
    <w:rsid w:val="26DF6074"/>
    <w:rsid w:val="26E05716"/>
    <w:rsid w:val="26FE679C"/>
    <w:rsid w:val="271321BE"/>
    <w:rsid w:val="27301EDB"/>
    <w:rsid w:val="27453115"/>
    <w:rsid w:val="27630C0D"/>
    <w:rsid w:val="276C029F"/>
    <w:rsid w:val="27867E0A"/>
    <w:rsid w:val="27982DD4"/>
    <w:rsid w:val="27DD09CE"/>
    <w:rsid w:val="27EC553C"/>
    <w:rsid w:val="27EC60E8"/>
    <w:rsid w:val="280C4BFC"/>
    <w:rsid w:val="2813394B"/>
    <w:rsid w:val="281C1F63"/>
    <w:rsid w:val="281C54D8"/>
    <w:rsid w:val="283610D5"/>
    <w:rsid w:val="285F5293"/>
    <w:rsid w:val="28622D71"/>
    <w:rsid w:val="286E69FD"/>
    <w:rsid w:val="28846321"/>
    <w:rsid w:val="28A10C81"/>
    <w:rsid w:val="28C56178"/>
    <w:rsid w:val="28D804E6"/>
    <w:rsid w:val="28FA546B"/>
    <w:rsid w:val="28FE025E"/>
    <w:rsid w:val="29245F1A"/>
    <w:rsid w:val="29366359"/>
    <w:rsid w:val="29437109"/>
    <w:rsid w:val="29586D7A"/>
    <w:rsid w:val="29772B51"/>
    <w:rsid w:val="29791894"/>
    <w:rsid w:val="2984235F"/>
    <w:rsid w:val="29967FD2"/>
    <w:rsid w:val="29A52D8F"/>
    <w:rsid w:val="29C56C3A"/>
    <w:rsid w:val="29D85278"/>
    <w:rsid w:val="29E1380C"/>
    <w:rsid w:val="29E85046"/>
    <w:rsid w:val="2A017BFD"/>
    <w:rsid w:val="2A0A71F8"/>
    <w:rsid w:val="2A133E00"/>
    <w:rsid w:val="2A4913A2"/>
    <w:rsid w:val="2A9154D8"/>
    <w:rsid w:val="2AA04C57"/>
    <w:rsid w:val="2AD750C3"/>
    <w:rsid w:val="2AE77D08"/>
    <w:rsid w:val="2AEA3011"/>
    <w:rsid w:val="2B022A53"/>
    <w:rsid w:val="2B0971E3"/>
    <w:rsid w:val="2B252D72"/>
    <w:rsid w:val="2B3E0375"/>
    <w:rsid w:val="2B492499"/>
    <w:rsid w:val="2B652A8D"/>
    <w:rsid w:val="2B6C55DB"/>
    <w:rsid w:val="2B8D5640"/>
    <w:rsid w:val="2BF4029C"/>
    <w:rsid w:val="2C0E75DC"/>
    <w:rsid w:val="2C1C6937"/>
    <w:rsid w:val="2C202757"/>
    <w:rsid w:val="2C270D43"/>
    <w:rsid w:val="2C3F4C92"/>
    <w:rsid w:val="2C6436A6"/>
    <w:rsid w:val="2C7A2A8F"/>
    <w:rsid w:val="2C9023A5"/>
    <w:rsid w:val="2C937549"/>
    <w:rsid w:val="2C9D6A04"/>
    <w:rsid w:val="2CA861CA"/>
    <w:rsid w:val="2CB62598"/>
    <w:rsid w:val="2CBC136A"/>
    <w:rsid w:val="2CD47877"/>
    <w:rsid w:val="2CFE607B"/>
    <w:rsid w:val="2D095409"/>
    <w:rsid w:val="2D3447B9"/>
    <w:rsid w:val="2D3A3199"/>
    <w:rsid w:val="2D420A0C"/>
    <w:rsid w:val="2D4B38E7"/>
    <w:rsid w:val="2D5470D9"/>
    <w:rsid w:val="2D551303"/>
    <w:rsid w:val="2D772574"/>
    <w:rsid w:val="2D8D31B7"/>
    <w:rsid w:val="2D8D5835"/>
    <w:rsid w:val="2DAB1C25"/>
    <w:rsid w:val="2DAC25A2"/>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FA0191"/>
    <w:rsid w:val="2F436846"/>
    <w:rsid w:val="2F4556CE"/>
    <w:rsid w:val="2F6F3C93"/>
    <w:rsid w:val="2F754A27"/>
    <w:rsid w:val="2F8847E0"/>
    <w:rsid w:val="2FB1448A"/>
    <w:rsid w:val="2FC55B9D"/>
    <w:rsid w:val="2FC802AE"/>
    <w:rsid w:val="2FED2BB4"/>
    <w:rsid w:val="300D5130"/>
    <w:rsid w:val="301C41BF"/>
    <w:rsid w:val="302369A0"/>
    <w:rsid w:val="303474C0"/>
    <w:rsid w:val="305C41A9"/>
    <w:rsid w:val="305F1B4D"/>
    <w:rsid w:val="307C26FF"/>
    <w:rsid w:val="30820205"/>
    <w:rsid w:val="308E41B5"/>
    <w:rsid w:val="30952C59"/>
    <w:rsid w:val="30F73B34"/>
    <w:rsid w:val="30FF4D69"/>
    <w:rsid w:val="310E5321"/>
    <w:rsid w:val="3113559B"/>
    <w:rsid w:val="31152A06"/>
    <w:rsid w:val="311978DB"/>
    <w:rsid w:val="312421F6"/>
    <w:rsid w:val="3127420C"/>
    <w:rsid w:val="31477BEB"/>
    <w:rsid w:val="315515A3"/>
    <w:rsid w:val="315523B1"/>
    <w:rsid w:val="3198056E"/>
    <w:rsid w:val="31CD31BF"/>
    <w:rsid w:val="31E10F55"/>
    <w:rsid w:val="320B7F80"/>
    <w:rsid w:val="3219008D"/>
    <w:rsid w:val="32215B79"/>
    <w:rsid w:val="322241F2"/>
    <w:rsid w:val="3229379D"/>
    <w:rsid w:val="32294133"/>
    <w:rsid w:val="322D5AFA"/>
    <w:rsid w:val="322F3DB8"/>
    <w:rsid w:val="32330C9C"/>
    <w:rsid w:val="32514C44"/>
    <w:rsid w:val="325F53A9"/>
    <w:rsid w:val="328916BE"/>
    <w:rsid w:val="32974C7A"/>
    <w:rsid w:val="32BB4ABE"/>
    <w:rsid w:val="32C06D04"/>
    <w:rsid w:val="32C8549C"/>
    <w:rsid w:val="32CA16D9"/>
    <w:rsid w:val="32DD4FAB"/>
    <w:rsid w:val="32E83928"/>
    <w:rsid w:val="32F45590"/>
    <w:rsid w:val="33146A4E"/>
    <w:rsid w:val="331C19F3"/>
    <w:rsid w:val="3337290D"/>
    <w:rsid w:val="33380434"/>
    <w:rsid w:val="33773188"/>
    <w:rsid w:val="337E77C9"/>
    <w:rsid w:val="338F53C2"/>
    <w:rsid w:val="33925662"/>
    <w:rsid w:val="339B7AA1"/>
    <w:rsid w:val="33A87367"/>
    <w:rsid w:val="33B7637D"/>
    <w:rsid w:val="33C71F73"/>
    <w:rsid w:val="33D4661F"/>
    <w:rsid w:val="33ED39C2"/>
    <w:rsid w:val="33ED7470"/>
    <w:rsid w:val="340F56DE"/>
    <w:rsid w:val="3425597D"/>
    <w:rsid w:val="342A5DF5"/>
    <w:rsid w:val="342C40ED"/>
    <w:rsid w:val="344851FD"/>
    <w:rsid w:val="346559BF"/>
    <w:rsid w:val="349B5E0E"/>
    <w:rsid w:val="34A432B6"/>
    <w:rsid w:val="34AA020B"/>
    <w:rsid w:val="34BC17DA"/>
    <w:rsid w:val="34D015E3"/>
    <w:rsid w:val="34D66156"/>
    <w:rsid w:val="34E40873"/>
    <w:rsid w:val="34F85DA8"/>
    <w:rsid w:val="3509398E"/>
    <w:rsid w:val="35303289"/>
    <w:rsid w:val="3547266B"/>
    <w:rsid w:val="3554479E"/>
    <w:rsid w:val="35645510"/>
    <w:rsid w:val="357D63E5"/>
    <w:rsid w:val="357F00D0"/>
    <w:rsid w:val="35894506"/>
    <w:rsid w:val="35A377DB"/>
    <w:rsid w:val="35C24685"/>
    <w:rsid w:val="35E7387F"/>
    <w:rsid w:val="35E81F7A"/>
    <w:rsid w:val="35EF4AF5"/>
    <w:rsid w:val="35F52BF3"/>
    <w:rsid w:val="360530D8"/>
    <w:rsid w:val="3605698A"/>
    <w:rsid w:val="36162F1C"/>
    <w:rsid w:val="36266C69"/>
    <w:rsid w:val="363277D2"/>
    <w:rsid w:val="366244D5"/>
    <w:rsid w:val="36A82C1D"/>
    <w:rsid w:val="36B34449"/>
    <w:rsid w:val="36B95CDD"/>
    <w:rsid w:val="36C342D9"/>
    <w:rsid w:val="370F2E93"/>
    <w:rsid w:val="370F32ED"/>
    <w:rsid w:val="374E35E0"/>
    <w:rsid w:val="37560CC6"/>
    <w:rsid w:val="378D0CEB"/>
    <w:rsid w:val="379A026D"/>
    <w:rsid w:val="37A2207E"/>
    <w:rsid w:val="37A2434F"/>
    <w:rsid w:val="37ED6D6E"/>
    <w:rsid w:val="380C3B20"/>
    <w:rsid w:val="381039F4"/>
    <w:rsid w:val="381B27FE"/>
    <w:rsid w:val="38422CE2"/>
    <w:rsid w:val="38464281"/>
    <w:rsid w:val="386E21B0"/>
    <w:rsid w:val="38AE496C"/>
    <w:rsid w:val="38B54D45"/>
    <w:rsid w:val="38D242CD"/>
    <w:rsid w:val="38EE1CC0"/>
    <w:rsid w:val="393E0C7A"/>
    <w:rsid w:val="39470BCD"/>
    <w:rsid w:val="39821F75"/>
    <w:rsid w:val="398B5520"/>
    <w:rsid w:val="398C3DB7"/>
    <w:rsid w:val="39927DFA"/>
    <w:rsid w:val="39A178F4"/>
    <w:rsid w:val="39AB6275"/>
    <w:rsid w:val="39E17621"/>
    <w:rsid w:val="39E76170"/>
    <w:rsid w:val="39F227B1"/>
    <w:rsid w:val="3A0442AD"/>
    <w:rsid w:val="3A151290"/>
    <w:rsid w:val="3A201663"/>
    <w:rsid w:val="3A257964"/>
    <w:rsid w:val="3A292038"/>
    <w:rsid w:val="3A4A1178"/>
    <w:rsid w:val="3A524E6B"/>
    <w:rsid w:val="3A762A49"/>
    <w:rsid w:val="3A826354"/>
    <w:rsid w:val="3A9D28F5"/>
    <w:rsid w:val="3AA64A0C"/>
    <w:rsid w:val="3ACD43C9"/>
    <w:rsid w:val="3AFF2C64"/>
    <w:rsid w:val="3B135A0E"/>
    <w:rsid w:val="3B2F69DB"/>
    <w:rsid w:val="3B783AC3"/>
    <w:rsid w:val="3B79226F"/>
    <w:rsid w:val="3B8F1138"/>
    <w:rsid w:val="3B904834"/>
    <w:rsid w:val="3B932344"/>
    <w:rsid w:val="3B9D20F5"/>
    <w:rsid w:val="3BB33F88"/>
    <w:rsid w:val="3BC15D34"/>
    <w:rsid w:val="3BD93153"/>
    <w:rsid w:val="3BDA6996"/>
    <w:rsid w:val="3BDF1409"/>
    <w:rsid w:val="3C0A3047"/>
    <w:rsid w:val="3C2E50FB"/>
    <w:rsid w:val="3C37637A"/>
    <w:rsid w:val="3C4A12AD"/>
    <w:rsid w:val="3C5125FC"/>
    <w:rsid w:val="3C690ECB"/>
    <w:rsid w:val="3C860AC6"/>
    <w:rsid w:val="3C8967A4"/>
    <w:rsid w:val="3C960BC8"/>
    <w:rsid w:val="3C9848A1"/>
    <w:rsid w:val="3CA509B7"/>
    <w:rsid w:val="3CA509D1"/>
    <w:rsid w:val="3CA628B2"/>
    <w:rsid w:val="3CCD6C33"/>
    <w:rsid w:val="3CD537E6"/>
    <w:rsid w:val="3CD93879"/>
    <w:rsid w:val="3D2571D3"/>
    <w:rsid w:val="3D7A2818"/>
    <w:rsid w:val="3D8106EA"/>
    <w:rsid w:val="3D834DF8"/>
    <w:rsid w:val="3DA352B1"/>
    <w:rsid w:val="3DBA61E7"/>
    <w:rsid w:val="3DC14624"/>
    <w:rsid w:val="3DD55956"/>
    <w:rsid w:val="3E100FFC"/>
    <w:rsid w:val="3E1A3557"/>
    <w:rsid w:val="3E201534"/>
    <w:rsid w:val="3E241CE0"/>
    <w:rsid w:val="3E651EE9"/>
    <w:rsid w:val="3E7569E0"/>
    <w:rsid w:val="3E784A78"/>
    <w:rsid w:val="3E846C23"/>
    <w:rsid w:val="3E8554F5"/>
    <w:rsid w:val="3EB50271"/>
    <w:rsid w:val="3EB65E71"/>
    <w:rsid w:val="3EBB58F7"/>
    <w:rsid w:val="3EC040FF"/>
    <w:rsid w:val="3EC33032"/>
    <w:rsid w:val="3EC61DB3"/>
    <w:rsid w:val="3EF62661"/>
    <w:rsid w:val="3F3C595E"/>
    <w:rsid w:val="3F437356"/>
    <w:rsid w:val="3F59346C"/>
    <w:rsid w:val="3F615B53"/>
    <w:rsid w:val="3F657308"/>
    <w:rsid w:val="3F7856B5"/>
    <w:rsid w:val="3F7970EE"/>
    <w:rsid w:val="3F8003ED"/>
    <w:rsid w:val="3F8B5F41"/>
    <w:rsid w:val="3FC519F7"/>
    <w:rsid w:val="3FD0326B"/>
    <w:rsid w:val="3FD34D1A"/>
    <w:rsid w:val="3FED63B1"/>
    <w:rsid w:val="40031733"/>
    <w:rsid w:val="40076D3D"/>
    <w:rsid w:val="401F65F0"/>
    <w:rsid w:val="404470DB"/>
    <w:rsid w:val="404C2292"/>
    <w:rsid w:val="405D572D"/>
    <w:rsid w:val="408D1EA0"/>
    <w:rsid w:val="408E2DBF"/>
    <w:rsid w:val="4093139F"/>
    <w:rsid w:val="409D2A1A"/>
    <w:rsid w:val="40A752D1"/>
    <w:rsid w:val="40A8309D"/>
    <w:rsid w:val="40B21FB5"/>
    <w:rsid w:val="40B95E2E"/>
    <w:rsid w:val="40C17F9E"/>
    <w:rsid w:val="40C43B66"/>
    <w:rsid w:val="40E247F7"/>
    <w:rsid w:val="40EE5966"/>
    <w:rsid w:val="410F1967"/>
    <w:rsid w:val="41335FC7"/>
    <w:rsid w:val="415978C8"/>
    <w:rsid w:val="415C1B4D"/>
    <w:rsid w:val="417843F2"/>
    <w:rsid w:val="41807B75"/>
    <w:rsid w:val="418A1799"/>
    <w:rsid w:val="41A61C3F"/>
    <w:rsid w:val="41B17185"/>
    <w:rsid w:val="41F05895"/>
    <w:rsid w:val="420C70DA"/>
    <w:rsid w:val="4226611D"/>
    <w:rsid w:val="42343097"/>
    <w:rsid w:val="42520DA8"/>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C4AF8"/>
    <w:rsid w:val="45A100BA"/>
    <w:rsid w:val="45A31600"/>
    <w:rsid w:val="45DD5596"/>
    <w:rsid w:val="45E526C2"/>
    <w:rsid w:val="45EF5694"/>
    <w:rsid w:val="45F32D75"/>
    <w:rsid w:val="45FE4441"/>
    <w:rsid w:val="460934CE"/>
    <w:rsid w:val="460D18C5"/>
    <w:rsid w:val="461A1035"/>
    <w:rsid w:val="461F685B"/>
    <w:rsid w:val="463A35BA"/>
    <w:rsid w:val="464478D6"/>
    <w:rsid w:val="46594972"/>
    <w:rsid w:val="46763AFA"/>
    <w:rsid w:val="46A86AC5"/>
    <w:rsid w:val="46AF0ACC"/>
    <w:rsid w:val="46BA58D0"/>
    <w:rsid w:val="46CD2EA3"/>
    <w:rsid w:val="46E33C2A"/>
    <w:rsid w:val="46EB5C2E"/>
    <w:rsid w:val="47191F43"/>
    <w:rsid w:val="471B210D"/>
    <w:rsid w:val="47330BB1"/>
    <w:rsid w:val="474340E1"/>
    <w:rsid w:val="4754737E"/>
    <w:rsid w:val="476E5DEA"/>
    <w:rsid w:val="478D50EB"/>
    <w:rsid w:val="47914A33"/>
    <w:rsid w:val="479B0044"/>
    <w:rsid w:val="479C10BC"/>
    <w:rsid w:val="47A4380D"/>
    <w:rsid w:val="47A6297A"/>
    <w:rsid w:val="47B35BF8"/>
    <w:rsid w:val="47C01A50"/>
    <w:rsid w:val="47C041C7"/>
    <w:rsid w:val="47CB4E60"/>
    <w:rsid w:val="47CD1E0C"/>
    <w:rsid w:val="47D964DB"/>
    <w:rsid w:val="47FC33A5"/>
    <w:rsid w:val="48012A31"/>
    <w:rsid w:val="481D4366"/>
    <w:rsid w:val="485803F1"/>
    <w:rsid w:val="485E2C28"/>
    <w:rsid w:val="4865215C"/>
    <w:rsid w:val="486942C4"/>
    <w:rsid w:val="48777D12"/>
    <w:rsid w:val="487B552A"/>
    <w:rsid w:val="48842F37"/>
    <w:rsid w:val="48A34F21"/>
    <w:rsid w:val="48B05292"/>
    <w:rsid w:val="48B971DC"/>
    <w:rsid w:val="48D766C0"/>
    <w:rsid w:val="48F556EA"/>
    <w:rsid w:val="49172606"/>
    <w:rsid w:val="491946D3"/>
    <w:rsid w:val="4924047E"/>
    <w:rsid w:val="49276380"/>
    <w:rsid w:val="49441489"/>
    <w:rsid w:val="4948117F"/>
    <w:rsid w:val="494B0B0D"/>
    <w:rsid w:val="497E20AD"/>
    <w:rsid w:val="49820EB7"/>
    <w:rsid w:val="499416E9"/>
    <w:rsid w:val="49A63EAD"/>
    <w:rsid w:val="49A92347"/>
    <w:rsid w:val="49B4166E"/>
    <w:rsid w:val="49BA2C9E"/>
    <w:rsid w:val="49BC3715"/>
    <w:rsid w:val="49C56A6D"/>
    <w:rsid w:val="49F72310"/>
    <w:rsid w:val="49FD2EE4"/>
    <w:rsid w:val="4A0B4FDE"/>
    <w:rsid w:val="4A275658"/>
    <w:rsid w:val="4A343D11"/>
    <w:rsid w:val="4A396B13"/>
    <w:rsid w:val="4A497D35"/>
    <w:rsid w:val="4A6F58B8"/>
    <w:rsid w:val="4A8A37D8"/>
    <w:rsid w:val="4A8B4AB2"/>
    <w:rsid w:val="4A8F2006"/>
    <w:rsid w:val="4AD9595B"/>
    <w:rsid w:val="4AF93EAE"/>
    <w:rsid w:val="4AFC3A3A"/>
    <w:rsid w:val="4B311212"/>
    <w:rsid w:val="4B367AD7"/>
    <w:rsid w:val="4B3E6720"/>
    <w:rsid w:val="4B43535A"/>
    <w:rsid w:val="4B476348"/>
    <w:rsid w:val="4B625BF7"/>
    <w:rsid w:val="4B8B15F1"/>
    <w:rsid w:val="4BB21AF4"/>
    <w:rsid w:val="4BB54107"/>
    <w:rsid w:val="4BB67EEE"/>
    <w:rsid w:val="4BD17814"/>
    <w:rsid w:val="4BDC5109"/>
    <w:rsid w:val="4BE84FA7"/>
    <w:rsid w:val="4BF70C92"/>
    <w:rsid w:val="4BFD0513"/>
    <w:rsid w:val="4C005E77"/>
    <w:rsid w:val="4C1A02C6"/>
    <w:rsid w:val="4C2B76C1"/>
    <w:rsid w:val="4C5419A1"/>
    <w:rsid w:val="4C5429A3"/>
    <w:rsid w:val="4C645A11"/>
    <w:rsid w:val="4C79769B"/>
    <w:rsid w:val="4C87254B"/>
    <w:rsid w:val="4CDE4416"/>
    <w:rsid w:val="4D004DF6"/>
    <w:rsid w:val="4D1C2C8C"/>
    <w:rsid w:val="4D1E77BE"/>
    <w:rsid w:val="4D245FC5"/>
    <w:rsid w:val="4D2B3B2C"/>
    <w:rsid w:val="4D5048A0"/>
    <w:rsid w:val="4DA7365D"/>
    <w:rsid w:val="4DA943B0"/>
    <w:rsid w:val="4DC515BB"/>
    <w:rsid w:val="4DCB5984"/>
    <w:rsid w:val="4DD64458"/>
    <w:rsid w:val="4DDD4E1A"/>
    <w:rsid w:val="4E135BFA"/>
    <w:rsid w:val="4E1B2DDB"/>
    <w:rsid w:val="4E250E8C"/>
    <w:rsid w:val="4E313070"/>
    <w:rsid w:val="4E355E12"/>
    <w:rsid w:val="4E5C17E9"/>
    <w:rsid w:val="4E5D7C3A"/>
    <w:rsid w:val="4E8D762E"/>
    <w:rsid w:val="4E9B1112"/>
    <w:rsid w:val="4EA06365"/>
    <w:rsid w:val="4EA24A0B"/>
    <w:rsid w:val="4EBD3915"/>
    <w:rsid w:val="4ECD54B1"/>
    <w:rsid w:val="4ED4046B"/>
    <w:rsid w:val="4EDF4B15"/>
    <w:rsid w:val="4EE80B08"/>
    <w:rsid w:val="4EF43B16"/>
    <w:rsid w:val="4F0E1E8F"/>
    <w:rsid w:val="4F2B6C13"/>
    <w:rsid w:val="4F3153D3"/>
    <w:rsid w:val="4F320305"/>
    <w:rsid w:val="4F5F3ED1"/>
    <w:rsid w:val="4F5F4286"/>
    <w:rsid w:val="4F804E7C"/>
    <w:rsid w:val="4F85516A"/>
    <w:rsid w:val="4F944D8F"/>
    <w:rsid w:val="4FCA5221"/>
    <w:rsid w:val="4FED0FB9"/>
    <w:rsid w:val="50357DDE"/>
    <w:rsid w:val="50406E4E"/>
    <w:rsid w:val="507410D2"/>
    <w:rsid w:val="50847176"/>
    <w:rsid w:val="50A4392E"/>
    <w:rsid w:val="50A97681"/>
    <w:rsid w:val="50AE3B94"/>
    <w:rsid w:val="50AF7418"/>
    <w:rsid w:val="50E93575"/>
    <w:rsid w:val="50EE4AFC"/>
    <w:rsid w:val="50F04D4E"/>
    <w:rsid w:val="50F57385"/>
    <w:rsid w:val="50F6016F"/>
    <w:rsid w:val="50F9524E"/>
    <w:rsid w:val="50FB1FB9"/>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9E42FF"/>
    <w:rsid w:val="52B87033"/>
    <w:rsid w:val="52B91E49"/>
    <w:rsid w:val="52BE5917"/>
    <w:rsid w:val="52ED3633"/>
    <w:rsid w:val="531B72EC"/>
    <w:rsid w:val="531E35FC"/>
    <w:rsid w:val="531E3DBA"/>
    <w:rsid w:val="532B1547"/>
    <w:rsid w:val="532C2C22"/>
    <w:rsid w:val="533E6E17"/>
    <w:rsid w:val="5343182D"/>
    <w:rsid w:val="53552E21"/>
    <w:rsid w:val="535D3886"/>
    <w:rsid w:val="536C4A63"/>
    <w:rsid w:val="53915C12"/>
    <w:rsid w:val="539B26A9"/>
    <w:rsid w:val="53A201DA"/>
    <w:rsid w:val="53B22D34"/>
    <w:rsid w:val="53B6236C"/>
    <w:rsid w:val="53BD6F30"/>
    <w:rsid w:val="53BE23EE"/>
    <w:rsid w:val="53DA4EC3"/>
    <w:rsid w:val="540540F5"/>
    <w:rsid w:val="542913B3"/>
    <w:rsid w:val="543F18BA"/>
    <w:rsid w:val="54883400"/>
    <w:rsid w:val="54932F58"/>
    <w:rsid w:val="54A81CB5"/>
    <w:rsid w:val="54C31DFB"/>
    <w:rsid w:val="54C41B11"/>
    <w:rsid w:val="550E49C6"/>
    <w:rsid w:val="55A47D96"/>
    <w:rsid w:val="55A66903"/>
    <w:rsid w:val="55C91693"/>
    <w:rsid w:val="55C94049"/>
    <w:rsid w:val="55DA287E"/>
    <w:rsid w:val="55DA5C93"/>
    <w:rsid w:val="55DD1819"/>
    <w:rsid w:val="55EE6DAD"/>
    <w:rsid w:val="55F94250"/>
    <w:rsid w:val="56073162"/>
    <w:rsid w:val="5609127C"/>
    <w:rsid w:val="56243B92"/>
    <w:rsid w:val="562468CA"/>
    <w:rsid w:val="563D619D"/>
    <w:rsid w:val="56413F2B"/>
    <w:rsid w:val="56537C47"/>
    <w:rsid w:val="56A010C0"/>
    <w:rsid w:val="56B96B8E"/>
    <w:rsid w:val="56C2378A"/>
    <w:rsid w:val="56C747B5"/>
    <w:rsid w:val="56D42684"/>
    <w:rsid w:val="56DD2471"/>
    <w:rsid w:val="57210A6D"/>
    <w:rsid w:val="5744214A"/>
    <w:rsid w:val="574B480A"/>
    <w:rsid w:val="57543081"/>
    <w:rsid w:val="5789649C"/>
    <w:rsid w:val="57A373F0"/>
    <w:rsid w:val="57C83C57"/>
    <w:rsid w:val="57FB2FB4"/>
    <w:rsid w:val="582028C2"/>
    <w:rsid w:val="582908A2"/>
    <w:rsid w:val="58355790"/>
    <w:rsid w:val="583D07DD"/>
    <w:rsid w:val="585F1862"/>
    <w:rsid w:val="58620D26"/>
    <w:rsid w:val="58706FB1"/>
    <w:rsid w:val="587C5983"/>
    <w:rsid w:val="58A921CB"/>
    <w:rsid w:val="58C3595B"/>
    <w:rsid w:val="58E8415E"/>
    <w:rsid w:val="58ED1995"/>
    <w:rsid w:val="58FF1A45"/>
    <w:rsid w:val="591578E8"/>
    <w:rsid w:val="591C580B"/>
    <w:rsid w:val="5926497A"/>
    <w:rsid w:val="592A1893"/>
    <w:rsid w:val="59383C44"/>
    <w:rsid w:val="595D3E12"/>
    <w:rsid w:val="59961EFB"/>
    <w:rsid w:val="59A11353"/>
    <w:rsid w:val="59A541C5"/>
    <w:rsid w:val="59B40569"/>
    <w:rsid w:val="59C67EE4"/>
    <w:rsid w:val="59EC3BA2"/>
    <w:rsid w:val="5A0336C4"/>
    <w:rsid w:val="5A1D0D82"/>
    <w:rsid w:val="5A20315B"/>
    <w:rsid w:val="5A4C2893"/>
    <w:rsid w:val="5A5827FE"/>
    <w:rsid w:val="5A6514E8"/>
    <w:rsid w:val="5A6B5717"/>
    <w:rsid w:val="5A70211C"/>
    <w:rsid w:val="5AAB2A29"/>
    <w:rsid w:val="5AAB3211"/>
    <w:rsid w:val="5AAC7307"/>
    <w:rsid w:val="5AB86388"/>
    <w:rsid w:val="5ABF41C0"/>
    <w:rsid w:val="5ACA577B"/>
    <w:rsid w:val="5AD07CB2"/>
    <w:rsid w:val="5AE37CAA"/>
    <w:rsid w:val="5AEF1DC1"/>
    <w:rsid w:val="5B353486"/>
    <w:rsid w:val="5B3A7E78"/>
    <w:rsid w:val="5B3D442E"/>
    <w:rsid w:val="5B412C22"/>
    <w:rsid w:val="5B4B2EB1"/>
    <w:rsid w:val="5B4D5101"/>
    <w:rsid w:val="5B510D60"/>
    <w:rsid w:val="5B570332"/>
    <w:rsid w:val="5B5F0395"/>
    <w:rsid w:val="5B6300A3"/>
    <w:rsid w:val="5B6C0ED6"/>
    <w:rsid w:val="5B790B4E"/>
    <w:rsid w:val="5B7A2400"/>
    <w:rsid w:val="5B9B626D"/>
    <w:rsid w:val="5BA33419"/>
    <w:rsid w:val="5BA762EC"/>
    <w:rsid w:val="5BBE3118"/>
    <w:rsid w:val="5BD32897"/>
    <w:rsid w:val="5BF50A44"/>
    <w:rsid w:val="5C295CCC"/>
    <w:rsid w:val="5C381A3A"/>
    <w:rsid w:val="5C495107"/>
    <w:rsid w:val="5C5C135C"/>
    <w:rsid w:val="5C872DAA"/>
    <w:rsid w:val="5C974816"/>
    <w:rsid w:val="5CA97228"/>
    <w:rsid w:val="5CBA57BD"/>
    <w:rsid w:val="5CC5471C"/>
    <w:rsid w:val="5CD86465"/>
    <w:rsid w:val="5CDC5386"/>
    <w:rsid w:val="5CEE7B85"/>
    <w:rsid w:val="5CF07506"/>
    <w:rsid w:val="5CF73D69"/>
    <w:rsid w:val="5D090142"/>
    <w:rsid w:val="5D202057"/>
    <w:rsid w:val="5D3F1174"/>
    <w:rsid w:val="5D4700C2"/>
    <w:rsid w:val="5D472B3E"/>
    <w:rsid w:val="5D6C4615"/>
    <w:rsid w:val="5D7C5A81"/>
    <w:rsid w:val="5DD31E8F"/>
    <w:rsid w:val="5DDF2196"/>
    <w:rsid w:val="5DF704AE"/>
    <w:rsid w:val="5DF954B7"/>
    <w:rsid w:val="5DFF05CD"/>
    <w:rsid w:val="5E1672C2"/>
    <w:rsid w:val="5E1B6033"/>
    <w:rsid w:val="5E2612F9"/>
    <w:rsid w:val="5E534129"/>
    <w:rsid w:val="5E6E3C24"/>
    <w:rsid w:val="5E7255BD"/>
    <w:rsid w:val="5E937CCC"/>
    <w:rsid w:val="5ED335C0"/>
    <w:rsid w:val="5EF83794"/>
    <w:rsid w:val="5F0173CC"/>
    <w:rsid w:val="5F1A1A93"/>
    <w:rsid w:val="5F287F7E"/>
    <w:rsid w:val="5F475677"/>
    <w:rsid w:val="5F484198"/>
    <w:rsid w:val="5F567498"/>
    <w:rsid w:val="5F61396B"/>
    <w:rsid w:val="5F7D71F9"/>
    <w:rsid w:val="5F7F06F2"/>
    <w:rsid w:val="5F8420E2"/>
    <w:rsid w:val="5F887220"/>
    <w:rsid w:val="5F9022AB"/>
    <w:rsid w:val="5FB81E56"/>
    <w:rsid w:val="5FD85FDC"/>
    <w:rsid w:val="5FEB78D3"/>
    <w:rsid w:val="5FEC00EE"/>
    <w:rsid w:val="60076477"/>
    <w:rsid w:val="600951D4"/>
    <w:rsid w:val="6010358A"/>
    <w:rsid w:val="60156960"/>
    <w:rsid w:val="601A25EF"/>
    <w:rsid w:val="60250EC1"/>
    <w:rsid w:val="603B43A7"/>
    <w:rsid w:val="603E7832"/>
    <w:rsid w:val="6044067F"/>
    <w:rsid w:val="607406B8"/>
    <w:rsid w:val="60793AF7"/>
    <w:rsid w:val="6099592B"/>
    <w:rsid w:val="60A13AB9"/>
    <w:rsid w:val="60A7744C"/>
    <w:rsid w:val="60CF04AB"/>
    <w:rsid w:val="60DB5486"/>
    <w:rsid w:val="60E82C1A"/>
    <w:rsid w:val="60EC0541"/>
    <w:rsid w:val="60FD245E"/>
    <w:rsid w:val="61033EA8"/>
    <w:rsid w:val="610904F1"/>
    <w:rsid w:val="610A1613"/>
    <w:rsid w:val="61251167"/>
    <w:rsid w:val="61432D9E"/>
    <w:rsid w:val="61683AEB"/>
    <w:rsid w:val="618A70BC"/>
    <w:rsid w:val="619052BD"/>
    <w:rsid w:val="61963F6D"/>
    <w:rsid w:val="61BD1F9D"/>
    <w:rsid w:val="61EA093B"/>
    <w:rsid w:val="61F47A98"/>
    <w:rsid w:val="620121B5"/>
    <w:rsid w:val="62024DB4"/>
    <w:rsid w:val="62117D72"/>
    <w:rsid w:val="62140656"/>
    <w:rsid w:val="62210A89"/>
    <w:rsid w:val="62285DB7"/>
    <w:rsid w:val="624F0EAA"/>
    <w:rsid w:val="6253337F"/>
    <w:rsid w:val="626857C6"/>
    <w:rsid w:val="626C17E1"/>
    <w:rsid w:val="62923991"/>
    <w:rsid w:val="62966DA1"/>
    <w:rsid w:val="62F20D03"/>
    <w:rsid w:val="62F26EC0"/>
    <w:rsid w:val="62F75B83"/>
    <w:rsid w:val="630930CF"/>
    <w:rsid w:val="63095375"/>
    <w:rsid w:val="6312135F"/>
    <w:rsid w:val="632A3D0D"/>
    <w:rsid w:val="633443AB"/>
    <w:rsid w:val="6353750E"/>
    <w:rsid w:val="638857E1"/>
    <w:rsid w:val="63AB78F4"/>
    <w:rsid w:val="63C642C7"/>
    <w:rsid w:val="63C85688"/>
    <w:rsid w:val="63CD5666"/>
    <w:rsid w:val="63D01EF3"/>
    <w:rsid w:val="63D2038C"/>
    <w:rsid w:val="63D90FA9"/>
    <w:rsid w:val="63E15DFA"/>
    <w:rsid w:val="63E631E1"/>
    <w:rsid w:val="63F66CE6"/>
    <w:rsid w:val="640E7E19"/>
    <w:rsid w:val="647527CB"/>
    <w:rsid w:val="648A0F84"/>
    <w:rsid w:val="648E4974"/>
    <w:rsid w:val="648F4377"/>
    <w:rsid w:val="64994927"/>
    <w:rsid w:val="649E65A7"/>
    <w:rsid w:val="64B70C4D"/>
    <w:rsid w:val="64D14920"/>
    <w:rsid w:val="64DC3A26"/>
    <w:rsid w:val="64EA382F"/>
    <w:rsid w:val="64ED3306"/>
    <w:rsid w:val="65112EA3"/>
    <w:rsid w:val="6511603A"/>
    <w:rsid w:val="652763A9"/>
    <w:rsid w:val="653B0F51"/>
    <w:rsid w:val="65434194"/>
    <w:rsid w:val="65477730"/>
    <w:rsid w:val="654912E0"/>
    <w:rsid w:val="656A4332"/>
    <w:rsid w:val="65733372"/>
    <w:rsid w:val="65744876"/>
    <w:rsid w:val="657845AE"/>
    <w:rsid w:val="65991D3E"/>
    <w:rsid w:val="659E280B"/>
    <w:rsid w:val="65AF57DB"/>
    <w:rsid w:val="65B74A52"/>
    <w:rsid w:val="65BD55BD"/>
    <w:rsid w:val="65C53449"/>
    <w:rsid w:val="65F27286"/>
    <w:rsid w:val="6602655A"/>
    <w:rsid w:val="66037BA1"/>
    <w:rsid w:val="660D45C7"/>
    <w:rsid w:val="66280ABB"/>
    <w:rsid w:val="666717B3"/>
    <w:rsid w:val="6668032B"/>
    <w:rsid w:val="66770DF2"/>
    <w:rsid w:val="667C4290"/>
    <w:rsid w:val="668922D2"/>
    <w:rsid w:val="66AB481F"/>
    <w:rsid w:val="66B62A9B"/>
    <w:rsid w:val="66C95898"/>
    <w:rsid w:val="66F8201A"/>
    <w:rsid w:val="671C5A04"/>
    <w:rsid w:val="673F01D2"/>
    <w:rsid w:val="676777C3"/>
    <w:rsid w:val="677D4B8A"/>
    <w:rsid w:val="67802ACE"/>
    <w:rsid w:val="67804B33"/>
    <w:rsid w:val="67C40A09"/>
    <w:rsid w:val="67D020A7"/>
    <w:rsid w:val="67D600B8"/>
    <w:rsid w:val="67E4087E"/>
    <w:rsid w:val="67EC2FBF"/>
    <w:rsid w:val="681A79B2"/>
    <w:rsid w:val="6821192D"/>
    <w:rsid w:val="68222CAD"/>
    <w:rsid w:val="68337E89"/>
    <w:rsid w:val="68337EE8"/>
    <w:rsid w:val="683A6C76"/>
    <w:rsid w:val="685C5B46"/>
    <w:rsid w:val="686F1486"/>
    <w:rsid w:val="688C0656"/>
    <w:rsid w:val="68AE1735"/>
    <w:rsid w:val="68B72950"/>
    <w:rsid w:val="68D60630"/>
    <w:rsid w:val="68D72AD0"/>
    <w:rsid w:val="68F00432"/>
    <w:rsid w:val="68F8555D"/>
    <w:rsid w:val="691D712E"/>
    <w:rsid w:val="697E7396"/>
    <w:rsid w:val="69A009FE"/>
    <w:rsid w:val="69A729C5"/>
    <w:rsid w:val="69BE2739"/>
    <w:rsid w:val="69BF206E"/>
    <w:rsid w:val="69E46DF1"/>
    <w:rsid w:val="69E8174D"/>
    <w:rsid w:val="69EB7655"/>
    <w:rsid w:val="69F66247"/>
    <w:rsid w:val="69F820EF"/>
    <w:rsid w:val="69F86AAF"/>
    <w:rsid w:val="6A1F6154"/>
    <w:rsid w:val="6A2746CC"/>
    <w:rsid w:val="6A4F7CF0"/>
    <w:rsid w:val="6A5517EC"/>
    <w:rsid w:val="6A694BA1"/>
    <w:rsid w:val="6A734205"/>
    <w:rsid w:val="6A995680"/>
    <w:rsid w:val="6ABC3292"/>
    <w:rsid w:val="6AC04F0B"/>
    <w:rsid w:val="6AD34458"/>
    <w:rsid w:val="6ADC4801"/>
    <w:rsid w:val="6ADF25FC"/>
    <w:rsid w:val="6B020CD0"/>
    <w:rsid w:val="6B1148AC"/>
    <w:rsid w:val="6B3E0351"/>
    <w:rsid w:val="6B405AFC"/>
    <w:rsid w:val="6B42449D"/>
    <w:rsid w:val="6B4A5562"/>
    <w:rsid w:val="6B565807"/>
    <w:rsid w:val="6B5E3407"/>
    <w:rsid w:val="6B7A369F"/>
    <w:rsid w:val="6BAC2823"/>
    <w:rsid w:val="6BB26865"/>
    <w:rsid w:val="6BBD5024"/>
    <w:rsid w:val="6BF37DF1"/>
    <w:rsid w:val="6BFE085A"/>
    <w:rsid w:val="6BFF7BAA"/>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6A2DB3"/>
    <w:rsid w:val="6D6A69AA"/>
    <w:rsid w:val="6D79127B"/>
    <w:rsid w:val="6D832281"/>
    <w:rsid w:val="6D8A61D8"/>
    <w:rsid w:val="6DB86149"/>
    <w:rsid w:val="6DC237AE"/>
    <w:rsid w:val="6DDB7D5E"/>
    <w:rsid w:val="6DF91502"/>
    <w:rsid w:val="6DFF3A4C"/>
    <w:rsid w:val="6E01482E"/>
    <w:rsid w:val="6E02353D"/>
    <w:rsid w:val="6E0D1941"/>
    <w:rsid w:val="6E18292B"/>
    <w:rsid w:val="6E402C35"/>
    <w:rsid w:val="6E403BCF"/>
    <w:rsid w:val="6E424CF7"/>
    <w:rsid w:val="6E96703D"/>
    <w:rsid w:val="6E984122"/>
    <w:rsid w:val="6EA85E14"/>
    <w:rsid w:val="6EC4761A"/>
    <w:rsid w:val="6ED26905"/>
    <w:rsid w:val="6ED745EA"/>
    <w:rsid w:val="6ED924EF"/>
    <w:rsid w:val="6EE20566"/>
    <w:rsid w:val="6EEB6DD8"/>
    <w:rsid w:val="6EF513F6"/>
    <w:rsid w:val="6F135780"/>
    <w:rsid w:val="6F1F0771"/>
    <w:rsid w:val="6F3669E2"/>
    <w:rsid w:val="6F3A0437"/>
    <w:rsid w:val="6F452492"/>
    <w:rsid w:val="6F4E1ABB"/>
    <w:rsid w:val="6F65489B"/>
    <w:rsid w:val="6F86274A"/>
    <w:rsid w:val="6F8A6B50"/>
    <w:rsid w:val="6F9E4E98"/>
    <w:rsid w:val="6FB536E7"/>
    <w:rsid w:val="6FC169C6"/>
    <w:rsid w:val="6FD20CED"/>
    <w:rsid w:val="6FDE7692"/>
    <w:rsid w:val="6FF57413"/>
    <w:rsid w:val="6FF80D33"/>
    <w:rsid w:val="700148B1"/>
    <w:rsid w:val="700708F2"/>
    <w:rsid w:val="700C2451"/>
    <w:rsid w:val="70262445"/>
    <w:rsid w:val="702B1403"/>
    <w:rsid w:val="70476B67"/>
    <w:rsid w:val="70724AD6"/>
    <w:rsid w:val="70796EB7"/>
    <w:rsid w:val="70846EFD"/>
    <w:rsid w:val="70891E2B"/>
    <w:rsid w:val="709304FC"/>
    <w:rsid w:val="70B21D55"/>
    <w:rsid w:val="70BA4068"/>
    <w:rsid w:val="70F06D61"/>
    <w:rsid w:val="70F36F46"/>
    <w:rsid w:val="71231B23"/>
    <w:rsid w:val="713B214A"/>
    <w:rsid w:val="714633CE"/>
    <w:rsid w:val="714A76D4"/>
    <w:rsid w:val="71777D9E"/>
    <w:rsid w:val="718621EE"/>
    <w:rsid w:val="71894FD2"/>
    <w:rsid w:val="718D75C1"/>
    <w:rsid w:val="71A3311F"/>
    <w:rsid w:val="71A4634B"/>
    <w:rsid w:val="71AA4E1C"/>
    <w:rsid w:val="71C05A5D"/>
    <w:rsid w:val="71D1650D"/>
    <w:rsid w:val="72005730"/>
    <w:rsid w:val="72280301"/>
    <w:rsid w:val="7231753D"/>
    <w:rsid w:val="72386C6E"/>
    <w:rsid w:val="723A3057"/>
    <w:rsid w:val="72400885"/>
    <w:rsid w:val="724B6026"/>
    <w:rsid w:val="725273EA"/>
    <w:rsid w:val="725B1897"/>
    <w:rsid w:val="72603689"/>
    <w:rsid w:val="726227FC"/>
    <w:rsid w:val="726C47BC"/>
    <w:rsid w:val="727E4290"/>
    <w:rsid w:val="72830137"/>
    <w:rsid w:val="728E7595"/>
    <w:rsid w:val="72CD2240"/>
    <w:rsid w:val="72D903EF"/>
    <w:rsid w:val="72DC19E2"/>
    <w:rsid w:val="72EC4E12"/>
    <w:rsid w:val="73373DED"/>
    <w:rsid w:val="73391B68"/>
    <w:rsid w:val="733F7A24"/>
    <w:rsid w:val="735C44F0"/>
    <w:rsid w:val="736A01CD"/>
    <w:rsid w:val="736B4D35"/>
    <w:rsid w:val="73741988"/>
    <w:rsid w:val="73814929"/>
    <w:rsid w:val="7393399F"/>
    <w:rsid w:val="73984022"/>
    <w:rsid w:val="73C11347"/>
    <w:rsid w:val="73C179F6"/>
    <w:rsid w:val="73E2421D"/>
    <w:rsid w:val="73EF4563"/>
    <w:rsid w:val="74000D97"/>
    <w:rsid w:val="74185CCF"/>
    <w:rsid w:val="741D2E7E"/>
    <w:rsid w:val="74671D07"/>
    <w:rsid w:val="74694C3B"/>
    <w:rsid w:val="746A6AAD"/>
    <w:rsid w:val="747A4FBC"/>
    <w:rsid w:val="748B466B"/>
    <w:rsid w:val="749018A2"/>
    <w:rsid w:val="749F57AF"/>
    <w:rsid w:val="74D94903"/>
    <w:rsid w:val="74DC7834"/>
    <w:rsid w:val="74E271F1"/>
    <w:rsid w:val="74F55BA9"/>
    <w:rsid w:val="74FF178A"/>
    <w:rsid w:val="75326EC3"/>
    <w:rsid w:val="75474A77"/>
    <w:rsid w:val="7551327B"/>
    <w:rsid w:val="755F3E02"/>
    <w:rsid w:val="755F782E"/>
    <w:rsid w:val="7572311C"/>
    <w:rsid w:val="75A16A9F"/>
    <w:rsid w:val="75BC6CCF"/>
    <w:rsid w:val="75CF63FA"/>
    <w:rsid w:val="75E27D49"/>
    <w:rsid w:val="761867BE"/>
    <w:rsid w:val="762F50EB"/>
    <w:rsid w:val="76365AD0"/>
    <w:rsid w:val="765D57EA"/>
    <w:rsid w:val="766C59F7"/>
    <w:rsid w:val="7688585F"/>
    <w:rsid w:val="76E97048"/>
    <w:rsid w:val="76F54CF0"/>
    <w:rsid w:val="76F55C40"/>
    <w:rsid w:val="76FD5906"/>
    <w:rsid w:val="77072866"/>
    <w:rsid w:val="770B684E"/>
    <w:rsid w:val="771D50F3"/>
    <w:rsid w:val="77204CB1"/>
    <w:rsid w:val="777C1603"/>
    <w:rsid w:val="77A14CDE"/>
    <w:rsid w:val="77A86B72"/>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9216FB6"/>
    <w:rsid w:val="793B3DA7"/>
    <w:rsid w:val="793B5CE2"/>
    <w:rsid w:val="795C411F"/>
    <w:rsid w:val="796834B3"/>
    <w:rsid w:val="797B3C8A"/>
    <w:rsid w:val="797F45FC"/>
    <w:rsid w:val="79970647"/>
    <w:rsid w:val="79D9682C"/>
    <w:rsid w:val="79DB75C0"/>
    <w:rsid w:val="79E37881"/>
    <w:rsid w:val="79E4486C"/>
    <w:rsid w:val="79EA2E0E"/>
    <w:rsid w:val="79ED08FA"/>
    <w:rsid w:val="7A067AFA"/>
    <w:rsid w:val="7A0A71D7"/>
    <w:rsid w:val="7A0C585A"/>
    <w:rsid w:val="7A2C7450"/>
    <w:rsid w:val="7A326B5A"/>
    <w:rsid w:val="7A553725"/>
    <w:rsid w:val="7A616D0A"/>
    <w:rsid w:val="7A7F2C76"/>
    <w:rsid w:val="7A9D64D7"/>
    <w:rsid w:val="7AAC462A"/>
    <w:rsid w:val="7AF84FA0"/>
    <w:rsid w:val="7AF909C6"/>
    <w:rsid w:val="7B5D6256"/>
    <w:rsid w:val="7B6273C9"/>
    <w:rsid w:val="7B6F1BD0"/>
    <w:rsid w:val="7B732126"/>
    <w:rsid w:val="7B755C15"/>
    <w:rsid w:val="7B7B20CE"/>
    <w:rsid w:val="7B8E1216"/>
    <w:rsid w:val="7B9A1345"/>
    <w:rsid w:val="7BCA6C86"/>
    <w:rsid w:val="7C003703"/>
    <w:rsid w:val="7C044DA1"/>
    <w:rsid w:val="7C1E3C37"/>
    <w:rsid w:val="7C365DE1"/>
    <w:rsid w:val="7CA33449"/>
    <w:rsid w:val="7CA659DB"/>
    <w:rsid w:val="7CCE4D69"/>
    <w:rsid w:val="7D0A0BA4"/>
    <w:rsid w:val="7D107AF3"/>
    <w:rsid w:val="7D4253C7"/>
    <w:rsid w:val="7D4C5341"/>
    <w:rsid w:val="7D4E5EE6"/>
    <w:rsid w:val="7D8901AD"/>
    <w:rsid w:val="7D8E577D"/>
    <w:rsid w:val="7D9A426A"/>
    <w:rsid w:val="7DCD6B6E"/>
    <w:rsid w:val="7E006F08"/>
    <w:rsid w:val="7E01736D"/>
    <w:rsid w:val="7E333E03"/>
    <w:rsid w:val="7E391FE6"/>
    <w:rsid w:val="7E5576B9"/>
    <w:rsid w:val="7E6E2528"/>
    <w:rsid w:val="7E723DC7"/>
    <w:rsid w:val="7E916762"/>
    <w:rsid w:val="7EA451BC"/>
    <w:rsid w:val="7EA916FD"/>
    <w:rsid w:val="7EAB552B"/>
    <w:rsid w:val="7EC42148"/>
    <w:rsid w:val="7EE53C64"/>
    <w:rsid w:val="7F541580"/>
    <w:rsid w:val="7F590594"/>
    <w:rsid w:val="7F667225"/>
    <w:rsid w:val="7F7B2EF8"/>
    <w:rsid w:val="7F844A6E"/>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0"/>
    <w:rPr>
      <w:b/>
    </w:rPr>
  </w:style>
  <w:style w:type="character" w:styleId="19">
    <w:name w:val="page number"/>
    <w:basedOn w:val="17"/>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7"/>
    <w:qFormat/>
    <w:uiPriority w:val="0"/>
    <w:rPr>
      <w:rFonts w:ascii="Calibri" w:hAnsi="Calibri" w:cs="Calibri"/>
      <w:color w:val="000000"/>
      <w:sz w:val="21"/>
      <w:szCs w:val="21"/>
      <w:u w:val="none"/>
    </w:rPr>
  </w:style>
  <w:style w:type="character" w:customStyle="1" w:styleId="25">
    <w:name w:val="font21"/>
    <w:basedOn w:val="17"/>
    <w:qFormat/>
    <w:uiPriority w:val="0"/>
    <w:rPr>
      <w:rFonts w:hint="eastAsia" w:ascii="宋体" w:hAnsi="宋体" w:eastAsia="宋体" w:cs="宋体"/>
      <w:color w:val="000000"/>
      <w:sz w:val="21"/>
      <w:szCs w:val="21"/>
      <w:u w:val="none"/>
    </w:rPr>
  </w:style>
  <w:style w:type="character" w:customStyle="1" w:styleId="26">
    <w:name w:val="font01"/>
    <w:basedOn w:val="17"/>
    <w:qFormat/>
    <w:uiPriority w:val="0"/>
    <w:rPr>
      <w:rFonts w:ascii="Calibri" w:hAnsi="Calibri" w:cs="Calibri"/>
      <w:color w:val="000000"/>
      <w:sz w:val="21"/>
      <w:szCs w:val="21"/>
      <w:u w:val="none"/>
    </w:rPr>
  </w:style>
  <w:style w:type="character" w:customStyle="1" w:styleId="27">
    <w:name w:val="font31"/>
    <w:basedOn w:val="17"/>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paragraph" w:customStyle="1" w:styleId="30">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53</Pages>
  <Words>10030</Words>
  <Characters>11141</Characters>
  <Lines>0</Lines>
  <Paragraphs>0</Paragraphs>
  <TotalTime>12</TotalTime>
  <ScaleCrop>false</ScaleCrop>
  <LinksUpToDate>false</LinksUpToDate>
  <CharactersWithSpaces>12927</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2021-01-22T03:33:00Z</cp:lastPrinted>
  <dcterms:modified xsi:type="dcterms:W3CDTF">2024-04-18T07:53:52Z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2C5206B84D72479E8FBA2E269A258FCD_13</vt:lpwstr>
  </property>
</Properties>
</file>