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auto"/>
          <w:sz w:val="32"/>
          <w:szCs w:val="32"/>
          <w:highlight w:val="none"/>
          <w:shd w:val="clear" w:color="FFFFFF" w:fill="D9D9D9"/>
        </w:rPr>
      </w:pPr>
      <w:permStart w:id="0" w:edGrp="everyone"/>
      <w:r>
        <w:rPr>
          <w:rFonts w:hint="eastAsia" w:ascii="黑体" w:hAnsi="黑体" w:eastAsia="黑体" w:cs="黑体"/>
          <w:color w:val="auto"/>
          <w:sz w:val="32"/>
          <w:szCs w:val="32"/>
          <w:highlight w:val="none"/>
          <w:shd w:val="clear" w:color="FFFFFF" w:fill="D9D9D9"/>
        </w:rPr>
        <w:t>安徽交赢新能源有限公司成品油</w:t>
      </w:r>
      <w:r>
        <w:rPr>
          <w:rFonts w:hint="eastAsia" w:ascii="黑体" w:hAnsi="黑体" w:eastAsia="黑体" w:cs="黑体"/>
          <w:color w:val="auto"/>
          <w:sz w:val="32"/>
          <w:szCs w:val="32"/>
          <w:highlight w:val="none"/>
          <w:shd w:val="clear" w:color="FFFFFF" w:fill="D9D9D9"/>
          <w:lang w:val="en-US" w:eastAsia="zh-CN"/>
        </w:rPr>
        <w:t>(柴油)长途</w:t>
      </w:r>
      <w:r>
        <w:rPr>
          <w:rFonts w:hint="eastAsia" w:ascii="黑体" w:hAnsi="黑体" w:eastAsia="黑体" w:cs="黑体"/>
          <w:color w:val="auto"/>
          <w:sz w:val="32"/>
          <w:szCs w:val="32"/>
          <w:highlight w:val="none"/>
          <w:shd w:val="clear" w:color="FFFFFF" w:fill="D9D9D9"/>
        </w:rPr>
        <w:t>运输</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FFFFFF" w:fill="D9D9D9"/>
          <w:lang w:val="en-US" w:eastAsia="zh-CN"/>
        </w:rPr>
      </w:pPr>
      <w:r>
        <w:rPr>
          <w:rFonts w:hint="eastAsia" w:ascii="黑体" w:hAnsi="黑体" w:eastAsia="黑体" w:cs="黑体"/>
          <w:color w:val="auto"/>
          <w:sz w:val="32"/>
          <w:szCs w:val="32"/>
          <w:highlight w:val="none"/>
          <w:shd w:val="clear" w:color="FFFFFF" w:fill="D9D9D9"/>
        </w:rPr>
        <w:t>及接卸服务</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BZJK-2024-023号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安徽交赢新能源有限公司</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 2024年4</w:t>
      </w:r>
      <w:r>
        <w:rPr>
          <w:rFonts w:hint="eastAsia" w:ascii="Times New Roman" w:hAnsi="Times New Roman" w:eastAsia="楷体" w:cs="Times New Roman"/>
          <w:kern w:val="0"/>
          <w:sz w:val="32"/>
          <w:szCs w:val="32"/>
          <w:highlight w:val="none"/>
          <w:u w:val="none"/>
          <w:shd w:val="clear" w:color="auto" w:fill="auto"/>
          <w:lang w:val="en-US" w:eastAsia="zh-CN"/>
        </w:rPr>
        <w:t>月9日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黑体" w:hAnsi="黑体" w:eastAsia="黑体" w:cs="黑体"/>
          <w:sz w:val="28"/>
          <w:szCs w:val="28"/>
        </w:rPr>
      </w:pPr>
      <w:permStart w:id="5" w:edGrp="everyone"/>
      <w:r>
        <w:rPr>
          <w:rFonts w:hint="eastAsia" w:ascii="黑体" w:hAnsi="黑体" w:eastAsia="黑体" w:cs="黑体"/>
          <w:sz w:val="28"/>
          <w:szCs w:val="28"/>
        </w:rPr>
        <w:t>安徽交赢新能源有限公司成品油</w:t>
      </w:r>
      <w:r>
        <w:rPr>
          <w:rFonts w:hint="eastAsia" w:ascii="黑体" w:hAnsi="黑体" w:eastAsia="黑体" w:cs="黑体"/>
          <w:sz w:val="28"/>
          <w:szCs w:val="28"/>
          <w:lang w:eastAsia="zh-CN"/>
        </w:rPr>
        <w:t>（</w:t>
      </w:r>
      <w:r>
        <w:rPr>
          <w:rFonts w:hint="eastAsia" w:ascii="黑体" w:hAnsi="黑体" w:eastAsia="黑体" w:cs="黑体"/>
          <w:sz w:val="28"/>
          <w:szCs w:val="28"/>
          <w:lang w:val="en-US" w:eastAsia="zh-CN"/>
        </w:rPr>
        <w:t>柴油</w:t>
      </w:r>
      <w:r>
        <w:rPr>
          <w:rFonts w:hint="eastAsia" w:ascii="黑体" w:hAnsi="黑体" w:eastAsia="黑体" w:cs="黑体"/>
          <w:sz w:val="28"/>
          <w:szCs w:val="28"/>
          <w:lang w:eastAsia="zh-CN"/>
        </w:rPr>
        <w:t>）</w:t>
      </w:r>
      <w:r>
        <w:rPr>
          <w:rFonts w:hint="eastAsia" w:ascii="黑体" w:hAnsi="黑体" w:eastAsia="黑体" w:cs="黑体"/>
          <w:sz w:val="28"/>
          <w:szCs w:val="28"/>
          <w:lang w:val="en-US" w:eastAsia="zh-CN"/>
        </w:rPr>
        <w:t>长途</w:t>
      </w:r>
      <w:r>
        <w:rPr>
          <w:rFonts w:hint="eastAsia" w:ascii="黑体" w:hAnsi="黑体" w:eastAsia="黑体" w:cs="黑体"/>
          <w:sz w:val="28"/>
          <w:szCs w:val="28"/>
        </w:rPr>
        <w:t>运输及接卸服务</w:t>
      </w:r>
    </w:p>
    <w:permEnd w:id="5"/>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166"/>
      <w:bookmarkStart w:id="1" w:name="_Toc144974487"/>
      <w:bookmarkStart w:id="2" w:name="_Toc152042295"/>
      <w:bookmarkStart w:id="3" w:name="_Toc296602410"/>
      <w:bookmarkStart w:id="4" w:name="_Toc246996909"/>
      <w:bookmarkStart w:id="5" w:name="_Toc152045519"/>
      <w:bookmarkStart w:id="6" w:name="_Toc247085680"/>
      <w:bookmarkStart w:id="7" w:name="_Toc179632536"/>
    </w:p>
    <w:bookmarkEnd w:id="0"/>
    <w:bookmarkEnd w:id="1"/>
    <w:bookmarkEnd w:id="2"/>
    <w:bookmarkEnd w:id="3"/>
    <w:bookmarkEnd w:id="4"/>
    <w:bookmarkEnd w:id="5"/>
    <w:bookmarkEnd w:id="6"/>
    <w:bookmark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167"/>
      <w:bookmarkStart w:id="9" w:name="_Toc144974488"/>
      <w:bookmarkStart w:id="10" w:name="_Toc296602411"/>
      <w:bookmarkStart w:id="11" w:name="_Toc179632537"/>
      <w:bookmarkStart w:id="12" w:name="_Toc152042296"/>
      <w:bookmarkStart w:id="13" w:name="_Toc152045520"/>
      <w:bookmarkStart w:id="14" w:name="_Toc246996910"/>
      <w:bookmarkStart w:id="15" w:name="_Toc24708568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安徽交赢新能源有限公司成品油（柴油）长途运输及接卸服务</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宋体" w:hAnsi="宋体" w:eastAsia="宋体" w:cs="宋体"/>
          <w:kern w:val="0"/>
          <w:sz w:val="28"/>
          <w:szCs w:val="28"/>
          <w:highlight w:val="none"/>
          <w:shd w:val="clear" w:color="auto" w:fill="auto"/>
          <w:lang w:val="en-US" w:eastAsia="zh-CN"/>
        </w:rPr>
        <w:t>BZJK-2024-023号</w:t>
      </w:r>
      <w:perm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8"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宋体" w:hAnsi="宋体" w:eastAsia="宋体" w:cs="宋体"/>
          <w:sz w:val="28"/>
          <w:szCs w:val="28"/>
        </w:rPr>
        <w:t>企业自筹</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9"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宋体" w:hAnsi="宋体" w:eastAsia="宋体" w:cs="宋体"/>
          <w:sz w:val="28"/>
          <w:szCs w:val="28"/>
        </w:rPr>
        <w:t>安徽交赢新能源有限公司</w:t>
      </w:r>
    </w:p>
    <w:permEnd w:id="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0" w:edGrp="everyone"/>
      <w:r>
        <w:rPr>
          <w:rFonts w:hint="eastAsia" w:asciiTheme="minorEastAsia" w:hAnsiTheme="minorEastAsia" w:eastAsiaTheme="minorEastAsia" w:cstheme="minorEastAsia"/>
          <w:sz w:val="28"/>
          <w:szCs w:val="28"/>
        </w:rPr>
        <w:t>安徽交赢新能源有限公司下有崇文路加油站</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橇装加油站各</w:t>
      </w:r>
      <w:r>
        <w:rPr>
          <w:rFonts w:hint="eastAsia" w:asciiTheme="minorEastAsia" w:hAnsiTheme="minorEastAsia" w:eastAsiaTheme="minorEastAsia" w:cstheme="minorEastAsia"/>
          <w:sz w:val="28"/>
          <w:szCs w:val="28"/>
        </w:rPr>
        <w:t>一座，</w:t>
      </w:r>
      <w:r>
        <w:rPr>
          <w:rFonts w:hint="eastAsia" w:asciiTheme="minorEastAsia" w:hAnsiTheme="minorEastAsia" w:eastAsiaTheme="minorEastAsia" w:cstheme="minorEastAsia"/>
          <w:sz w:val="28"/>
          <w:szCs w:val="28"/>
          <w:lang w:val="en-US" w:eastAsia="zh-CN"/>
        </w:rPr>
        <w:t>崇文路</w:t>
      </w:r>
      <w:r>
        <w:rPr>
          <w:rFonts w:hint="eastAsia" w:asciiTheme="minorEastAsia" w:hAnsiTheme="minorEastAsia" w:eastAsiaTheme="minorEastAsia" w:cstheme="minorEastAsia"/>
          <w:sz w:val="28"/>
          <w:szCs w:val="28"/>
        </w:rPr>
        <w:t>加油站</w:t>
      </w:r>
      <w:r>
        <w:rPr>
          <w:rFonts w:hint="eastAsia" w:asciiTheme="minorEastAsia" w:hAnsiTheme="minorEastAsia" w:eastAsiaTheme="minorEastAsia" w:cstheme="minorEastAsia"/>
          <w:sz w:val="28"/>
          <w:szCs w:val="28"/>
          <w:lang w:eastAsia="zh-CN"/>
        </w:rPr>
        <w:t>位于亳州市酒城大道与崇文路交叉口，</w:t>
      </w:r>
      <w:r>
        <w:rPr>
          <w:rFonts w:hint="eastAsia" w:asciiTheme="minorEastAsia" w:hAnsiTheme="minorEastAsia" w:eastAsiaTheme="minorEastAsia" w:cstheme="minorEastAsia"/>
          <w:sz w:val="28"/>
          <w:szCs w:val="28"/>
        </w:rPr>
        <w:t>包含柴油油罐30m³一个</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橇装加油站位于亳州市和平路与药王大道交叉口东南100米，包含柴油油罐50</w:t>
      </w:r>
      <w:r>
        <w:rPr>
          <w:rFonts w:hint="eastAsia" w:asciiTheme="minorEastAsia" w:hAnsiTheme="minorEastAsia" w:eastAsiaTheme="minorEastAsia" w:cstheme="minorEastAsia"/>
          <w:sz w:val="28"/>
          <w:szCs w:val="28"/>
        </w:rPr>
        <w:t>m³</w:t>
      </w:r>
      <w:r>
        <w:rPr>
          <w:rFonts w:hint="eastAsia" w:asciiTheme="minorEastAsia" w:hAnsiTheme="minorEastAsia" w:eastAsiaTheme="minorEastAsia" w:cstheme="minorEastAsia"/>
          <w:sz w:val="28"/>
          <w:szCs w:val="28"/>
          <w:lang w:val="en-US" w:eastAsia="zh-CN"/>
        </w:rPr>
        <w:t>一个，</w:t>
      </w:r>
      <w:r>
        <w:rPr>
          <w:rFonts w:hint="eastAsia" w:asciiTheme="minorEastAsia" w:hAnsiTheme="minorEastAsia" w:eastAsiaTheme="minorEastAsia" w:cstheme="minorEastAsia"/>
          <w:sz w:val="28"/>
          <w:szCs w:val="28"/>
        </w:rPr>
        <w:t>目前</w:t>
      </w:r>
      <w:r>
        <w:rPr>
          <w:rFonts w:hint="eastAsia" w:asciiTheme="minorEastAsia" w:hAnsiTheme="minorEastAsia" w:eastAsiaTheme="minorEastAsia" w:cstheme="minorEastAsia"/>
          <w:sz w:val="28"/>
          <w:szCs w:val="28"/>
          <w:lang w:val="en-US" w:eastAsia="zh-CN"/>
        </w:rPr>
        <w:t>两座</w:t>
      </w:r>
      <w:r>
        <w:rPr>
          <w:rFonts w:hint="eastAsia" w:asciiTheme="minorEastAsia" w:hAnsiTheme="minorEastAsia" w:eastAsiaTheme="minorEastAsia" w:cstheme="minorEastAsia"/>
          <w:sz w:val="28"/>
          <w:szCs w:val="28"/>
        </w:rPr>
        <w:t>加油站处于正常经营状态。为满足供油需要，现拟采购成品油</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柴油</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长途</w:t>
      </w:r>
      <w:r>
        <w:rPr>
          <w:rFonts w:hint="eastAsia" w:asciiTheme="minorEastAsia" w:hAnsiTheme="minorEastAsia" w:eastAsiaTheme="minorEastAsia" w:cstheme="minorEastAsia"/>
          <w:sz w:val="28"/>
          <w:szCs w:val="28"/>
        </w:rPr>
        <w:t>运输服务，</w:t>
      </w:r>
      <w:r>
        <w:rPr>
          <w:rFonts w:hint="eastAsia" w:asciiTheme="minorEastAsia" w:hAnsiTheme="minorEastAsia" w:eastAsiaTheme="minorEastAsia" w:cstheme="minorEastAsia"/>
          <w:sz w:val="28"/>
          <w:szCs w:val="28"/>
          <w:lang w:val="en-US" w:eastAsia="zh-CN"/>
        </w:rPr>
        <w:t>运输费用</w:t>
      </w:r>
      <w:r>
        <w:rPr>
          <w:rFonts w:hint="eastAsia" w:asciiTheme="minorEastAsia" w:hAnsiTheme="minorEastAsia" w:eastAsiaTheme="minorEastAsia" w:cstheme="minorEastAsia"/>
          <w:sz w:val="28"/>
          <w:szCs w:val="28"/>
        </w:rPr>
        <w:t>每年约</w:t>
      </w:r>
      <w:r>
        <w:rPr>
          <w:rFonts w:hint="eastAsia" w:asciiTheme="minorEastAsia" w:hAnsiTheme="minorEastAsia" w:eastAsiaTheme="minorEastAsia" w:cstheme="minorEastAsia"/>
          <w:sz w:val="28"/>
          <w:szCs w:val="28"/>
          <w:lang w:val="en-US" w:eastAsia="zh-CN"/>
        </w:rPr>
        <w:t>10</w:t>
      </w:r>
      <w:r>
        <w:rPr>
          <w:rFonts w:hint="eastAsia" w:asciiTheme="minorEastAsia" w:hAnsiTheme="minorEastAsia" w:eastAsiaTheme="minorEastAsia" w:cstheme="minorEastAsia"/>
          <w:sz w:val="28"/>
          <w:szCs w:val="28"/>
        </w:rPr>
        <w:t>0万元</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具体以实际运输为准</w:t>
      </w:r>
      <w:r>
        <w:rPr>
          <w:rFonts w:hint="eastAsia" w:asciiTheme="minorEastAsia" w:hAnsiTheme="minorEastAsia" w:eastAsiaTheme="minorEastAsia" w:cstheme="minorEastAsia"/>
          <w:sz w:val="28"/>
          <w:szCs w:val="28"/>
        </w:rPr>
        <w:t>。</w:t>
      </w:r>
      <w:r>
        <w:rPr>
          <w:rFonts w:hint="eastAsia" w:asciiTheme="minorEastAsia" w:hAnsiTheme="minorEastAsia" w:cstheme="minorEastAsia"/>
          <w:color w:val="FF0000"/>
          <w:sz w:val="28"/>
          <w:szCs w:val="28"/>
          <w:highlight w:val="none"/>
          <w:lang w:val="en-US" w:eastAsia="zh-CN"/>
        </w:rPr>
        <w:t xml:space="preserve"> </w:t>
      </w:r>
      <w:permEnd w:id="10"/>
    </w:p>
    <w:p>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1"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auto"/>
          <w:sz w:val="28"/>
          <w:szCs w:val="28"/>
        </w:rPr>
        <w:t>本次主要采购内容为</w:t>
      </w:r>
      <w:r>
        <w:rPr>
          <w:rFonts w:hint="eastAsia" w:asciiTheme="minorEastAsia" w:hAnsiTheme="minorEastAsia" w:eastAsiaTheme="minorEastAsia" w:cstheme="minorEastAsia"/>
          <w:color w:val="auto"/>
          <w:sz w:val="28"/>
          <w:szCs w:val="28"/>
          <w:lang w:val="en-US" w:eastAsia="zh-CN"/>
        </w:rPr>
        <w:t>从山东京博新能源（滨州市博兴县）、山东金诚石化（淄博市桓台县）油库长途</w:t>
      </w:r>
      <w:r>
        <w:rPr>
          <w:rFonts w:hint="eastAsia" w:asciiTheme="minorEastAsia" w:hAnsiTheme="minorEastAsia" w:eastAsiaTheme="minorEastAsia" w:cstheme="minorEastAsia"/>
          <w:color w:val="auto"/>
          <w:sz w:val="28"/>
          <w:szCs w:val="28"/>
        </w:rPr>
        <w:t>道路运输及接卸成品油</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lang w:val="en-US" w:eastAsia="zh-CN"/>
        </w:rPr>
        <w:t>柴油</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rPr>
        <w:t>。主要服务于油库到</w:t>
      </w:r>
      <w:r>
        <w:rPr>
          <w:rFonts w:hint="eastAsia" w:asciiTheme="minorEastAsia" w:hAnsiTheme="minorEastAsia" w:eastAsiaTheme="minorEastAsia" w:cstheme="minorEastAsia"/>
          <w:color w:val="auto"/>
          <w:sz w:val="28"/>
          <w:szCs w:val="28"/>
          <w:lang w:eastAsia="zh-CN"/>
        </w:rPr>
        <w:t>崇文路加油站和橇装加油站</w:t>
      </w:r>
      <w:r>
        <w:rPr>
          <w:rFonts w:hint="eastAsia" w:asciiTheme="minorEastAsia" w:hAnsiTheme="minorEastAsia" w:eastAsiaTheme="minorEastAsia" w:cstheme="minorEastAsia"/>
          <w:color w:val="auto"/>
          <w:sz w:val="28"/>
          <w:szCs w:val="28"/>
        </w:rPr>
        <w:t>之间的配送、油库到客户处</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lang w:val="en-US" w:eastAsia="zh-CN"/>
        </w:rPr>
        <w:t>不限于亳州市区</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rPr>
        <w:t>之间的配送。</w:t>
      </w:r>
      <w:r>
        <w:rPr>
          <w:rFonts w:hint="eastAsia" w:asciiTheme="minorEastAsia" w:hAnsiTheme="minorEastAsia" w:cstheme="minorEastAsia"/>
          <w:color w:val="FF0000"/>
          <w:sz w:val="28"/>
          <w:szCs w:val="28"/>
          <w:highlight w:val="none"/>
          <w:lang w:val="en-US" w:eastAsia="zh-CN"/>
        </w:rPr>
        <w:t xml:space="preserve"> </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cstheme="minorEastAsia"/>
          <w:sz w:val="28"/>
          <w:szCs w:val="28"/>
          <w:highlight w:val="none"/>
          <w:u w:val="single"/>
          <w:lang w:val="en-US" w:eastAsia="zh-CN"/>
        </w:rPr>
        <w:t>2</w:t>
      </w:r>
      <w:r>
        <w:rPr>
          <w:rFonts w:hint="eastAsia" w:asciiTheme="minorEastAsia" w:hAnsiTheme="minorEastAsia" w:eastAsiaTheme="minorEastAsia" w:cstheme="minorEastAsia"/>
          <w:sz w:val="28"/>
          <w:szCs w:val="28"/>
          <w:highlight w:val="none"/>
          <w:u w:val="none"/>
          <w:lang w:val="en-US" w:eastAsia="zh-CN"/>
        </w:rPr>
        <w:t>年。</w:t>
      </w:r>
      <w:permEnd w:id="1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4" w:edGrp="everyone"/>
      <w:r>
        <w:rPr>
          <w:rFonts w:hint="eastAsia" w:asciiTheme="minorEastAsia" w:hAnsiTheme="minorEastAsia" w:cstheme="minorEastAsia"/>
          <w:color w:val="auto"/>
          <w:sz w:val="28"/>
          <w:szCs w:val="28"/>
          <w:highlight w:val="none"/>
          <w:lang w:val="en-US" w:eastAsia="zh-CN"/>
        </w:rPr>
        <w:t>（含税：9 %）</w:t>
      </w:r>
      <w:permEnd w:id="14"/>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210元/吨/车次</w:t>
      </w:r>
      <w:r>
        <w:rPr>
          <w:rFonts w:hint="eastAsia" w:asciiTheme="minorEastAsia" w:hAnsiTheme="minorEastAsia" w:eastAsiaTheme="minorEastAsia" w:cstheme="minorEastAsia"/>
          <w:sz w:val="28"/>
          <w:szCs w:val="28"/>
          <w:highlight w:val="none"/>
          <w:u w:val="single"/>
          <w:lang w:val="en-US" w:eastAsia="zh-CN"/>
        </w:rPr>
        <w:t xml:space="preserve"> </w:t>
      </w:r>
      <w:permEnd w:id="15"/>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6" w:edGrp="everyone"/>
      <w:r>
        <w:rPr>
          <w:rFonts w:hint="eastAsia" w:asciiTheme="minorEastAsia" w:hAnsiTheme="minorEastAsia" w:cstheme="minorEastAsia"/>
          <w:color w:val="auto"/>
          <w:sz w:val="28"/>
          <w:szCs w:val="28"/>
          <w:highlight w:val="none"/>
          <w:u w:val="single"/>
          <w:lang w:val="en-US" w:eastAsia="zh-CN"/>
        </w:rPr>
        <w:t>固定单价</w:t>
      </w:r>
      <w:permEnd w:id="16"/>
      <w:r>
        <w:rPr>
          <w:rFonts w:hint="eastAsia" w:asciiTheme="minorEastAsia" w:hAnsiTheme="minorEastAsia" w:eastAsiaTheme="minorEastAsia" w:cstheme="minorEastAsia"/>
          <w:color w:val="auto"/>
          <w:sz w:val="28"/>
          <w:szCs w:val="28"/>
          <w:highlight w:val="none"/>
          <w:lang w:val="en-US" w:eastAsia="zh-CN"/>
        </w:rPr>
        <w:t>报价</w:t>
      </w:r>
      <w:r>
        <w:rPr>
          <w:rFonts w:hint="eastAsia" w:ascii="宋体" w:hAnsi="宋体" w:eastAsia="宋体" w:cs="宋体"/>
          <w:color w:val="auto"/>
          <w:sz w:val="28"/>
          <w:szCs w:val="28"/>
          <w:highlight w:val="none"/>
          <w:lang w:val="en-US" w:eastAsia="zh-CN"/>
        </w:rPr>
        <w:t>（</w:t>
      </w:r>
      <w:r>
        <w:rPr>
          <w:rFonts w:hint="eastAsia" w:ascii="宋体" w:hAnsi="宋体" w:eastAsia="宋体" w:cs="宋体"/>
          <w:color w:val="auto"/>
          <w:sz w:val="28"/>
          <w:szCs w:val="28"/>
        </w:rPr>
        <w:t>报价包括</w:t>
      </w:r>
      <w:r>
        <w:rPr>
          <w:rFonts w:hint="eastAsia" w:ascii="宋体" w:hAnsi="宋体" w:eastAsia="宋体" w:cs="宋体"/>
          <w:color w:val="auto"/>
          <w:sz w:val="28"/>
          <w:szCs w:val="28"/>
          <w:lang w:val="en-US" w:eastAsia="zh-CN"/>
        </w:rPr>
        <w:t>往返</w:t>
      </w:r>
      <w:r>
        <w:rPr>
          <w:rFonts w:hint="eastAsia" w:ascii="宋体" w:hAnsi="宋体" w:eastAsia="宋体" w:cs="宋体"/>
          <w:color w:val="auto"/>
          <w:sz w:val="28"/>
          <w:szCs w:val="28"/>
        </w:rPr>
        <w:t>运输费用、过磅费用、高速费用、相关通</w:t>
      </w:r>
      <w:r>
        <w:rPr>
          <w:rFonts w:hint="eastAsia" w:ascii="宋体" w:hAnsi="宋体" w:eastAsia="宋体" w:cs="宋体"/>
          <w:sz w:val="28"/>
          <w:szCs w:val="28"/>
        </w:rPr>
        <w:t>行费用</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司乘人员费用</w:t>
      </w:r>
      <w:r>
        <w:rPr>
          <w:rFonts w:hint="eastAsia" w:ascii="宋体" w:hAnsi="宋体" w:eastAsia="宋体" w:cs="宋体"/>
          <w:sz w:val="28"/>
          <w:szCs w:val="28"/>
        </w:rPr>
        <w:t>等全部费用</w:t>
      </w:r>
      <w:r>
        <w:rPr>
          <w:rFonts w:hint="eastAsia" w:ascii="宋体" w:hAnsi="宋体" w:eastAsia="宋体" w:cs="宋体"/>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val="0"/>
        <w:snapToGrid w:val="0"/>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（一）</w:t>
      </w:r>
      <w:r>
        <w:rPr>
          <w:rFonts w:hint="eastAsia" w:asciiTheme="minorEastAsia" w:hAnsiTheme="minorEastAsia" w:eastAsiaTheme="minorEastAsia" w:cstheme="minorEastAsia"/>
          <w:color w:val="auto"/>
          <w:sz w:val="28"/>
          <w:szCs w:val="28"/>
          <w:highlight w:val="none"/>
          <w:lang w:val="en-US" w:eastAsia="zh-CN"/>
        </w:rPr>
        <w:t>具有</w:t>
      </w:r>
      <w:permStart w:id="17" w:edGrp="everyone"/>
      <w:r>
        <w:rPr>
          <w:rFonts w:hint="eastAsia" w:asciiTheme="minorEastAsia" w:hAnsiTheme="minorEastAsia" w:eastAsiaTheme="minorEastAsia" w:cstheme="minorEastAsia"/>
          <w:color w:val="auto"/>
          <w:sz w:val="28"/>
          <w:szCs w:val="28"/>
          <w:highlight w:val="none"/>
          <w:lang w:val="en-US" w:eastAsia="zh-CN"/>
        </w:rPr>
        <w:t>独立法人资格</w:t>
      </w:r>
      <w:r>
        <w:rPr>
          <w:rFonts w:hint="eastAsia" w:asciiTheme="minorEastAsia" w:hAnsiTheme="minorEastAsia" w:cstheme="minorEastAsia"/>
          <w:color w:val="auto"/>
          <w:sz w:val="28"/>
          <w:szCs w:val="28"/>
          <w:highlight w:val="none"/>
          <w:lang w:val="en-US" w:eastAsia="zh-CN"/>
        </w:rPr>
        <w:t>，有效的营业执照</w:t>
      </w:r>
      <w:permEnd w:id="17"/>
      <w:r>
        <w:rPr>
          <w:rFonts w:hint="eastAsia" w:asciiTheme="minorEastAsia" w:hAnsiTheme="minorEastAsia" w:eastAsiaTheme="minorEastAsia" w:cstheme="minorEastAsia"/>
          <w:color w:val="auto"/>
          <w:sz w:val="28"/>
          <w:szCs w:val="28"/>
          <w:highlight w:val="none"/>
          <w:lang w:val="en-US" w:eastAsia="zh-CN"/>
        </w:rPr>
        <w:t>，并在人员、</w:t>
      </w:r>
      <w:r>
        <w:rPr>
          <w:rFonts w:hint="eastAsia" w:asciiTheme="minorEastAsia" w:hAnsiTheme="minorEastAsia" w:cstheme="minorEastAsia"/>
          <w:color w:val="auto"/>
          <w:sz w:val="28"/>
          <w:szCs w:val="28"/>
          <w:highlight w:val="none"/>
          <w:lang w:val="en-US" w:eastAsia="zh-CN"/>
        </w:rPr>
        <w:t>车辆</w:t>
      </w:r>
      <w:r>
        <w:rPr>
          <w:rFonts w:hint="eastAsia" w:asciiTheme="minorEastAsia" w:hAnsiTheme="minorEastAsia" w:eastAsiaTheme="minorEastAsia" w:cstheme="minorEastAsia"/>
          <w:color w:val="auto"/>
          <w:sz w:val="28"/>
          <w:szCs w:val="28"/>
          <w:highlight w:val="none"/>
          <w:lang w:val="en-US" w:eastAsia="zh-CN"/>
        </w:rPr>
        <w:t>、资金等方面具有承担本</w:t>
      </w:r>
      <w:r>
        <w:rPr>
          <w:rFonts w:hint="eastAsia" w:asciiTheme="minorEastAsia" w:hAnsiTheme="minorEastAsia" w:cstheme="minorEastAsia"/>
          <w:color w:val="auto"/>
          <w:sz w:val="28"/>
          <w:szCs w:val="28"/>
          <w:highlight w:val="none"/>
          <w:lang w:val="en-US" w:eastAsia="zh-CN"/>
        </w:rPr>
        <w:t>项目</w:t>
      </w:r>
      <w:r>
        <w:rPr>
          <w:rFonts w:hint="eastAsia" w:asciiTheme="minorEastAsia" w:hAnsiTheme="minorEastAsia" w:eastAsiaTheme="minorEastAsia" w:cstheme="minorEastAsia"/>
          <w:color w:val="auto"/>
          <w:sz w:val="28"/>
          <w:szCs w:val="28"/>
          <w:highlight w:val="none"/>
          <w:lang w:val="en-US" w:eastAsia="zh-CN"/>
        </w:rPr>
        <w:t>的能力</w:t>
      </w:r>
      <w:r>
        <w:rPr>
          <w:rFonts w:hint="eastAsia" w:asciiTheme="minorEastAsia" w:hAnsiTheme="minorEastAsia" w:cstheme="minorEastAsia"/>
          <w:color w:val="auto"/>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val="0"/>
        <w:snapToGrid w:val="0"/>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（二）</w:t>
      </w:r>
      <w:r>
        <w:rPr>
          <w:rFonts w:hint="eastAsia" w:asciiTheme="minorEastAsia" w:hAnsiTheme="minorEastAsia" w:eastAsiaTheme="minorEastAsia" w:cstheme="minorEastAsia"/>
          <w:color w:val="auto"/>
          <w:sz w:val="28"/>
          <w:szCs w:val="28"/>
          <w:highlight w:val="none"/>
          <w:lang w:val="en-US" w:eastAsia="zh-CN"/>
        </w:rPr>
        <w:t>具有</w:t>
      </w:r>
      <w:permStart w:id="18" w:edGrp="everyone"/>
      <w:r>
        <w:rPr>
          <w:rFonts w:hint="eastAsia" w:asciiTheme="minorEastAsia" w:hAnsiTheme="minorEastAsia" w:eastAsiaTheme="minorEastAsia" w:cstheme="minorEastAsia"/>
          <w:color w:val="auto"/>
          <w:sz w:val="28"/>
          <w:szCs w:val="28"/>
          <w:highlight w:val="none"/>
        </w:rPr>
        <w:t>有效的</w:t>
      </w:r>
      <w:r>
        <w:rPr>
          <w:rFonts w:hint="eastAsia" w:asciiTheme="minorEastAsia" w:hAnsi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道路运输经营许可证</w:t>
      </w:r>
      <w:r>
        <w:rPr>
          <w:rFonts w:hint="eastAsia" w:asciiTheme="minorEastAsia" w:hAnsi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、危险品货物运输许可证</w:t>
      </w:r>
      <w:r>
        <w:rPr>
          <w:rFonts w:hint="eastAsia" w:asciiTheme="minorEastAsia" w:hAnsiTheme="minorEastAsia" w:cstheme="minorEastAsia"/>
          <w:color w:val="auto"/>
          <w:sz w:val="28"/>
          <w:szCs w:val="28"/>
          <w:highlight w:val="none"/>
          <w:lang w:eastAsia="zh-CN"/>
        </w:rPr>
        <w:t>（</w:t>
      </w:r>
      <w:r>
        <w:rPr>
          <w:rFonts w:hint="eastAsia" w:asciiTheme="minorEastAsia" w:hAnsiTheme="minorEastAsia" w:cstheme="minorEastAsia"/>
          <w:color w:val="auto"/>
          <w:sz w:val="28"/>
          <w:szCs w:val="28"/>
          <w:highlight w:val="none"/>
          <w:lang w:val="en-US" w:eastAsia="zh-CN"/>
        </w:rPr>
        <w:t>经营范围包含危险货物运输【3】类</w:t>
      </w:r>
      <w:r>
        <w:rPr>
          <w:rFonts w:hint="eastAsia" w:asciiTheme="minorEastAsia" w:hAnsiTheme="minorEastAsia" w:cstheme="minorEastAsia"/>
          <w:color w:val="auto"/>
          <w:sz w:val="28"/>
          <w:szCs w:val="28"/>
          <w:highlight w:val="none"/>
          <w:lang w:eastAsia="zh-CN"/>
        </w:rPr>
        <w:t>）；</w:t>
      </w:r>
      <w:permEnd w:id="18"/>
    </w:p>
    <w:p>
      <w:pPr>
        <w:keepNext w:val="0"/>
        <w:keepLines w:val="0"/>
        <w:pageBreakBefore w:val="0"/>
        <w:widowControl w:val="0"/>
        <w:kinsoku/>
        <w:wordWrap w:val="0"/>
        <w:overflowPunct/>
        <w:topLinePunct w:val="0"/>
        <w:autoSpaceDE/>
        <w:autoSpaceDN/>
        <w:bidi w:val="0"/>
        <w:adjustRightInd w:val="0"/>
        <w:snapToGrid w:val="0"/>
        <w:spacing w:line="480" w:lineRule="exact"/>
        <w:ind w:firstLine="560" w:firstLineChars="200"/>
        <w:jc w:val="left"/>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）提供</w:t>
      </w:r>
      <w:permStart w:id="19" w:edGrp="everyone"/>
      <w:r>
        <w:rPr>
          <w:rFonts w:hint="eastAsia" w:asciiTheme="minorEastAsia" w:hAnsiTheme="minorEastAsia" w:eastAsiaTheme="minorEastAsia" w:cstheme="minorEastAsia"/>
          <w:color w:val="auto"/>
          <w:sz w:val="28"/>
          <w:szCs w:val="28"/>
          <w:highlight w:val="none"/>
          <w:u w:val="single"/>
          <w:lang w:val="en-US" w:eastAsia="zh-CN"/>
        </w:rPr>
        <w:t xml:space="preserve"> </w:t>
      </w:r>
      <w:r>
        <w:rPr>
          <w:rFonts w:hint="eastAsia" w:asciiTheme="minorEastAsia" w:hAnsiTheme="minorEastAsia" w:cstheme="minorEastAsia"/>
          <w:color w:val="auto"/>
          <w:sz w:val="28"/>
          <w:szCs w:val="28"/>
          <w:highlight w:val="none"/>
          <w:u w:val="single"/>
          <w:lang w:val="en-US" w:eastAsia="zh-CN"/>
        </w:rPr>
        <w:t xml:space="preserve">2021年 </w:t>
      </w:r>
      <w:permEnd w:id="19"/>
      <w:r>
        <w:rPr>
          <w:rFonts w:hint="eastAsia" w:asciiTheme="minorEastAsia" w:hAnsiTheme="minorEastAsia" w:eastAsiaTheme="minorEastAsia" w:cstheme="minorEastAsia"/>
          <w:color w:val="auto"/>
          <w:sz w:val="28"/>
          <w:szCs w:val="28"/>
          <w:highlight w:val="none"/>
          <w:lang w:val="en-US" w:eastAsia="zh-CN"/>
        </w:rPr>
        <w:t>至今企业类似项目业绩</w:t>
      </w:r>
      <w:permStart w:id="20" w:edGrp="everyone"/>
      <w:r>
        <w:rPr>
          <w:rFonts w:hint="eastAsia" w:asciiTheme="minorEastAsia" w:hAnsiTheme="minorEastAsia" w:eastAsiaTheme="minorEastAsia" w:cstheme="minorEastAsia"/>
          <w:color w:val="auto"/>
          <w:sz w:val="28"/>
          <w:szCs w:val="28"/>
          <w:highlight w:val="none"/>
          <w:u w:val="single"/>
          <w:lang w:val="en-US" w:eastAsia="zh-CN"/>
        </w:rPr>
        <w:t xml:space="preserve"> </w:t>
      </w:r>
      <w:r>
        <w:rPr>
          <w:rFonts w:hint="eastAsia" w:asciiTheme="minorEastAsia" w:hAnsiTheme="minorEastAsia" w:cstheme="minorEastAsia"/>
          <w:color w:val="auto"/>
          <w:sz w:val="28"/>
          <w:szCs w:val="28"/>
          <w:highlight w:val="none"/>
          <w:u w:val="single"/>
          <w:lang w:val="en-US" w:eastAsia="zh-CN"/>
        </w:rPr>
        <w:t xml:space="preserve">1 </w:t>
      </w:r>
      <w:permEnd w:id="20"/>
      <w:r>
        <w:rPr>
          <w:rFonts w:hint="eastAsia" w:asciiTheme="minorEastAsia" w:hAnsiTheme="minorEastAsia" w:eastAsiaTheme="minorEastAsia" w:cstheme="minorEastAsia"/>
          <w:color w:val="auto"/>
          <w:sz w:val="28"/>
          <w:szCs w:val="28"/>
          <w:highlight w:val="none"/>
          <w:lang w:val="en-US" w:eastAsia="zh-CN"/>
        </w:rPr>
        <w:t>个，以</w:t>
      </w:r>
      <w:permStart w:id="21" w:edGrp="everyone"/>
      <w:r>
        <w:rPr>
          <w:rFonts w:hint="eastAsia" w:asciiTheme="minorEastAsia" w:hAnsiTheme="minorEastAsia" w:cstheme="minorEastAsia"/>
          <w:color w:val="auto"/>
          <w:sz w:val="28"/>
          <w:szCs w:val="28"/>
          <w:highlight w:val="none"/>
          <w:lang w:val="en-US" w:eastAsia="zh-CN"/>
        </w:rPr>
        <w:t>合同签订</w:t>
      </w:r>
      <w:r>
        <w:rPr>
          <w:rFonts w:hint="eastAsia" w:asciiTheme="minorEastAsia" w:hAnsiTheme="minorEastAsia" w:eastAsiaTheme="minorEastAsia" w:cstheme="minorEastAsia"/>
          <w:color w:val="auto"/>
          <w:sz w:val="28"/>
          <w:szCs w:val="28"/>
          <w:highlight w:val="none"/>
          <w:lang w:val="en-US" w:eastAsia="zh-CN"/>
        </w:rPr>
        <w:t>时间</w:t>
      </w:r>
      <w:permEnd w:id="21"/>
      <w:r>
        <w:rPr>
          <w:rFonts w:hint="eastAsia" w:asciiTheme="minorEastAsia" w:hAnsiTheme="minorEastAsia" w:eastAsiaTheme="minorEastAsia" w:cstheme="minorEastAsia"/>
          <w:color w:val="auto"/>
          <w:sz w:val="28"/>
          <w:szCs w:val="28"/>
          <w:highlight w:val="none"/>
          <w:lang w:val="en-US" w:eastAsia="zh-CN"/>
        </w:rPr>
        <w:t>为准。类似项目业绩指：</w:t>
      </w:r>
      <w:permStart w:id="22" w:edGrp="everyone"/>
      <w:r>
        <w:rPr>
          <w:rFonts w:hint="eastAsia" w:asciiTheme="minorEastAsia" w:hAnsiTheme="minorEastAsia" w:eastAsiaTheme="minorEastAsia" w:cstheme="minorEastAsia"/>
          <w:color w:val="auto"/>
          <w:sz w:val="28"/>
          <w:szCs w:val="28"/>
        </w:rPr>
        <w:t>单项合同金额不低于</w:t>
      </w:r>
      <w:r>
        <w:rPr>
          <w:rFonts w:hint="eastAsia" w:asciiTheme="minorEastAsia" w:hAnsiTheme="minorEastAsia" w:eastAsiaTheme="minorEastAsia" w:cstheme="minorEastAsia"/>
          <w:color w:val="auto"/>
          <w:sz w:val="28"/>
          <w:szCs w:val="28"/>
          <w:lang w:eastAsia="zh-CN"/>
        </w:rPr>
        <w:t>1</w:t>
      </w:r>
      <w:r>
        <w:rPr>
          <w:rFonts w:hint="eastAsia" w:asciiTheme="minorEastAsia" w:hAnsiTheme="minorEastAsia" w:eastAsiaTheme="minorEastAsia" w:cstheme="minorEastAsia"/>
          <w:color w:val="auto"/>
          <w:sz w:val="28"/>
          <w:szCs w:val="28"/>
        </w:rPr>
        <w:t>00万元的</w:t>
      </w:r>
      <w:r>
        <w:rPr>
          <w:rFonts w:hint="eastAsia" w:asciiTheme="minorEastAsia" w:hAnsiTheme="minorEastAsia" w:eastAsiaTheme="minorEastAsia" w:cstheme="minorEastAsia"/>
          <w:color w:val="auto"/>
          <w:sz w:val="28"/>
          <w:szCs w:val="28"/>
          <w:lang w:val="en-US" w:eastAsia="zh-CN"/>
        </w:rPr>
        <w:t>成品油运输服务</w:t>
      </w:r>
      <w:r>
        <w:rPr>
          <w:rFonts w:hint="eastAsia" w:asciiTheme="minorEastAsia" w:hAnsiTheme="minorEastAsia" w:eastAsiaTheme="minorEastAsia" w:cstheme="minorEastAsia"/>
          <w:color w:val="auto"/>
          <w:sz w:val="28"/>
          <w:szCs w:val="28"/>
        </w:rPr>
        <w:t>业绩</w:t>
      </w:r>
      <w:permEnd w:id="22"/>
      <w:r>
        <w:rPr>
          <w:rFonts w:hint="eastAsia" w:asciiTheme="minorEastAsia" w:hAnsiTheme="minorEastAsia" w:eastAsiaTheme="minorEastAsia" w:cstheme="minorEastAsia"/>
          <w:color w:val="auto"/>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val="0"/>
        <w:snapToGrid w:val="0"/>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default" w:asciiTheme="minorEastAsia" w:hAnsiTheme="minorEastAsia" w:eastAsiaTheme="minorEastAsia" w:cstheme="minorEastAsia"/>
          <w:color w:val="auto"/>
          <w:sz w:val="28"/>
          <w:szCs w:val="28"/>
          <w:highlight w:val="none"/>
          <w:lang w:val="en-US" w:eastAsia="zh-CN"/>
        </w:rPr>
        <w:t>注：</w:t>
      </w:r>
      <w:permStart w:id="23" w:edGrp="everyone"/>
      <w:r>
        <w:rPr>
          <w:rFonts w:hint="eastAsia" w:ascii="宋体" w:hAnsi="宋体" w:eastAsia="宋体" w:cs="宋体"/>
          <w:sz w:val="28"/>
          <w:szCs w:val="28"/>
          <w:lang w:val="en-US" w:eastAsia="zh-CN"/>
        </w:rPr>
        <w:t>须提供业绩合同，合同中未约定总金额的，可提供不低于100万元的增值税专用发票</w:t>
      </w:r>
      <w:r>
        <w:rPr>
          <w:rFonts w:hint="eastAsia" w:asciiTheme="minorEastAsia" w:hAnsiTheme="minorEastAsia" w:cstheme="minorEastAsia"/>
          <w:color w:val="auto"/>
          <w:sz w:val="28"/>
          <w:szCs w:val="28"/>
          <w:highlight w:val="none"/>
          <w:lang w:val="en-US" w:eastAsia="zh-CN"/>
        </w:rPr>
        <w:t>等相关资料</w:t>
      </w:r>
      <w:r>
        <w:rPr>
          <w:rFonts w:hint="default" w:asciiTheme="minorEastAsia" w:hAnsiTheme="minorEastAsia" w:eastAsiaTheme="minorEastAsia" w:cstheme="minorEastAsia"/>
          <w:color w:val="auto"/>
          <w:sz w:val="28"/>
          <w:szCs w:val="28"/>
          <w:highlight w:val="none"/>
          <w:lang w:val="en-US" w:eastAsia="zh-CN"/>
        </w:rPr>
        <w:t>复印件或扫描件装订入投标文件中</w:t>
      </w:r>
      <w:permEnd w:id="23"/>
      <w:r>
        <w:rPr>
          <w:rFonts w:hint="default" w:asciiTheme="minorEastAsia" w:hAnsiTheme="minorEastAsia" w:eastAsiaTheme="minorEastAsia" w:cstheme="minorEastAsia"/>
          <w:color w:val="auto"/>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highlight w:val="none"/>
        </w:rPr>
        <w:t>(四)</w:t>
      </w:r>
      <w:r>
        <w:rPr>
          <w:rFonts w:hint="eastAsia" w:asciiTheme="minorEastAsia" w:hAnsiTheme="minorEastAsia" w:eastAsiaTheme="minorEastAsia" w:cstheme="minorEastAsia"/>
          <w:color w:val="auto"/>
          <w:sz w:val="28"/>
          <w:szCs w:val="28"/>
          <w:highlight w:val="none"/>
          <w:lang w:val="en-US" w:eastAsia="zh-CN"/>
        </w:rPr>
        <w:t>投标</w:t>
      </w:r>
      <w:r>
        <w:rPr>
          <w:rFonts w:hint="eastAsia" w:asciiTheme="minorEastAsia" w:hAnsiTheme="minorEastAsia" w:eastAsiaTheme="minorEastAsia" w:cstheme="minorEastAsia"/>
          <w:color w:val="auto"/>
          <w:sz w:val="28"/>
          <w:szCs w:val="28"/>
        </w:rPr>
        <w:t>人须提供</w:t>
      </w:r>
      <w:r>
        <w:rPr>
          <w:rFonts w:hint="eastAsia" w:asciiTheme="minorEastAsia" w:hAnsiTheme="minorEastAsia" w:eastAsiaTheme="minorEastAsia" w:cstheme="minorEastAsia"/>
          <w:color w:val="auto"/>
          <w:sz w:val="28"/>
          <w:szCs w:val="28"/>
          <w:lang w:val="en-US" w:eastAsia="zh-CN"/>
        </w:rPr>
        <w:t>5</w:t>
      </w:r>
      <w:r>
        <w:rPr>
          <w:rFonts w:hint="eastAsia" w:asciiTheme="minorEastAsia" w:hAnsiTheme="minorEastAsia" w:eastAsiaTheme="minorEastAsia" w:cstheme="minorEastAsia"/>
          <w:color w:val="auto"/>
          <w:sz w:val="28"/>
          <w:szCs w:val="28"/>
        </w:rPr>
        <w:t>辆及以上运输车辆(30吨以上</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rPr>
        <w:t>柴油专车专用)。每辆车须配备至少1名驾驶员和押运员。</w:t>
      </w:r>
    </w:p>
    <w:p>
      <w:pPr>
        <w:keepNext w:val="0"/>
        <w:keepLines w:val="0"/>
        <w:pageBreakBefore w:val="0"/>
        <w:widowControl w:val="0"/>
        <w:kinsoku/>
        <w:wordWrap/>
        <w:overflowPunct/>
        <w:topLinePunct w:val="0"/>
        <w:autoSpaceDE/>
        <w:autoSpaceDN/>
        <w:bidi w:val="0"/>
        <w:adjustRightInd w:val="0"/>
        <w:snapToGrid w:val="0"/>
        <w:spacing w:line="540" w:lineRule="exact"/>
        <w:ind w:firstLine="560" w:firstLineChars="200"/>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cstheme="minorEastAsia"/>
          <w:color w:val="auto"/>
          <w:sz w:val="28"/>
          <w:szCs w:val="28"/>
          <w:lang w:val="en-US" w:eastAsia="zh-CN"/>
        </w:rPr>
        <w:t>注：</w:t>
      </w:r>
      <w:r>
        <w:rPr>
          <w:rFonts w:hint="eastAsia" w:asciiTheme="minorEastAsia" w:hAnsiTheme="minorEastAsia" w:eastAsiaTheme="minorEastAsia" w:cstheme="minorEastAsia"/>
          <w:color w:val="auto"/>
          <w:sz w:val="28"/>
          <w:szCs w:val="28"/>
          <w:lang w:val="en-US" w:eastAsia="zh-CN"/>
        </w:rPr>
        <w:t>投标</w:t>
      </w:r>
      <w:r>
        <w:rPr>
          <w:rFonts w:hint="eastAsia" w:asciiTheme="minorEastAsia" w:hAnsiTheme="minorEastAsia" w:eastAsiaTheme="minorEastAsia" w:cstheme="minorEastAsia"/>
          <w:color w:val="auto"/>
          <w:sz w:val="28"/>
          <w:szCs w:val="28"/>
        </w:rPr>
        <w:t>人须提供机动车行驶证、驾驶员驾驶证、押运员证、道路运输从业资格证</w:t>
      </w:r>
      <w:r>
        <w:rPr>
          <w:rFonts w:hint="eastAsia" w:asciiTheme="minorEastAsia" w:hAnsiTheme="minorEastAsia" w:eastAsiaTheme="minorEastAsia" w:cstheme="minorEastAsia"/>
          <w:color w:val="auto"/>
          <w:sz w:val="28"/>
          <w:szCs w:val="28"/>
          <w:lang w:eastAsia="zh-CN"/>
        </w:rPr>
        <w:t>、</w:t>
      </w:r>
      <w:r>
        <w:rPr>
          <w:rFonts w:hint="eastAsia" w:asciiTheme="minorEastAsia" w:hAnsiTheme="minorEastAsia" w:eastAsiaTheme="minorEastAsia" w:cstheme="minorEastAsia"/>
          <w:color w:val="auto"/>
          <w:sz w:val="28"/>
          <w:szCs w:val="28"/>
          <w:lang w:val="en-US" w:eastAsia="zh-CN"/>
        </w:rPr>
        <w:t>商业险和货物险保单</w:t>
      </w:r>
      <w:r>
        <w:rPr>
          <w:rFonts w:hint="eastAsia" w:asciiTheme="minorEastAsia" w:hAnsiTheme="minorEastAsia" w:eastAsiaTheme="minorEastAsia" w:cstheme="minorEastAsia"/>
          <w:color w:val="auto"/>
          <w:sz w:val="28"/>
          <w:szCs w:val="28"/>
        </w:rPr>
        <w:t>等相关证件</w:t>
      </w:r>
      <w:r>
        <w:rPr>
          <w:rFonts w:hint="eastAsia" w:asciiTheme="minorEastAsia" w:hAnsiTheme="minorEastAsia" w:cstheme="minorEastAsia"/>
          <w:color w:val="auto"/>
          <w:sz w:val="28"/>
          <w:szCs w:val="28"/>
          <w:lang w:eastAsia="zh-CN"/>
        </w:rPr>
        <w:t>复印件</w:t>
      </w:r>
      <w:r>
        <w:rPr>
          <w:rFonts w:hint="eastAsia" w:asciiTheme="minorEastAsia" w:hAnsiTheme="minorEastAsia" w:eastAsiaTheme="minorEastAsia" w:cstheme="minorEastAsia"/>
          <w:color w:val="auto"/>
          <w:sz w:val="28"/>
          <w:szCs w:val="28"/>
        </w:rPr>
        <w:t>。投标车辆须是本公司自有车辆(须提供相关证明材料)，不得使用挂靠车辆。</w:t>
      </w:r>
    </w:p>
    <w:p>
      <w:pPr>
        <w:keepNext w:val="0"/>
        <w:keepLines w:val="0"/>
        <w:pageBreakBefore w:val="0"/>
        <w:widowControl w:val="0"/>
        <w:numPr>
          <w:ilvl w:val="0"/>
          <w:numId w:val="0"/>
        </w:numPr>
        <w:kinsoku/>
        <w:wordWrap w:val="0"/>
        <w:overflowPunct/>
        <w:topLinePunct w:val="0"/>
        <w:autoSpaceDE/>
        <w:autoSpaceDN/>
        <w:bidi w:val="0"/>
        <w:adjustRightInd w:val="0"/>
        <w:snapToGrid w:val="0"/>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（五）</w:t>
      </w:r>
      <w:r>
        <w:rPr>
          <w:rFonts w:hint="eastAsia" w:asciiTheme="minorEastAsia" w:hAnsiTheme="minorEastAsia" w:eastAsiaTheme="minorEastAsia" w:cstheme="minorEastAsia"/>
          <w:color w:val="auto"/>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val="0"/>
        <w:snapToGrid w:val="0"/>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val="0"/>
        <w:snapToGrid w:val="0"/>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val="0"/>
        <w:snapToGrid w:val="0"/>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val="0"/>
        <w:snapToGrid w:val="0"/>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注：</w:t>
      </w:r>
      <w:r>
        <w:rPr>
          <w:rFonts w:hint="eastAsia" w:asciiTheme="minorEastAsia" w:hAnsiTheme="minorEastAsia" w:cstheme="minorEastAsia"/>
          <w:color w:val="auto"/>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color w:val="auto"/>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val="0"/>
        <w:snapToGrid w:val="0"/>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（六）</w:t>
      </w:r>
      <w:r>
        <w:rPr>
          <w:rFonts w:hint="eastAsia" w:asciiTheme="minorEastAsia" w:hAnsiTheme="minorEastAsia" w:eastAsiaTheme="minorEastAsia" w:cstheme="minorEastAsia"/>
          <w:color w:val="auto"/>
          <w:sz w:val="28"/>
          <w:szCs w:val="28"/>
          <w:highlight w:val="none"/>
          <w:lang w:val="en-US" w:eastAsia="zh-CN"/>
        </w:rPr>
        <w:t>投标人如在以往承接</w:t>
      </w:r>
      <w:r>
        <w:rPr>
          <w:rFonts w:hint="eastAsia" w:asciiTheme="minorEastAsia" w:hAnsiTheme="minorEastAsia" w:cstheme="minorEastAsia"/>
          <w:color w:val="auto"/>
          <w:sz w:val="28"/>
          <w:szCs w:val="28"/>
          <w:highlight w:val="none"/>
          <w:lang w:val="en-US" w:eastAsia="zh-CN"/>
        </w:rPr>
        <w:t>交控集团及下属企业</w:t>
      </w:r>
      <w:r>
        <w:rPr>
          <w:rFonts w:hint="eastAsia" w:asciiTheme="minorEastAsia" w:hAnsiTheme="minorEastAsia" w:eastAsiaTheme="minorEastAsia" w:cstheme="minorEastAsia"/>
          <w:color w:val="auto"/>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24" w:edGrp="everyone"/>
      <w:r>
        <w:rPr>
          <w:rFonts w:hint="eastAsia" w:asciiTheme="minorEastAsia" w:hAnsiTheme="minorEastAsia" w:eastAsiaTheme="minorEastAsia" w:cstheme="minorEastAsia"/>
          <w:color w:val="auto"/>
          <w:sz w:val="28"/>
          <w:szCs w:val="28"/>
          <w:highlight w:val="none"/>
          <w:lang w:val="en-US" w:eastAsia="zh-CN"/>
        </w:rPr>
        <w:t>不接受</w:t>
      </w:r>
      <w:permEnd w:id="2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5"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 xml:space="preserve"> 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25"/>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6"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4</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16</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6"/>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7" w:edGrp="everyone"/>
      <w:r>
        <w:rPr>
          <w:rFonts w:hint="default" w:asciiTheme="minorEastAsia" w:hAnsiTheme="minorEastAsia" w:eastAsiaTheme="minorEastAsia" w:cstheme="minorEastAsia"/>
          <w:color w:val="auto"/>
          <w:sz w:val="28"/>
          <w:szCs w:val="28"/>
          <w:highlight w:val="none"/>
          <w:lang w:val="en-US" w:eastAsia="zh-CN"/>
        </w:rPr>
        <w:t>允许</w:t>
      </w:r>
      <w:permEnd w:id="27"/>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建议投标人在邮寄前使用透明胶带对投标文件密封袋进行二次密封，如因投标文件密封袋在邮寄过程中发生破损，导致不符合招标文件密封要求而被招标平台拒收，其风险由投标人自行承担。</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8"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20000.00元</w:t>
      </w:r>
      <w:r>
        <w:rPr>
          <w:rFonts w:hint="default" w:asciiTheme="minorEastAsia" w:hAnsiTheme="minorEastAsia" w:eastAsiaTheme="minorEastAsia" w:cstheme="minorEastAsia"/>
          <w:sz w:val="28"/>
          <w:szCs w:val="28"/>
          <w:highlight w:val="none"/>
          <w:lang w:val="en-US" w:eastAsia="zh-CN"/>
        </w:rPr>
        <w:t>（人民币）</w:t>
      </w:r>
      <w:permEnd w:id="28"/>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9" w:edGrp="everyone"/>
      <w:r>
        <w:rPr>
          <w:rFonts w:hint="eastAsia" w:asciiTheme="minorEastAsia" w:hAnsi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rPr>
        <w:t>安徽交赢新能源有限公司</w:t>
      </w:r>
      <w:r>
        <w:rPr>
          <w:rFonts w:hint="default" w:asciiTheme="minorEastAsia" w:hAnsiTheme="minorEastAsia" w:cstheme="minorEastAsia"/>
          <w:sz w:val="28"/>
          <w:szCs w:val="28"/>
          <w:highlight w:val="none"/>
          <w:lang w:val="en-US" w:eastAsia="zh-CN"/>
        </w:rPr>
        <w:t xml:space="preserve"> </w:t>
      </w:r>
    </w:p>
    <w:permEnd w:id="2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30" w:edGrp="everyone"/>
      <w:r>
        <w:rPr>
          <w:rFonts w:hint="default" w:asciiTheme="minorEastAsia" w:hAnsi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rPr>
        <w:t>安徽省亳州市高新区酒城大道与神农大道交叉口</w:t>
      </w:r>
      <w:permEnd w:id="3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1" w:edGrp="everyone"/>
      <w:r>
        <w:rPr>
          <w:rFonts w:hint="default" w:asciiTheme="minorEastAsia" w:hAnsiTheme="minorEastAsia" w:cstheme="minorEastAsia"/>
          <w:sz w:val="28"/>
          <w:szCs w:val="28"/>
          <w:highlight w:val="none"/>
          <w:lang w:val="en-US" w:eastAsia="zh-CN"/>
        </w:rPr>
        <w:t xml:space="preserve"> 徐先生 </w:t>
      </w:r>
      <w:permEnd w:id="3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2" w:edGrp="everyone"/>
      <w:r>
        <w:rPr>
          <w:rFonts w:hint="default" w:asciiTheme="minorEastAsia" w:hAnsi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13856830866</w:t>
      </w:r>
      <w:r>
        <w:rPr>
          <w:rFonts w:hint="eastAsia" w:ascii="仿宋" w:hAnsi="仿宋" w:eastAsia="仿宋" w:cs="仿宋"/>
          <w:sz w:val="32"/>
          <w:szCs w:val="32"/>
          <w:lang w:val="en-US" w:eastAsia="zh-CN"/>
        </w:rPr>
        <w:t xml:space="preserve"> </w:t>
      </w:r>
      <w:permEnd w:id="3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宋体" w:hAnsi="宋体" w:eastAsia="宋体" w:cs="宋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3" w:edGrp="everyone"/>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宋体" w:hAnsi="宋体" w:eastAsia="宋体" w:cs="宋体"/>
          <w:color w:val="auto"/>
          <w:sz w:val="28"/>
          <w:szCs w:val="28"/>
        </w:rPr>
        <w:t>安徽交赢新能源有限公司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宋体" w:hAnsi="宋体" w:eastAsia="宋体" w:cs="宋体"/>
          <w:color w:val="auto"/>
          <w:sz w:val="28"/>
          <w:szCs w:val="28"/>
          <w:highlight w:val="none"/>
          <w:lang w:val="en-US" w:eastAsia="zh-CN"/>
        </w:rPr>
        <w:t xml:space="preserve">  2024 年4 月9</w:t>
      </w:r>
      <w:bookmarkStart w:id="492" w:name="_GoBack"/>
      <w:bookmarkEnd w:id="492"/>
      <w:r>
        <w:rPr>
          <w:rFonts w:hint="eastAsia" w:ascii="宋体" w:hAnsi="宋体" w:eastAsia="宋体" w:cs="宋体"/>
          <w:color w:val="auto"/>
          <w:sz w:val="28"/>
          <w:szCs w:val="28"/>
          <w:highlight w:val="none"/>
          <w:lang w:val="en-US" w:eastAsia="zh-CN"/>
        </w:rPr>
        <w:t>日</w:t>
      </w:r>
      <w:permEnd w:id="33"/>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4"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4"/>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szCs w:val="21"/>
                <w:highlight w:val="none"/>
              </w:rPr>
            </w:pPr>
            <w:permStart w:id="35" w:edGrp="everyone"/>
            <w:r>
              <w:rPr>
                <w:rFonts w:hint="eastAsia" w:hAnsi="宋体"/>
                <w:sz w:val="21"/>
                <w:szCs w:val="21"/>
                <w:lang w:val="en-US" w:eastAsia="zh-CN"/>
              </w:rPr>
              <w:t xml:space="preserve"> </w:t>
            </w:r>
            <w:r>
              <w:rPr>
                <w:rFonts w:hint="eastAsia" w:ascii="宋体" w:hAnsi="宋体" w:eastAsia="宋体" w:cs="宋体"/>
                <w:sz w:val="21"/>
                <w:szCs w:val="21"/>
                <w:lang w:val="en-US" w:eastAsia="zh-CN"/>
              </w:rPr>
              <w:t>/</w:t>
            </w:r>
            <w:r>
              <w:rPr>
                <w:rFonts w:hint="eastAsia" w:hAnsi="宋体"/>
                <w:sz w:val="21"/>
                <w:szCs w:val="21"/>
                <w:lang w:val="en-US" w:eastAsia="zh-CN"/>
              </w:rPr>
              <w:t xml:space="preserve"> </w:t>
            </w:r>
            <w:permEnd w:id="3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permStart w:id="3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接受</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permStart w:id="37" w:edGrp="everyone"/>
            <w:r>
              <w:rPr>
                <w:rFonts w:hint="eastAsia" w:hAnsi="宋体"/>
                <w:sz w:val="21"/>
                <w:szCs w:val="21"/>
                <w:lang w:val="en-US" w:eastAsia="zh-CN"/>
              </w:rPr>
              <w:t xml:space="preserve">                   </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8" w:edGrp="everyone" w:colFirst="2" w:colLast="2"/>
            <w:r>
              <w:rPr>
                <w:rFonts w:hint="default" w:ascii="Times New Roman" w:hAnsi="Times New Roman" w:cs="Times New Roman"/>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8"/>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9" w:edGrp="everyone" w:colFirst="2" w:colLast="2"/>
            <w:r>
              <w:rPr>
                <w:rFonts w:hint="default" w:ascii="Times New Roman" w:hAnsi="Times New Roman" w:cs="Times New Roman"/>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
        </w:tc>
      </w:tr>
      <w:permEnd w:id="39"/>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4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4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Times New Roman" w:hAnsi="Times New Roman" w:cs="Times New Roman" w:eastAsiaTheme="minorEastAsia"/>
                <w:kern w:val="2"/>
                <w:sz w:val="21"/>
                <w:szCs w:val="21"/>
                <w:highlight w:val="none"/>
                <w:lang w:val="en-US" w:eastAsia="zh-CN" w:bidi="ar-SA"/>
              </w:rPr>
            </w:pPr>
            <w:permStart w:id="41" w:edGrp="everyone"/>
            <w:r>
              <w:rPr>
                <w:rFonts w:hint="eastAsia" w:ascii="Times New Roman" w:hAnsi="Times New Roman" w:cs="Times New Roman"/>
                <w:color w:val="FF0000"/>
                <w:sz w:val="21"/>
                <w:szCs w:val="21"/>
                <w:highlight w:val="none"/>
                <w:lang w:val="en-US" w:eastAsia="zh-CN"/>
              </w:rPr>
              <w:t xml:space="preserve"> </w:t>
            </w:r>
            <w:r>
              <w:rPr>
                <w:rFonts w:hint="eastAsia" w:asciiTheme="minorEastAsia" w:hAnsiTheme="minorEastAsia" w:cstheme="minorEastAsia"/>
                <w:color w:val="auto"/>
                <w:sz w:val="21"/>
                <w:szCs w:val="21"/>
                <w:lang w:val="en-US" w:eastAsia="zh-CN"/>
              </w:rPr>
              <w:t>/</w:t>
            </w:r>
            <w:permEnd w:id="4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yellow"/>
                <w:lang w:val="en-US" w:eastAsia="zh-CN" w:bidi="ar-SA"/>
              </w:rPr>
            </w:pPr>
            <w:r>
              <w:rPr>
                <w:rFonts w:hint="eastAsia" w:ascii="Times New Roman" w:hAnsi="Times New Roman" w:cs="Times New Roman"/>
                <w:color w:val="auto"/>
                <w:szCs w:val="21"/>
                <w:highlight w:val="yellow"/>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42" w:edGrp="everyone"/>
            <w:r>
              <w:rPr>
                <w:rFonts w:hint="eastAsia" w:ascii="Times New Roman" w:hAnsi="Times New Roman" w:cs="Times New Roman"/>
                <w:kern w:val="2"/>
                <w:sz w:val="21"/>
                <w:szCs w:val="21"/>
                <w:highlight w:val="none"/>
                <w:u w:val="single"/>
                <w:lang w:val="en-US" w:eastAsia="zh-CN" w:bidi="ar-SA"/>
              </w:rPr>
              <w:t xml:space="preserve">      无     </w:t>
            </w:r>
            <w:permEnd w:id="4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43"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43"/>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permStart w:id="44" w:edGrp="everyone"/>
            <w:r>
              <w:rPr>
                <w:rFonts w:hint="default" w:ascii="Times New Roman" w:hAnsi="Times New Roman" w:cs="Times New Roman"/>
                <w:color w:val="FF0000"/>
                <w:szCs w:val="21"/>
                <w:highlight w:val="none"/>
              </w:rPr>
              <w:t>银行汇款或转账</w:t>
            </w:r>
            <w:permEnd w:id="44"/>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5" w:edGrp="everyone"/>
            <w:r>
              <w:rPr>
                <w:rFonts w:hint="eastAsia" w:ascii="Times New Roman" w:hAnsi="Times New Roman" w:cs="Times New Roman"/>
                <w:color w:val="auto"/>
                <w:szCs w:val="21"/>
                <w:highlight w:val="none"/>
                <w:u w:val="single"/>
                <w:lang w:val="en-US" w:eastAsia="zh-CN"/>
              </w:rPr>
              <w:t xml:space="preserve"> 20000.00元  </w:t>
            </w:r>
            <w:permEnd w:id="4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6" w:edGrp="everyone"/>
            <w:r>
              <w:rPr>
                <w:rFonts w:hint="eastAsia" w:ascii="Times New Roman" w:hAnsi="Times New Roman" w:cs="Times New Roman"/>
                <w:color w:val="FF0000"/>
                <w:szCs w:val="21"/>
                <w:highlight w:val="none"/>
                <w:lang w:val="en-US" w:eastAsia="zh-CN"/>
              </w:rPr>
              <w:t>BZJK-2024-023号保证金</w:t>
            </w:r>
            <w:permEnd w:id="46"/>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82" w:lineRule="auto"/>
              <w:jc w:val="center"/>
              <w:rPr>
                <w:rFonts w:ascii="Arial"/>
                <w:sz w:val="21"/>
              </w:rPr>
            </w:pPr>
          </w:p>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9"/>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29"/>
              <w:spacing w:before="152" w:line="227" w:lineRule="auto"/>
              <w:ind w:left="129"/>
            </w:pPr>
            <w:permStart w:id="47" w:edGrp="everyone"/>
            <w:r>
              <w:rPr>
                <w:rFonts w:hint="eastAsia" w:ascii="Times New Roman" w:hAnsi="Times New Roman" w:eastAsia="宋体" w:cs="Times New Roman"/>
                <w:spacing w:val="-9"/>
                <w:sz w:val="31"/>
                <w:szCs w:val="31"/>
                <w:lang w:eastAsia="zh-CN"/>
              </w:rPr>
              <w:t>☑</w:t>
            </w:r>
            <w:r>
              <w:rPr>
                <w:spacing w:val="-9"/>
              </w:rPr>
              <w:t>无</w:t>
            </w:r>
          </w:p>
          <w:p>
            <w:pPr>
              <w:pStyle w:val="29"/>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4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9"/>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spacing w:line="335" w:lineRule="auto"/>
              <w:rPr>
                <w:rFonts w:ascii="Arial"/>
                <w:sz w:val="21"/>
              </w:rPr>
            </w:pPr>
          </w:p>
          <w:p>
            <w:pPr>
              <w:pStyle w:val="29"/>
              <w:tabs>
                <w:tab w:val="left" w:pos="663"/>
              </w:tabs>
              <w:spacing w:before="69" w:line="221" w:lineRule="auto"/>
              <w:ind w:left="106" w:leftChars="0"/>
              <w:rPr>
                <w:rFonts w:hint="eastAsia" w:ascii="Times New Roman" w:hAnsi="Times New Roman" w:cs="Times New Roman"/>
                <w:szCs w:val="21"/>
                <w:highlight w:val="none"/>
                <w:lang w:val="en-US" w:eastAsia="zh-CN"/>
              </w:rPr>
            </w:pPr>
            <w:permStart w:id="48" w:edGrp="everyone"/>
            <w:r>
              <w:rPr>
                <w:u w:val="single" w:color="auto"/>
              </w:rPr>
              <w:tab/>
            </w:r>
            <w:r>
              <w:rPr>
                <w:rFonts w:hint="eastAsia"/>
                <w:u w:val="single" w:color="auto"/>
                <w:lang w:val="en-US" w:eastAsia="zh-CN"/>
              </w:rPr>
              <w:t>/</w:t>
            </w:r>
            <w:r>
              <w:rPr>
                <w:spacing w:val="-94"/>
              </w:rPr>
              <w:t xml:space="preserve"> </w:t>
            </w:r>
            <w:r>
              <w:rPr>
                <w:spacing w:val="-3"/>
              </w:rPr>
              <w:t>年至</w:t>
            </w:r>
            <w:r>
              <w:rPr>
                <w:spacing w:val="6"/>
                <w:u w:val="single" w:color="auto"/>
              </w:rPr>
              <w:t xml:space="preserve">  </w:t>
            </w:r>
            <w:r>
              <w:rPr>
                <w:rFonts w:hint="eastAsia"/>
                <w:spacing w:val="6"/>
                <w:u w:val="single" w:color="auto"/>
                <w:lang w:val="en-US" w:eastAsia="zh-CN"/>
              </w:rPr>
              <w:t>/</w:t>
            </w:r>
            <w:r>
              <w:rPr>
                <w:spacing w:val="6"/>
                <w:u w:val="single" w:color="auto"/>
              </w:rPr>
              <w:t xml:space="preserve">   </w:t>
            </w:r>
            <w:r>
              <w:rPr>
                <w:spacing w:val="-92"/>
              </w:rPr>
              <w:t xml:space="preserve"> </w:t>
            </w:r>
            <w:r>
              <w:rPr>
                <w:spacing w:val="-3"/>
              </w:rPr>
              <w:t>年</w:t>
            </w:r>
            <w:permEnd w:id="4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ind w:firstLine="222" w:firstLineChars="100"/>
              <w:jc w:val="left"/>
              <w:rPr>
                <w:rFonts w:hint="eastAsia" w:ascii="Times New Roman" w:hAnsi="Times New Roman" w:eastAsia="Times New Roman" w:cs="Times New Roman"/>
                <w:spacing w:val="-1"/>
                <w:sz w:val="21"/>
                <w:szCs w:val="21"/>
                <w:lang w:val="en-US" w:eastAsia="zh-CN"/>
              </w:rPr>
            </w:pPr>
            <w:permStart w:id="49" w:edGrp="everyone"/>
            <w:r>
              <w:rPr>
                <w:spacing w:val="6"/>
                <w:u w:val="single" w:color="auto"/>
              </w:rPr>
              <w:t xml:space="preserve">   </w:t>
            </w:r>
            <w:r>
              <w:rPr>
                <w:rFonts w:hint="eastAsia"/>
                <w:spacing w:val="6"/>
                <w:u w:val="single" w:color="auto"/>
                <w:lang w:val="en-US" w:eastAsia="zh-CN"/>
              </w:rPr>
              <w:t xml:space="preserve"> / </w:t>
            </w:r>
            <w:r>
              <w:rPr>
                <w:spacing w:val="6"/>
                <w:u w:val="single" w:color="auto"/>
              </w:rPr>
              <w:t xml:space="preserve"> </w:t>
            </w:r>
            <w:r>
              <w:rPr>
                <w:spacing w:val="-92"/>
              </w:rPr>
              <w:t xml:space="preserve"> </w:t>
            </w:r>
            <w:r>
              <w:rPr>
                <w:spacing w:val="-3"/>
              </w:rPr>
              <w:t>年至</w:t>
            </w:r>
            <w:r>
              <w:rPr>
                <w:spacing w:val="6"/>
                <w:u w:val="single" w:color="auto"/>
              </w:rPr>
              <w:t xml:space="preserve"> </w:t>
            </w:r>
            <w:r>
              <w:rPr>
                <w:rFonts w:hint="eastAsia"/>
                <w:spacing w:val="6"/>
                <w:u w:val="single" w:color="auto"/>
                <w:lang w:val="en-US" w:eastAsia="zh-CN"/>
              </w:rPr>
              <w:t>/</w:t>
            </w:r>
            <w:r>
              <w:rPr>
                <w:spacing w:val="6"/>
                <w:u w:val="single" w:color="auto"/>
              </w:rPr>
              <w:t xml:space="preserve">    </w:t>
            </w:r>
            <w:r>
              <w:rPr>
                <w:spacing w:val="-92"/>
              </w:rPr>
              <w:t xml:space="preserve"> </w:t>
            </w:r>
            <w:r>
              <w:rPr>
                <w:spacing w:val="-3"/>
              </w:rPr>
              <w:t>年</w:t>
            </w:r>
            <w:permEnd w:id="4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permStart w:id="50"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不允许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5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51"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51"/>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2"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5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 w:val="21"/>
                <w:szCs w:val="21"/>
                <w:highlight w:val="none"/>
                <w:lang w:val="en-US" w:eastAsia="zh-CN"/>
              </w:rPr>
            </w:pPr>
            <w:permStart w:id="53" w:edGrp="everyone"/>
            <w:r>
              <w:rPr>
                <w:rFonts w:hint="eastAsia" w:ascii="Times New Roman" w:hAnsi="Times New Roman" w:cs="Times New Roman"/>
                <w:color w:val="FF0000"/>
                <w:szCs w:val="21"/>
                <w:highlight w:val="none"/>
                <w:lang w:val="en-US" w:eastAsia="zh-CN"/>
              </w:rPr>
              <w:t>开标地址：</w:t>
            </w:r>
            <w:r>
              <w:rPr>
                <w:rFonts w:hint="eastAsia" w:asciiTheme="minorEastAsia" w:hAnsiTheme="minorEastAsia" w:eastAsiaTheme="minorEastAsia" w:cstheme="minorEastAsia"/>
                <w:i w:val="0"/>
                <w:iCs w:val="0"/>
                <w:color w:val="FF0000"/>
                <w:sz w:val="21"/>
                <w:szCs w:val="21"/>
                <w:highlight w:val="none"/>
                <w:u w:val="single"/>
                <w:lang w:val="en-US" w:eastAsia="zh-CN"/>
              </w:rPr>
              <w:t>亳州交通投资控股集团有限公司</w:t>
            </w:r>
            <w:r>
              <w:rPr>
                <w:rFonts w:hint="eastAsia" w:asciiTheme="minorEastAsia" w:hAnsiTheme="minorEastAsia" w:cstheme="minorEastAsia"/>
                <w:i w:val="0"/>
                <w:iCs w:val="0"/>
                <w:color w:val="FF0000"/>
                <w:sz w:val="21"/>
                <w:szCs w:val="21"/>
                <w:highlight w:val="none"/>
                <w:u w:val="single"/>
                <w:lang w:val="en-US" w:eastAsia="zh-CN"/>
              </w:rPr>
              <w:t xml:space="preserve"> 15</w:t>
            </w:r>
            <w:r>
              <w:rPr>
                <w:rFonts w:hint="eastAsia" w:asciiTheme="minorEastAsia" w:hAnsiTheme="minorEastAsia" w:eastAsiaTheme="minorEastAsia" w:cstheme="minorEastAsia"/>
                <w:i w:val="0"/>
                <w:iCs w:val="0"/>
                <w:color w:val="FF0000"/>
                <w:sz w:val="21"/>
                <w:szCs w:val="21"/>
                <w:highlight w:val="none"/>
                <w:u w:val="single"/>
                <w:lang w:val="en-US" w:eastAsia="zh-CN"/>
              </w:rPr>
              <w:t>楼</w:t>
            </w:r>
            <w:r>
              <w:rPr>
                <w:rFonts w:hint="eastAsia" w:asciiTheme="minorEastAsia" w:hAnsiTheme="minorEastAsia" w:cstheme="minorEastAsia"/>
                <w:i w:val="0"/>
                <w:iCs w:val="0"/>
                <w:color w:val="FF0000"/>
                <w:sz w:val="21"/>
                <w:szCs w:val="21"/>
                <w:highlight w:val="none"/>
                <w:u w:val="single"/>
                <w:lang w:val="en-US" w:eastAsia="zh-CN"/>
              </w:rPr>
              <w:t>开标</w:t>
            </w:r>
            <w:r>
              <w:rPr>
                <w:rFonts w:hint="eastAsia" w:asciiTheme="minorEastAsia" w:hAnsiTheme="minorEastAsia" w:eastAsiaTheme="minorEastAsia" w:cstheme="minorEastAsia"/>
                <w:i w:val="0"/>
                <w:iCs w:val="0"/>
                <w:color w:val="FF0000"/>
                <w:sz w:val="21"/>
                <w:szCs w:val="21"/>
                <w:highlight w:val="none"/>
                <w:u w:val="single"/>
                <w:lang w:val="en-US" w:eastAsia="zh-CN"/>
              </w:rPr>
              <w:t>室（药都大道与希夷大道交叉口东北角</w:t>
            </w:r>
            <w:r>
              <w:rPr>
                <w:rFonts w:hint="eastAsia" w:asciiTheme="minorEastAsia" w:hAnsiTheme="minorEastAsia" w:cstheme="minorEastAsia"/>
                <w:i w:val="0"/>
                <w:iCs w:val="0"/>
                <w:color w:val="FF0000"/>
                <w:sz w:val="21"/>
                <w:szCs w:val="21"/>
                <w:highlight w:val="none"/>
                <w:u w:val="single"/>
                <w:lang w:val="en-US" w:eastAsia="zh-CN"/>
              </w:rPr>
              <w:t xml:space="preserve"> 15</w:t>
            </w:r>
            <w:r>
              <w:rPr>
                <w:rFonts w:hint="eastAsia" w:asciiTheme="minorEastAsia" w:hAnsiTheme="minorEastAsia" w:eastAsiaTheme="minorEastAsia" w:cstheme="minorEastAsia"/>
                <w:i w:val="0"/>
                <w:iCs w:val="0"/>
                <w:color w:val="FF0000"/>
                <w:sz w:val="21"/>
                <w:szCs w:val="21"/>
                <w:highlight w:val="none"/>
                <w:u w:val="single"/>
                <w:lang w:val="en-US" w:eastAsia="zh-CN"/>
              </w:rPr>
              <w:t>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招标人：安徽交赢新能源有限公司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宋体" w:hAnsi="宋体" w:eastAsia="宋体" w:cs="宋体"/>
                <w:color w:val="FF0000"/>
                <w:sz w:val="21"/>
                <w:szCs w:val="21"/>
              </w:rPr>
              <w:t>安徽交赢新能源有限公司成品油</w:t>
            </w:r>
            <w:r>
              <w:rPr>
                <w:rFonts w:hint="eastAsia" w:ascii="宋体" w:hAnsi="宋体" w:eastAsia="宋体" w:cs="宋体"/>
                <w:color w:val="FF0000"/>
                <w:sz w:val="21"/>
                <w:szCs w:val="21"/>
                <w:lang w:eastAsia="zh-CN"/>
              </w:rPr>
              <w:t>（</w:t>
            </w:r>
            <w:r>
              <w:rPr>
                <w:rFonts w:hint="eastAsia" w:ascii="宋体" w:hAnsi="宋体" w:eastAsia="宋体" w:cs="宋体"/>
                <w:color w:val="FF0000"/>
                <w:sz w:val="21"/>
                <w:szCs w:val="21"/>
                <w:lang w:val="en-US" w:eastAsia="zh-CN"/>
              </w:rPr>
              <w:t>柴油</w:t>
            </w:r>
            <w:r>
              <w:rPr>
                <w:rFonts w:hint="eastAsia" w:ascii="宋体" w:hAnsi="宋体" w:eastAsia="宋体" w:cs="宋体"/>
                <w:color w:val="FF0000"/>
                <w:sz w:val="21"/>
                <w:szCs w:val="21"/>
                <w:lang w:eastAsia="zh-CN"/>
              </w:rPr>
              <w:t>）</w:t>
            </w:r>
            <w:r>
              <w:rPr>
                <w:rFonts w:hint="eastAsia" w:ascii="宋体" w:hAnsi="宋体" w:eastAsia="宋体" w:cs="宋体"/>
                <w:color w:val="FF0000"/>
                <w:sz w:val="21"/>
                <w:szCs w:val="21"/>
                <w:lang w:val="en-US" w:eastAsia="zh-CN"/>
              </w:rPr>
              <w:t>长途</w:t>
            </w:r>
            <w:r>
              <w:rPr>
                <w:rFonts w:hint="eastAsia" w:ascii="宋体" w:hAnsi="宋体" w:eastAsia="宋体" w:cs="宋体"/>
                <w:color w:val="FF0000"/>
                <w:sz w:val="21"/>
                <w:szCs w:val="21"/>
              </w:rPr>
              <w:t>运输及接卸服务</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项目编号：BZJK-2024-023号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5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29"/>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54" w:edGrp="everyone"/>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Cs w:val="21"/>
                <w:highlight w:val="none"/>
                <w:lang w:val="en-US" w:eastAsia="zh-CN"/>
              </w:rPr>
              <w:t xml:space="preserve">要求  </w:t>
            </w:r>
          </w:p>
          <w:permEnd w:id="54"/>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55"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5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56" w:edGrp="everyone"/>
            <w:r>
              <w:rPr>
                <w:rFonts w:hint="eastAsia" w:ascii="Times New Roman" w:hAnsi="Times New Roman" w:cs="Times New Roman"/>
                <w:szCs w:val="21"/>
                <w:highlight w:val="none"/>
                <w:lang w:val="en-US" w:eastAsia="zh-CN"/>
              </w:rPr>
              <w:t xml:space="preserve"> </w:t>
            </w:r>
            <w:r>
              <w:rPr>
                <w:rFonts w:hint="eastAsia" w:ascii="Times New Roman" w:hAnsi="Times New Roman" w:cs="Times New Roman"/>
                <w:b/>
                <w:bCs/>
                <w:color w:val="FF0000"/>
                <w:szCs w:val="21"/>
                <w:highlight w:val="none"/>
                <w:lang w:val="en-US" w:eastAsia="zh-CN"/>
              </w:rPr>
              <w:t xml:space="preserve">/  </w:t>
            </w:r>
            <w:permEnd w:id="5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57"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5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497"/>
      <w:bookmarkStart w:id="17" w:name="_Toc179632546"/>
      <w:bookmarkStart w:id="18" w:name="_Toc152042305"/>
      <w:bookmarkStart w:id="19" w:name="_Toc246996175"/>
      <w:bookmarkStart w:id="20" w:name="_Toc246996918"/>
      <w:bookmarkStart w:id="21" w:name="_Toc247085689"/>
      <w:bookmarkStart w:id="22" w:name="_Toc296602420"/>
      <w:bookmarkStart w:id="23" w:name="_Toc152045529"/>
      <w:r>
        <w:rPr>
          <w:rFonts w:hint="eastAsia"/>
        </w:rPr>
        <w:t>1. 总则</w:t>
      </w:r>
      <w:bookmarkEnd w:id="16"/>
      <w:bookmarkEnd w:id="17"/>
      <w:bookmarkEnd w:id="18"/>
      <w:bookmarkEnd w:id="19"/>
      <w:bookmarkEnd w:id="20"/>
      <w:bookmarkEnd w:id="21"/>
      <w:bookmarkEnd w:id="22"/>
      <w:bookmarkEnd w:id="23"/>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2306"/>
      <w:bookmarkStart w:id="25" w:name="_Toc296602421"/>
      <w:bookmarkStart w:id="26" w:name="_Toc179632547"/>
      <w:bookmarkStart w:id="27" w:name="_Toc246996919"/>
      <w:bookmarkStart w:id="28" w:name="_Toc246996176"/>
      <w:bookmarkStart w:id="29" w:name="_Toc247085690"/>
      <w:bookmarkStart w:id="30" w:name="_Toc152045530"/>
      <w:bookmarkStart w:id="31" w:name="_Toc144974498"/>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1.1.6 </w:t>
      </w:r>
      <w:r>
        <w:rPr>
          <w:rFonts w:hint="eastAsia"/>
          <w:lang w:val="en-US" w:eastAsia="zh-CN"/>
        </w:rPr>
        <w:t>本招标</w:t>
      </w:r>
      <w:r>
        <w:rPr>
          <w:rFonts w:hint="eastAsia"/>
        </w:rPr>
        <w:t>项目建设规模：见投标人须知前附表。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1.1.7 </w:t>
      </w:r>
      <w:r>
        <w:rPr>
          <w:rFonts w:hint="eastAsia"/>
          <w:lang w:val="en-US" w:eastAsia="zh-CN"/>
        </w:rPr>
        <w:t>本招标</w:t>
      </w:r>
      <w:r>
        <w:rPr>
          <w:rFonts w:hint="eastAsia"/>
        </w:rPr>
        <w:t>项目投资估算：见投标人须知前附表。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6996920"/>
      <w:bookmarkStart w:id="33" w:name="_Toc144974499"/>
      <w:bookmarkStart w:id="34" w:name="_Toc296602422"/>
      <w:bookmarkStart w:id="35" w:name="_Toc152045531"/>
      <w:bookmarkStart w:id="36" w:name="_Toc152042307"/>
      <w:bookmarkStart w:id="37" w:name="_Toc246996177"/>
      <w:bookmarkStart w:id="38" w:name="_Toc247085691"/>
      <w:bookmarkStart w:id="39" w:name="_Toc179632548"/>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7085692"/>
      <w:bookmarkStart w:id="41" w:name="_Toc296602423"/>
      <w:bookmarkStart w:id="42" w:name="_Toc152045532"/>
      <w:bookmarkStart w:id="43" w:name="_Toc144974500"/>
      <w:bookmarkStart w:id="44" w:name="_Toc246996921"/>
      <w:bookmarkStart w:id="45" w:name="_Toc246996178"/>
      <w:bookmarkStart w:id="46" w:name="_Toc152042308"/>
      <w:bookmarkStart w:id="47" w:name="_Toc179632549"/>
      <w:r>
        <w:rPr>
          <w:rFonts w:hint="eastAsia"/>
        </w:rPr>
        <w:t>1.3 招标范围、</w:t>
      </w:r>
      <w:r>
        <w:rPr>
          <w:rFonts w:hint="eastAsia"/>
          <w:lang w:val="en-US" w:eastAsia="zh-CN"/>
        </w:rPr>
        <w:t>服务期限</w:t>
      </w:r>
      <w:r>
        <w:rPr>
          <w:rFonts w:hint="eastAsia"/>
        </w:rPr>
        <w:t>、质量要求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w:t>
      </w:r>
      <w:r>
        <w:rPr>
          <w:rFonts w:hint="eastAsia"/>
          <w:lang w:eastAsia="zh-CN"/>
        </w:rPr>
        <w:t>服务期限</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79632551"/>
      <w:bookmarkStart w:id="49" w:name="_Toc152042310"/>
      <w:bookmarkStart w:id="50" w:name="_Toc247085693"/>
      <w:bookmarkStart w:id="51" w:name="_Toc152045534"/>
      <w:bookmarkStart w:id="52" w:name="_Toc246996179"/>
      <w:bookmarkStart w:id="53" w:name="_Toc246996922"/>
      <w:bookmarkStart w:id="54" w:name="_Toc296602424"/>
      <w:bookmarkStart w:id="55" w:name="_Toc144974502"/>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1.4.1 投标人应具备承担本招标项目的资质条件、能力和信誉。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（5）项目负责人的资格要求：见投标人须知前附表；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（6）其他主要人员要求：见投标人须知前附表；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（7）其他有关要求：见投标人须知前附表。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1.4.2 投标人须知前附表规定接受联合体投标的，除应符合本章第1.4.1项和投标人须知前附表的要求外，还应遵守以下规定：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（1）为招标人不具有独立法人资格的附属机构（单位）；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（2）为招标项目前期工作提供咨询服务的；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（9）被责令停业的；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permStart w:id="58" w:edGrp="everyone"/>
      <w:r>
        <w:rPr>
          <w:rFonts w:hint="eastAsia"/>
        </w:rPr>
        <w:t>（10）投标时（以投标截止时间为准），无被亳州市市本级及县区各行业主管部门或公共资源交易监管部门限制投标的不良行为记录（有效期内）</w:t>
      </w:r>
      <w:r>
        <w:rPr>
          <w:rFonts w:hint="eastAsia"/>
          <w:lang w:eastAsia="zh-CN"/>
        </w:rPr>
        <w:t>。</w:t>
      </w:r>
    </w:p>
    <w:permEnd w:id="58"/>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单位负责人为同一人或者存在控股、管理关系的不同单位，不得同时参加本招标项目投标。</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247085694"/>
      <w:bookmarkStart w:id="57" w:name="_Toc246996180"/>
      <w:bookmarkStart w:id="58" w:name="_Toc296602425"/>
      <w:bookmarkStart w:id="59" w:name="_Toc144974503"/>
      <w:bookmarkStart w:id="60" w:name="_Toc152045535"/>
      <w:bookmarkStart w:id="61" w:name="_Toc152042311"/>
      <w:bookmarkStart w:id="62" w:name="_Toc246996923"/>
      <w:bookmarkStart w:id="63" w:name="_Toc179632552"/>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52042312"/>
      <w:bookmarkStart w:id="65" w:name="_Toc246996924"/>
      <w:bookmarkStart w:id="66" w:name="_Toc144974504"/>
      <w:bookmarkStart w:id="67" w:name="_Toc247085695"/>
      <w:bookmarkStart w:id="68" w:name="_Toc246996181"/>
      <w:bookmarkStart w:id="69" w:name="_Toc179632553"/>
      <w:bookmarkStart w:id="70" w:name="_Toc296602426"/>
      <w:bookmarkStart w:id="71" w:name="_Toc152045536"/>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46996182"/>
      <w:bookmarkStart w:id="74" w:name="_Toc296602427"/>
      <w:bookmarkStart w:id="75" w:name="_Toc246996925"/>
      <w:bookmarkStart w:id="76" w:name="_Toc247085696"/>
      <w:bookmarkStart w:id="77" w:name="_Toc179632554"/>
      <w:bookmarkStart w:id="78" w:name="_Toc152045537"/>
      <w:bookmarkStart w:id="79" w:name="_Toc152042313"/>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79632555"/>
      <w:bookmarkStart w:id="81" w:name="_Toc152045538"/>
      <w:bookmarkStart w:id="82" w:name="_Toc247085697"/>
      <w:bookmarkStart w:id="83" w:name="_Toc246996926"/>
      <w:bookmarkStart w:id="84" w:name="_Toc144974506"/>
      <w:bookmarkStart w:id="85" w:name="_Toc152042314"/>
      <w:bookmarkStart w:id="86" w:name="_Toc246996183"/>
      <w:r>
        <w:rPr>
          <w:rFonts w:hint="eastAsia"/>
        </w:rPr>
        <w:t>招标投标文件使用的语言文字为中文。专用术语使用外文的，应附有中文注释。</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13962"/>
      <w:bookmarkStart w:id="89" w:name="_Toc247592876"/>
      <w:bookmarkStart w:id="90" w:name="_Toc152045539"/>
      <w:bookmarkStart w:id="91" w:name="_Toc144974507"/>
      <w:bookmarkStart w:id="92" w:name="_Toc152042315"/>
      <w:bookmarkStart w:id="93" w:name="_Toc296602429"/>
      <w:bookmarkStart w:id="94" w:name="_Toc247527563"/>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96602430"/>
      <w:bookmarkStart w:id="96" w:name="_Toc152045540"/>
      <w:bookmarkStart w:id="97" w:name="_Toc152042316"/>
      <w:bookmarkStart w:id="98" w:name="_Toc144974508"/>
      <w:bookmarkStart w:id="99" w:name="_Toc247527564"/>
      <w:bookmarkStart w:id="100" w:name="_Toc247592877"/>
      <w:bookmarkStart w:id="101" w:name="_Toc247513963"/>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投标人须知前附表规定应当由分包人实施的非主体、非关键性工作，投标人应当按照第五章“发包人要求”的规定提供分包人侯选名单及其相应资料。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投标人拟在中标后将中标项目的部分非主体、非关键性工作进行分包的，应符合投标人须知前附表规定的分包内容、分包金额和资质要求等限制性条件，除投标人须知前附表规定的非主体、非关键性设计工作外，其他工作不得分包。中标人不得向他人转让中标项目，接受分包的人不得再次分包。中标人应当就分包项目向招标人负责，接受分包的人就分包项目承担连带责任。</w:t>
      </w:r>
    </w:p>
    <w:p>
      <w:pPr>
        <w:pStyle w:val="5"/>
        <w:pageBreakBefore w:val="0"/>
        <w:widowControl w:val="0"/>
        <w:kinsoku/>
        <w:wordWrap/>
        <w:overflowPunct/>
        <w:topLinePunct w:val="0"/>
        <w:autoSpaceDE/>
        <w:autoSpaceDN/>
        <w:bidi w:val="0"/>
        <w:adjustRightInd/>
        <w:snapToGrid/>
        <w:spacing w:line="240" w:lineRule="auto"/>
        <w:textAlignment w:val="auto"/>
        <w:rPr>
          <w:rFonts w:ascii="Arial"/>
          <w:sz w:val="21"/>
        </w:rPr>
      </w:pPr>
      <w:r>
        <w:rPr>
          <w:rFonts w:hint="eastAsia"/>
        </w:rPr>
        <w:t>1.12 响应和偏差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1.12.2  投标人应根据招标文件的要求提供投标勘察纲要等内容以对招标文件作出响应。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sz w:val="21"/>
          <w:szCs w:val="21"/>
        </w:rPr>
      </w:pPr>
      <w:r>
        <w:rPr>
          <w:rFonts w:hint="eastAsia"/>
        </w:rPr>
        <w:t>1.12.3  投标人须知前附表允许投标文件偏离招标文件某些要求的， 偏差应当符合招标文件规定的偏差范围和幅度</w:t>
      </w:r>
      <w:r>
        <w:rPr>
          <w:spacing w:val="-2"/>
          <w:sz w:val="21"/>
          <w:szCs w:val="21"/>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79632560"/>
      <w:bookmarkStart w:id="104" w:name="_Toc246996187"/>
      <w:bookmarkStart w:id="105" w:name="_Toc247085701"/>
      <w:bookmarkStart w:id="106" w:name="_Toc144974510"/>
      <w:bookmarkStart w:id="107" w:name="_Toc152045542"/>
      <w:bookmarkStart w:id="108" w:name="_Toc296602432"/>
      <w:bookmarkStart w:id="109" w:name="_Toc152042318"/>
      <w:bookmarkStart w:id="110" w:name="_Toc246996930"/>
      <w:r>
        <w:rPr>
          <w:rFonts w:hint="eastAsia"/>
        </w:rPr>
        <w:t>2. 招标文件</w:t>
      </w:r>
      <w:bookmarkEnd w:id="103"/>
      <w:bookmarkEnd w:id="104"/>
      <w:bookmarkEnd w:id="105"/>
      <w:bookmarkEnd w:id="106"/>
      <w:bookmarkEnd w:id="107"/>
      <w:bookmarkEnd w:id="108"/>
      <w:bookmarkEnd w:id="109"/>
      <w:bookmarkEnd w:id="110"/>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7085702"/>
      <w:bookmarkStart w:id="112" w:name="_Toc179632561"/>
      <w:bookmarkStart w:id="113" w:name="_Toc296602433"/>
      <w:bookmarkStart w:id="114" w:name="_Toc152045543"/>
      <w:bookmarkStart w:id="115" w:name="_Toc152042319"/>
      <w:bookmarkStart w:id="116" w:name="_Toc144974511"/>
      <w:bookmarkStart w:id="117" w:name="_Toc246996188"/>
      <w:bookmarkStart w:id="118" w:name="_Toc24699693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（5）发包人要求；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1.10 款、第 2.2 款和第 2.3 款对招标文件所作的澄清、修改，构成招标文件的组成部分。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189"/>
      <w:bookmarkStart w:id="120" w:name="_Toc247085703"/>
      <w:bookmarkStart w:id="121" w:name="_Toc179632562"/>
      <w:bookmarkStart w:id="122" w:name="_Toc246996932"/>
      <w:bookmarkStart w:id="123" w:name="_Toc152042320"/>
      <w:bookmarkStart w:id="124" w:name="_Toc144974512"/>
      <w:bookmarkStart w:id="125" w:name="_Toc296602434"/>
      <w:bookmarkStart w:id="126" w:name="_Toc152045544"/>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6996190"/>
      <w:bookmarkStart w:id="128" w:name="_Toc179632563"/>
      <w:bookmarkStart w:id="129" w:name="_Toc152045545"/>
      <w:bookmarkStart w:id="130" w:name="_Toc296602435"/>
      <w:bookmarkStart w:id="131" w:name="_Toc246996933"/>
      <w:bookmarkStart w:id="132" w:name="_Toc247085704"/>
      <w:bookmarkStart w:id="133" w:name="_Toc152042321"/>
      <w:bookmarkStart w:id="134" w:name="_Toc14497451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2.3.1招标人可以书面形式修改招标文件，并通知所有已购买招标文件的投标人。但如果修改招标文件的时间距投标截止时间不足15天，并且修改内容影响投标文件编制的，将相应延长投标截止时间。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6996934"/>
      <w:bookmarkStart w:id="136" w:name="_Toc152045546"/>
      <w:bookmarkStart w:id="137" w:name="_Toc152042322"/>
      <w:bookmarkStart w:id="138" w:name="_Toc144974514"/>
      <w:bookmarkStart w:id="139" w:name="_Toc246996191"/>
      <w:bookmarkStart w:id="140" w:name="_Toc296602436"/>
      <w:bookmarkStart w:id="141" w:name="_Toc247085705"/>
      <w:bookmarkStart w:id="142" w:name="_Toc179632564"/>
      <w:r>
        <w:rPr>
          <w:rFonts w:hint="eastAsia"/>
        </w:rPr>
        <w:t>3. 投标文件</w:t>
      </w:r>
      <w:bookmarkEnd w:id="135"/>
      <w:bookmarkEnd w:id="136"/>
      <w:bookmarkEnd w:id="137"/>
      <w:bookmarkEnd w:id="138"/>
      <w:bookmarkEnd w:id="139"/>
      <w:bookmarkEnd w:id="140"/>
      <w:bookmarkEnd w:id="141"/>
      <w:bookmarkEnd w:id="142"/>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6996935"/>
      <w:bookmarkStart w:id="144" w:name="_Toc152042323"/>
      <w:bookmarkStart w:id="145" w:name="_Toc144974515"/>
      <w:bookmarkStart w:id="146" w:name="_Toc296602437"/>
      <w:bookmarkStart w:id="147" w:name="_Toc246996192"/>
      <w:bookmarkStart w:id="148" w:name="_Toc247085706"/>
      <w:bookmarkStart w:id="149" w:name="_Toc179632565"/>
      <w:bookmarkStart w:id="150" w:name="_Toc152045547"/>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四、服务费用清单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六、服务方案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79632566"/>
      <w:bookmarkStart w:id="152" w:name="_Toc152042324"/>
      <w:bookmarkStart w:id="153" w:name="_Toc144974516"/>
      <w:bookmarkStart w:id="154" w:name="_Toc152045548"/>
      <w:bookmarkStart w:id="155" w:name="_Toc246996193"/>
      <w:bookmarkStart w:id="156" w:name="_Toc296602438"/>
      <w:bookmarkStart w:id="157" w:name="_Toc247085707"/>
      <w:bookmarkStart w:id="158" w:name="_Toc246996936"/>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52045549"/>
      <w:bookmarkStart w:id="160" w:name="_Toc152042325"/>
      <w:bookmarkStart w:id="161" w:name="_Toc144974517"/>
      <w:bookmarkStart w:id="162" w:name="_Toc179632567"/>
      <w:r>
        <w:rPr>
          <w:rFonts w:hint="eastAsia"/>
        </w:rPr>
        <w:t>3.2.1 投标报价应包括国家规定的增值税税金，除投标人须知前附表另有规定外，增值税税金按一般计税方法计算。投标人应按第六章“投标文件格式” 的要求在投标函中进行报价并填写设计费用清单。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本项目的报价方式见投标人须知前附表。投标人在投标截止时间前修改投标函中的投标报价总额，应同时修改投标文件“勘察费用清单”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96602439"/>
      <w:bookmarkStart w:id="164" w:name="_Toc247085708"/>
      <w:bookmarkStart w:id="165" w:name="_Toc246996937"/>
      <w:bookmarkStart w:id="166" w:name="_Toc246996194"/>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52042326"/>
      <w:bookmarkStart w:id="168" w:name="_Toc246996195"/>
      <w:bookmarkStart w:id="169" w:name="_Toc296602440"/>
      <w:bookmarkStart w:id="170" w:name="_Toc152045550"/>
      <w:bookmarkStart w:id="171" w:name="_Toc144974518"/>
      <w:bookmarkStart w:id="172" w:name="_Toc246996938"/>
      <w:bookmarkStart w:id="173" w:name="_Toc247085709"/>
      <w:bookmarkStart w:id="174" w:name="_Toc17963256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52045552"/>
      <w:bookmarkStart w:id="176" w:name="_Toc179632570"/>
      <w:bookmarkStart w:id="177" w:name="_Toc246996196"/>
      <w:bookmarkStart w:id="178" w:name="_Toc144974520"/>
      <w:bookmarkStart w:id="179" w:name="_Toc296602441"/>
      <w:bookmarkStart w:id="180" w:name="_Toc152042328"/>
      <w:bookmarkStart w:id="181" w:name="_Toc247085710"/>
      <w:bookmarkStart w:id="182" w:name="_Toc246996939"/>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3.5.1“投标人基本情况表”应附投标人有效的营业执照（统一社会信用代码）、资质证书等材料的扫描件或复印件。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3.5.2“近年财务状况表”应附经会计师事务所或审计机构审计的财务会计报表，包括资产负债表、现金流量表、利润表和财务情况说明书等扫描件或复印件。具体要求见投标人须知前附表。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3.5.3“近年完成的类似项目情况表”应附中标通知书和（或）合同协议书、发包人出具的证明文件；具体时间要求见投标人须知前附表，每张表格只填写一个项目，并标明序号。具体要求见投标人须知前附表。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“正在实施和新承接的项目情况表”应附中标通知书和（或）合同协议书扫描件或复印件。每张表格只填写一个项目，并标明序号。具体要求见投标人须知前附表。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3.5.5“近年发生的重大诉讼及仲裁情况”应说明相关情况，并附法院或仲裁机构作出的判决、裁决等有关法律文书扫描件或复印件。具体要求见投标人须知前附表。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3.5.6“拟委任的主要人员汇总表”应填报满足本章第 1.4.1 项规定的项目负责人和其他主要人员的相关信息。“主要人员简历表”中项目负责人应附身份证、学历证、职称证、执业资格证书和社保缴费证明复印件，管理过的项目业绩须附合同协议书复印件；其他主要人员应附身份证、学历证、职称证、有关证书和社保缴费证明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3.5.7投标人须知前附表规定接受联合体投标的，本章第3.5.1项至第3.5.5项规定的表格和资料应包括联合体各方相关情况。</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3.6  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投标人提供两个或两个以上投标报价，或者在投标文件中提供一个报价，但同时提供两个或两个以上勘察方案的， 视为提供备选方案。</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144974521"/>
      <w:bookmarkStart w:id="184" w:name="_Toc179632571"/>
      <w:bookmarkStart w:id="185" w:name="_Toc152045553"/>
      <w:bookmarkStart w:id="186" w:name="_Toc152042329"/>
      <w:bookmarkStart w:id="187" w:name="_Toc247085711"/>
      <w:bookmarkStart w:id="188" w:name="_Toc246996940"/>
      <w:bookmarkStart w:id="189" w:name="_Toc246996197"/>
      <w:bookmarkStart w:id="190" w:name="_Toc296602442"/>
      <w:r>
        <w:rPr>
          <w:rFonts w:hint="eastAsia"/>
        </w:rPr>
        <w:t>3.</w:t>
      </w:r>
      <w:r>
        <w:rPr>
          <w:rFonts w:hint="eastAsia"/>
          <w:lang w:val="en-US" w:eastAsia="zh-CN"/>
        </w:rPr>
        <w:t>7</w:t>
      </w:r>
      <w:r>
        <w:rPr>
          <w:rFonts w:hint="eastAsia"/>
        </w:rPr>
        <w:t>投标文件的编制</w:t>
      </w:r>
      <w:bookmarkEnd w:id="183"/>
      <w:bookmarkEnd w:id="184"/>
      <w:bookmarkEnd w:id="185"/>
      <w:bookmarkEnd w:id="186"/>
      <w:bookmarkEnd w:id="187"/>
      <w:bookmarkEnd w:id="188"/>
      <w:bookmarkEnd w:id="189"/>
      <w:bookmarkEnd w:id="190"/>
      <w:bookmarkStart w:id="191" w:name="_Toc246996199"/>
      <w:bookmarkStart w:id="192" w:name="_Toc179632573"/>
      <w:bookmarkStart w:id="193" w:name="_Toc144974523"/>
      <w:bookmarkStart w:id="194" w:name="_Toc152045555"/>
      <w:bookmarkStart w:id="195" w:name="_Toc247085713"/>
      <w:bookmarkStart w:id="196" w:name="_Toc152042331"/>
      <w:bookmarkStart w:id="197" w:name="_Toc24699694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8" w:name="_Toc296602443"/>
      <w:r>
        <w:rPr>
          <w:rFonts w:hint="eastAsia"/>
        </w:rPr>
        <w:t>3.7.1 投标文件应按第</w:t>
      </w:r>
      <w:r>
        <w:rPr>
          <w:rFonts w:hint="eastAsia"/>
          <w:lang w:val="en-US" w:eastAsia="zh-CN"/>
        </w:rPr>
        <w:t>六</w:t>
      </w:r>
      <w:r>
        <w:rPr>
          <w:rFonts w:hint="eastAsia"/>
        </w:rPr>
        <w:t>章“投标文件格式”进行编写，如有必要，可以增加附页，作为投标文件的组成部分。其中，投标函附录（如要求）在满足招标文件实质性要求的基础上，可以提出比招标文件要求更有利于招标人的承诺。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投标文件应当对招标文件有关招标范围、投标有效期、服务期限、质量标准、发包人要求等实质性内容作出响应。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3.7.3 投标文件应用投标文件制作软件进行编制（不褪色的材料书写或打印），并由投标人的法定代表人或其授权的代理人签字或盖单位章。投标人的法定代表人授权代理人签字的，投标文件应附由法定代表人签署的授权委托书。投标文件应尽量避免涂改、行间插字或删除。如果出现上述情况，改动之处应加盖单位章或由投标人的法定代表人或其授权的代理人签字确认。签字或盖章的具体要求见投标人须知前附表。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3.7.4投标文件份数要求见投标人须知前附表。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3.7.5投标文件装订要求见投标人须知前附表规定。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4. 投标</w:t>
      </w:r>
      <w:bookmarkEnd w:id="191"/>
      <w:bookmarkEnd w:id="192"/>
      <w:bookmarkEnd w:id="193"/>
      <w:bookmarkEnd w:id="194"/>
      <w:bookmarkEnd w:id="195"/>
      <w:bookmarkEnd w:id="196"/>
      <w:bookmarkEnd w:id="197"/>
      <w:bookmarkEnd w:id="198"/>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47085714"/>
      <w:bookmarkStart w:id="200" w:name="_Toc144974524"/>
      <w:bookmarkStart w:id="201" w:name="_Toc246996200"/>
      <w:bookmarkStart w:id="202" w:name="_Toc152045556"/>
      <w:bookmarkStart w:id="203" w:name="_Toc246996943"/>
      <w:bookmarkStart w:id="204" w:name="_Toc152042332"/>
      <w:bookmarkStart w:id="205" w:name="_Toc296602444"/>
      <w:bookmarkStart w:id="206" w:name="_Toc17963257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144974525"/>
      <w:bookmarkStart w:id="208" w:name="_Toc246996944"/>
      <w:bookmarkStart w:id="209" w:name="_Toc152042333"/>
      <w:bookmarkStart w:id="210" w:name="_Toc179632575"/>
      <w:bookmarkStart w:id="211" w:name="_Toc152045557"/>
      <w:bookmarkStart w:id="212" w:name="_Toc246996201"/>
      <w:bookmarkStart w:id="213" w:name="_Toc247085715"/>
      <w:r>
        <w:rPr>
          <w:rFonts w:hint="eastAsia"/>
        </w:rPr>
        <w:t>4.1.1 投标文件应密封包装，并在封套的封口处加盖投标人单位章或由投标人的法定代表人或其授权的代理人签字。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96602446"/>
      <w:bookmarkStart w:id="216" w:name="_Toc179632576"/>
      <w:bookmarkStart w:id="217" w:name="_Toc246996945"/>
      <w:bookmarkStart w:id="218" w:name="_Toc152045558"/>
      <w:bookmarkStart w:id="219" w:name="_Toc247085716"/>
      <w:bookmarkStart w:id="220" w:name="_Toc152042334"/>
      <w:bookmarkStart w:id="221" w:name="_Toc144974526"/>
      <w:bookmarkStart w:id="222" w:name="_Toc246996202"/>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46996203"/>
      <w:bookmarkStart w:id="224" w:name="_Toc246996946"/>
      <w:bookmarkStart w:id="225" w:name="_Toc296602447"/>
      <w:bookmarkStart w:id="226" w:name="_Toc179632577"/>
      <w:bookmarkStart w:id="227" w:name="_Toc144974527"/>
      <w:bookmarkStart w:id="228" w:name="_Toc247085717"/>
      <w:bookmarkStart w:id="229" w:name="_Toc152045559"/>
      <w:bookmarkStart w:id="230" w:name="_Toc152042335"/>
      <w:r>
        <w:rPr>
          <w:rFonts w:hint="eastAsia"/>
        </w:rPr>
        <w:t>5. 开标</w:t>
      </w:r>
      <w:bookmarkEnd w:id="223"/>
      <w:bookmarkEnd w:id="224"/>
      <w:bookmarkEnd w:id="225"/>
      <w:bookmarkEnd w:id="226"/>
      <w:bookmarkEnd w:id="227"/>
      <w:bookmarkEnd w:id="228"/>
      <w:bookmarkEnd w:id="229"/>
      <w:bookmarkEnd w:id="230"/>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52045560"/>
      <w:bookmarkStart w:id="232" w:name="_Toc246996204"/>
      <w:bookmarkStart w:id="233" w:name="_Toc296602448"/>
      <w:bookmarkStart w:id="234" w:name="_Toc246996947"/>
      <w:bookmarkStart w:id="235" w:name="_Toc247085718"/>
      <w:bookmarkStart w:id="236" w:name="_Toc152042336"/>
      <w:bookmarkStart w:id="237" w:name="_Toc144974528"/>
      <w:bookmarkStart w:id="238" w:name="_Toc17963257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并邀请所有投标人的法定代表人或其委托代理人准时参加。</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47085719"/>
      <w:bookmarkStart w:id="240" w:name="_Toc246996948"/>
      <w:bookmarkStart w:id="241" w:name="_Toc296602449"/>
      <w:bookmarkStart w:id="242" w:name="_Toc179632579"/>
      <w:bookmarkStart w:id="243" w:name="_Toc144974529"/>
      <w:bookmarkStart w:id="244" w:name="_Toc152042337"/>
      <w:bookmarkStart w:id="245" w:name="_Toc246996205"/>
      <w:bookmarkStart w:id="246" w:name="_Toc152045561"/>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（3）宣布开标人、唱标人、记录人、监标人等有关人员姓名（如有）；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（4）检查投标文件的密封情况，按照投标人须知前附表规定的开标顺序当众开标， 公布招标项目名称、投标人名称、投标保证金的递交情况、投标报价、服务期限及其他内容，并记录在案；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（5）投标人代表、招标人代表、监标人、记录人等有关人员（如有）在开标记录上签字确认；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96602451"/>
      <w:bookmarkStart w:id="249" w:name="_Toc246996949"/>
      <w:bookmarkStart w:id="250" w:name="_Toc246996206"/>
      <w:bookmarkStart w:id="251" w:name="_Toc152045562"/>
      <w:bookmarkStart w:id="252" w:name="_Toc179632580"/>
      <w:bookmarkStart w:id="253" w:name="_Toc247085720"/>
      <w:bookmarkStart w:id="254" w:name="_Toc152042338"/>
      <w:bookmarkStart w:id="255" w:name="_Toc144974530"/>
      <w:r>
        <w:rPr>
          <w:rFonts w:hint="eastAsia"/>
        </w:rPr>
        <w:t>6. 评标</w:t>
      </w:r>
      <w:bookmarkEnd w:id="248"/>
      <w:bookmarkEnd w:id="249"/>
      <w:bookmarkEnd w:id="250"/>
      <w:bookmarkEnd w:id="251"/>
      <w:bookmarkEnd w:id="252"/>
      <w:bookmarkEnd w:id="253"/>
      <w:bookmarkEnd w:id="254"/>
      <w:bookmarkEnd w:id="255"/>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96602452"/>
      <w:bookmarkStart w:id="257" w:name="_Toc246996207"/>
      <w:bookmarkStart w:id="258" w:name="_Toc247085721"/>
      <w:bookmarkStart w:id="259" w:name="_Toc179632581"/>
      <w:bookmarkStart w:id="260" w:name="_Toc152045563"/>
      <w:bookmarkStart w:id="261" w:name="_Toc144974531"/>
      <w:bookmarkStart w:id="262" w:name="_Toc152042339"/>
      <w:bookmarkStart w:id="263" w:name="_Toc246996950"/>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6996951"/>
      <w:bookmarkStart w:id="265" w:name="_Toc246996208"/>
      <w:bookmarkStart w:id="266" w:name="_Toc152042340"/>
      <w:bookmarkStart w:id="267" w:name="_Toc247085722"/>
      <w:bookmarkStart w:id="268" w:name="_Toc152045564"/>
      <w:bookmarkStart w:id="269" w:name="_Toc144974532"/>
      <w:bookmarkStart w:id="270" w:name="_Toc296602453"/>
      <w:bookmarkStart w:id="271" w:name="_Toc179632582"/>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7085723"/>
      <w:bookmarkStart w:id="273" w:name="_Toc144974533"/>
      <w:bookmarkStart w:id="274" w:name="_Toc246996209"/>
      <w:bookmarkStart w:id="275" w:name="_Toc152045565"/>
      <w:bookmarkStart w:id="276" w:name="_Toc296602454"/>
      <w:bookmarkStart w:id="277" w:name="_Toc179632583"/>
      <w:bookmarkStart w:id="278" w:name="_Toc152042341"/>
      <w:bookmarkStart w:id="279" w:name="_Toc246996952"/>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6.3.1评标委员会按照第三章“评标办法”规定的方法、评审因素、标准和程序对投标文件进行评审。第三章“评标办法”没有规定的方法、评审因素和标准，不作为评标依据。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6.3.2 评标完成后，评标委员会应当向招标人提交书面评标报告和中标候选人名单。评标委员会推荐中标候选人的人数见投标人须知前附表。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52045566"/>
      <w:bookmarkStart w:id="281" w:name="_Toc152042342"/>
      <w:bookmarkStart w:id="282" w:name="_Toc179632584"/>
      <w:bookmarkStart w:id="283" w:name="_Toc144974534"/>
      <w:bookmarkStart w:id="284" w:name="_Toc296602455"/>
      <w:bookmarkStart w:id="285" w:name="_Toc247085724"/>
      <w:bookmarkStart w:id="286" w:name="_Toc246996953"/>
      <w:bookmarkStart w:id="287" w:name="_Toc246996210"/>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52042343"/>
      <w:bookmarkStart w:id="289" w:name="_Toc296602456"/>
      <w:bookmarkStart w:id="290" w:name="_Toc246996954"/>
      <w:bookmarkStart w:id="291" w:name="_Toc144974535"/>
      <w:bookmarkStart w:id="292" w:name="_Toc179632585"/>
      <w:bookmarkStart w:id="293" w:name="_Toc246996211"/>
      <w:bookmarkStart w:id="294" w:name="_Toc247085725"/>
      <w:bookmarkStart w:id="295" w:name="_Toc152045567"/>
      <w:r>
        <w:rPr>
          <w:rFonts w:hint="eastAsia"/>
        </w:rPr>
        <w:t>7.1中标候选人公示</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招标人在收到评标报告之日起 3 日内，按照投标人须知前附表规定的公示媒介和期限公示中标候选人。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7.2 评标结果异议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投标人或者其他利害关系人对评标结果有异议的，应当在中标候选人公示期间提出。招标人将在收到异议之日起 3 日内作出答复；作出答复前，将暂停招标投标活动。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7.3 中标候选人履约能力审查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7.4 定标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按照投标人须知前附表的规定， 招标人或招标人授权的评标委员会依法确定中标人。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179632586"/>
      <w:bookmarkStart w:id="297" w:name="_Toc246996212"/>
      <w:bookmarkStart w:id="298" w:name="_Toc152042344"/>
      <w:bookmarkStart w:id="299" w:name="_Toc246996955"/>
      <w:bookmarkStart w:id="300" w:name="_Toc296602458"/>
      <w:bookmarkStart w:id="301" w:name="_Toc247085726"/>
      <w:bookmarkStart w:id="302" w:name="_Toc144974536"/>
      <w:bookmarkStart w:id="303" w:name="_Toc152045568"/>
      <w:r>
        <w:rPr>
          <w:rFonts w:hint="eastAsia"/>
        </w:rPr>
        <w:t>7.5 中标通知</w:t>
      </w:r>
      <w:bookmarkEnd w:id="296"/>
      <w:bookmarkEnd w:id="297"/>
      <w:bookmarkEnd w:id="298"/>
      <w:bookmarkEnd w:id="299"/>
      <w:bookmarkEnd w:id="300"/>
      <w:bookmarkEnd w:id="301"/>
      <w:bookmarkEnd w:id="302"/>
      <w:bookmarkEnd w:id="30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在本章第 3.3 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4" w:name="_Toc246996956"/>
      <w:bookmarkStart w:id="305" w:name="_Toc179632587"/>
      <w:bookmarkStart w:id="306" w:name="_Toc152045569"/>
      <w:bookmarkStart w:id="307" w:name="_Toc246996213"/>
      <w:bookmarkStart w:id="308" w:name="_Toc152042345"/>
      <w:bookmarkStart w:id="309" w:name="_Toc144974537"/>
      <w:bookmarkStart w:id="310" w:name="_Toc247085727"/>
      <w:bookmarkStart w:id="311" w:name="_Toc296602459"/>
      <w:r>
        <w:rPr>
          <w:rFonts w:hint="eastAsia"/>
        </w:rPr>
        <w:t>7.7 履约担保</w:t>
      </w:r>
      <w:bookmarkEnd w:id="304"/>
      <w:bookmarkEnd w:id="305"/>
      <w:bookmarkEnd w:id="306"/>
      <w:bookmarkEnd w:id="307"/>
      <w:bookmarkEnd w:id="308"/>
      <w:bookmarkEnd w:id="309"/>
      <w:bookmarkEnd w:id="310"/>
      <w:bookmarkEnd w:id="311"/>
      <w:r>
        <w:rPr>
          <w:rFonts w:hint="eastAsia"/>
        </w:rPr>
        <w:t>（履约保证金）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7.6.2  中标人不能按本章第 7.6.1 项要求提交履约保证金的，视为放弃中标， 其投标保证金不予退还，给招标人造成的损失超过投标保证金数额的，中标人还应当对超过部分予以赔偿。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2" w:name="_Toc247085728"/>
      <w:bookmarkStart w:id="313" w:name="_Toc246996214"/>
      <w:bookmarkStart w:id="314" w:name="_Toc152042346"/>
      <w:bookmarkStart w:id="315" w:name="_Toc296602460"/>
      <w:bookmarkStart w:id="316" w:name="_Toc152045570"/>
      <w:bookmarkStart w:id="317" w:name="_Toc179632588"/>
      <w:bookmarkStart w:id="318" w:name="_Toc246996957"/>
      <w:bookmarkStart w:id="319" w:name="_Toc144974538"/>
      <w:r>
        <w:rPr>
          <w:rFonts w:hint="eastAsia"/>
        </w:rPr>
        <w:t>7.8 签订合同</w:t>
      </w:r>
      <w:bookmarkEnd w:id="312"/>
      <w:bookmarkEnd w:id="313"/>
      <w:bookmarkEnd w:id="314"/>
      <w:bookmarkEnd w:id="315"/>
      <w:bookmarkEnd w:id="316"/>
      <w:bookmarkEnd w:id="317"/>
      <w:bookmarkEnd w:id="318"/>
      <w:bookmarkEnd w:id="31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7.7.1  招标人和中标人应当在中标通知书发出之日起 30日内，根据招标文件和中标人的投标文件订立书面合同。中标人无正当理由拒签合同，在签订合同时向招标人提出附加条件，或者不按照招标文件要求提交履约保证金的，招标人有权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7.7.2  发出中标通知书后，招标人无正当理由拒签合同，或者在签订合同时向中标人提出附加条件的， 招标人向中标人退还投标保证金；给中标人造成损失的，还应当赔偿损失。</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7.7.3 联合体中标的，联合体各方应当共同与招标人签订合同，就中标项目向招标人承担连带责任。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0" w:name="_Toc296602461"/>
      <w:r>
        <w:rPr>
          <w:rFonts w:hint="eastAsia"/>
        </w:rPr>
        <w:t>8. 纪律和监督</w:t>
      </w:r>
      <w:bookmarkEnd w:id="320"/>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152045575"/>
      <w:bookmarkStart w:id="322" w:name="_Toc246996962"/>
      <w:bookmarkStart w:id="323" w:name="_Toc296602462"/>
      <w:bookmarkStart w:id="324" w:name="_Toc247085733"/>
      <w:bookmarkStart w:id="325" w:name="_Toc179632593"/>
      <w:bookmarkStart w:id="326" w:name="_Toc296590983"/>
      <w:bookmarkStart w:id="327" w:name="_Toc144974543"/>
      <w:bookmarkStart w:id="328" w:name="_Toc152042351"/>
      <w:bookmarkStart w:id="329" w:name="_Toc246996219"/>
      <w:r>
        <w:rPr>
          <w:rFonts w:hint="eastAsia"/>
        </w:rPr>
        <w:t>8.1 对招标人的纪律要求</w:t>
      </w:r>
      <w:bookmarkEnd w:id="321"/>
      <w:bookmarkEnd w:id="322"/>
      <w:bookmarkEnd w:id="323"/>
      <w:bookmarkEnd w:id="324"/>
      <w:bookmarkEnd w:id="325"/>
      <w:bookmarkEnd w:id="326"/>
      <w:bookmarkEnd w:id="327"/>
      <w:bookmarkEnd w:id="328"/>
      <w:bookmarkEnd w:id="32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4"/>
        <w:bidi w:val="0"/>
        <w:rPr>
          <w:rFonts w:hint="eastAsia"/>
        </w:rPr>
      </w:pPr>
      <w:bookmarkStart w:id="330" w:name="_Toc179632594"/>
      <w:bookmarkStart w:id="331" w:name="_Toc152045576"/>
      <w:bookmarkStart w:id="332" w:name="_Toc296602463"/>
      <w:bookmarkStart w:id="333" w:name="_Toc246996963"/>
      <w:bookmarkStart w:id="334" w:name="_Toc152042352"/>
      <w:bookmarkStart w:id="335" w:name="_Toc144974544"/>
      <w:bookmarkStart w:id="336" w:name="_Toc246996220"/>
      <w:bookmarkStart w:id="337" w:name="_Toc247085734"/>
      <w:r>
        <w:rPr>
          <w:rFonts w:hint="eastAsia"/>
        </w:rPr>
        <w:t>8.2 对投标人的纪律要求</w:t>
      </w:r>
      <w:bookmarkEnd w:id="330"/>
      <w:bookmarkEnd w:id="331"/>
      <w:bookmarkEnd w:id="332"/>
      <w:bookmarkEnd w:id="333"/>
      <w:bookmarkEnd w:id="334"/>
      <w:bookmarkEnd w:id="335"/>
      <w:bookmarkEnd w:id="336"/>
      <w:bookmarkEnd w:id="33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38" w:name="_Toc246996964"/>
      <w:bookmarkStart w:id="339" w:name="_Toc296602464"/>
      <w:bookmarkStart w:id="340" w:name="_Toc247085735"/>
      <w:bookmarkStart w:id="341" w:name="_Toc144974545"/>
      <w:bookmarkStart w:id="342" w:name="_Toc152042353"/>
      <w:bookmarkStart w:id="343" w:name="_Toc152045577"/>
      <w:bookmarkStart w:id="344" w:name="_Toc179632595"/>
      <w:bookmarkStart w:id="345" w:name="_Toc246996221"/>
      <w:r>
        <w:rPr>
          <w:rFonts w:hint="eastAsia"/>
        </w:rPr>
        <w:t>8.3 对评标委员会成员的纪律要求</w:t>
      </w:r>
      <w:bookmarkEnd w:id="338"/>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46" w:name="_Toc247085736"/>
      <w:bookmarkStart w:id="347" w:name="_Toc296602465"/>
      <w:bookmarkStart w:id="348" w:name="_Toc152042354"/>
      <w:bookmarkStart w:id="349" w:name="_Toc179632596"/>
      <w:bookmarkStart w:id="350" w:name="_Toc246996222"/>
      <w:bookmarkStart w:id="351" w:name="_Toc246996965"/>
      <w:bookmarkStart w:id="352" w:name="_Toc152045578"/>
      <w:bookmarkStart w:id="353" w:name="_Toc144974546"/>
      <w:r>
        <w:rPr>
          <w:rFonts w:hint="eastAsia"/>
        </w:rPr>
        <w:t>8.4 对与评标活动有关的工作人员的纪律要求</w:t>
      </w:r>
      <w:bookmarkEnd w:id="346"/>
      <w:bookmarkEnd w:id="347"/>
      <w:bookmarkEnd w:id="348"/>
      <w:bookmarkEnd w:id="349"/>
      <w:bookmarkEnd w:id="350"/>
      <w:bookmarkEnd w:id="351"/>
      <w:bookmarkEnd w:id="35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4"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4"/>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96602466"/>
      <w:bookmarkStart w:id="356" w:name="_Toc152042356"/>
      <w:bookmarkStart w:id="357" w:name="_Toc247085737"/>
      <w:bookmarkStart w:id="358" w:name="_Toc246996223"/>
      <w:bookmarkStart w:id="359" w:name="_Toc179632597"/>
      <w:bookmarkStart w:id="360" w:name="_Toc246996966"/>
      <w:bookmarkStart w:id="361" w:name="_Toc152045579"/>
      <w:r>
        <w:rPr>
          <w:rFonts w:hint="eastAsia"/>
        </w:rPr>
        <w:t>8.5 投诉</w:t>
      </w:r>
      <w:bookmarkEnd w:id="353"/>
      <w:bookmarkEnd w:id="355"/>
      <w:bookmarkEnd w:id="356"/>
      <w:bookmarkEnd w:id="357"/>
      <w:bookmarkEnd w:id="358"/>
      <w:bookmarkEnd w:id="359"/>
      <w:bookmarkEnd w:id="360"/>
      <w:bookmarkEnd w:id="36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62" w:name="_Toc296602468"/>
      <w:r>
        <w:rPr>
          <w:rFonts w:hint="eastAsia"/>
          <w:lang w:val="en-US" w:eastAsia="zh-CN"/>
        </w:rPr>
        <w:t>9</w:t>
      </w:r>
      <w:r>
        <w:rPr>
          <w:rFonts w:hint="eastAsia"/>
        </w:rPr>
        <w:t>．电子招标投标</w:t>
      </w:r>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采用电子招标投标，对投标文件的编制、密封和标记、递交、开标、评标等的具体要求，见投标人须知前附表。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246996967"/>
      <w:bookmarkStart w:id="364" w:name="_Toc246996224"/>
      <w:bookmarkStart w:id="365" w:name="_Toc152045580"/>
      <w:bookmarkStart w:id="366" w:name="_Toc247085738"/>
      <w:bookmarkStart w:id="367" w:name="_Toc296602467"/>
      <w:bookmarkStart w:id="368" w:name="_Toc144974547"/>
      <w:bookmarkStart w:id="369" w:name="_Toc152042357"/>
      <w:bookmarkStart w:id="370" w:name="_Toc179632598"/>
      <w:r>
        <w:rPr>
          <w:rFonts w:hint="eastAsia"/>
          <w:lang w:val="en-US" w:eastAsia="zh-CN"/>
        </w:rPr>
        <w:t>10</w:t>
      </w:r>
      <w:r>
        <w:rPr>
          <w:rFonts w:hint="eastAsia"/>
        </w:rPr>
        <w:t>.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9"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4" w:edGrp="everyone"/>
            <w:r>
              <w:rPr>
                <w:rFonts w:hint="eastAsia" w:ascii="Times New Roman" w:hAnsi="Times New Roman" w:cs="Times New Roman"/>
                <w:kern w:val="0"/>
                <w:sz w:val="24"/>
                <w:szCs w:val="24"/>
                <w:highlight w:val="none"/>
                <w:lang w:val="en-US" w:eastAsia="zh-CN"/>
              </w:rPr>
              <w:t>符合第二章“投标人须知”第1.4.1项规定</w:t>
            </w:r>
            <w:permEnd w:id="64"/>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8"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7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7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5"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7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1" w:name="_Toc247085747"/>
            <w:bookmarkStart w:id="372" w:name="_Toc152042366"/>
            <w:bookmarkStart w:id="373" w:name="_Toc179632607"/>
            <w:bookmarkStart w:id="374" w:name="_Toc152045589"/>
            <w:bookmarkStart w:id="375" w:name="_Toc296602477"/>
            <w:bookmarkStart w:id="376" w:name="_Toc144974556"/>
            <w:bookmarkStart w:id="377" w:name="_Toc246996232"/>
            <w:bookmarkStart w:id="378" w:name="_Toc246996975"/>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76"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规模部分</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u w:val="single"/>
                <w:lang w:val="en-US" w:eastAsia="zh-CN"/>
              </w:rPr>
              <w:t xml:space="preserve"> </w:t>
            </w:r>
            <w:r>
              <w:rPr>
                <w:rFonts w:hint="eastAsia" w:ascii="Times New Roman" w:hAnsi="Times New Roman" w:cs="Times New Roman"/>
                <w:i w:val="0"/>
                <w:iCs w:val="0"/>
                <w:color w:val="auto"/>
                <w:kern w:val="0"/>
                <w:sz w:val="24"/>
                <w:szCs w:val="24"/>
                <w:highlight w:val="none"/>
                <w:u w:val="single"/>
                <w:lang w:val="en-US" w:eastAsia="zh-CN"/>
              </w:rPr>
              <w:t xml:space="preserve">20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服务部分：</w:t>
            </w:r>
            <w:r>
              <w:rPr>
                <w:rFonts w:hint="eastAsia" w:ascii="Times New Roman" w:hAnsi="Times New Roman" w:cs="Times New Roman"/>
                <w:i w:val="0"/>
                <w:iCs w:val="0"/>
                <w:color w:val="auto"/>
                <w:kern w:val="0"/>
                <w:sz w:val="24"/>
                <w:szCs w:val="24"/>
                <w:highlight w:val="none"/>
                <w:u w:val="single"/>
                <w:lang w:val="en-US" w:eastAsia="zh-CN"/>
              </w:rPr>
              <w:t xml:space="preserve"> 20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报价部分：</w:t>
            </w:r>
            <w:r>
              <w:rPr>
                <w:rFonts w:hint="eastAsia" w:ascii="Times New Roman" w:hAnsi="Times New Roman" w:cs="Times New Roman"/>
                <w:i w:val="0"/>
                <w:iCs w:val="0"/>
                <w:color w:val="auto"/>
                <w:kern w:val="0"/>
                <w:sz w:val="24"/>
                <w:szCs w:val="24"/>
                <w:highlight w:val="none"/>
                <w:u w:val="single"/>
                <w:lang w:val="en-US" w:eastAsia="zh-CN"/>
              </w:rPr>
              <w:t xml:space="preserve"> 40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业绩部分：</w:t>
            </w:r>
            <w:r>
              <w:rPr>
                <w:rFonts w:hint="eastAsia" w:ascii="Times New Roman" w:hAnsi="Times New Roman" w:cs="Times New Roman"/>
                <w:i w:val="0"/>
                <w:iCs w:val="0"/>
                <w:color w:val="auto"/>
                <w:kern w:val="0"/>
                <w:sz w:val="24"/>
                <w:szCs w:val="24"/>
                <w:highlight w:val="none"/>
                <w:u w:val="single"/>
                <w:lang w:val="en-US" w:eastAsia="zh-CN"/>
              </w:rPr>
              <w:t xml:space="preserve"> 20  </w:t>
            </w:r>
            <w:r>
              <w:rPr>
                <w:rFonts w:hint="default" w:ascii="Times New Roman" w:hAnsi="Times New Roman" w:cs="Times New Roman" w:eastAsiaTheme="minorEastAsia"/>
                <w:color w:val="auto"/>
                <w:kern w:val="0"/>
                <w:sz w:val="24"/>
                <w:szCs w:val="24"/>
                <w:highlight w:val="none"/>
              </w:rPr>
              <w:t>分</w:t>
            </w:r>
          </w:p>
        </w:tc>
      </w:tr>
      <w:permEnd w:id="7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77"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以通过初步评审的投标人的最低投标报价作为评标基准价。</w:t>
            </w:r>
          </w:p>
        </w:tc>
      </w:tr>
      <w:permEnd w:id="7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8" w:edGrp="everyone" w:colFirst="1" w:colLast="1"/>
            <w:permStart w:id="79" w:edGrp="everyone" w:colFirst="2" w:colLast="2"/>
            <w:permStart w:id="80"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规模评分标准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20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危化品运输</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车辆规模</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20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ordWrap w:val="0"/>
              <w:spacing w:line="400" w:lineRule="exact"/>
              <w:ind w:firstLine="480" w:firstLineChars="200"/>
              <w:textAlignment w:val="auto"/>
              <w:rPr>
                <w:rFonts w:hint="eastAsia" w:ascii="宋体" w:hAnsi="宋体" w:eastAsia="宋体" w:cs="宋体"/>
                <w:i w:val="0"/>
                <w:iCs w:val="0"/>
                <w:color w:val="auto"/>
                <w:kern w:val="0"/>
                <w:sz w:val="24"/>
                <w:szCs w:val="24"/>
                <w:highlight w:val="none"/>
                <w:u w:val="none"/>
                <w:lang w:val="en-US" w:eastAsia="zh-CN"/>
              </w:rPr>
            </w:pPr>
            <w:r>
              <w:rPr>
                <w:rFonts w:hint="eastAsia" w:ascii="宋体" w:hAnsi="宋体" w:eastAsia="宋体" w:cs="宋体"/>
                <w:i w:val="0"/>
                <w:iCs w:val="0"/>
                <w:color w:val="auto"/>
                <w:kern w:val="0"/>
                <w:sz w:val="24"/>
                <w:szCs w:val="24"/>
                <w:highlight w:val="none"/>
                <w:u w:val="none"/>
                <w:lang w:val="en-US" w:eastAsia="zh-CN"/>
              </w:rPr>
              <w:t>在满足投标人资格要求的基础上（5辆），投标人拥有危化品运输车辆每额外增加1辆得0.2分，本项满分20分，多分不计。</w:t>
            </w:r>
          </w:p>
          <w:p>
            <w:pPr>
              <w:keepNext w:val="0"/>
              <w:keepLines w:val="0"/>
              <w:wordWrap w:val="0"/>
              <w:spacing w:line="400" w:lineRule="exact"/>
              <w:ind w:firstLine="480" w:firstLineChars="200"/>
              <w:textAlignment w:val="auto"/>
              <w:rPr>
                <w:rFonts w:hint="eastAsia" w:ascii="宋体" w:hAnsi="宋体" w:eastAsia="宋体" w:cs="宋体"/>
                <w:color w:val="auto"/>
                <w:kern w:val="0"/>
                <w:sz w:val="24"/>
                <w:highlight w:val="none"/>
                <w:u w:val="none"/>
                <w:lang w:val="en-US" w:eastAsia="zh-CN"/>
              </w:rPr>
            </w:pPr>
            <w:r>
              <w:rPr>
                <w:rFonts w:hint="eastAsia" w:ascii="宋体" w:hAnsi="宋体" w:eastAsia="宋体" w:cs="宋体"/>
                <w:i w:val="0"/>
                <w:iCs w:val="0"/>
                <w:color w:val="auto"/>
                <w:kern w:val="0"/>
                <w:sz w:val="24"/>
                <w:szCs w:val="24"/>
                <w:highlight w:val="none"/>
                <w:u w:val="none"/>
                <w:lang w:val="en-US" w:eastAsia="zh-CN"/>
              </w:rPr>
              <w:t>注：投标人提供车牌号信息统计表或车辆行驶证复印件或交强险保单复印件均可，所提供资料必须真实，中标后备查。</w:t>
            </w:r>
          </w:p>
        </w:tc>
      </w:tr>
      <w:permEnd w:id="78"/>
      <w:permEnd w:id="79"/>
      <w:permEnd w:id="8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1" w:edGrp="everyone" w:colFirst="1" w:colLast="1"/>
            <w:permStart w:id="82" w:edGrp="everyone" w:colFirst="2" w:colLast="2"/>
            <w:permStart w:id="83"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20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管理制度</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i w:val="0"/>
                <w:iCs w:val="0"/>
                <w:color w:val="auto"/>
                <w:kern w:val="0"/>
                <w:sz w:val="24"/>
                <w:szCs w:val="24"/>
                <w:highlight w:val="none"/>
                <w:u w:val="none"/>
                <w:lang w:val="en-US" w:eastAsia="zh-CN"/>
              </w:rPr>
              <w:t>根据投标人提供的企业安全生产制度、车辆管理制度、财务管理制度等方面酌情评分方案优秀的得6-10分，投标人提供的企业安全生产制度、车辆管理制度、财务管理制度等方面酌情评分方案良好的得2-6分，投标人提供的企业安全生产制度、车辆管理制度、财务管理制度等方面酌情评分方案一般的得1-2分，没有不得分。</w:t>
            </w:r>
          </w:p>
        </w:tc>
      </w:tr>
      <w:permEnd w:id="81"/>
      <w:permEnd w:id="82"/>
      <w:permEnd w:id="8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4" w:edGrp="everyone" w:colFirst="2" w:colLast="2"/>
            <w:permStart w:id="85"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服务承诺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10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iCs/>
                <w:color w:val="FF0000"/>
                <w:kern w:val="0"/>
                <w:sz w:val="24"/>
                <w:szCs w:val="24"/>
                <w:highlight w:val="none"/>
                <w:u w:val="single"/>
                <w:lang w:val="en-US" w:eastAsia="zh-CN"/>
              </w:rPr>
            </w:pPr>
            <w:r>
              <w:rPr>
                <w:rFonts w:hint="eastAsia" w:ascii="Times New Roman" w:hAnsi="Times New Roman" w:cs="Times New Roman"/>
                <w:i w:val="0"/>
                <w:iCs w:val="0"/>
                <w:color w:val="auto"/>
                <w:kern w:val="0"/>
                <w:sz w:val="24"/>
                <w:szCs w:val="24"/>
                <w:highlight w:val="none"/>
                <w:u w:val="none"/>
                <w:lang w:val="en-US" w:eastAsia="zh-CN"/>
              </w:rPr>
              <w:t>根据相关服务承诺情况进行综合评分，能随时满足用油单位需要，按时按质高效完成油品接卸服务的得10分（在5小时内可以响应招标人的用车需要，在无不可抗力因素的情况下，在24小时内完成油品的装、卸服务）；其次得5分（在6小时内可以响应招标人的用车需要，在无不可抗力因素的情况下，在30小时内完成油品的装、卸服务）；未承诺的或承诺在6小时后可以响应招标人的用车需要，在无不可抗力因素的情况下，在30小时后完成油品的装、卸服务的不得分。</w:t>
            </w:r>
          </w:p>
        </w:tc>
      </w:tr>
      <w:permEnd w:id="84"/>
      <w:permEnd w:id="8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6" w:edGrp="everyone" w:colFirst="1" w:colLast="1"/>
            <w:permStart w:id="87" w:edGrp="everyone" w:colFirst="2" w:colLast="2"/>
            <w:permStart w:id="88"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40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40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取所有通过初步评审的投标人的最低投标报价作为评标基准价，得分计算公式如下：</w:t>
            </w:r>
          </w:p>
          <w:p>
            <w:pPr>
              <w:spacing w:line="460" w:lineRule="exact"/>
              <w:ind w:firstLine="480" w:firstLineChars="200"/>
              <w:rPr>
                <w:rFonts w:hint="default" w:ascii="Times New Roman" w:hAnsi="Times New Roman" w:cs="Times New Roman" w:eastAsiaTheme="minorEastAsia"/>
                <w:kern w:val="0"/>
                <w:sz w:val="24"/>
                <w:lang w:val="en-US" w:eastAsia="zh-CN"/>
              </w:rPr>
            </w:pPr>
            <w:r>
              <w:rPr>
                <w:rFonts w:hint="eastAsia" w:ascii="Times New Roman" w:hAnsi="Times New Roman" w:cs="Times New Roman"/>
                <w:kern w:val="0"/>
                <w:sz w:val="24"/>
              </w:rPr>
              <w:t>得分=（评标基准价/投标报价）×</w:t>
            </w:r>
            <w:r>
              <w:rPr>
                <w:rFonts w:hint="eastAsia" w:ascii="Times New Roman" w:hAnsi="Times New Roman" w:cs="Times New Roman"/>
                <w:kern w:val="0"/>
                <w:sz w:val="24"/>
                <w:lang w:val="en-US" w:eastAsia="zh-CN"/>
              </w:rPr>
              <w:t>40</w:t>
            </w:r>
          </w:p>
          <w:p>
            <w:pPr>
              <w:spacing w:line="46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若评标委员会认定该投标人投标报价为可能影响合同履约的异常低价或不以中标为目的投标报价的，可以否决其投标。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rPr>
              <w:t>注：保留得分小数点后两位，第三位四舍五入。</w:t>
            </w:r>
          </w:p>
        </w:tc>
      </w:tr>
      <w:permEnd w:id="86"/>
      <w:permEnd w:id="87"/>
      <w:permEnd w:id="8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9" w:edGrp="everyone" w:colFirst="1" w:colLast="1"/>
            <w:permStart w:id="90" w:edGrp="everyone" w:colFirst="2" w:colLast="2"/>
            <w:permStart w:id="91"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20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 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 </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20</w:t>
            </w:r>
            <w:r>
              <w:rPr>
                <w:rFonts w:hint="default" w:ascii="Times New Roman" w:hAnsi="Times New Roman" w:cs="Times New Roman"/>
                <w:i/>
                <w:iCs/>
                <w:color w:val="FF0000"/>
                <w:kern w:val="0"/>
                <w:sz w:val="24"/>
                <w:szCs w:val="24"/>
                <w:highlight w:val="none"/>
                <w:u w:val="single"/>
                <w:lang w:val="en-US" w:eastAsia="zh-CN"/>
              </w:rPr>
              <w:t>分）</w:t>
            </w:r>
            <w:r>
              <w:rPr>
                <w:rFonts w:hint="eastAsia" w:ascii="Times New Roman" w:hAnsi="Times New Roman" w:cs="Times New Roman"/>
                <w:kern w:val="0"/>
                <w:sz w:val="24"/>
                <w:szCs w:val="24"/>
                <w:highlight w:val="none"/>
                <w:lang w:val="en-US" w:eastAsia="zh-CN"/>
              </w:rPr>
              <w:t xml:space="preserve"> </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除投标人资格要求业绩外，投标人每额外提供1项企业类似业绩得10分，最多得20分。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注：此项最多得20分，同一业绩合同不累计得分，投标文件中须提供合同扫描件，合同中未约定总金额的，可提供对应的增值税专用发票，未提供的不得分。</w:t>
            </w:r>
          </w:p>
        </w:tc>
      </w:tr>
      <w:permEnd w:id="89"/>
      <w:permEnd w:id="90"/>
      <w:permEnd w:id="91"/>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9" w:name="_Toc246996233"/>
      <w:bookmarkStart w:id="380" w:name="_Toc152045590"/>
      <w:bookmarkStart w:id="381" w:name="_Toc246996976"/>
      <w:bookmarkStart w:id="382" w:name="_Toc179632608"/>
      <w:bookmarkStart w:id="383" w:name="_Toc247085748"/>
      <w:bookmarkStart w:id="384" w:name="_Toc152042367"/>
      <w:bookmarkStart w:id="385" w:name="_Toc296602478"/>
      <w:bookmarkStart w:id="386" w:name="_Toc144974557"/>
      <w:r>
        <w:rPr>
          <w:rFonts w:hint="default" w:ascii="Times New Roman" w:hAnsi="Times New Roman" w:cs="Times New Roman" w:eastAsiaTheme="minorEastAsia"/>
          <w:b/>
          <w:bCs/>
          <w:kern w:val="0"/>
          <w:sz w:val="28"/>
          <w:szCs w:val="28"/>
          <w:highlight w:val="none"/>
        </w:rPr>
        <w:t>2. 评审标准</w:t>
      </w:r>
      <w:bookmarkEnd w:id="379"/>
      <w:bookmarkEnd w:id="380"/>
      <w:bookmarkEnd w:id="381"/>
      <w:bookmarkEnd w:id="382"/>
      <w:bookmarkEnd w:id="383"/>
      <w:bookmarkEnd w:id="384"/>
      <w:bookmarkEnd w:id="385"/>
      <w:bookmarkEnd w:id="386"/>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7" w:name="_Toc152042368"/>
      <w:bookmarkStart w:id="388" w:name="_Toc247085749"/>
      <w:bookmarkStart w:id="389" w:name="_Toc246996977"/>
      <w:bookmarkStart w:id="390" w:name="_Toc179632609"/>
      <w:bookmarkStart w:id="391" w:name="_Toc296602479"/>
      <w:bookmarkStart w:id="392" w:name="_Toc144974558"/>
      <w:bookmarkStart w:id="393" w:name="_Toc152045591"/>
      <w:bookmarkStart w:id="394" w:name="_Toc246996234"/>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7"/>
      <w:bookmarkEnd w:id="388"/>
      <w:bookmarkEnd w:id="389"/>
      <w:bookmarkEnd w:id="390"/>
      <w:bookmarkEnd w:id="391"/>
      <w:bookmarkEnd w:id="392"/>
      <w:bookmarkEnd w:id="393"/>
      <w:bookmarkEnd w:id="394"/>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5" w:name="_Toc179632611"/>
      <w:bookmarkStart w:id="396" w:name="_Toc246996236"/>
      <w:bookmarkStart w:id="397" w:name="_Toc152045593"/>
      <w:bookmarkStart w:id="398" w:name="_Toc152042370"/>
      <w:bookmarkStart w:id="399" w:name="_Toc144974560"/>
      <w:bookmarkStart w:id="400" w:name="_Toc296602481"/>
      <w:bookmarkStart w:id="401" w:name="_Toc247085751"/>
      <w:bookmarkStart w:id="402" w:name="_Toc246996979"/>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92" w:edGrp="everyone"/>
      <w:r>
        <w:rPr>
          <w:rFonts w:hint="eastAsia" w:ascii="Times New Roman" w:hAnsi="Times New Roman" w:cs="Times New Roman"/>
          <w:kern w:val="0"/>
          <w:sz w:val="24"/>
          <w:szCs w:val="24"/>
          <w:highlight w:val="none"/>
          <w:lang w:val="en-US" w:eastAsia="zh-CN"/>
        </w:rPr>
        <w:t>规模</w:t>
      </w:r>
      <w:permEnd w:id="92"/>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93" w:edGrp="everyone"/>
      <w:r>
        <w:rPr>
          <w:rFonts w:hint="eastAsia" w:ascii="Times New Roman" w:hAnsi="Times New Roman" w:cs="Times New Roman"/>
          <w:kern w:val="0"/>
          <w:sz w:val="24"/>
          <w:szCs w:val="24"/>
          <w:highlight w:val="none"/>
          <w:lang w:val="en-US" w:eastAsia="zh-CN"/>
        </w:rPr>
        <w:t>服务</w:t>
      </w:r>
      <w:permEnd w:id="93"/>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94" w:edGrp="everyone"/>
      <w:r>
        <w:rPr>
          <w:rFonts w:hint="eastAsia" w:ascii="Times New Roman" w:hAnsi="Times New Roman" w:cs="Times New Roman" w:eastAsiaTheme="minorEastAsia"/>
          <w:kern w:val="0"/>
          <w:sz w:val="24"/>
          <w:szCs w:val="24"/>
          <w:highlight w:val="none"/>
          <w:lang w:val="en-US" w:eastAsia="zh-CN"/>
        </w:rPr>
        <w:t>报价</w:t>
      </w:r>
      <w:permEnd w:id="94"/>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95" w:edGrp="everyone"/>
      <w:r>
        <w:rPr>
          <w:rFonts w:hint="eastAsia" w:ascii="Times New Roman" w:hAnsi="Times New Roman" w:cs="Times New Roman"/>
          <w:kern w:val="0"/>
          <w:sz w:val="24"/>
          <w:szCs w:val="24"/>
          <w:highlight w:val="none"/>
          <w:lang w:val="en-US" w:eastAsia="zh-CN"/>
        </w:rPr>
        <w:t>业绩</w:t>
      </w:r>
      <w:permEnd w:id="95"/>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96"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规模</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6"/>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9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7"/>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98"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报价评分标准</w:t>
      </w:r>
      <w:permEnd w:id="98"/>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99"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业绩</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9"/>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5"/>
      <w:bookmarkEnd w:id="396"/>
      <w:bookmarkEnd w:id="397"/>
      <w:bookmarkEnd w:id="398"/>
      <w:bookmarkEnd w:id="399"/>
      <w:bookmarkEnd w:id="400"/>
      <w:bookmarkEnd w:id="401"/>
      <w:bookmarkEnd w:id="402"/>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3" w:name="_Toc247085752"/>
      <w:bookmarkStart w:id="404" w:name="_Toc144974561"/>
      <w:bookmarkStart w:id="405" w:name="_Toc246996980"/>
      <w:bookmarkStart w:id="406" w:name="_Toc152042371"/>
      <w:bookmarkStart w:id="407" w:name="_Toc246996237"/>
      <w:bookmarkStart w:id="408" w:name="_Toc152045594"/>
      <w:bookmarkStart w:id="409" w:name="_Toc179632612"/>
      <w:bookmarkStart w:id="410" w:name="_Toc296602482"/>
      <w:r>
        <w:rPr>
          <w:rFonts w:hint="default" w:ascii="Times New Roman" w:hAnsi="Times New Roman" w:cs="Times New Roman" w:eastAsiaTheme="minorEastAsia"/>
          <w:b/>
          <w:bCs/>
          <w:kern w:val="0"/>
          <w:sz w:val="28"/>
          <w:szCs w:val="28"/>
          <w:highlight w:val="none"/>
        </w:rPr>
        <w:t>3.1 初步评审</w:t>
      </w:r>
      <w:bookmarkEnd w:id="403"/>
      <w:bookmarkEnd w:id="404"/>
      <w:bookmarkEnd w:id="405"/>
      <w:bookmarkEnd w:id="406"/>
      <w:bookmarkEnd w:id="407"/>
      <w:bookmarkEnd w:id="408"/>
      <w:bookmarkEnd w:id="409"/>
      <w:bookmarkEnd w:id="41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1" w:name="_Toc296602483"/>
      <w:bookmarkStart w:id="412" w:name="_Toc152042372"/>
      <w:bookmarkStart w:id="413" w:name="_Toc246996981"/>
      <w:bookmarkStart w:id="414" w:name="_Toc179632613"/>
      <w:bookmarkStart w:id="415" w:name="_Toc246996238"/>
      <w:bookmarkStart w:id="416" w:name="_Toc247085753"/>
      <w:bookmarkStart w:id="417" w:name="_Toc144974562"/>
      <w:bookmarkStart w:id="418" w:name="_Toc152045595"/>
      <w:r>
        <w:rPr>
          <w:rFonts w:hint="default" w:ascii="Times New Roman" w:hAnsi="Times New Roman" w:cs="Times New Roman" w:eastAsiaTheme="minorEastAsia"/>
          <w:b/>
          <w:bCs/>
          <w:kern w:val="0"/>
          <w:sz w:val="28"/>
          <w:szCs w:val="28"/>
          <w:highlight w:val="none"/>
        </w:rPr>
        <w:t>3.2 详细评审</w:t>
      </w:r>
      <w:bookmarkEnd w:id="411"/>
      <w:bookmarkEnd w:id="412"/>
      <w:bookmarkEnd w:id="413"/>
      <w:bookmarkEnd w:id="414"/>
      <w:bookmarkEnd w:id="415"/>
      <w:bookmarkEnd w:id="416"/>
      <w:bookmarkEnd w:id="417"/>
      <w:bookmarkEnd w:id="418"/>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19" w:name="_Toc144974563"/>
      <w:bookmarkStart w:id="420" w:name="_Toc152042373"/>
      <w:bookmarkStart w:id="421" w:name="_Toc246996982"/>
      <w:bookmarkStart w:id="422" w:name="_Toc152045596"/>
      <w:bookmarkStart w:id="423" w:name="_Toc246996239"/>
      <w:bookmarkStart w:id="424" w:name="_Toc179632614"/>
      <w:bookmarkStart w:id="425" w:name="_Toc247085754"/>
      <w:bookmarkStart w:id="426" w:name="_Toc29660248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100" w:edGrp="everyone"/>
      <w:r>
        <w:rPr>
          <w:rFonts w:hint="eastAsia" w:ascii="Times New Roman" w:hAnsi="Times New Roman" w:cs="Times New Roman"/>
          <w:kern w:val="0"/>
          <w:sz w:val="24"/>
          <w:szCs w:val="24"/>
          <w:highlight w:val="none"/>
          <w:lang w:val="en-US" w:eastAsia="zh-CN"/>
        </w:rPr>
        <w:t>规模</w:t>
      </w:r>
      <w:permEnd w:id="100"/>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10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w:t>
      </w:r>
      <w:permEnd w:id="101"/>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10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报价</w:t>
      </w:r>
      <w:permEnd w:id="102"/>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10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业绩</w:t>
      </w:r>
      <w:permEnd w:id="103"/>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19"/>
      <w:r>
        <w:rPr>
          <w:rFonts w:hint="default" w:ascii="Times New Roman" w:hAnsi="Times New Roman" w:cs="Times New Roman" w:eastAsiaTheme="minorEastAsia"/>
          <w:b/>
          <w:bCs/>
          <w:kern w:val="0"/>
          <w:sz w:val="28"/>
          <w:szCs w:val="28"/>
          <w:highlight w:val="none"/>
        </w:rPr>
        <w:t>和补正</w:t>
      </w:r>
      <w:bookmarkEnd w:id="420"/>
      <w:bookmarkEnd w:id="421"/>
      <w:bookmarkEnd w:id="422"/>
      <w:bookmarkEnd w:id="423"/>
      <w:bookmarkEnd w:id="424"/>
      <w:bookmarkEnd w:id="425"/>
      <w:bookmarkEnd w:id="426"/>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4" w:edGrp="everyone"/>
            <w:r>
              <w:rPr>
                <w:rFonts w:hint="eastAsia" w:ascii="Times New Roman" w:hAnsi="Times New Roman" w:cs="Times New Roman"/>
                <w:kern w:val="0"/>
                <w:sz w:val="24"/>
                <w:szCs w:val="24"/>
                <w:highlight w:val="none"/>
                <w:shd w:val="clear" w:color="auto" w:fill="auto"/>
                <w:vertAlign w:val="baseline"/>
                <w:lang w:val="en-US" w:eastAsia="zh-CN"/>
              </w:rPr>
              <w:t xml:space="preserve">  安徽交赢新能源有限公司 </w:t>
            </w:r>
            <w:permEnd w:id="10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仿宋" w:hAnsi="仿宋" w:eastAsia="仿宋" w:cs="仿宋"/>
                <w:sz w:val="32"/>
                <w:szCs w:val="32"/>
              </w:rPr>
            </w:pPr>
            <w:permStart w:id="105" w:edGrp="everyone"/>
            <w:r>
              <w:rPr>
                <w:rFonts w:hint="eastAsia" w:asciiTheme="minorEastAsia" w:hAnsiTheme="minorEastAsia" w:cstheme="minorEastAsia"/>
                <w:i w:val="0"/>
                <w:iCs w:val="0"/>
                <w:color w:val="auto"/>
                <w:kern w:val="0"/>
                <w:sz w:val="24"/>
                <w:szCs w:val="24"/>
                <w:highlight w:val="none"/>
                <w:u w:val="single"/>
                <w:shd w:val="clear" w:color="auto" w:fill="auto"/>
                <w:vertAlign w:val="baseline"/>
                <w:lang w:val="en-US" w:eastAsia="zh-CN"/>
              </w:rPr>
              <w:t>按月度结算</w:t>
            </w:r>
            <w:r>
              <w:rPr>
                <w:rFonts w:hint="eastAsia" w:asciiTheme="minorEastAsia" w:hAnsiTheme="minorEastAsia" w:cstheme="minorEastAsia"/>
                <w:i w:val="0"/>
                <w:iCs w:val="0"/>
                <w:color w:val="auto"/>
                <w:kern w:val="0"/>
                <w:sz w:val="24"/>
                <w:szCs w:val="24"/>
                <w:highlight w:val="none"/>
                <w:u w:val="none"/>
                <w:shd w:val="clear" w:color="auto" w:fill="auto"/>
                <w:vertAlign w:val="baseline"/>
                <w:lang w:val="en-US" w:eastAsia="zh-CN"/>
              </w:rPr>
              <w:t>。招标人</w:t>
            </w:r>
            <w:r>
              <w:rPr>
                <w:rFonts w:hint="eastAsia" w:asciiTheme="minorEastAsia" w:hAnsiTheme="minorEastAsia" w:eastAsiaTheme="minorEastAsia" w:cstheme="minorEastAsia"/>
                <w:color w:val="auto"/>
                <w:sz w:val="24"/>
                <w:szCs w:val="24"/>
              </w:rPr>
              <w:t>每</w:t>
            </w:r>
            <w:r>
              <w:rPr>
                <w:rFonts w:hint="eastAsia" w:asciiTheme="minorEastAsia" w:hAnsiTheme="minorEastAsia" w:eastAsiaTheme="minorEastAsia" w:cstheme="minorEastAsia"/>
                <w:color w:val="auto"/>
                <w:sz w:val="24"/>
                <w:szCs w:val="24"/>
                <w:lang w:val="en-US" w:eastAsia="zh-CN"/>
              </w:rPr>
              <w:t>月度</w:t>
            </w:r>
            <w:r>
              <w:rPr>
                <w:rFonts w:hint="eastAsia" w:asciiTheme="minorEastAsia" w:hAnsiTheme="minorEastAsia" w:eastAsiaTheme="minorEastAsia" w:cstheme="minorEastAsia"/>
                <w:color w:val="auto"/>
                <w:sz w:val="24"/>
                <w:szCs w:val="24"/>
              </w:rPr>
              <w:t>末对</w:t>
            </w:r>
            <w:r>
              <w:rPr>
                <w:rFonts w:hint="eastAsia" w:asciiTheme="minorEastAsia" w:hAnsiTheme="minorEastAsia" w:eastAsiaTheme="minorEastAsia" w:cstheme="minorEastAsia"/>
                <w:color w:val="auto"/>
                <w:sz w:val="24"/>
                <w:szCs w:val="24"/>
                <w:lang w:val="en-US" w:eastAsia="zh-CN"/>
              </w:rPr>
              <w:t>月</w:t>
            </w:r>
            <w:r>
              <w:rPr>
                <w:rFonts w:hint="eastAsia" w:asciiTheme="minorEastAsia" w:hAnsiTheme="minorEastAsia" w:eastAsiaTheme="minorEastAsia" w:cstheme="minorEastAsia"/>
                <w:color w:val="auto"/>
                <w:sz w:val="24"/>
                <w:szCs w:val="24"/>
              </w:rPr>
              <w:t>度产生的运输费用进行统计</w:t>
            </w:r>
            <w:r>
              <w:rPr>
                <w:rFonts w:hint="eastAsia" w:asciiTheme="minorEastAsia" w:hAnsiTheme="minorEastAsia" w:cstheme="minorEastAsia"/>
                <w:color w:val="auto"/>
                <w:sz w:val="24"/>
                <w:szCs w:val="24"/>
                <w:lang w:val="en-US" w:eastAsia="zh-CN"/>
              </w:rPr>
              <w:t>汇总</w:t>
            </w:r>
            <w:r>
              <w:rPr>
                <w:rFonts w:hint="eastAsia" w:asciiTheme="minorEastAsia" w:hAnsiTheme="minorEastAsia" w:eastAsiaTheme="minorEastAsia" w:cstheme="minorEastAsia"/>
                <w:color w:val="auto"/>
                <w:sz w:val="24"/>
                <w:szCs w:val="24"/>
              </w:rPr>
              <w:t>，次月15日前支付</w:t>
            </w:r>
            <w:r>
              <w:rPr>
                <w:rFonts w:hint="eastAsia" w:asciiTheme="minorEastAsia" w:hAnsiTheme="minorEastAsia" w:cstheme="minorEastAsia"/>
                <w:color w:val="auto"/>
                <w:sz w:val="24"/>
                <w:szCs w:val="24"/>
                <w:lang w:val="en-US" w:eastAsia="zh-CN"/>
              </w:rPr>
              <w:t>上月全部运输费用</w:t>
            </w:r>
            <w:r>
              <w:rPr>
                <w:rFonts w:hint="eastAsia" w:asciiTheme="minorEastAsia" w:hAnsiTheme="minorEastAsia" w:eastAsiaTheme="minorEastAsia" w:cstheme="minorEastAsia"/>
                <w:color w:val="auto"/>
                <w:sz w:val="24"/>
                <w:szCs w:val="24"/>
              </w:rPr>
              <w:t>。</w:t>
            </w:r>
          </w:p>
          <w:permEnd w:id="105"/>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6" w:edGrp="everyone"/>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  </w:t>
            </w:r>
            <w:permEnd w:id="106"/>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371"/>
    <w:bookmarkEnd w:id="372"/>
    <w:bookmarkEnd w:id="373"/>
    <w:bookmarkEnd w:id="374"/>
    <w:bookmarkEnd w:id="375"/>
    <w:bookmarkEnd w:id="376"/>
    <w:bookmarkEnd w:id="377"/>
    <w:bookmarkEnd w:id="378"/>
    <w:p>
      <w:pPr>
        <w:keepNext w:val="0"/>
        <w:keepLines w:val="0"/>
        <w:pageBreakBefore w:val="0"/>
        <w:widowControl w:val="0"/>
        <w:numPr>
          <w:ilvl w:val="0"/>
          <w:numId w:val="1"/>
        </w:numPr>
        <w:kinsoku/>
        <w:wordWrap/>
        <w:overflowPunct/>
        <w:topLinePunct w:val="0"/>
        <w:autoSpaceDE/>
        <w:autoSpaceDN/>
        <w:bidi w:val="0"/>
        <w:adjustRightInd w:val="0"/>
        <w:snapToGrid w:val="0"/>
        <w:spacing w:line="480" w:lineRule="exact"/>
        <w:jc w:val="center"/>
        <w:textAlignment w:val="auto"/>
        <w:rPr>
          <w:rFonts w:hint="eastAsia" w:ascii="Times New Roman" w:hAnsi="Times New Roman" w:cs="Times New Roman"/>
          <w:b/>
          <w:bCs/>
          <w:kern w:val="0"/>
          <w:sz w:val="28"/>
          <w:szCs w:val="28"/>
          <w:highlight w:val="none"/>
          <w:lang w:val="en-US" w:eastAsia="zh-CN"/>
        </w:rPr>
      </w:pPr>
      <w:r>
        <w:rPr>
          <w:rFonts w:hint="eastAsia" w:asciiTheme="majorEastAsia" w:hAnsiTheme="majorEastAsia" w:eastAsiaTheme="majorEastAsia" w:cstheme="majorEastAsia"/>
          <w:b/>
          <w:bCs/>
          <w:sz w:val="32"/>
          <w:szCs w:val="32"/>
          <w:highlight w:val="none"/>
          <w:lang w:val="en-US" w:eastAsia="zh-CN"/>
        </w:rPr>
        <w:t>采购要求</w:t>
      </w:r>
    </w:p>
    <w:p>
      <w:pPr>
        <w:keepNext w:val="0"/>
        <w:keepLines w:val="0"/>
        <w:pageBreakBefore w:val="0"/>
        <w:widowControl w:val="0"/>
        <w:numPr>
          <w:ilvl w:val="-1"/>
          <w:numId w:val="0"/>
        </w:numPr>
        <w:kinsoku/>
        <w:wordWrap/>
        <w:overflowPunct/>
        <w:topLinePunct w:val="0"/>
        <w:autoSpaceDE/>
        <w:autoSpaceDN/>
        <w:bidi w:val="0"/>
        <w:adjustRightInd w:val="0"/>
        <w:snapToGrid w:val="0"/>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pPr>
        <w:adjustRightInd w:val="0"/>
        <w:snapToGrid w:val="0"/>
        <w:spacing w:line="480" w:lineRule="exact"/>
        <w:ind w:firstLine="562" w:firstLineChars="200"/>
        <w:jc w:val="both"/>
        <w:rPr>
          <w:rFonts w:hint="eastAsia" w:ascii="Times New Roman" w:hAnsi="Times New Roman" w:cs="Times New Roman"/>
          <w:b/>
          <w:bCs/>
          <w:kern w:val="0"/>
          <w:sz w:val="28"/>
          <w:szCs w:val="28"/>
          <w:highlight w:val="none"/>
          <w:lang w:val="en-US" w:eastAsia="zh-CN"/>
        </w:rPr>
      </w:pPr>
      <w:permStart w:id="107" w:edGrp="everyone"/>
      <w:r>
        <w:rPr>
          <w:rFonts w:hint="eastAsia" w:asciiTheme="majorEastAsia" w:hAnsiTheme="majorEastAsia" w:eastAsiaTheme="majorEastAsia" w:cstheme="majorEastAsia"/>
          <w:b/>
          <w:bCs/>
          <w:sz w:val="28"/>
          <w:szCs w:val="28"/>
          <w:highlight w:val="none"/>
          <w:lang w:val="en-US" w:eastAsia="zh-CN"/>
        </w:rPr>
        <w:t>一、证照手续</w:t>
      </w:r>
    </w:p>
    <w:p>
      <w:pPr>
        <w:adjustRightInd w:val="0"/>
        <w:snapToGrid w:val="0"/>
        <w:spacing w:line="480" w:lineRule="exact"/>
        <w:ind w:firstLine="560" w:firstLineChars="200"/>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(一)投标人</w:t>
      </w:r>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须具备合法有效的企业法人营业执照、危险货物运输（3类）经营范围的《中华人民共和国道路运输经营许可证》。 </w:t>
      </w:r>
    </w:p>
    <w:p>
      <w:pPr>
        <w:adjustRightInd w:val="0"/>
        <w:snapToGrid/>
        <w:spacing w:line="480" w:lineRule="exact"/>
        <w:ind w:firstLine="548" w:firstLineChars="196"/>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(二)投标人</w:t>
      </w:r>
      <w:r>
        <w:rPr>
          <w:rFonts w:hint="eastAsia" w:asciiTheme="minorEastAsia" w:hAnsiTheme="minorEastAsia" w:eastAsiaTheme="minorEastAsia" w:cstheme="minorEastAsia"/>
          <w:color w:val="000000" w:themeColor="text1"/>
          <w:sz w:val="28"/>
          <w:szCs w:val="28"/>
          <w14:textFill>
            <w14:solidFill>
              <w14:schemeClr w14:val="tx1"/>
            </w14:solidFill>
          </w14:textFill>
        </w:rPr>
        <w:t>车辆须具备合法有效的机动车登记证、行驶证，油罐车辆必须具备规范的罐体结构和附加设备。</w:t>
      </w:r>
    </w:p>
    <w:p>
      <w:pPr>
        <w:adjustRightInd w:val="0"/>
        <w:snapToGrid/>
        <w:spacing w:line="480" w:lineRule="exact"/>
        <w:ind w:firstLine="548" w:firstLineChars="196"/>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(三)投标人</w:t>
      </w:r>
      <w:r>
        <w:rPr>
          <w:rFonts w:hint="eastAsia" w:asciiTheme="minorEastAsia" w:hAnsiTheme="minorEastAsia" w:eastAsiaTheme="minorEastAsia" w:cstheme="minorEastAsia"/>
          <w:color w:val="000000" w:themeColor="text1"/>
          <w:sz w:val="28"/>
          <w:szCs w:val="28"/>
          <w14:textFill>
            <w14:solidFill>
              <w14:schemeClr w14:val="tx1"/>
            </w14:solidFill>
          </w14:textFill>
        </w:rPr>
        <w:t>从业人员须具有相应的从业资格证，驾驶员和押运员必须取得政府部门核发的合格从业资格证</w:t>
      </w:r>
      <w:r>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t>。</w:t>
      </w:r>
    </w:p>
    <w:p>
      <w:pPr>
        <w:spacing w:line="480" w:lineRule="exact"/>
        <w:ind w:firstLine="562" w:firstLineChars="200"/>
        <w:rPr>
          <w:rFonts w:hint="default" w:asciiTheme="minorEastAsia" w:hAnsiTheme="minorEastAsia" w:eastAsiaTheme="minorEastAsia" w:cstheme="minorEastAsia"/>
          <w:b/>
          <w:color w:val="000000" w:themeColor="text1"/>
          <w:sz w:val="28"/>
          <w:szCs w:val="28"/>
          <w14:textFill>
            <w14:solidFill>
              <w14:schemeClr w14:val="tx1"/>
            </w14:solidFill>
          </w14:textFill>
        </w:rPr>
      </w:pPr>
      <w:r>
        <w:rPr>
          <w:rFonts w:hint="eastAsia" w:asciiTheme="minorEastAsia" w:hAnsiTheme="minorEastAsia" w:eastAsiaTheme="minorEastAsia" w:cstheme="minorEastAsia"/>
          <w:b/>
          <w:color w:val="000000" w:themeColor="text1"/>
          <w:sz w:val="28"/>
          <w:szCs w:val="28"/>
          <w:lang w:val="en-US" w:eastAsia="zh-CN"/>
          <w14:textFill>
            <w14:solidFill>
              <w14:schemeClr w14:val="tx1"/>
            </w14:solidFill>
          </w14:textFill>
        </w:rPr>
        <w:t>二、</w:t>
      </w:r>
      <w:r>
        <w:rPr>
          <w:rFonts w:hint="eastAsia" w:asciiTheme="minorEastAsia" w:hAnsiTheme="minorEastAsia" w:eastAsiaTheme="minorEastAsia" w:cstheme="minorEastAsia"/>
          <w:b/>
          <w:color w:val="000000" w:themeColor="text1"/>
          <w:sz w:val="28"/>
          <w:szCs w:val="28"/>
          <w14:textFill>
            <w14:solidFill>
              <w14:schemeClr w14:val="tx1"/>
            </w14:solidFill>
          </w14:textFill>
        </w:rPr>
        <w:t>运输车辆</w:t>
      </w:r>
      <w:r>
        <w:rPr>
          <w:rFonts w:hint="eastAsia" w:asciiTheme="minorEastAsia" w:hAnsiTheme="minorEastAsia" w:cstheme="minorEastAsia"/>
          <w:b/>
          <w:color w:val="000000" w:themeColor="text1"/>
          <w:sz w:val="28"/>
          <w:szCs w:val="28"/>
          <w:lang w:eastAsia="zh-CN"/>
          <w14:textFill>
            <w14:solidFill>
              <w14:schemeClr w14:val="tx1"/>
            </w14:solidFill>
          </w14:textFill>
        </w:rPr>
        <w:t>及</w:t>
      </w:r>
      <w:r>
        <w:rPr>
          <w:rFonts w:hint="eastAsia" w:asciiTheme="minorEastAsia" w:hAnsiTheme="minorEastAsia" w:cstheme="minorEastAsia"/>
          <w:b/>
          <w:color w:val="000000" w:themeColor="text1"/>
          <w:sz w:val="28"/>
          <w:szCs w:val="28"/>
          <w:lang w:val="en-US" w:eastAsia="zh-CN"/>
          <w14:textFill>
            <w14:solidFill>
              <w14:schemeClr w14:val="tx1"/>
            </w14:solidFill>
          </w14:textFill>
        </w:rPr>
        <w:t>其他要求</w:t>
      </w:r>
    </w:p>
    <w:p>
      <w:pPr>
        <w:adjustRightInd w:val="0"/>
        <w:spacing w:line="480" w:lineRule="exact"/>
        <w:ind w:firstLine="560" w:firstLineChars="200"/>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(一)投标人</w:t>
      </w:r>
      <w:r>
        <w:rPr>
          <w:rFonts w:hint="eastAsia" w:asciiTheme="minorEastAsia" w:hAnsiTheme="minorEastAsia" w:eastAsiaTheme="minorEastAsia" w:cstheme="minorEastAsia"/>
          <w:color w:val="000000" w:themeColor="text1"/>
          <w:sz w:val="28"/>
          <w:szCs w:val="28"/>
          <w14:textFill>
            <w14:solidFill>
              <w14:schemeClr w14:val="tx1"/>
            </w14:solidFill>
          </w14:textFill>
        </w:rPr>
        <w:t>运输车辆实行“专车专运”，不得汽、柴油混装。</w:t>
      </w:r>
    </w:p>
    <w:p>
      <w:pPr>
        <w:spacing w:line="480" w:lineRule="exact"/>
        <w:ind w:left="4" w:leftChars="2" w:firstLine="560" w:firstLineChars="200"/>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(二)投标人</w:t>
      </w:r>
      <w:r>
        <w:rPr>
          <w:rFonts w:hint="eastAsia" w:asciiTheme="minorEastAsia" w:hAnsiTheme="minorEastAsia" w:eastAsiaTheme="minorEastAsia" w:cstheme="minorEastAsia"/>
          <w:color w:val="000000" w:themeColor="text1"/>
          <w:sz w:val="28"/>
          <w:szCs w:val="28"/>
          <w14:textFill>
            <w14:solidFill>
              <w14:schemeClr w14:val="tx1"/>
            </w14:solidFill>
          </w14:textFill>
        </w:rPr>
        <w:t>运输车辆要有明显的专车专运标识；驾驶员要按</w:t>
      </w: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招标人</w:t>
      </w:r>
      <w:r>
        <w:rPr>
          <w:rFonts w:hint="eastAsia" w:asciiTheme="minorEastAsia" w:hAnsiTheme="minorEastAsia" w:eastAsiaTheme="minorEastAsia" w:cstheme="minorEastAsia"/>
          <w:color w:val="000000" w:themeColor="text1"/>
          <w:sz w:val="28"/>
          <w:szCs w:val="28"/>
          <w14:textFill>
            <w14:solidFill>
              <w14:schemeClr w14:val="tx1"/>
            </w14:solidFill>
          </w14:textFill>
        </w:rPr>
        <w:t>计划指定的分仓装卸油品，不得错装错卸。油品装、卸完后，</w:t>
      </w: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投标人</w:t>
      </w:r>
      <w:r>
        <w:rPr>
          <w:rFonts w:hint="eastAsia" w:asciiTheme="minorEastAsia" w:hAnsiTheme="minorEastAsia" w:eastAsiaTheme="minorEastAsia" w:cstheme="minorEastAsia"/>
          <w:color w:val="000000" w:themeColor="text1"/>
          <w:sz w:val="28"/>
          <w:szCs w:val="28"/>
          <w14:textFill>
            <w14:solidFill>
              <w14:schemeClr w14:val="tx1"/>
            </w14:solidFill>
          </w14:textFill>
        </w:rPr>
        <w:t>驾驶员要在油罐车卸油口悬挂明显的油品标识牌。油库、加油站如发现油罐车所提运油品与专车专运标识牌不相符而驾驶员又提供不出改装油品的书面证明，可拒绝装、卸油。</w:t>
      </w:r>
    </w:p>
    <w:p>
      <w:pPr>
        <w:spacing w:line="480" w:lineRule="exact"/>
        <w:ind w:left="4" w:leftChars="2"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(三)投标人</w:t>
      </w:r>
      <w:r>
        <w:rPr>
          <w:rFonts w:hint="eastAsia" w:asciiTheme="minorEastAsia" w:hAnsiTheme="minorEastAsia" w:eastAsiaTheme="minorEastAsia" w:cstheme="minorEastAsia"/>
          <w:color w:val="000000" w:themeColor="text1"/>
          <w:sz w:val="28"/>
          <w:szCs w:val="28"/>
          <w14:textFill>
            <w14:solidFill>
              <w14:schemeClr w14:val="tx1"/>
            </w14:solidFill>
          </w14:textFill>
        </w:rPr>
        <w:t>油罐车换装不同类别的油品前，必须上传书面清罐保证书，将车内残留油品卸干净，油罐清洗干净，无滴漏，确保油品运输过程中的质量达标，避免油品质量交叉污染。</w:t>
      </w: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招标人</w:t>
      </w:r>
      <w:r>
        <w:rPr>
          <w:rFonts w:hint="eastAsia" w:asciiTheme="minorEastAsia" w:hAnsiTheme="minorEastAsia" w:eastAsiaTheme="minorEastAsia" w:cstheme="minorEastAsia"/>
          <w:color w:val="000000" w:themeColor="text1"/>
          <w:sz w:val="28"/>
          <w:szCs w:val="28"/>
          <w14:textFill>
            <w14:solidFill>
              <w14:schemeClr w14:val="tx1"/>
            </w14:solidFill>
          </w14:textFill>
        </w:rPr>
        <w:t>有权按照相关规定抽查油罐车清洗质量，检查发现不符合要求的，有权拒绝装油；换装后首车油品，须经检验油品质量无异常后方可离开</w:t>
      </w: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招标人</w:t>
      </w:r>
      <w:r>
        <w:rPr>
          <w:rFonts w:hint="eastAsia" w:asciiTheme="minorEastAsia" w:hAnsiTheme="minorEastAsia" w:eastAsiaTheme="minorEastAsia" w:cstheme="minorEastAsia"/>
          <w:color w:val="000000" w:themeColor="text1"/>
          <w:sz w:val="28"/>
          <w:szCs w:val="28"/>
          <w14:textFill>
            <w14:solidFill>
              <w14:schemeClr w14:val="tx1"/>
            </w14:solidFill>
          </w14:textFill>
        </w:rPr>
        <w:t>油库。</w:t>
      </w:r>
    </w:p>
    <w:p>
      <w:pPr>
        <w:spacing w:line="480" w:lineRule="exact"/>
        <w:ind w:firstLine="548" w:firstLineChars="196"/>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w:t>
      </w:r>
      <w:r>
        <w:rPr>
          <w:rFonts w:hint="eastAsia" w:asciiTheme="minorEastAsia" w:hAnsiTheme="minorEastAsia" w:cstheme="minorEastAsia"/>
          <w:color w:val="000000" w:themeColor="text1"/>
          <w:sz w:val="28"/>
          <w:szCs w:val="28"/>
          <w:lang w:val="en-US" w:eastAsia="zh-CN"/>
          <w14:textFill>
            <w14:solidFill>
              <w14:schemeClr w14:val="tx1"/>
            </w14:solidFill>
          </w14:textFill>
        </w:rPr>
        <w:t>四</w:t>
      </w: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w:t>
      </w:r>
      <w:r>
        <w:rPr>
          <w:rFonts w:hint="eastAsia" w:asciiTheme="minorEastAsia" w:hAnsiTheme="minorEastAsia" w:cstheme="minorEastAsia"/>
          <w:color w:val="000000" w:themeColor="text1"/>
          <w:sz w:val="28"/>
          <w:szCs w:val="28"/>
          <w:lang w:val="en-US" w:eastAsia="zh-CN"/>
          <w14:textFill>
            <w14:solidFill>
              <w14:schemeClr w14:val="tx1"/>
            </w14:solidFill>
          </w14:textFill>
        </w:rPr>
        <w:t>投标人</w:t>
      </w:r>
      <w:r>
        <w:rPr>
          <w:rFonts w:hint="eastAsia" w:asciiTheme="minorEastAsia" w:hAnsiTheme="minorEastAsia" w:eastAsiaTheme="minorEastAsia" w:cstheme="minorEastAsia"/>
          <w:color w:val="000000" w:themeColor="text1"/>
          <w:sz w:val="28"/>
          <w:szCs w:val="28"/>
          <w14:textFill>
            <w14:solidFill>
              <w14:schemeClr w14:val="tx1"/>
            </w14:solidFill>
          </w14:textFill>
        </w:rPr>
        <w:t>在装卸油和运输过程中</w:t>
      </w:r>
      <w:r>
        <w:rPr>
          <w:rFonts w:hint="eastAsia" w:asciiTheme="minorEastAsia" w:hAnsiTheme="minorEastAsia" w:cstheme="minorEastAsia"/>
          <w:color w:val="000000" w:themeColor="text1"/>
          <w:sz w:val="28"/>
          <w:szCs w:val="28"/>
          <w:lang w:val="en-US" w:eastAsia="zh-CN"/>
          <w14:textFill>
            <w14:solidFill>
              <w14:schemeClr w14:val="tx1"/>
            </w14:solidFill>
          </w14:textFill>
        </w:rPr>
        <w:t>要</w:t>
      </w:r>
      <w:r>
        <w:rPr>
          <w:rFonts w:hint="eastAsia" w:asciiTheme="minorEastAsia" w:hAnsiTheme="minorEastAsia" w:eastAsiaTheme="minorEastAsia" w:cstheme="minorEastAsia"/>
          <w:color w:val="000000" w:themeColor="text1"/>
          <w:sz w:val="28"/>
          <w:szCs w:val="28"/>
          <w14:textFill>
            <w14:solidFill>
              <w14:schemeClr w14:val="tx1"/>
            </w14:solidFill>
          </w14:textFill>
        </w:rPr>
        <w:t>严格遵守国家有关安全法律法规，及</w:t>
      </w:r>
      <w:r>
        <w:rPr>
          <w:rFonts w:hint="eastAsia" w:asciiTheme="minorEastAsia" w:hAnsiTheme="minorEastAsia" w:cstheme="minorEastAsia"/>
          <w:color w:val="000000" w:themeColor="text1"/>
          <w:sz w:val="28"/>
          <w:szCs w:val="28"/>
          <w:lang w:val="en-US" w:eastAsia="zh-CN"/>
          <w14:textFill>
            <w14:solidFill>
              <w14:schemeClr w14:val="tx1"/>
            </w14:solidFill>
          </w14:textFill>
        </w:rPr>
        <w:t>招标人</w:t>
      </w:r>
      <w:r>
        <w:rPr>
          <w:rFonts w:hint="eastAsia" w:asciiTheme="minorEastAsia" w:hAnsiTheme="minorEastAsia" w:eastAsiaTheme="minorEastAsia" w:cstheme="minorEastAsia"/>
          <w:color w:val="000000" w:themeColor="text1"/>
          <w:sz w:val="28"/>
          <w:szCs w:val="28"/>
          <w14:textFill>
            <w14:solidFill>
              <w14:schemeClr w14:val="tx1"/>
            </w14:solidFill>
          </w14:textFill>
        </w:rPr>
        <w:t>的各项规章制度。</w:t>
      </w:r>
    </w:p>
    <w:p>
      <w:pPr>
        <w:spacing w:line="480" w:lineRule="exact"/>
        <w:ind w:firstLine="548" w:firstLineChars="196"/>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w:t>
      </w:r>
      <w:r>
        <w:rPr>
          <w:rFonts w:hint="eastAsia" w:asciiTheme="minorEastAsia" w:hAnsiTheme="minorEastAsia" w:cstheme="minorEastAsia"/>
          <w:color w:val="000000" w:themeColor="text1"/>
          <w:sz w:val="28"/>
          <w:szCs w:val="28"/>
          <w:lang w:val="en-US" w:eastAsia="zh-CN"/>
          <w14:textFill>
            <w14:solidFill>
              <w14:schemeClr w14:val="tx1"/>
            </w14:solidFill>
          </w14:textFill>
        </w:rPr>
        <w:t>五</w:t>
      </w: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w:t>
      </w:r>
      <w:r>
        <w:rPr>
          <w:rFonts w:hint="eastAsia" w:asciiTheme="minorEastAsia" w:hAnsiTheme="minorEastAsia" w:cstheme="minorEastAsia"/>
          <w:color w:val="000000" w:themeColor="text1"/>
          <w:sz w:val="28"/>
          <w:szCs w:val="28"/>
          <w:lang w:val="en-US" w:eastAsia="zh-CN"/>
          <w14:textFill>
            <w14:solidFill>
              <w14:schemeClr w14:val="tx1"/>
            </w14:solidFill>
          </w14:textFill>
        </w:rPr>
        <w:t>投标人须</w:t>
      </w:r>
      <w:r>
        <w:rPr>
          <w:rFonts w:hint="eastAsia" w:asciiTheme="minorEastAsia" w:hAnsiTheme="minorEastAsia" w:eastAsiaTheme="minorEastAsia" w:cstheme="minorEastAsia"/>
          <w:color w:val="000000" w:themeColor="text1"/>
          <w:sz w:val="28"/>
          <w:szCs w:val="28"/>
          <w14:textFill>
            <w14:solidFill>
              <w14:schemeClr w14:val="tx1"/>
            </w14:solidFill>
          </w14:textFill>
        </w:rPr>
        <w:t>保证运输途中成品油数量准确。若发生成品油数量不准确或货损货差超过标准损耗部分，则承担全部责任及全部损失。</w:t>
      </w:r>
    </w:p>
    <w:p>
      <w:pPr>
        <w:spacing w:line="480" w:lineRule="exact"/>
        <w:ind w:left="25" w:leftChars="12" w:firstLine="560" w:firstLineChars="200"/>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w:t>
      </w:r>
      <w:r>
        <w:rPr>
          <w:rFonts w:hint="eastAsia" w:asciiTheme="minorEastAsia" w:hAnsiTheme="minorEastAsia" w:cstheme="minorEastAsia"/>
          <w:color w:val="000000" w:themeColor="text1"/>
          <w:sz w:val="28"/>
          <w:szCs w:val="28"/>
          <w:lang w:val="en-US" w:eastAsia="zh-CN"/>
          <w14:textFill>
            <w14:solidFill>
              <w14:schemeClr w14:val="tx1"/>
            </w14:solidFill>
          </w14:textFill>
        </w:rPr>
        <w:t>六</w:t>
      </w: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w:t>
      </w:r>
      <w:r>
        <w:rPr>
          <w:rFonts w:hint="eastAsia" w:asciiTheme="minorEastAsia" w:hAnsiTheme="minorEastAsia" w:cstheme="minorEastAsia"/>
          <w:color w:val="000000" w:themeColor="text1"/>
          <w:sz w:val="28"/>
          <w:szCs w:val="28"/>
          <w:lang w:val="en-US" w:eastAsia="zh-CN"/>
          <w14:textFill>
            <w14:solidFill>
              <w14:schemeClr w14:val="tx1"/>
            </w14:solidFill>
          </w14:textFill>
        </w:rPr>
        <w:t>投标人须</w:t>
      </w:r>
      <w:r>
        <w:rPr>
          <w:rFonts w:hint="eastAsia" w:asciiTheme="minorEastAsia" w:hAnsiTheme="minorEastAsia" w:eastAsiaTheme="minorEastAsia" w:cstheme="minorEastAsia"/>
          <w:color w:val="000000" w:themeColor="text1"/>
          <w:sz w:val="28"/>
          <w:szCs w:val="28"/>
          <w14:textFill>
            <w14:solidFill>
              <w14:schemeClr w14:val="tx1"/>
            </w14:solidFill>
          </w14:textFill>
        </w:rPr>
        <w:t>保证运输途中成品油质量准确。由于油品质量造成的损失，由</w:t>
      </w:r>
      <w:r>
        <w:rPr>
          <w:rFonts w:hint="eastAsia" w:asciiTheme="minorEastAsia" w:hAnsiTheme="minorEastAsia" w:cstheme="minorEastAsia"/>
          <w:color w:val="000000" w:themeColor="text1"/>
          <w:sz w:val="28"/>
          <w:szCs w:val="28"/>
          <w:lang w:eastAsia="zh-CN"/>
          <w14:textFill>
            <w14:solidFill>
              <w14:schemeClr w14:val="tx1"/>
            </w14:solidFill>
          </w14:textFill>
        </w:rPr>
        <w:t>投标人</w:t>
      </w:r>
      <w:r>
        <w:rPr>
          <w:rFonts w:hint="eastAsia" w:asciiTheme="minorEastAsia" w:hAnsiTheme="minorEastAsia" w:eastAsiaTheme="minorEastAsia" w:cstheme="minorEastAsia"/>
          <w:color w:val="000000" w:themeColor="text1"/>
          <w:sz w:val="28"/>
          <w:szCs w:val="28"/>
          <w14:textFill>
            <w14:solidFill>
              <w14:schemeClr w14:val="tx1"/>
            </w14:solidFill>
          </w14:textFill>
        </w:rPr>
        <w:t>承担全部责任及全部损失。</w:t>
      </w:r>
    </w:p>
    <w:p>
      <w:pPr>
        <w:spacing w:line="480" w:lineRule="exact"/>
        <w:ind w:firstLine="548" w:firstLineChars="196"/>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w:t>
      </w:r>
      <w:r>
        <w:rPr>
          <w:rFonts w:hint="eastAsia" w:asciiTheme="minorEastAsia" w:hAnsiTheme="minorEastAsia" w:cstheme="minorEastAsia"/>
          <w:color w:val="000000" w:themeColor="text1"/>
          <w:sz w:val="28"/>
          <w:szCs w:val="28"/>
          <w:lang w:val="en-US" w:eastAsia="zh-CN"/>
          <w14:textFill>
            <w14:solidFill>
              <w14:schemeClr w14:val="tx1"/>
            </w14:solidFill>
          </w14:textFill>
        </w:rPr>
        <w:t>七</w:t>
      </w: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w:t>
      </w:r>
      <w:r>
        <w:rPr>
          <w:rFonts w:hint="eastAsia" w:asciiTheme="minorEastAsia" w:hAnsiTheme="minorEastAsia" w:cstheme="minorEastAsia"/>
          <w:color w:val="000000" w:themeColor="text1"/>
          <w:sz w:val="28"/>
          <w:szCs w:val="28"/>
          <w:lang w:val="en-US" w:eastAsia="zh-CN"/>
          <w14:textFill>
            <w14:solidFill>
              <w14:schemeClr w14:val="tx1"/>
            </w14:solidFill>
          </w14:textFill>
        </w:rPr>
        <w:t>投标人</w:t>
      </w:r>
      <w:r>
        <w:rPr>
          <w:rFonts w:hint="eastAsia" w:asciiTheme="minorEastAsia" w:hAnsiTheme="minorEastAsia" w:eastAsiaTheme="minorEastAsia" w:cstheme="minorEastAsia"/>
          <w:color w:val="000000" w:themeColor="text1"/>
          <w:sz w:val="28"/>
          <w:szCs w:val="28"/>
          <w14:textFill>
            <w14:solidFill>
              <w14:schemeClr w14:val="tx1"/>
            </w14:solidFill>
          </w14:textFill>
        </w:rPr>
        <w:t>要服从</w:t>
      </w:r>
      <w:r>
        <w:rPr>
          <w:rFonts w:hint="eastAsia" w:asciiTheme="minorEastAsia" w:hAnsiTheme="minorEastAsia" w:cstheme="minorEastAsia"/>
          <w:color w:val="000000" w:themeColor="text1"/>
          <w:sz w:val="28"/>
          <w:szCs w:val="28"/>
          <w:lang w:val="en-US" w:eastAsia="zh-CN"/>
          <w14:textFill>
            <w14:solidFill>
              <w14:schemeClr w14:val="tx1"/>
            </w14:solidFill>
          </w14:textFill>
        </w:rPr>
        <w:t>招标人</w:t>
      </w:r>
      <w:r>
        <w:rPr>
          <w:rFonts w:hint="eastAsia" w:asciiTheme="minorEastAsia" w:hAnsiTheme="minorEastAsia" w:eastAsiaTheme="minorEastAsia" w:cstheme="minorEastAsia"/>
          <w:color w:val="000000" w:themeColor="text1"/>
          <w:sz w:val="28"/>
          <w:szCs w:val="28"/>
          <w14:textFill>
            <w14:solidFill>
              <w14:schemeClr w14:val="tx1"/>
            </w14:solidFill>
          </w14:textFill>
        </w:rPr>
        <w:t>的统一调度指挥。如遇突发事故、车辆维修、保养等特殊原因造成运力不足，内部应尽力协调解决同时向</w:t>
      </w:r>
      <w:r>
        <w:rPr>
          <w:rFonts w:hint="eastAsia" w:asciiTheme="minorEastAsia" w:hAnsiTheme="minorEastAsia" w:cstheme="minorEastAsia"/>
          <w:color w:val="000000" w:themeColor="text1"/>
          <w:sz w:val="28"/>
          <w:szCs w:val="28"/>
          <w:lang w:val="en-US" w:eastAsia="zh-CN"/>
          <w14:textFill>
            <w14:solidFill>
              <w14:schemeClr w14:val="tx1"/>
            </w14:solidFill>
          </w14:textFill>
        </w:rPr>
        <w:t>招标人</w:t>
      </w:r>
      <w:r>
        <w:rPr>
          <w:rFonts w:hint="eastAsia" w:asciiTheme="minorEastAsia" w:hAnsiTheme="minorEastAsia" w:eastAsiaTheme="minorEastAsia" w:cstheme="minorEastAsia"/>
          <w:color w:val="000000" w:themeColor="text1"/>
          <w:sz w:val="28"/>
          <w:szCs w:val="28"/>
          <w14:textFill>
            <w14:solidFill>
              <w14:schemeClr w14:val="tx1"/>
            </w14:solidFill>
          </w14:textFill>
        </w:rPr>
        <w:t>通报予以调整；确实不能内部协调解决时，应及时向</w:t>
      </w:r>
      <w:r>
        <w:rPr>
          <w:rFonts w:hint="eastAsia" w:asciiTheme="minorEastAsia" w:hAnsiTheme="minorEastAsia" w:cstheme="minorEastAsia"/>
          <w:color w:val="000000" w:themeColor="text1"/>
          <w:sz w:val="28"/>
          <w:szCs w:val="28"/>
          <w:lang w:val="en-US" w:eastAsia="zh-CN"/>
          <w14:textFill>
            <w14:solidFill>
              <w14:schemeClr w14:val="tx1"/>
            </w14:solidFill>
          </w14:textFill>
        </w:rPr>
        <w:t>招标人</w:t>
      </w:r>
      <w:r>
        <w:rPr>
          <w:rFonts w:hint="eastAsia" w:asciiTheme="minorEastAsia" w:hAnsiTheme="minorEastAsia" w:eastAsiaTheme="minorEastAsia" w:cstheme="minorEastAsia"/>
          <w:color w:val="000000" w:themeColor="text1"/>
          <w:sz w:val="28"/>
          <w:szCs w:val="28"/>
          <w14:textFill>
            <w14:solidFill>
              <w14:schemeClr w14:val="tx1"/>
            </w14:solidFill>
          </w14:textFill>
        </w:rPr>
        <w:t>报告,不得影响</w:t>
      </w:r>
      <w:r>
        <w:rPr>
          <w:rFonts w:hint="eastAsia" w:asciiTheme="minorEastAsia" w:hAnsiTheme="minorEastAsia" w:cstheme="minorEastAsia"/>
          <w:color w:val="000000" w:themeColor="text1"/>
          <w:sz w:val="28"/>
          <w:szCs w:val="28"/>
          <w:lang w:val="en-US" w:eastAsia="zh-CN"/>
          <w14:textFill>
            <w14:solidFill>
              <w14:schemeClr w14:val="tx1"/>
            </w14:solidFill>
          </w14:textFill>
        </w:rPr>
        <w:t>招标人</w:t>
      </w:r>
      <w:r>
        <w:rPr>
          <w:rFonts w:hint="eastAsia" w:asciiTheme="minorEastAsia" w:hAnsiTheme="minorEastAsia" w:eastAsiaTheme="minorEastAsia" w:cstheme="minorEastAsia"/>
          <w:color w:val="000000" w:themeColor="text1"/>
          <w:sz w:val="28"/>
          <w:szCs w:val="28"/>
          <w14:textFill>
            <w14:solidFill>
              <w14:schemeClr w14:val="tx1"/>
            </w14:solidFill>
          </w14:textFill>
        </w:rPr>
        <w:t>调运安排。</w:t>
      </w:r>
    </w:p>
    <w:p>
      <w:pPr>
        <w:spacing w:line="480" w:lineRule="exact"/>
        <w:ind w:firstLine="548" w:firstLineChars="196"/>
        <w:rPr>
          <w:rFonts w:hint="eastAsia"/>
        </w:rPr>
      </w:pP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w:t>
      </w:r>
      <w:r>
        <w:rPr>
          <w:rFonts w:hint="eastAsia" w:asciiTheme="minorEastAsia" w:hAnsiTheme="minorEastAsia" w:cstheme="minorEastAsia"/>
          <w:color w:val="000000" w:themeColor="text1"/>
          <w:sz w:val="28"/>
          <w:szCs w:val="28"/>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lang w:val="en-US" w:eastAsia="zh-CN"/>
          <w14:textFill>
            <w14:solidFill>
              <w14:schemeClr w14:val="tx1"/>
            </w14:solidFill>
          </w14:textFill>
        </w:rPr>
        <w:t>)</w:t>
      </w:r>
      <w:r>
        <w:rPr>
          <w:rFonts w:hint="eastAsia" w:asciiTheme="minorEastAsia" w:hAnsiTheme="minorEastAsia" w:cstheme="minorEastAsia"/>
          <w:color w:val="000000" w:themeColor="text1"/>
          <w:sz w:val="28"/>
          <w:szCs w:val="28"/>
          <w:lang w:val="en-US" w:eastAsia="zh-CN"/>
          <w14:textFill>
            <w14:solidFill>
              <w14:schemeClr w14:val="tx1"/>
            </w14:solidFill>
          </w14:textFill>
        </w:rPr>
        <w:t>投标人</w:t>
      </w:r>
      <w:r>
        <w:rPr>
          <w:rFonts w:hint="eastAsia" w:asciiTheme="minorEastAsia" w:hAnsiTheme="minorEastAsia" w:eastAsiaTheme="minorEastAsia" w:cstheme="minorEastAsia"/>
          <w:color w:val="000000" w:themeColor="text1"/>
          <w:sz w:val="28"/>
          <w:szCs w:val="28"/>
          <w14:textFill>
            <w14:solidFill>
              <w14:schemeClr w14:val="tx1"/>
            </w14:solidFill>
          </w14:textFill>
        </w:rPr>
        <w:t>有自主打击偷盗油品行为的义务</w:t>
      </w:r>
      <w:r>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t>。</w:t>
      </w:r>
    </w:p>
    <w:permEnd w:id="107"/>
    <w:p>
      <w:pPr>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rPr>
      </w:pPr>
      <w:bookmarkStart w:id="427" w:name="_Toc152045787"/>
      <w:bookmarkStart w:id="428" w:name="_Toc247514246"/>
      <w:bookmarkStart w:id="429" w:name="_Toc247527827"/>
      <w:bookmarkStart w:id="430" w:name="_Toc300835209"/>
      <w:bookmarkStart w:id="431" w:name="_Toc152042576"/>
      <w:bookmarkStart w:id="432" w:name="_Toc144974856"/>
      <w:r>
        <w:rPr>
          <w:rFonts w:hint="default" w:ascii="Times New Roman" w:hAnsi="Times New Roman" w:cs="Times New Roman"/>
        </w:rPr>
        <w:t>目    录</w:t>
      </w:r>
      <w:bookmarkEnd w:id="427"/>
      <w:bookmarkEnd w:id="428"/>
      <w:bookmarkEnd w:id="429"/>
      <w:bookmarkEnd w:id="430"/>
      <w:bookmarkEnd w:id="431"/>
      <w:bookmarkEnd w:id="432"/>
    </w:p>
    <w:p>
      <w:pPr>
        <w:spacing w:line="540" w:lineRule="exact"/>
        <w:rPr>
          <w:rFonts w:hint="default" w:ascii="Times New Roman" w:hAnsi="Times New Roman" w:cs="Times New Roman"/>
        </w:rPr>
      </w:pPr>
    </w:p>
    <w:p>
      <w:pPr>
        <w:numPr>
          <w:ilvl w:val="0"/>
          <w:numId w:val="2"/>
        </w:numPr>
        <w:spacing w:line="540" w:lineRule="exact"/>
        <w:rPr>
          <w:rFonts w:hint="default" w:ascii="Times New Roman" w:hAnsi="Times New Roman" w:cs="Times New Roman"/>
          <w:highlight w:val="none"/>
        </w:rPr>
      </w:pPr>
      <w:r>
        <w:rPr>
          <w:rFonts w:hint="default" w:ascii="Times New Roman" w:hAnsi="Times New Roman" w:cs="Times New Roman"/>
          <w:highlight w:val="none"/>
        </w:rPr>
        <w:t>投标函</w:t>
      </w:r>
      <w:r>
        <w:rPr>
          <w:rFonts w:hint="eastAsia" w:ascii="Times New Roman" w:hAnsi="Times New Roman" w:cs="Times New Roman"/>
          <w:highlight w:val="none"/>
          <w:lang w:val="en-US" w:eastAsia="zh-CN"/>
        </w:rPr>
        <w:t>及投标函附录</w:t>
      </w:r>
    </w:p>
    <w:p>
      <w:pPr>
        <w:numPr>
          <w:ilvl w:val="-1"/>
          <w:numId w:val="0"/>
        </w:num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四、报价清单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六、相关服务计划</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4"/>
        <w:jc w:val="center"/>
        <w:rPr>
          <w:rFonts w:hint="default" w:ascii="Times New Roman" w:hAnsi="Times New Roman" w:eastAsia="黑体" w:cs="Times New Roman"/>
          <w:sz w:val="20"/>
          <w:szCs w:val="20"/>
        </w:rPr>
      </w:pPr>
      <w:bookmarkStart w:id="433" w:name="_Toc144974857"/>
      <w:bookmarkStart w:id="434" w:name="_Toc300835210"/>
      <w:bookmarkStart w:id="435" w:name="_Toc247514247"/>
      <w:bookmarkStart w:id="436" w:name="_Toc152042577"/>
      <w:bookmarkStart w:id="437" w:name="_Toc247527828"/>
      <w:bookmarkStart w:id="438" w:name="_Toc152045788"/>
      <w:r>
        <w:rPr>
          <w:rFonts w:hint="default" w:ascii="Times New Roman" w:hAnsi="Times New Roman" w:cs="Times New Roman"/>
        </w:rPr>
        <w:t>一、投标函及投标函附录</w:t>
      </w:r>
    </w:p>
    <w:p>
      <w:pPr>
        <w:spacing w:line="440" w:lineRule="exact"/>
        <w:rPr>
          <w:rFonts w:hint="default" w:ascii="Times New Roman" w:hAnsi="Times New Roman" w:cs="Times New Roman" w:eastAsiaTheme="minorEastAsia"/>
          <w:sz w:val="20"/>
          <w:szCs w:val="20"/>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bookmarkEnd w:id="433"/>
    <w:bookmarkEnd w:id="434"/>
    <w:bookmarkEnd w:id="435"/>
    <w:bookmarkEnd w:id="436"/>
    <w:bookmarkEnd w:id="437"/>
    <w:bookmarkEnd w:id="438"/>
    <w:p>
      <w:pPr>
        <w:spacing w:line="440" w:lineRule="exact"/>
        <w:rPr>
          <w:rFonts w:hint="default" w:ascii="Times New Roman" w:hAnsi="Times New Roman" w:cs="Times New Roman"/>
          <w:szCs w:val="21"/>
        </w:rPr>
      </w:pPr>
      <w:bookmarkStart w:id="439" w:name="_Toc144974859"/>
      <w:bookmarkStart w:id="440" w:name="_Toc152042579"/>
      <w:bookmarkStart w:id="441" w:name="_Toc152045790"/>
      <w:bookmarkStart w:id="442" w:name="_Toc247527830"/>
      <w:bookmarkStart w:id="443" w:name="_Toc247514249"/>
      <w:bookmarkStart w:id="444" w:name="_Toc300835212"/>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项目编号</w:t>
      </w:r>
      <w:r>
        <w:rPr>
          <w:rFonts w:hint="default" w:ascii="Times New Roman" w:hAnsi="Times New Roman" w:cs="Times New Roman"/>
          <w:szCs w:val="21"/>
        </w:rPr>
        <w:t>）</w:t>
      </w:r>
      <w:r>
        <w:rPr>
          <w:rFonts w:hint="eastAsia" w:ascii="Times New Roman" w:hAnsi="Times New Roman" w:cs="Times New Roman"/>
          <w:szCs w:val="21"/>
          <w:lang w:val="en-US" w:eastAsia="zh-CN"/>
        </w:rPr>
        <w:t>招标项目招标文件的全部内容，愿意以</w:t>
      </w:r>
      <w:permStart w:id="108"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元/吨/车次</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元/吨/车次</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108"/>
      <w:r>
        <w:rPr>
          <w:rFonts w:hint="eastAsia" w:ascii="Times New Roman" w:hAnsi="Times New Roman" w:cs="Times New Roman"/>
          <w:szCs w:val="21"/>
          <w:lang w:val="en-US" w:eastAsia="zh-CN"/>
        </w:rPr>
        <w:t>，服务期限：</w:t>
      </w:r>
      <w:permStart w:id="109" w:edGrp="everyone"/>
      <w:r>
        <w:rPr>
          <w:rFonts w:hint="default" w:ascii="Times New Roman" w:hAnsi="Times New Roman" w:cs="Times New Roman"/>
          <w:szCs w:val="21"/>
          <w:u w:val="single"/>
        </w:rPr>
        <w:t>自合同签订之日起 2 年</w:t>
      </w:r>
      <w:permEnd w:id="109"/>
      <w:r>
        <w:rPr>
          <w:rFonts w:hint="eastAsia" w:ascii="Times New Roman" w:hAnsi="Times New Roman" w:cs="Times New Roman"/>
          <w:szCs w:val="21"/>
          <w:u w:val="none"/>
          <w:lang w:val="en-US" w:eastAsia="zh-CN"/>
        </w:rPr>
        <w:t>，按合同约定完成本项全部工作。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（1）投标函及投标函附录；（2）法定代表人身份证明或授权委托书；（3）投标保证金（如有）；（4）报价清单；（5）资格审查资料；（6）相关服务计划；（7）其他资料；.......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439"/>
    <w:bookmarkEnd w:id="440"/>
    <w:bookmarkEnd w:id="441"/>
    <w:bookmarkEnd w:id="442"/>
    <w:bookmarkEnd w:id="443"/>
    <w:bookmarkEnd w:id="444"/>
    <w:p>
      <w:pPr>
        <w:spacing w:line="440" w:lineRule="exact"/>
        <w:rPr>
          <w:rFonts w:hint="default" w:ascii="Times New Roman" w:hAnsi="Times New Roman" w:cs="Times New Roman"/>
          <w:szCs w:val="21"/>
        </w:rPr>
      </w:pPr>
    </w:p>
    <w:p>
      <w:pPr>
        <w:spacing w:line="440" w:lineRule="exact"/>
        <w:rPr>
          <w:rFonts w:hint="default" w:ascii="黑体" w:hAnsi="黑体" w:eastAsia="黑体" w:cs="黑体"/>
          <w:b w:val="0"/>
          <w:bCs w:val="0"/>
          <w:sz w:val="28"/>
          <w:szCs w:val="28"/>
          <w:lang w:val="en-US" w:eastAsia="zh-CN"/>
        </w:rPr>
      </w:pPr>
      <w:bookmarkStart w:id="445" w:name="_Toc247514283"/>
      <w:bookmarkStart w:id="446" w:name="_Toc152042580"/>
      <w:bookmarkStart w:id="447" w:name="_Toc144974860"/>
      <w:bookmarkStart w:id="448" w:name="_Toc300835213"/>
      <w:bookmarkStart w:id="449" w:name="_Toc247527831"/>
      <w:bookmarkStart w:id="450" w:name="_Toc152045791"/>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pPr>
              <w:spacing w:line="440" w:lineRule="exact"/>
              <w:jc w:val="both"/>
              <w:rPr>
                <w:rFonts w:hint="default" w:ascii="Times New Roman" w:hAnsi="Times New Roman" w:cs="Times New Roman" w:eastAsiaTheme="minorEastAsia"/>
                <w:sz w:val="20"/>
                <w:szCs w:val="20"/>
                <w:u w:val="none"/>
                <w:vertAlign w:val="baseline"/>
                <w:lang w:val="en-US" w:eastAsia="zh-CN"/>
              </w:rPr>
            </w:pPr>
            <w:r>
              <w:rPr>
                <w:rFonts w:hint="eastAsia" w:ascii="Times New Roman" w:hAnsi="Times New Roman" w:cs="Times New Roman"/>
                <w:sz w:val="20"/>
                <w:szCs w:val="20"/>
                <w:u w:val="single"/>
                <w:vertAlign w:val="baseline"/>
                <w:lang w:val="en-US" w:eastAsia="zh-CN"/>
              </w:rPr>
              <w:t xml:space="preserve">      </w:t>
            </w:r>
            <w:r>
              <w:rPr>
                <w:rFonts w:hint="eastAsia" w:ascii="Times New Roman" w:hAnsi="Times New Roman" w:cs="Times New Roman"/>
                <w:sz w:val="20"/>
                <w:szCs w:val="20"/>
                <w:u w:val="none"/>
                <w:vertAlign w:val="baseline"/>
                <w:lang w:val="en-US" w:eastAsia="zh-CN"/>
              </w:rPr>
              <w:t>日历天</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3</w:t>
            </w:r>
          </w:p>
        </w:tc>
        <w:tc>
          <w:tcPr>
            <w:tcW w:w="1984" w:type="dxa"/>
            <w:vAlign w:val="center"/>
          </w:tcPr>
          <w:p>
            <w:pPr>
              <w:widowControl/>
              <w:spacing w:line="440" w:lineRule="exact"/>
              <w:jc w:val="center"/>
              <w:rPr>
                <w:rFonts w:hint="eastAsia" w:ascii="Times New Roman" w:hAnsi="Times New Roman" w:cs="Times New Roman" w:eastAsiaTheme="minorEastAsia"/>
                <w:sz w:val="20"/>
                <w:szCs w:val="20"/>
                <w:vertAlign w:val="baseline"/>
                <w:lang w:val="en-US" w:eastAsia="zh-CN"/>
              </w:rPr>
            </w:pPr>
            <w:r>
              <w:rPr>
                <w:rFonts w:hint="eastAsia" w:ascii="Times New Roman" w:hAnsi="Times New Roman" w:cs="Times New Roman"/>
                <w:kern w:val="2"/>
                <w:sz w:val="20"/>
                <w:szCs w:val="20"/>
                <w:highlight w:val="none"/>
                <w:lang w:val="en-US" w:eastAsia="zh-CN"/>
              </w:rPr>
              <w:t>服务承诺</w:t>
            </w:r>
          </w:p>
        </w:tc>
        <w:tc>
          <w:tcPr>
            <w:tcW w:w="1984" w:type="dxa"/>
            <w:vAlign w:val="center"/>
          </w:tcPr>
          <w:p>
            <w:pPr>
              <w:spacing w:line="440" w:lineRule="exact"/>
              <w:jc w:val="both"/>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i w:val="0"/>
                <w:iCs w:val="0"/>
                <w:kern w:val="2"/>
                <w:sz w:val="20"/>
                <w:szCs w:val="20"/>
                <w:u w:val="single"/>
                <w:lang w:val="en-US" w:eastAsia="zh-CN"/>
              </w:rPr>
              <w:t xml:space="preserve">     </w:t>
            </w:r>
            <w:r>
              <w:rPr>
                <w:rFonts w:hint="eastAsia" w:ascii="Times New Roman" w:hAnsi="Times New Roman" w:cs="Times New Roman"/>
                <w:i w:val="0"/>
                <w:iCs w:val="0"/>
                <w:color w:val="auto"/>
                <w:kern w:val="2"/>
                <w:sz w:val="20"/>
                <w:szCs w:val="20"/>
                <w:highlight w:val="none"/>
                <w:u w:val="none"/>
                <w:lang w:val="en-US" w:eastAsia="zh-CN"/>
              </w:rPr>
              <w:t>小时内响应招标人的用车需要，在无不可抗力因素的情况下，在</w:t>
            </w:r>
            <w:r>
              <w:rPr>
                <w:rFonts w:hint="eastAsia" w:ascii="Times New Roman" w:hAnsi="Times New Roman" w:cs="Times New Roman"/>
                <w:i w:val="0"/>
                <w:iCs w:val="0"/>
                <w:kern w:val="2"/>
                <w:sz w:val="20"/>
                <w:szCs w:val="20"/>
                <w:u w:val="single"/>
                <w:lang w:val="en-US" w:eastAsia="zh-CN"/>
              </w:rPr>
              <w:t xml:space="preserve">    </w:t>
            </w:r>
            <w:r>
              <w:rPr>
                <w:rFonts w:hint="eastAsia" w:ascii="Times New Roman" w:hAnsi="Times New Roman" w:cs="Times New Roman"/>
                <w:i w:val="0"/>
                <w:iCs w:val="0"/>
                <w:color w:val="auto"/>
                <w:kern w:val="2"/>
                <w:sz w:val="20"/>
                <w:szCs w:val="20"/>
                <w:highlight w:val="none"/>
                <w:u w:val="none"/>
                <w:lang w:val="en-US" w:eastAsia="zh-CN"/>
              </w:rPr>
              <w:t>小时内完成油品的装、卸服务</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rPr>
          <w:rFonts w:hint="default" w:ascii="Times New Roman" w:hAnsi="Times New Roman" w:cs="Times New Roman"/>
        </w:rPr>
      </w:pPr>
      <w:r>
        <w:rPr>
          <w:rFonts w:hint="default" w:ascii="Times New Roman" w:hAnsi="Times New Roman" w:cs="Times New Roman"/>
        </w:rPr>
        <w:br w:type="page"/>
      </w:r>
    </w:p>
    <w:p>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445"/>
      <w:bookmarkEnd w:id="446"/>
      <w:bookmarkEnd w:id="447"/>
      <w:bookmarkEnd w:id="448"/>
      <w:bookmarkEnd w:id="449"/>
      <w:bookmarkEnd w:id="450"/>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jc w:val="center"/>
        <w:rPr>
          <w:rFonts w:hint="default" w:ascii="Times New Roman" w:hAnsi="Times New Roman" w:cs="Times New Roman"/>
        </w:rPr>
      </w:pPr>
      <w:bookmarkStart w:id="451" w:name="_Toc247514284"/>
      <w:bookmarkStart w:id="452" w:name="_Toc300835214"/>
      <w:bookmarkStart w:id="453" w:name="_Toc152045792"/>
      <w:bookmarkStart w:id="454" w:name="_Toc144974861"/>
      <w:bookmarkStart w:id="455" w:name="_Toc247527832"/>
      <w:bookmarkStart w:id="456" w:name="_Toc152042581"/>
      <w:r>
        <w:rPr>
          <w:rFonts w:hint="default" w:ascii="Times New Roman" w:hAnsi="Times New Roman" w:cs="Times New Roman"/>
        </w:rPr>
        <w:t>二、授权委托书</w:t>
      </w:r>
      <w:bookmarkEnd w:id="451"/>
      <w:bookmarkEnd w:id="452"/>
      <w:bookmarkEnd w:id="453"/>
      <w:bookmarkEnd w:id="454"/>
      <w:bookmarkEnd w:id="455"/>
      <w:bookmarkEnd w:id="456"/>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4"/>
        <w:jc w:val="center"/>
        <w:rPr>
          <w:rFonts w:hint="default" w:ascii="Times New Roman" w:hAnsi="Times New Roman" w:cs="Times New Roman"/>
          <w:highlight w:val="none"/>
        </w:rPr>
      </w:pPr>
      <w:bookmarkStart w:id="457" w:name="_Toc300835216"/>
      <w:bookmarkStart w:id="458" w:name="_Toc247514286"/>
      <w:bookmarkStart w:id="459" w:name="_Toc152045794"/>
      <w:bookmarkStart w:id="460" w:name="_Toc152042583"/>
      <w:bookmarkStart w:id="461" w:name="_Toc247527834"/>
      <w:bookmarkStart w:id="462" w:name="_Toc144974862"/>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57"/>
      <w:bookmarkEnd w:id="458"/>
      <w:bookmarkEnd w:id="459"/>
      <w:bookmarkEnd w:id="460"/>
      <w:bookmarkEnd w:id="461"/>
      <w:bookmarkEnd w:id="462"/>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6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63"/>
    <w:p>
      <w:pPr>
        <w:rPr>
          <w:rFonts w:hint="default" w:ascii="Times New Roman" w:hAnsi="Times New Roman" w:cs="Times New Roman"/>
        </w:rPr>
      </w:pPr>
      <w:bookmarkStart w:id="464" w:name="_Toc144974863"/>
      <w:bookmarkStart w:id="465" w:name="_Toc247514287"/>
      <w:bookmarkStart w:id="466" w:name="_Toc247527835"/>
      <w:bookmarkStart w:id="467" w:name="_Toc152045795"/>
      <w:bookmarkStart w:id="468" w:name="_Toc152042584"/>
      <w:bookmarkStart w:id="469" w:name="_Toc300835218"/>
      <w:r>
        <w:rPr>
          <w:rFonts w:hint="default" w:ascii="Times New Roman" w:hAnsi="Times New Roman" w:cs="Times New Roman"/>
        </w:rPr>
        <w:br w:type="page"/>
      </w: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64"/>
      <w:bookmarkEnd w:id="465"/>
      <w:bookmarkEnd w:id="466"/>
      <w:bookmarkEnd w:id="467"/>
      <w:bookmarkEnd w:id="468"/>
      <w:bookmarkEnd w:id="469"/>
      <w:r>
        <w:rPr>
          <w:rFonts w:hint="eastAsia" w:ascii="Times New Roman" w:hAnsi="Times New Roman" w:cs="Times New Roman"/>
          <w:lang w:val="en-US" w:eastAsia="zh-CN"/>
        </w:rPr>
        <w:t>报价清单</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1.报价清单说明</w:t>
      </w:r>
    </w:p>
    <w:p>
      <w:pPr>
        <w:rPr>
          <w:rFonts w:hint="eastAsia" w:ascii="Times New Roman" w:hAnsi="Times New Roman" w:cs="Times New Roman"/>
          <w:lang w:val="en-US" w:eastAsia="zh-CN"/>
        </w:rPr>
      </w:pP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2.报价清单</w:t>
      </w:r>
    </w:p>
    <w:p>
      <w:pPr>
        <w:rPr>
          <w:rFonts w:hint="default" w:ascii="Times New Roman" w:hAnsi="Times New Roman" w:cs="Times New Roman"/>
          <w:lang w:val="en-US" w:eastAsia="zh-CN"/>
        </w:rPr>
      </w:pPr>
    </w:p>
    <w:p>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470" w:name="_Toc144974864"/>
            <w:bookmarkStart w:id="471" w:name="_Toc152042585"/>
            <w:bookmarkStart w:id="472" w:name="_Toc247514288"/>
            <w:bookmarkStart w:id="473" w:name="_Toc247527836"/>
            <w:bookmarkStart w:id="474" w:name="_Toc152045796"/>
            <w:bookmarkStart w:id="475" w:name="_Toc300835221"/>
            <w:r>
              <w:rPr>
                <w:rFonts w:hint="eastAsia" w:ascii="Times New Roman" w:hAnsi="Times New Roman" w:cs="Times New Roman"/>
                <w:b/>
                <w:bCs/>
                <w:vertAlign w:val="baseline"/>
                <w:lang w:val="en-US" w:eastAsia="zh-CN"/>
              </w:rPr>
              <w:t>序号</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报价费用分项名称</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rPr>
          <w:rFonts w:hint="default" w:ascii="Times New Roman" w:hAnsi="Times New Roman" w:cs="Times New Roman"/>
        </w:rPr>
      </w:pPr>
    </w:p>
    <w:p>
      <w:pPr>
        <w:rPr>
          <w:rFonts w:hint="default" w:ascii="Times New Roman" w:hAnsi="Times New Roman" w:cs="Times New Roman"/>
        </w:rPr>
      </w:pPr>
      <w:r>
        <w:rPr>
          <w:rFonts w:hint="eastAsia" w:ascii="Times New Roman" w:hAnsi="Times New Roman" w:cs="Times New Roman"/>
          <w:lang w:val="en-US" w:eastAsia="zh-CN"/>
        </w:rPr>
        <w:t>注：投标人可根据行业具体情况及招标项目特点对上表格式进行调整。</w:t>
      </w:r>
      <w:r>
        <w:rPr>
          <w:rFonts w:hint="default" w:ascii="Times New Roman" w:hAnsi="Times New Roman" w:cs="Times New Roman"/>
        </w:rPr>
        <w:br w:type="page"/>
      </w:r>
    </w:p>
    <w:bookmarkEnd w:id="470"/>
    <w:bookmarkEnd w:id="471"/>
    <w:bookmarkEnd w:id="472"/>
    <w:bookmarkEnd w:id="473"/>
    <w:bookmarkEnd w:id="474"/>
    <w:bookmarkEnd w:id="475"/>
    <w:p>
      <w:pPr>
        <w:pStyle w:val="4"/>
        <w:jc w:val="center"/>
        <w:rPr>
          <w:rFonts w:hint="eastAsia"/>
          <w:highlight w:val="none"/>
        </w:rPr>
      </w:pPr>
      <w:bookmarkStart w:id="476" w:name="_Toc300835224"/>
      <w:bookmarkStart w:id="477" w:name="_Toc152045808"/>
      <w:bookmarkStart w:id="478" w:name="_Toc144974876"/>
      <w:bookmarkStart w:id="479" w:name="_Toc246996369"/>
      <w:bookmarkStart w:id="480" w:name="_Toc152042597"/>
      <w:bookmarkStart w:id="481" w:name="_Toc247514300"/>
      <w:bookmarkStart w:id="482" w:name="_Toc179632823"/>
      <w:bookmarkStart w:id="483" w:name="_Toc144974871"/>
      <w:bookmarkStart w:id="484" w:name="_Toc152045803"/>
      <w:bookmarkStart w:id="485" w:name="_Toc247085887"/>
      <w:bookmarkStart w:id="486" w:name="_Toc246997112"/>
      <w:bookmarkStart w:id="487" w:name="_Toc296602614"/>
      <w:bookmarkStart w:id="488" w:name="_Toc247527848"/>
      <w:bookmarkStart w:id="489" w:name="_Toc152042592"/>
      <w:r>
        <w:rPr>
          <w:rFonts w:hint="eastAsia"/>
          <w:highlight w:val="none"/>
          <w:lang w:val="en-US" w:eastAsia="zh-CN"/>
        </w:rPr>
        <w:t>五</w:t>
      </w:r>
      <w:r>
        <w:rPr>
          <w:highlight w:val="none"/>
        </w:rPr>
        <w:t>、资格审查资料</w:t>
      </w:r>
    </w:p>
    <w:p>
      <w:pPr>
        <w:pStyle w:val="5"/>
        <w:jc w:val="both"/>
        <w:rPr>
          <w:rFonts w:hint="eastAsia"/>
        </w:rPr>
      </w:pPr>
      <w:r>
        <w:t>（一）基本情况表</w:t>
      </w:r>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7"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项目负责人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6"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7"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危化品车辆</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驾驶人员</w:t>
            </w:r>
          </w:p>
        </w:tc>
        <w:tc>
          <w:tcPr>
            <w:tcW w:w="115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5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危化品</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押运人员</w:t>
            </w:r>
          </w:p>
        </w:tc>
        <w:tc>
          <w:tcPr>
            <w:tcW w:w="115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5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pStyle w:val="5"/>
        <w:jc w:val="both"/>
        <w:rPr>
          <w:rFonts w:hint="default" w:eastAsiaTheme="minorEastAsia"/>
          <w:lang w:val="en-US" w:eastAsia="zh-CN"/>
        </w:rPr>
      </w:pPr>
      <w:r>
        <w:rPr>
          <w:rFonts w:hint="eastAsia"/>
        </w:rPr>
        <w:br w:type="page"/>
      </w: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rPr>
          <w:rFonts w:hint="eastAsia"/>
        </w:rPr>
      </w:pPr>
      <w:r>
        <w:rPr>
          <w:rFonts w:hint="eastAsia"/>
        </w:rPr>
        <w:br w:type="page"/>
      </w:r>
    </w:p>
    <w:p>
      <w:pPr>
        <w:pStyle w:val="5"/>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“近年完成的类似项目情况表”应附合同协议书；具体时间要求见投标人须知前附表，每张表格只填写一个项目，并标明序号。</w:t>
      </w:r>
    </w:p>
    <w:p>
      <w:pPr>
        <w:rPr>
          <w:rFonts w:hint="eastAsia"/>
        </w:rPr>
      </w:pPr>
      <w:r>
        <w:rPr>
          <w:rFonts w:hint="eastAsia"/>
        </w:rPr>
        <w:br w:type="page"/>
      </w:r>
    </w:p>
    <w:p>
      <w:pPr>
        <w:pStyle w:val="5"/>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7"/>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rPr>
          <w:rFonts w:hint="eastAsia"/>
          <w:i/>
          <w:iCs/>
          <w:color w:val="FF0000"/>
          <w:u w:val="single"/>
          <w:lang w:val="en-US" w:eastAsia="zh-CN"/>
        </w:rPr>
      </w:pPr>
    </w:p>
    <w:p>
      <w:pPr>
        <w:pStyle w:val="5"/>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pPr>
        <w:rPr>
          <w:rFonts w:hint="eastAsia"/>
          <w:i/>
          <w:iCs/>
          <w:color w:val="FF0000"/>
          <w:u w:val="single"/>
          <w:lang w:val="en-US" w:eastAsia="zh-CN"/>
        </w:rPr>
      </w:pPr>
      <w:r>
        <w:rPr>
          <w:rFonts w:hint="eastAsia"/>
          <w:i/>
          <w:iCs/>
          <w:color w:val="FF0000"/>
          <w:u w:val="single"/>
          <w:lang w:val="en-US" w:eastAsia="zh-CN"/>
        </w:rPr>
        <w:br w:type="page"/>
      </w:r>
    </w:p>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p>
      <w:pPr>
        <w:pStyle w:val="4"/>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相关服务计划</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服务方案应包括（但不限于）下列内容：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pPr>
        <w:rPr>
          <w:rFonts w:hint="default" w:ascii="Times New Roman" w:hAnsi="Times New Roman" w:cs="Times New Roman"/>
        </w:rPr>
      </w:pPr>
      <w:r>
        <w:rPr>
          <w:rFonts w:hint="default" w:ascii="Times New Roman" w:hAnsi="Times New Roman" w:cs="Times New Roman"/>
        </w:rPr>
        <w:br w:type="page"/>
      </w:r>
    </w:p>
    <w:p>
      <w:pPr>
        <w:pStyle w:val="4"/>
        <w:jc w:val="center"/>
        <w:rPr>
          <w:rFonts w:hint="default" w:ascii="Times New Roman" w:hAnsi="Times New Roman" w:cs="Times New Roman"/>
        </w:rPr>
      </w:pPr>
      <w:bookmarkStart w:id="490" w:name="_Toc271821942"/>
      <w:bookmarkStart w:id="491" w:name="_Toc300835233"/>
      <w:r>
        <w:rPr>
          <w:rFonts w:hint="eastAsia" w:ascii="Times New Roman" w:hAnsi="Times New Roman" w:cs="Times New Roman"/>
          <w:lang w:val="en-US" w:eastAsia="zh-CN"/>
        </w:rPr>
        <w:t>七</w:t>
      </w:r>
      <w:r>
        <w:rPr>
          <w:rFonts w:hint="default" w:ascii="Times New Roman" w:hAnsi="Times New Roman" w:cs="Times New Roman"/>
        </w:rPr>
        <w:t>、其他资料</w:t>
      </w:r>
      <w:bookmarkEnd w:id="490"/>
      <w:bookmarkEnd w:id="491"/>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75EC623C-BA42-4321-86F9-7AB5EBF272DD}"/>
  </w:font>
  <w:font w:name="Arial">
    <w:panose1 w:val="020B0604020202020204"/>
    <w:charset w:val="01"/>
    <w:family w:val="swiss"/>
    <w:pitch w:val="default"/>
    <w:sig w:usb0="E0002EFF" w:usb1="C000785B" w:usb2="00000009" w:usb3="00000000" w:csb0="400001FF" w:csb1="FFFF0000"/>
    <w:embedRegular r:id="rId2" w:fontKey="{C0B1EDCA-2851-42CE-B516-532C5C7E4F09}"/>
  </w:font>
  <w:font w:name="黑体">
    <w:panose1 w:val="02010609060101010101"/>
    <w:charset w:val="86"/>
    <w:family w:val="auto"/>
    <w:pitch w:val="default"/>
    <w:sig w:usb0="800002BF" w:usb1="38CF7CFA" w:usb2="00000016" w:usb3="00000000" w:csb0="00040001" w:csb1="00000000"/>
    <w:embedRegular r:id="rId3" w:fontKey="{AFE9ABBD-D6D5-416E-938D-D3141FD83A2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4" w:fontKey="{0B1AE437-AEF8-4D19-BD1F-2902AD41DF93}"/>
  </w:font>
  <w:font w:name="方正小标宋简体">
    <w:panose1 w:val="03000509000000000000"/>
    <w:charset w:val="86"/>
    <w:family w:val="auto"/>
    <w:pitch w:val="default"/>
    <w:sig w:usb0="00000001" w:usb1="080E0000" w:usb2="00000000" w:usb3="00000000" w:csb0="00040000" w:csb1="00000000"/>
    <w:embedRegular r:id="rId5" w:fontKey="{1C2FCEB0-F35C-4EA7-B19F-D02BD3D5E362}"/>
  </w:font>
  <w:font w:name="楷体">
    <w:panose1 w:val="02010609060101010101"/>
    <w:charset w:val="86"/>
    <w:family w:val="auto"/>
    <w:pitch w:val="default"/>
    <w:sig w:usb0="800002BF" w:usb1="38CF7CFA" w:usb2="00000016" w:usb3="00000000" w:csb0="00040001" w:csb1="00000000"/>
    <w:embedRegular r:id="rId6" w:fontKey="{E82BE48D-715A-469A-8A2B-C219A6600421}"/>
  </w:font>
  <w:font w:name="仿宋">
    <w:panose1 w:val="02010609060101010101"/>
    <w:charset w:val="86"/>
    <w:family w:val="auto"/>
    <w:pitch w:val="default"/>
    <w:sig w:usb0="800002BF" w:usb1="38CF7CFA" w:usb2="00000016" w:usb3="00000000" w:csb0="00040001" w:csb1="00000000"/>
    <w:embedRegular r:id="rId7" w:fontKey="{B759A710-939B-4C71-9702-EC2F89CE2448}"/>
  </w:font>
  <w:font w:name="Wingdings 2">
    <w:panose1 w:val="05020102010507070707"/>
    <w:charset w:val="00"/>
    <w:family w:val="auto"/>
    <w:pitch w:val="default"/>
    <w:sig w:usb0="00000000" w:usb1="00000000" w:usb2="00000000" w:usb3="00000000" w:csb0="80000000" w:csb1="00000000"/>
    <w:embedRegular r:id="rId8" w:fontKey="{52C19812-F914-4EEB-AB0D-DEF764D5DCCC}"/>
  </w:font>
  <w:font w:name="楷体_GB2312">
    <w:panose1 w:val="02010609030101010101"/>
    <w:charset w:val="86"/>
    <w:family w:val="modern"/>
    <w:pitch w:val="default"/>
    <w:sig w:usb0="00000001" w:usb1="080E0000" w:usb2="00000000" w:usb3="00000000" w:csb0="00040000" w:csb1="00000000"/>
    <w:embedRegular r:id="rId9" w:fontKey="{93C076C6-73A6-4850-9FBA-2B6DC123DC5D}"/>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83DE77"/>
    <w:multiLevelType w:val="singleLevel"/>
    <w:tmpl w:val="3A83DE77"/>
    <w:lvl w:ilvl="0" w:tentative="0">
      <w:start w:val="5"/>
      <w:numFmt w:val="chineseCounting"/>
      <w:suff w:val="space"/>
      <w:lvlText w:val="第%1章"/>
      <w:lvlJc w:val="left"/>
      <w:rPr>
        <w:rFonts w:hint="eastAsia"/>
      </w:rPr>
    </w:lvl>
  </w:abstractNum>
  <w:abstractNum w:abstractNumId="1">
    <w:nsid w:val="76ACB221"/>
    <w:multiLevelType w:val="singleLevel"/>
    <w:tmpl w:val="76ACB221"/>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1C048E"/>
    <w:rsid w:val="002609D3"/>
    <w:rsid w:val="002C069E"/>
    <w:rsid w:val="0040224D"/>
    <w:rsid w:val="00733B0B"/>
    <w:rsid w:val="00764376"/>
    <w:rsid w:val="00796B76"/>
    <w:rsid w:val="00850CC0"/>
    <w:rsid w:val="00B00F2F"/>
    <w:rsid w:val="00FF308E"/>
    <w:rsid w:val="011E6004"/>
    <w:rsid w:val="013C690E"/>
    <w:rsid w:val="0145105E"/>
    <w:rsid w:val="01804A4C"/>
    <w:rsid w:val="018C519F"/>
    <w:rsid w:val="019846E3"/>
    <w:rsid w:val="01CB0CDF"/>
    <w:rsid w:val="01CD2334"/>
    <w:rsid w:val="01E140D3"/>
    <w:rsid w:val="01EE4D0C"/>
    <w:rsid w:val="01F16263"/>
    <w:rsid w:val="02016132"/>
    <w:rsid w:val="02105DD0"/>
    <w:rsid w:val="0212370C"/>
    <w:rsid w:val="021D348F"/>
    <w:rsid w:val="02254B53"/>
    <w:rsid w:val="026E5FAB"/>
    <w:rsid w:val="02983D41"/>
    <w:rsid w:val="029F2BC9"/>
    <w:rsid w:val="02A31129"/>
    <w:rsid w:val="02A46690"/>
    <w:rsid w:val="02AA53EC"/>
    <w:rsid w:val="02AC508C"/>
    <w:rsid w:val="02BE075F"/>
    <w:rsid w:val="02F24A39"/>
    <w:rsid w:val="02F4317E"/>
    <w:rsid w:val="0324584F"/>
    <w:rsid w:val="032652C7"/>
    <w:rsid w:val="033964DC"/>
    <w:rsid w:val="034877EC"/>
    <w:rsid w:val="035021B2"/>
    <w:rsid w:val="03633AA8"/>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477FF"/>
    <w:rsid w:val="04CD15E8"/>
    <w:rsid w:val="04CF4810"/>
    <w:rsid w:val="04D63FDF"/>
    <w:rsid w:val="04EB08D2"/>
    <w:rsid w:val="04EC7DA2"/>
    <w:rsid w:val="050252F6"/>
    <w:rsid w:val="0541752E"/>
    <w:rsid w:val="054A784B"/>
    <w:rsid w:val="055625ED"/>
    <w:rsid w:val="056F1060"/>
    <w:rsid w:val="0572490A"/>
    <w:rsid w:val="057E3D65"/>
    <w:rsid w:val="058253F2"/>
    <w:rsid w:val="05872EB9"/>
    <w:rsid w:val="05933026"/>
    <w:rsid w:val="059C797B"/>
    <w:rsid w:val="05BA17C0"/>
    <w:rsid w:val="05D9116E"/>
    <w:rsid w:val="061614DB"/>
    <w:rsid w:val="061F0438"/>
    <w:rsid w:val="06292F58"/>
    <w:rsid w:val="063F4D83"/>
    <w:rsid w:val="064B59D4"/>
    <w:rsid w:val="06501BB5"/>
    <w:rsid w:val="06624967"/>
    <w:rsid w:val="06626753"/>
    <w:rsid w:val="06714440"/>
    <w:rsid w:val="067240CC"/>
    <w:rsid w:val="06866D3C"/>
    <w:rsid w:val="06972E4E"/>
    <w:rsid w:val="069872E2"/>
    <w:rsid w:val="06A31B6E"/>
    <w:rsid w:val="06A848F7"/>
    <w:rsid w:val="06B86823"/>
    <w:rsid w:val="06BF2153"/>
    <w:rsid w:val="06D375E0"/>
    <w:rsid w:val="06D9502E"/>
    <w:rsid w:val="06E329B2"/>
    <w:rsid w:val="06EB4F76"/>
    <w:rsid w:val="06ED1728"/>
    <w:rsid w:val="06F35CC1"/>
    <w:rsid w:val="06F81D74"/>
    <w:rsid w:val="06FE62CB"/>
    <w:rsid w:val="072F04C9"/>
    <w:rsid w:val="074267A8"/>
    <w:rsid w:val="074A7C93"/>
    <w:rsid w:val="07666E00"/>
    <w:rsid w:val="07723470"/>
    <w:rsid w:val="077965A7"/>
    <w:rsid w:val="07832BA1"/>
    <w:rsid w:val="07972327"/>
    <w:rsid w:val="07A85930"/>
    <w:rsid w:val="07AA64F3"/>
    <w:rsid w:val="07DC6755"/>
    <w:rsid w:val="07EE56D8"/>
    <w:rsid w:val="08283748"/>
    <w:rsid w:val="083726B7"/>
    <w:rsid w:val="08554A0D"/>
    <w:rsid w:val="08563EE1"/>
    <w:rsid w:val="086D3DA1"/>
    <w:rsid w:val="08774BE1"/>
    <w:rsid w:val="08804ECF"/>
    <w:rsid w:val="088F5820"/>
    <w:rsid w:val="08903F11"/>
    <w:rsid w:val="08932D8F"/>
    <w:rsid w:val="08E13E13"/>
    <w:rsid w:val="08ED571D"/>
    <w:rsid w:val="08F53A28"/>
    <w:rsid w:val="0922447E"/>
    <w:rsid w:val="0926237D"/>
    <w:rsid w:val="092D0C4C"/>
    <w:rsid w:val="096213E6"/>
    <w:rsid w:val="09641BD1"/>
    <w:rsid w:val="0967298A"/>
    <w:rsid w:val="098F4C8F"/>
    <w:rsid w:val="099948FD"/>
    <w:rsid w:val="09A71C3D"/>
    <w:rsid w:val="09AE7DD8"/>
    <w:rsid w:val="09AF2C22"/>
    <w:rsid w:val="09B32D8C"/>
    <w:rsid w:val="09C37FE6"/>
    <w:rsid w:val="09D236A1"/>
    <w:rsid w:val="09DB25D9"/>
    <w:rsid w:val="09DF226A"/>
    <w:rsid w:val="09E674C1"/>
    <w:rsid w:val="09EC69D2"/>
    <w:rsid w:val="0A074254"/>
    <w:rsid w:val="0A3B332D"/>
    <w:rsid w:val="0A466107"/>
    <w:rsid w:val="0A500304"/>
    <w:rsid w:val="0A5234C1"/>
    <w:rsid w:val="0A704DEE"/>
    <w:rsid w:val="0A7E37A8"/>
    <w:rsid w:val="0A8B5261"/>
    <w:rsid w:val="0A8E5075"/>
    <w:rsid w:val="0AA913FB"/>
    <w:rsid w:val="0AAE6B76"/>
    <w:rsid w:val="0AB37F43"/>
    <w:rsid w:val="0AB930A2"/>
    <w:rsid w:val="0AD33E3F"/>
    <w:rsid w:val="0ADD0DF0"/>
    <w:rsid w:val="0AEB40E8"/>
    <w:rsid w:val="0B0E131B"/>
    <w:rsid w:val="0B416906"/>
    <w:rsid w:val="0B5D1C2A"/>
    <w:rsid w:val="0B685C3C"/>
    <w:rsid w:val="0B7202E7"/>
    <w:rsid w:val="0B991D46"/>
    <w:rsid w:val="0B9927D3"/>
    <w:rsid w:val="0B9D2353"/>
    <w:rsid w:val="0B9F686D"/>
    <w:rsid w:val="0BDE31B0"/>
    <w:rsid w:val="0C110CA2"/>
    <w:rsid w:val="0C3E178C"/>
    <w:rsid w:val="0C773477"/>
    <w:rsid w:val="0C821238"/>
    <w:rsid w:val="0C9F113B"/>
    <w:rsid w:val="0CD3448B"/>
    <w:rsid w:val="0CF072F3"/>
    <w:rsid w:val="0D222E5C"/>
    <w:rsid w:val="0D2466BD"/>
    <w:rsid w:val="0D335069"/>
    <w:rsid w:val="0D3A1668"/>
    <w:rsid w:val="0D3A63F7"/>
    <w:rsid w:val="0D4A42D4"/>
    <w:rsid w:val="0D5C2246"/>
    <w:rsid w:val="0D6A3C45"/>
    <w:rsid w:val="0D7F3B4D"/>
    <w:rsid w:val="0D84383E"/>
    <w:rsid w:val="0DA13B17"/>
    <w:rsid w:val="0DA277FF"/>
    <w:rsid w:val="0DB22432"/>
    <w:rsid w:val="0DB8057F"/>
    <w:rsid w:val="0DC57869"/>
    <w:rsid w:val="0DD331D8"/>
    <w:rsid w:val="0DDB677F"/>
    <w:rsid w:val="0DF742E8"/>
    <w:rsid w:val="0E093A81"/>
    <w:rsid w:val="0E1201C4"/>
    <w:rsid w:val="0E35096D"/>
    <w:rsid w:val="0E3C08A3"/>
    <w:rsid w:val="0E626142"/>
    <w:rsid w:val="0E6B25E0"/>
    <w:rsid w:val="0E6D3EE4"/>
    <w:rsid w:val="0E8168AC"/>
    <w:rsid w:val="0E9601D9"/>
    <w:rsid w:val="0EDF4D5E"/>
    <w:rsid w:val="0EEC3721"/>
    <w:rsid w:val="0EF860F0"/>
    <w:rsid w:val="0F024085"/>
    <w:rsid w:val="0F1438EF"/>
    <w:rsid w:val="0F463825"/>
    <w:rsid w:val="0F4B0F6A"/>
    <w:rsid w:val="0F575798"/>
    <w:rsid w:val="0F5F5CB1"/>
    <w:rsid w:val="0F6D192D"/>
    <w:rsid w:val="0F6E4AA0"/>
    <w:rsid w:val="0F751969"/>
    <w:rsid w:val="0F886069"/>
    <w:rsid w:val="0F9242C9"/>
    <w:rsid w:val="0F953DB9"/>
    <w:rsid w:val="0FA819A2"/>
    <w:rsid w:val="0FAC2EB1"/>
    <w:rsid w:val="0FB0474F"/>
    <w:rsid w:val="0FCA08C0"/>
    <w:rsid w:val="0FCA14B6"/>
    <w:rsid w:val="0FE42DE8"/>
    <w:rsid w:val="0FFA6EBC"/>
    <w:rsid w:val="10086339"/>
    <w:rsid w:val="101038A7"/>
    <w:rsid w:val="101E2D38"/>
    <w:rsid w:val="10446D2F"/>
    <w:rsid w:val="104957CA"/>
    <w:rsid w:val="104A6951"/>
    <w:rsid w:val="104C356B"/>
    <w:rsid w:val="104D6EF3"/>
    <w:rsid w:val="105C0433"/>
    <w:rsid w:val="1069417C"/>
    <w:rsid w:val="106C1E4B"/>
    <w:rsid w:val="108A23D3"/>
    <w:rsid w:val="1095135B"/>
    <w:rsid w:val="10D35E97"/>
    <w:rsid w:val="11114551"/>
    <w:rsid w:val="112269D1"/>
    <w:rsid w:val="112C26E6"/>
    <w:rsid w:val="11356135"/>
    <w:rsid w:val="11800917"/>
    <w:rsid w:val="1182036D"/>
    <w:rsid w:val="118955AD"/>
    <w:rsid w:val="11970BCB"/>
    <w:rsid w:val="1197226B"/>
    <w:rsid w:val="11AA0839"/>
    <w:rsid w:val="11C42470"/>
    <w:rsid w:val="11C71895"/>
    <w:rsid w:val="11CD444A"/>
    <w:rsid w:val="11E2334D"/>
    <w:rsid w:val="11F058CE"/>
    <w:rsid w:val="11FC3F3B"/>
    <w:rsid w:val="122B27B2"/>
    <w:rsid w:val="12445622"/>
    <w:rsid w:val="124D3BAD"/>
    <w:rsid w:val="125A52C4"/>
    <w:rsid w:val="12655D96"/>
    <w:rsid w:val="12816876"/>
    <w:rsid w:val="128E3C38"/>
    <w:rsid w:val="12BF2922"/>
    <w:rsid w:val="12C942C8"/>
    <w:rsid w:val="12DC5F5E"/>
    <w:rsid w:val="12DC7F8C"/>
    <w:rsid w:val="12E82A0B"/>
    <w:rsid w:val="131873D2"/>
    <w:rsid w:val="13274F9C"/>
    <w:rsid w:val="13417410"/>
    <w:rsid w:val="134A448A"/>
    <w:rsid w:val="134F7EA7"/>
    <w:rsid w:val="135107A8"/>
    <w:rsid w:val="135A334F"/>
    <w:rsid w:val="136066CF"/>
    <w:rsid w:val="13615B04"/>
    <w:rsid w:val="13657E31"/>
    <w:rsid w:val="136C3340"/>
    <w:rsid w:val="1387094F"/>
    <w:rsid w:val="139C08EB"/>
    <w:rsid w:val="139D33BA"/>
    <w:rsid w:val="13D35238"/>
    <w:rsid w:val="13D81B1F"/>
    <w:rsid w:val="14061B66"/>
    <w:rsid w:val="140908D1"/>
    <w:rsid w:val="142B5FE2"/>
    <w:rsid w:val="14327E28"/>
    <w:rsid w:val="14542872"/>
    <w:rsid w:val="147E2423"/>
    <w:rsid w:val="1487273A"/>
    <w:rsid w:val="148C28CB"/>
    <w:rsid w:val="148E0DD7"/>
    <w:rsid w:val="14944440"/>
    <w:rsid w:val="14A059A0"/>
    <w:rsid w:val="14B051F1"/>
    <w:rsid w:val="14B97B05"/>
    <w:rsid w:val="14CD31B9"/>
    <w:rsid w:val="14DA6BBE"/>
    <w:rsid w:val="14E67563"/>
    <w:rsid w:val="14F926F4"/>
    <w:rsid w:val="15021B62"/>
    <w:rsid w:val="150A21BA"/>
    <w:rsid w:val="151779D1"/>
    <w:rsid w:val="1522437E"/>
    <w:rsid w:val="15283931"/>
    <w:rsid w:val="15382F40"/>
    <w:rsid w:val="153C6A85"/>
    <w:rsid w:val="15655FDB"/>
    <w:rsid w:val="158374C1"/>
    <w:rsid w:val="15A62ECC"/>
    <w:rsid w:val="15B14179"/>
    <w:rsid w:val="15C516BD"/>
    <w:rsid w:val="15E50ECA"/>
    <w:rsid w:val="160475A2"/>
    <w:rsid w:val="16223ECC"/>
    <w:rsid w:val="16551BAC"/>
    <w:rsid w:val="166266B1"/>
    <w:rsid w:val="169528F0"/>
    <w:rsid w:val="16BF2B60"/>
    <w:rsid w:val="16C724D4"/>
    <w:rsid w:val="16D411E7"/>
    <w:rsid w:val="16ED0036"/>
    <w:rsid w:val="170756D4"/>
    <w:rsid w:val="170F4587"/>
    <w:rsid w:val="176115DC"/>
    <w:rsid w:val="176D7525"/>
    <w:rsid w:val="17824660"/>
    <w:rsid w:val="178F2FF8"/>
    <w:rsid w:val="179121FE"/>
    <w:rsid w:val="17915931"/>
    <w:rsid w:val="17C214C3"/>
    <w:rsid w:val="17C41ABF"/>
    <w:rsid w:val="17E9625D"/>
    <w:rsid w:val="18175D56"/>
    <w:rsid w:val="18276B10"/>
    <w:rsid w:val="18930C59"/>
    <w:rsid w:val="18956BD8"/>
    <w:rsid w:val="189B5F22"/>
    <w:rsid w:val="18A4506D"/>
    <w:rsid w:val="18A70256"/>
    <w:rsid w:val="18A944F8"/>
    <w:rsid w:val="18B73074"/>
    <w:rsid w:val="18DA76F1"/>
    <w:rsid w:val="19034C2D"/>
    <w:rsid w:val="1916127C"/>
    <w:rsid w:val="191C10A7"/>
    <w:rsid w:val="193D465D"/>
    <w:rsid w:val="193D4E12"/>
    <w:rsid w:val="196565AA"/>
    <w:rsid w:val="196C6238"/>
    <w:rsid w:val="198A59D6"/>
    <w:rsid w:val="19A6338C"/>
    <w:rsid w:val="19A73D74"/>
    <w:rsid w:val="19AA5416"/>
    <w:rsid w:val="19B9223B"/>
    <w:rsid w:val="19CE7FF6"/>
    <w:rsid w:val="19D233BF"/>
    <w:rsid w:val="19D70C6D"/>
    <w:rsid w:val="19E2271F"/>
    <w:rsid w:val="1A02204B"/>
    <w:rsid w:val="1A075570"/>
    <w:rsid w:val="1A1324AA"/>
    <w:rsid w:val="1A1C623A"/>
    <w:rsid w:val="1A270D5F"/>
    <w:rsid w:val="1A444411"/>
    <w:rsid w:val="1A4D4CED"/>
    <w:rsid w:val="1A561941"/>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E96AFB"/>
    <w:rsid w:val="1BFE7E24"/>
    <w:rsid w:val="1C100B6A"/>
    <w:rsid w:val="1C2075D6"/>
    <w:rsid w:val="1C2B6CB4"/>
    <w:rsid w:val="1C3774BA"/>
    <w:rsid w:val="1C4E114E"/>
    <w:rsid w:val="1C5D5F8B"/>
    <w:rsid w:val="1C6E241C"/>
    <w:rsid w:val="1C8C20A0"/>
    <w:rsid w:val="1CB07DF9"/>
    <w:rsid w:val="1CC3681B"/>
    <w:rsid w:val="1CF251D3"/>
    <w:rsid w:val="1CFF3217"/>
    <w:rsid w:val="1D0C3E62"/>
    <w:rsid w:val="1D104A7F"/>
    <w:rsid w:val="1D1D0D81"/>
    <w:rsid w:val="1D5835F0"/>
    <w:rsid w:val="1D594678"/>
    <w:rsid w:val="1D8C5045"/>
    <w:rsid w:val="1D9244F8"/>
    <w:rsid w:val="1D931CEA"/>
    <w:rsid w:val="1DC177D9"/>
    <w:rsid w:val="1E1359D3"/>
    <w:rsid w:val="1E18008F"/>
    <w:rsid w:val="1E1A236E"/>
    <w:rsid w:val="1E225BB3"/>
    <w:rsid w:val="1E2A6113"/>
    <w:rsid w:val="1E2D212B"/>
    <w:rsid w:val="1E2E6E13"/>
    <w:rsid w:val="1E32182A"/>
    <w:rsid w:val="1E5A61EE"/>
    <w:rsid w:val="1E713E2F"/>
    <w:rsid w:val="1E980FE4"/>
    <w:rsid w:val="1EA573D8"/>
    <w:rsid w:val="1EA77665"/>
    <w:rsid w:val="1EB0513B"/>
    <w:rsid w:val="1EB72F76"/>
    <w:rsid w:val="1EBC3110"/>
    <w:rsid w:val="1EC10726"/>
    <w:rsid w:val="1EE36B2C"/>
    <w:rsid w:val="1EF342CB"/>
    <w:rsid w:val="1F020A44"/>
    <w:rsid w:val="1F041BC7"/>
    <w:rsid w:val="1F127B09"/>
    <w:rsid w:val="1F2354C8"/>
    <w:rsid w:val="1F36160E"/>
    <w:rsid w:val="1F3F33F9"/>
    <w:rsid w:val="1F4924CA"/>
    <w:rsid w:val="1F5D00BF"/>
    <w:rsid w:val="1F640255"/>
    <w:rsid w:val="1F671677"/>
    <w:rsid w:val="1F722047"/>
    <w:rsid w:val="1F904945"/>
    <w:rsid w:val="1FA7625B"/>
    <w:rsid w:val="1FAA6A2E"/>
    <w:rsid w:val="1FC11059"/>
    <w:rsid w:val="1FD06041"/>
    <w:rsid w:val="1FD06747"/>
    <w:rsid w:val="1FD9384E"/>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109C9"/>
    <w:rsid w:val="20D658C9"/>
    <w:rsid w:val="20D95B5B"/>
    <w:rsid w:val="20DC2416"/>
    <w:rsid w:val="20F22231"/>
    <w:rsid w:val="21015C26"/>
    <w:rsid w:val="21121083"/>
    <w:rsid w:val="211518DD"/>
    <w:rsid w:val="212B2F31"/>
    <w:rsid w:val="21327DB2"/>
    <w:rsid w:val="213A06E6"/>
    <w:rsid w:val="213D6756"/>
    <w:rsid w:val="213D7BD8"/>
    <w:rsid w:val="214C4EC5"/>
    <w:rsid w:val="2153567F"/>
    <w:rsid w:val="21592826"/>
    <w:rsid w:val="217422B6"/>
    <w:rsid w:val="217F6677"/>
    <w:rsid w:val="2188758A"/>
    <w:rsid w:val="21A61686"/>
    <w:rsid w:val="21C13A32"/>
    <w:rsid w:val="22270787"/>
    <w:rsid w:val="224D73DD"/>
    <w:rsid w:val="22592601"/>
    <w:rsid w:val="225F303E"/>
    <w:rsid w:val="22603DB2"/>
    <w:rsid w:val="226D7B83"/>
    <w:rsid w:val="228757E3"/>
    <w:rsid w:val="2293123C"/>
    <w:rsid w:val="22A570EC"/>
    <w:rsid w:val="23046E34"/>
    <w:rsid w:val="232E56FD"/>
    <w:rsid w:val="233F5F96"/>
    <w:rsid w:val="235F4D23"/>
    <w:rsid w:val="236D4028"/>
    <w:rsid w:val="238A4DFC"/>
    <w:rsid w:val="23BC326A"/>
    <w:rsid w:val="240B5FA0"/>
    <w:rsid w:val="24226CC5"/>
    <w:rsid w:val="24253506"/>
    <w:rsid w:val="24312A4A"/>
    <w:rsid w:val="244A5E9A"/>
    <w:rsid w:val="244C4BB8"/>
    <w:rsid w:val="24691193"/>
    <w:rsid w:val="246C3A46"/>
    <w:rsid w:val="247152E7"/>
    <w:rsid w:val="247E49C4"/>
    <w:rsid w:val="24FF7718"/>
    <w:rsid w:val="251A7612"/>
    <w:rsid w:val="25237A22"/>
    <w:rsid w:val="252C2672"/>
    <w:rsid w:val="252E0774"/>
    <w:rsid w:val="25481BCE"/>
    <w:rsid w:val="256E1E26"/>
    <w:rsid w:val="25812F8D"/>
    <w:rsid w:val="25814DB7"/>
    <w:rsid w:val="25824959"/>
    <w:rsid w:val="259465A5"/>
    <w:rsid w:val="25987A23"/>
    <w:rsid w:val="25AE12D9"/>
    <w:rsid w:val="25BC46FF"/>
    <w:rsid w:val="25C517A2"/>
    <w:rsid w:val="25EE5B79"/>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301EDB"/>
    <w:rsid w:val="27453115"/>
    <w:rsid w:val="27606603"/>
    <w:rsid w:val="276C029F"/>
    <w:rsid w:val="27867E0A"/>
    <w:rsid w:val="27982DD4"/>
    <w:rsid w:val="27DD09CE"/>
    <w:rsid w:val="27EC553C"/>
    <w:rsid w:val="280C4BFC"/>
    <w:rsid w:val="2813394B"/>
    <w:rsid w:val="281C1F63"/>
    <w:rsid w:val="281C54D8"/>
    <w:rsid w:val="283610D5"/>
    <w:rsid w:val="2838132E"/>
    <w:rsid w:val="285F5293"/>
    <w:rsid w:val="28622D71"/>
    <w:rsid w:val="286E69FD"/>
    <w:rsid w:val="28A10C81"/>
    <w:rsid w:val="28B704A4"/>
    <w:rsid w:val="28C56178"/>
    <w:rsid w:val="28FA546B"/>
    <w:rsid w:val="28FE025E"/>
    <w:rsid w:val="29245F1A"/>
    <w:rsid w:val="29366359"/>
    <w:rsid w:val="2944245B"/>
    <w:rsid w:val="29565F0F"/>
    <w:rsid w:val="29586D7A"/>
    <w:rsid w:val="29772B51"/>
    <w:rsid w:val="29791894"/>
    <w:rsid w:val="2984235F"/>
    <w:rsid w:val="29967FD2"/>
    <w:rsid w:val="29A52D8F"/>
    <w:rsid w:val="29C56C3A"/>
    <w:rsid w:val="29D85278"/>
    <w:rsid w:val="29E1380C"/>
    <w:rsid w:val="29E311EC"/>
    <w:rsid w:val="29E85046"/>
    <w:rsid w:val="2A017BFD"/>
    <w:rsid w:val="2A0A71F8"/>
    <w:rsid w:val="2A0C2A72"/>
    <w:rsid w:val="2A4913A2"/>
    <w:rsid w:val="2A9154D8"/>
    <w:rsid w:val="2AA04C57"/>
    <w:rsid w:val="2AD750C3"/>
    <w:rsid w:val="2AE77D08"/>
    <w:rsid w:val="2AEA3011"/>
    <w:rsid w:val="2AF47C57"/>
    <w:rsid w:val="2AFA0B1C"/>
    <w:rsid w:val="2B252D72"/>
    <w:rsid w:val="2B3E0375"/>
    <w:rsid w:val="2B492499"/>
    <w:rsid w:val="2B65068C"/>
    <w:rsid w:val="2B652A8D"/>
    <w:rsid w:val="2B6C55DB"/>
    <w:rsid w:val="2B8D5640"/>
    <w:rsid w:val="2BF4029C"/>
    <w:rsid w:val="2BF612E4"/>
    <w:rsid w:val="2C1C6937"/>
    <w:rsid w:val="2C202757"/>
    <w:rsid w:val="2C270D43"/>
    <w:rsid w:val="2C2B5431"/>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073C7C"/>
    <w:rsid w:val="2E12192B"/>
    <w:rsid w:val="2E652B8E"/>
    <w:rsid w:val="2E66167A"/>
    <w:rsid w:val="2E6C7EF1"/>
    <w:rsid w:val="2E6D69DB"/>
    <w:rsid w:val="2E6F6584"/>
    <w:rsid w:val="2E7823B0"/>
    <w:rsid w:val="2E933BCE"/>
    <w:rsid w:val="2E9C6490"/>
    <w:rsid w:val="2EA40069"/>
    <w:rsid w:val="2EAA3B87"/>
    <w:rsid w:val="2EB66E96"/>
    <w:rsid w:val="2EBC23A0"/>
    <w:rsid w:val="2EF150F1"/>
    <w:rsid w:val="2EFA0191"/>
    <w:rsid w:val="2F2C308C"/>
    <w:rsid w:val="2F3A7992"/>
    <w:rsid w:val="2F436846"/>
    <w:rsid w:val="2F4556CE"/>
    <w:rsid w:val="2F6F3C93"/>
    <w:rsid w:val="2F754A27"/>
    <w:rsid w:val="2FB1448A"/>
    <w:rsid w:val="2FC802AE"/>
    <w:rsid w:val="301C41BF"/>
    <w:rsid w:val="302369A0"/>
    <w:rsid w:val="303474C0"/>
    <w:rsid w:val="305C41A9"/>
    <w:rsid w:val="307C26FF"/>
    <w:rsid w:val="30820205"/>
    <w:rsid w:val="308E41B5"/>
    <w:rsid w:val="30952C59"/>
    <w:rsid w:val="309D2676"/>
    <w:rsid w:val="30B8300C"/>
    <w:rsid w:val="30C9346B"/>
    <w:rsid w:val="30FF4D69"/>
    <w:rsid w:val="310E5321"/>
    <w:rsid w:val="3113559B"/>
    <w:rsid w:val="311978DB"/>
    <w:rsid w:val="311C17EC"/>
    <w:rsid w:val="312421F6"/>
    <w:rsid w:val="3127420C"/>
    <w:rsid w:val="31477BEB"/>
    <w:rsid w:val="315523B1"/>
    <w:rsid w:val="31614989"/>
    <w:rsid w:val="318850D4"/>
    <w:rsid w:val="3198056E"/>
    <w:rsid w:val="31CD31BF"/>
    <w:rsid w:val="31D72AD0"/>
    <w:rsid w:val="31E10F55"/>
    <w:rsid w:val="31F664E1"/>
    <w:rsid w:val="320B7F80"/>
    <w:rsid w:val="3219008D"/>
    <w:rsid w:val="32215B79"/>
    <w:rsid w:val="322241F2"/>
    <w:rsid w:val="3229379D"/>
    <w:rsid w:val="32294133"/>
    <w:rsid w:val="322D5AFA"/>
    <w:rsid w:val="323D7C6C"/>
    <w:rsid w:val="32514C44"/>
    <w:rsid w:val="328916BE"/>
    <w:rsid w:val="329655CE"/>
    <w:rsid w:val="32974C7A"/>
    <w:rsid w:val="32BB4ABE"/>
    <w:rsid w:val="32C8549C"/>
    <w:rsid w:val="32CA16D9"/>
    <w:rsid w:val="32E4633A"/>
    <w:rsid w:val="32E83928"/>
    <w:rsid w:val="32F45590"/>
    <w:rsid w:val="330469DC"/>
    <w:rsid w:val="33153DF8"/>
    <w:rsid w:val="331C19F3"/>
    <w:rsid w:val="33380434"/>
    <w:rsid w:val="33577373"/>
    <w:rsid w:val="336A419B"/>
    <w:rsid w:val="336A59CC"/>
    <w:rsid w:val="337020BD"/>
    <w:rsid w:val="33773188"/>
    <w:rsid w:val="337E77C9"/>
    <w:rsid w:val="338F53C2"/>
    <w:rsid w:val="33925662"/>
    <w:rsid w:val="339B7AA1"/>
    <w:rsid w:val="33B7637D"/>
    <w:rsid w:val="33C10429"/>
    <w:rsid w:val="33D4661F"/>
    <w:rsid w:val="33ED39C2"/>
    <w:rsid w:val="340F56DE"/>
    <w:rsid w:val="3425597D"/>
    <w:rsid w:val="342A5DF5"/>
    <w:rsid w:val="34394463"/>
    <w:rsid w:val="344851FD"/>
    <w:rsid w:val="345E036E"/>
    <w:rsid w:val="349B5E0E"/>
    <w:rsid w:val="34A432B6"/>
    <w:rsid w:val="34AA020B"/>
    <w:rsid w:val="34B9743A"/>
    <w:rsid w:val="34BC17DA"/>
    <w:rsid w:val="34D015E3"/>
    <w:rsid w:val="34EC3BCC"/>
    <w:rsid w:val="34F85DA8"/>
    <w:rsid w:val="3509398E"/>
    <w:rsid w:val="3547266B"/>
    <w:rsid w:val="35540E41"/>
    <w:rsid w:val="3554479E"/>
    <w:rsid w:val="3566572C"/>
    <w:rsid w:val="357D63E5"/>
    <w:rsid w:val="357F00D0"/>
    <w:rsid w:val="35894506"/>
    <w:rsid w:val="35A377DB"/>
    <w:rsid w:val="35E7387F"/>
    <w:rsid w:val="35E81F7A"/>
    <w:rsid w:val="35EF4AF5"/>
    <w:rsid w:val="35F52BF3"/>
    <w:rsid w:val="35FB0763"/>
    <w:rsid w:val="360530D8"/>
    <w:rsid w:val="3605698A"/>
    <w:rsid w:val="36162F1C"/>
    <w:rsid w:val="363277D2"/>
    <w:rsid w:val="366244D5"/>
    <w:rsid w:val="36826596"/>
    <w:rsid w:val="36A82C1D"/>
    <w:rsid w:val="36B34449"/>
    <w:rsid w:val="36C342D9"/>
    <w:rsid w:val="36D93CDC"/>
    <w:rsid w:val="370F2E93"/>
    <w:rsid w:val="370F32ED"/>
    <w:rsid w:val="37287623"/>
    <w:rsid w:val="374B6987"/>
    <w:rsid w:val="374E35E0"/>
    <w:rsid w:val="37560CC6"/>
    <w:rsid w:val="378D0CEB"/>
    <w:rsid w:val="379A026D"/>
    <w:rsid w:val="37A2207E"/>
    <w:rsid w:val="37A2434F"/>
    <w:rsid w:val="37A70E90"/>
    <w:rsid w:val="37B81B43"/>
    <w:rsid w:val="37D746BF"/>
    <w:rsid w:val="37ED6D6E"/>
    <w:rsid w:val="3809239F"/>
    <w:rsid w:val="380C3B20"/>
    <w:rsid w:val="381039F4"/>
    <w:rsid w:val="381B27FE"/>
    <w:rsid w:val="38422CE2"/>
    <w:rsid w:val="38464281"/>
    <w:rsid w:val="386E21B0"/>
    <w:rsid w:val="38AE496C"/>
    <w:rsid w:val="38B54D45"/>
    <w:rsid w:val="38D242CD"/>
    <w:rsid w:val="393E0C7A"/>
    <w:rsid w:val="39470BCD"/>
    <w:rsid w:val="39821F75"/>
    <w:rsid w:val="398B5520"/>
    <w:rsid w:val="398C3DB7"/>
    <w:rsid w:val="39AB6275"/>
    <w:rsid w:val="39E17621"/>
    <w:rsid w:val="39E84962"/>
    <w:rsid w:val="39F227B1"/>
    <w:rsid w:val="3A151290"/>
    <w:rsid w:val="3A201663"/>
    <w:rsid w:val="3A257964"/>
    <w:rsid w:val="3A292038"/>
    <w:rsid w:val="3A30627B"/>
    <w:rsid w:val="3A4A1178"/>
    <w:rsid w:val="3A524E6B"/>
    <w:rsid w:val="3A575643"/>
    <w:rsid w:val="3A762A49"/>
    <w:rsid w:val="3A826354"/>
    <w:rsid w:val="3A9D28F5"/>
    <w:rsid w:val="3ACD43C9"/>
    <w:rsid w:val="3AFF2C64"/>
    <w:rsid w:val="3B135A0E"/>
    <w:rsid w:val="3B2F69DB"/>
    <w:rsid w:val="3B667011"/>
    <w:rsid w:val="3B79226F"/>
    <w:rsid w:val="3B8F1138"/>
    <w:rsid w:val="3B904834"/>
    <w:rsid w:val="3B932344"/>
    <w:rsid w:val="3B9D20F5"/>
    <w:rsid w:val="3BB33F88"/>
    <w:rsid w:val="3BC15D34"/>
    <w:rsid w:val="3BD93153"/>
    <w:rsid w:val="3BDA6996"/>
    <w:rsid w:val="3C0A3047"/>
    <w:rsid w:val="3C2E50FB"/>
    <w:rsid w:val="3C37637A"/>
    <w:rsid w:val="3C4A12AD"/>
    <w:rsid w:val="3C502C92"/>
    <w:rsid w:val="3C5125FC"/>
    <w:rsid w:val="3C690ECB"/>
    <w:rsid w:val="3C6D19B7"/>
    <w:rsid w:val="3C860AC6"/>
    <w:rsid w:val="3C8967A4"/>
    <w:rsid w:val="3C960BC8"/>
    <w:rsid w:val="3C9848A1"/>
    <w:rsid w:val="3CA509B7"/>
    <w:rsid w:val="3CA509D1"/>
    <w:rsid w:val="3CD537E6"/>
    <w:rsid w:val="3CD93879"/>
    <w:rsid w:val="3CF950D8"/>
    <w:rsid w:val="3D2571D3"/>
    <w:rsid w:val="3D5E4936"/>
    <w:rsid w:val="3D7A2818"/>
    <w:rsid w:val="3D7A7FC6"/>
    <w:rsid w:val="3D8106EA"/>
    <w:rsid w:val="3D834DF8"/>
    <w:rsid w:val="3D95652D"/>
    <w:rsid w:val="3DA352B1"/>
    <w:rsid w:val="3DBA61E7"/>
    <w:rsid w:val="3DC14624"/>
    <w:rsid w:val="3DD55956"/>
    <w:rsid w:val="3E0B6E71"/>
    <w:rsid w:val="3E100FFC"/>
    <w:rsid w:val="3E201534"/>
    <w:rsid w:val="3E651EE9"/>
    <w:rsid w:val="3E6F5651"/>
    <w:rsid w:val="3E784A78"/>
    <w:rsid w:val="3E8554F5"/>
    <w:rsid w:val="3EB65E71"/>
    <w:rsid w:val="3EC33032"/>
    <w:rsid w:val="3EC61DB3"/>
    <w:rsid w:val="3EF25EDB"/>
    <w:rsid w:val="3EF62661"/>
    <w:rsid w:val="3EF67B21"/>
    <w:rsid w:val="3F3C595E"/>
    <w:rsid w:val="3F59346C"/>
    <w:rsid w:val="3F657308"/>
    <w:rsid w:val="3F6A0A2F"/>
    <w:rsid w:val="3F7856B5"/>
    <w:rsid w:val="3F7970EE"/>
    <w:rsid w:val="3F8003ED"/>
    <w:rsid w:val="3F8B5F41"/>
    <w:rsid w:val="3FC519F7"/>
    <w:rsid w:val="3FD0326B"/>
    <w:rsid w:val="3FD34D1A"/>
    <w:rsid w:val="3FE0432D"/>
    <w:rsid w:val="3FED63B1"/>
    <w:rsid w:val="40031733"/>
    <w:rsid w:val="40076D3D"/>
    <w:rsid w:val="40093884"/>
    <w:rsid w:val="401F65F0"/>
    <w:rsid w:val="404470DB"/>
    <w:rsid w:val="404C2292"/>
    <w:rsid w:val="405D572D"/>
    <w:rsid w:val="408D1EA0"/>
    <w:rsid w:val="408E2DBF"/>
    <w:rsid w:val="409D2A1A"/>
    <w:rsid w:val="40A752D1"/>
    <w:rsid w:val="40B21FB5"/>
    <w:rsid w:val="40B82BB4"/>
    <w:rsid w:val="40B95E2E"/>
    <w:rsid w:val="40BE466E"/>
    <w:rsid w:val="40C17F9E"/>
    <w:rsid w:val="40C43B66"/>
    <w:rsid w:val="40D0614F"/>
    <w:rsid w:val="40E247F7"/>
    <w:rsid w:val="40EE5966"/>
    <w:rsid w:val="410F1967"/>
    <w:rsid w:val="41182A7C"/>
    <w:rsid w:val="41335FC7"/>
    <w:rsid w:val="414D77A0"/>
    <w:rsid w:val="415978C8"/>
    <w:rsid w:val="415C1B4D"/>
    <w:rsid w:val="417843F2"/>
    <w:rsid w:val="41807B75"/>
    <w:rsid w:val="418A1799"/>
    <w:rsid w:val="41A61C3F"/>
    <w:rsid w:val="41B17185"/>
    <w:rsid w:val="41F05895"/>
    <w:rsid w:val="420C70DA"/>
    <w:rsid w:val="4226611D"/>
    <w:rsid w:val="425402BB"/>
    <w:rsid w:val="42564ADA"/>
    <w:rsid w:val="42747A95"/>
    <w:rsid w:val="427E2307"/>
    <w:rsid w:val="427E52C8"/>
    <w:rsid w:val="429D02B3"/>
    <w:rsid w:val="42C65A5C"/>
    <w:rsid w:val="42CA78EF"/>
    <w:rsid w:val="42D00689"/>
    <w:rsid w:val="42FA6BD0"/>
    <w:rsid w:val="42FB4E01"/>
    <w:rsid w:val="4301585B"/>
    <w:rsid w:val="431B31A4"/>
    <w:rsid w:val="43325808"/>
    <w:rsid w:val="43373255"/>
    <w:rsid w:val="433E1CAF"/>
    <w:rsid w:val="43412297"/>
    <w:rsid w:val="43413ED4"/>
    <w:rsid w:val="43594499"/>
    <w:rsid w:val="43636C3F"/>
    <w:rsid w:val="436E5353"/>
    <w:rsid w:val="438073DF"/>
    <w:rsid w:val="439D6340"/>
    <w:rsid w:val="43E268C5"/>
    <w:rsid w:val="43FD7280"/>
    <w:rsid w:val="441532B2"/>
    <w:rsid w:val="441C5686"/>
    <w:rsid w:val="441E55BD"/>
    <w:rsid w:val="442C59F4"/>
    <w:rsid w:val="442C5CE7"/>
    <w:rsid w:val="443F7EE3"/>
    <w:rsid w:val="44477A7A"/>
    <w:rsid w:val="445A5900"/>
    <w:rsid w:val="44831552"/>
    <w:rsid w:val="449D27EC"/>
    <w:rsid w:val="44A72CB4"/>
    <w:rsid w:val="44DC0CFE"/>
    <w:rsid w:val="44DC4FCA"/>
    <w:rsid w:val="44FD1C6D"/>
    <w:rsid w:val="453F207E"/>
    <w:rsid w:val="454276A8"/>
    <w:rsid w:val="45465AD9"/>
    <w:rsid w:val="456049D1"/>
    <w:rsid w:val="457C4AF8"/>
    <w:rsid w:val="45A100BA"/>
    <w:rsid w:val="45A31600"/>
    <w:rsid w:val="45C5024D"/>
    <w:rsid w:val="45D466E2"/>
    <w:rsid w:val="45E526C2"/>
    <w:rsid w:val="45EF5694"/>
    <w:rsid w:val="45F32D75"/>
    <w:rsid w:val="45FE4441"/>
    <w:rsid w:val="46004922"/>
    <w:rsid w:val="460934CE"/>
    <w:rsid w:val="461F685B"/>
    <w:rsid w:val="463A35BA"/>
    <w:rsid w:val="464478D6"/>
    <w:rsid w:val="46594972"/>
    <w:rsid w:val="46763AFA"/>
    <w:rsid w:val="46A86AC5"/>
    <w:rsid w:val="46AF0ACC"/>
    <w:rsid w:val="46CD2EA3"/>
    <w:rsid w:val="46E33C2A"/>
    <w:rsid w:val="46EB5C2E"/>
    <w:rsid w:val="47191F43"/>
    <w:rsid w:val="471B210D"/>
    <w:rsid w:val="47330BB1"/>
    <w:rsid w:val="474340E1"/>
    <w:rsid w:val="47523754"/>
    <w:rsid w:val="4754737E"/>
    <w:rsid w:val="47652DEC"/>
    <w:rsid w:val="476E5DEA"/>
    <w:rsid w:val="478D50EB"/>
    <w:rsid w:val="47914A33"/>
    <w:rsid w:val="479B0044"/>
    <w:rsid w:val="479C10BC"/>
    <w:rsid w:val="47A4380D"/>
    <w:rsid w:val="47A6297A"/>
    <w:rsid w:val="47B35BF8"/>
    <w:rsid w:val="47C01A50"/>
    <w:rsid w:val="47C041C7"/>
    <w:rsid w:val="47CB4E60"/>
    <w:rsid w:val="47CD1E0C"/>
    <w:rsid w:val="47D964DB"/>
    <w:rsid w:val="47F00E85"/>
    <w:rsid w:val="47FC33A5"/>
    <w:rsid w:val="48012A31"/>
    <w:rsid w:val="48117779"/>
    <w:rsid w:val="481D4366"/>
    <w:rsid w:val="485803F1"/>
    <w:rsid w:val="485E2C28"/>
    <w:rsid w:val="4865215C"/>
    <w:rsid w:val="486942C4"/>
    <w:rsid w:val="487B552A"/>
    <w:rsid w:val="48825F81"/>
    <w:rsid w:val="48842F37"/>
    <w:rsid w:val="48A34F21"/>
    <w:rsid w:val="48B05292"/>
    <w:rsid w:val="48B971DC"/>
    <w:rsid w:val="48F556EA"/>
    <w:rsid w:val="491946D3"/>
    <w:rsid w:val="4924047E"/>
    <w:rsid w:val="49276380"/>
    <w:rsid w:val="49441489"/>
    <w:rsid w:val="4948117F"/>
    <w:rsid w:val="494B0B0D"/>
    <w:rsid w:val="49627B61"/>
    <w:rsid w:val="497E20AD"/>
    <w:rsid w:val="49820EB7"/>
    <w:rsid w:val="498A77E3"/>
    <w:rsid w:val="499416E9"/>
    <w:rsid w:val="49A63EAD"/>
    <w:rsid w:val="49B4166E"/>
    <w:rsid w:val="49BA2C9E"/>
    <w:rsid w:val="49BC3715"/>
    <w:rsid w:val="49C56A6D"/>
    <w:rsid w:val="49D26E8C"/>
    <w:rsid w:val="49F72310"/>
    <w:rsid w:val="49FD2EE4"/>
    <w:rsid w:val="49FD6207"/>
    <w:rsid w:val="4A0B4FDE"/>
    <w:rsid w:val="4A343D11"/>
    <w:rsid w:val="4A497D35"/>
    <w:rsid w:val="4A8A37D8"/>
    <w:rsid w:val="4A8B4AB2"/>
    <w:rsid w:val="4AD9595B"/>
    <w:rsid w:val="4AF93EAE"/>
    <w:rsid w:val="4AFC3A3A"/>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324162"/>
    <w:rsid w:val="4C5419A1"/>
    <w:rsid w:val="4C5429A3"/>
    <w:rsid w:val="4C645A11"/>
    <w:rsid w:val="4C87254B"/>
    <w:rsid w:val="4CDE4416"/>
    <w:rsid w:val="4D004DF6"/>
    <w:rsid w:val="4D1C2C8C"/>
    <w:rsid w:val="4D1E77BE"/>
    <w:rsid w:val="4D245FC5"/>
    <w:rsid w:val="4D27359B"/>
    <w:rsid w:val="4D2B3B2C"/>
    <w:rsid w:val="4D4E0B28"/>
    <w:rsid w:val="4DA943B0"/>
    <w:rsid w:val="4DC515BB"/>
    <w:rsid w:val="4DCB5984"/>
    <w:rsid w:val="4DD64458"/>
    <w:rsid w:val="4DDD4E1A"/>
    <w:rsid w:val="4DE00A28"/>
    <w:rsid w:val="4DF9095E"/>
    <w:rsid w:val="4E061402"/>
    <w:rsid w:val="4E135BFA"/>
    <w:rsid w:val="4E1B2DDB"/>
    <w:rsid w:val="4E250E8C"/>
    <w:rsid w:val="4E355E12"/>
    <w:rsid w:val="4E5D7C3A"/>
    <w:rsid w:val="4E7C0211"/>
    <w:rsid w:val="4E8D762E"/>
    <w:rsid w:val="4E9B1112"/>
    <w:rsid w:val="4EA06365"/>
    <w:rsid w:val="4EAC3D58"/>
    <w:rsid w:val="4EB26E94"/>
    <w:rsid w:val="4EBD3915"/>
    <w:rsid w:val="4ECD54B1"/>
    <w:rsid w:val="4ED4046B"/>
    <w:rsid w:val="4EDF4B15"/>
    <w:rsid w:val="4EF43B16"/>
    <w:rsid w:val="4F0E1E8F"/>
    <w:rsid w:val="4F2B6C13"/>
    <w:rsid w:val="4F3153D3"/>
    <w:rsid w:val="4F344804"/>
    <w:rsid w:val="4F3C6216"/>
    <w:rsid w:val="4F4915A7"/>
    <w:rsid w:val="4F5F3ED1"/>
    <w:rsid w:val="4F7800DE"/>
    <w:rsid w:val="4F804E7C"/>
    <w:rsid w:val="4F85516A"/>
    <w:rsid w:val="4F944D8F"/>
    <w:rsid w:val="4F9E64EC"/>
    <w:rsid w:val="4FCA5221"/>
    <w:rsid w:val="4FED0FB9"/>
    <w:rsid w:val="501B26BA"/>
    <w:rsid w:val="50561719"/>
    <w:rsid w:val="507410D2"/>
    <w:rsid w:val="50A4392E"/>
    <w:rsid w:val="50A97681"/>
    <w:rsid w:val="50AE3B94"/>
    <w:rsid w:val="50AF7418"/>
    <w:rsid w:val="50E93575"/>
    <w:rsid w:val="50EE4AFC"/>
    <w:rsid w:val="50F04D4E"/>
    <w:rsid w:val="50F57385"/>
    <w:rsid w:val="50F6016F"/>
    <w:rsid w:val="50FB1FB9"/>
    <w:rsid w:val="51132FF4"/>
    <w:rsid w:val="51151213"/>
    <w:rsid w:val="51275918"/>
    <w:rsid w:val="512C1180"/>
    <w:rsid w:val="513225F9"/>
    <w:rsid w:val="513F5114"/>
    <w:rsid w:val="513F7105"/>
    <w:rsid w:val="51440384"/>
    <w:rsid w:val="51532BB1"/>
    <w:rsid w:val="515E6A1B"/>
    <w:rsid w:val="516B705C"/>
    <w:rsid w:val="5177537A"/>
    <w:rsid w:val="518806E3"/>
    <w:rsid w:val="51A1217B"/>
    <w:rsid w:val="51A47CAD"/>
    <w:rsid w:val="51B13133"/>
    <w:rsid w:val="51BC2004"/>
    <w:rsid w:val="51C462A1"/>
    <w:rsid w:val="51CB0C5C"/>
    <w:rsid w:val="51CB74F6"/>
    <w:rsid w:val="51D13948"/>
    <w:rsid w:val="51E97071"/>
    <w:rsid w:val="51EB5979"/>
    <w:rsid w:val="521A0101"/>
    <w:rsid w:val="52241967"/>
    <w:rsid w:val="52263E21"/>
    <w:rsid w:val="522D1CB6"/>
    <w:rsid w:val="52444C58"/>
    <w:rsid w:val="525A1D1D"/>
    <w:rsid w:val="5263075C"/>
    <w:rsid w:val="52660A26"/>
    <w:rsid w:val="52717995"/>
    <w:rsid w:val="528315FB"/>
    <w:rsid w:val="52910142"/>
    <w:rsid w:val="52942F40"/>
    <w:rsid w:val="52990759"/>
    <w:rsid w:val="529E42FF"/>
    <w:rsid w:val="52B23907"/>
    <w:rsid w:val="52B87033"/>
    <w:rsid w:val="52BE5917"/>
    <w:rsid w:val="52D26564"/>
    <w:rsid w:val="52ED3633"/>
    <w:rsid w:val="52F766E2"/>
    <w:rsid w:val="530C485B"/>
    <w:rsid w:val="531B72EC"/>
    <w:rsid w:val="531C6FD2"/>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31D7C"/>
    <w:rsid w:val="542913B3"/>
    <w:rsid w:val="543A39C2"/>
    <w:rsid w:val="543F18BA"/>
    <w:rsid w:val="5464302C"/>
    <w:rsid w:val="54776BB6"/>
    <w:rsid w:val="54883400"/>
    <w:rsid w:val="54932F58"/>
    <w:rsid w:val="54A81CB5"/>
    <w:rsid w:val="54C41B11"/>
    <w:rsid w:val="54E16725"/>
    <w:rsid w:val="550E49C6"/>
    <w:rsid w:val="55124B31"/>
    <w:rsid w:val="55457003"/>
    <w:rsid w:val="55A47D96"/>
    <w:rsid w:val="55C94049"/>
    <w:rsid w:val="55D65B5E"/>
    <w:rsid w:val="55DA287E"/>
    <w:rsid w:val="55DD1819"/>
    <w:rsid w:val="55EE6DAD"/>
    <w:rsid w:val="56073162"/>
    <w:rsid w:val="5609127C"/>
    <w:rsid w:val="56243B92"/>
    <w:rsid w:val="563D619D"/>
    <w:rsid w:val="56413F2B"/>
    <w:rsid w:val="56537C47"/>
    <w:rsid w:val="56A010C0"/>
    <w:rsid w:val="56B96B8E"/>
    <w:rsid w:val="56C747B5"/>
    <w:rsid w:val="56D42684"/>
    <w:rsid w:val="56DD2471"/>
    <w:rsid w:val="571974A0"/>
    <w:rsid w:val="57210A6D"/>
    <w:rsid w:val="57263EF3"/>
    <w:rsid w:val="57390153"/>
    <w:rsid w:val="5744214A"/>
    <w:rsid w:val="574B480A"/>
    <w:rsid w:val="57543081"/>
    <w:rsid w:val="577544EF"/>
    <w:rsid w:val="5789649C"/>
    <w:rsid w:val="57A373F0"/>
    <w:rsid w:val="57A37CC2"/>
    <w:rsid w:val="57C83C57"/>
    <w:rsid w:val="57FB2FB4"/>
    <w:rsid w:val="580F65A6"/>
    <w:rsid w:val="582028C2"/>
    <w:rsid w:val="582908A2"/>
    <w:rsid w:val="583D07DD"/>
    <w:rsid w:val="585F1862"/>
    <w:rsid w:val="58620D26"/>
    <w:rsid w:val="58706FB1"/>
    <w:rsid w:val="587C5983"/>
    <w:rsid w:val="58E8415E"/>
    <w:rsid w:val="58ED1995"/>
    <w:rsid w:val="58FF1A45"/>
    <w:rsid w:val="591578E8"/>
    <w:rsid w:val="591C580B"/>
    <w:rsid w:val="5926497A"/>
    <w:rsid w:val="592A1893"/>
    <w:rsid w:val="594B1251"/>
    <w:rsid w:val="595D3E12"/>
    <w:rsid w:val="59861649"/>
    <w:rsid w:val="59961EFB"/>
    <w:rsid w:val="59A11353"/>
    <w:rsid w:val="59B40569"/>
    <w:rsid w:val="5A0336C4"/>
    <w:rsid w:val="5A110C94"/>
    <w:rsid w:val="5A1629CD"/>
    <w:rsid w:val="5A1D0D82"/>
    <w:rsid w:val="5A20315B"/>
    <w:rsid w:val="5A4C2893"/>
    <w:rsid w:val="5A5827FE"/>
    <w:rsid w:val="5A64198B"/>
    <w:rsid w:val="5A70211C"/>
    <w:rsid w:val="5A843DDB"/>
    <w:rsid w:val="5AAB2A29"/>
    <w:rsid w:val="5AAB3211"/>
    <w:rsid w:val="5AAC7307"/>
    <w:rsid w:val="5AAE0E58"/>
    <w:rsid w:val="5AB86388"/>
    <w:rsid w:val="5ABF41C0"/>
    <w:rsid w:val="5ACA577B"/>
    <w:rsid w:val="5AD07CB2"/>
    <w:rsid w:val="5AE37CAA"/>
    <w:rsid w:val="5AEF1DC1"/>
    <w:rsid w:val="5B1E422F"/>
    <w:rsid w:val="5B353486"/>
    <w:rsid w:val="5B3A7E78"/>
    <w:rsid w:val="5B3D442E"/>
    <w:rsid w:val="5B412C22"/>
    <w:rsid w:val="5B4B2EB1"/>
    <w:rsid w:val="5B4C4277"/>
    <w:rsid w:val="5B510D60"/>
    <w:rsid w:val="5B570332"/>
    <w:rsid w:val="5B5F0395"/>
    <w:rsid w:val="5B6300A3"/>
    <w:rsid w:val="5B6C0ED6"/>
    <w:rsid w:val="5B7200D7"/>
    <w:rsid w:val="5B790B4E"/>
    <w:rsid w:val="5B7A2400"/>
    <w:rsid w:val="5B977B3E"/>
    <w:rsid w:val="5B9B626D"/>
    <w:rsid w:val="5BA762EC"/>
    <w:rsid w:val="5BD32897"/>
    <w:rsid w:val="5BF50A44"/>
    <w:rsid w:val="5C1904F2"/>
    <w:rsid w:val="5C1949F7"/>
    <w:rsid w:val="5C295CCC"/>
    <w:rsid w:val="5C381A3A"/>
    <w:rsid w:val="5C5C135C"/>
    <w:rsid w:val="5C872DAA"/>
    <w:rsid w:val="5C974816"/>
    <w:rsid w:val="5CA97228"/>
    <w:rsid w:val="5CB214C2"/>
    <w:rsid w:val="5CBA57BD"/>
    <w:rsid w:val="5CBC3D00"/>
    <w:rsid w:val="5CC5471C"/>
    <w:rsid w:val="5CD56B70"/>
    <w:rsid w:val="5CD66444"/>
    <w:rsid w:val="5CDC5386"/>
    <w:rsid w:val="5CEE7B85"/>
    <w:rsid w:val="5CF07506"/>
    <w:rsid w:val="5CF73D69"/>
    <w:rsid w:val="5D1A038D"/>
    <w:rsid w:val="5D202057"/>
    <w:rsid w:val="5D4700C2"/>
    <w:rsid w:val="5D6C4615"/>
    <w:rsid w:val="5D7C5A81"/>
    <w:rsid w:val="5DD31E8F"/>
    <w:rsid w:val="5DDF2196"/>
    <w:rsid w:val="5DF704AE"/>
    <w:rsid w:val="5DF954B7"/>
    <w:rsid w:val="5DFB2606"/>
    <w:rsid w:val="5DFF05CD"/>
    <w:rsid w:val="5E1672C2"/>
    <w:rsid w:val="5E1B6033"/>
    <w:rsid w:val="5E2612F9"/>
    <w:rsid w:val="5E534129"/>
    <w:rsid w:val="5E6E3C24"/>
    <w:rsid w:val="5E7255BD"/>
    <w:rsid w:val="5E7B54F5"/>
    <w:rsid w:val="5E937CCC"/>
    <w:rsid w:val="5EC56770"/>
    <w:rsid w:val="5EF83794"/>
    <w:rsid w:val="5F0173CC"/>
    <w:rsid w:val="5F1A1A93"/>
    <w:rsid w:val="5F287F7E"/>
    <w:rsid w:val="5F475677"/>
    <w:rsid w:val="5F484198"/>
    <w:rsid w:val="5F567498"/>
    <w:rsid w:val="5F7D71F9"/>
    <w:rsid w:val="5F8420E2"/>
    <w:rsid w:val="5F887220"/>
    <w:rsid w:val="5F9022AB"/>
    <w:rsid w:val="5FB6407B"/>
    <w:rsid w:val="5FB81E56"/>
    <w:rsid w:val="5FD85FDC"/>
    <w:rsid w:val="5FEB78D3"/>
    <w:rsid w:val="5FEC00EE"/>
    <w:rsid w:val="600951D4"/>
    <w:rsid w:val="600E57FE"/>
    <w:rsid w:val="6010358A"/>
    <w:rsid w:val="60156960"/>
    <w:rsid w:val="601A25EF"/>
    <w:rsid w:val="60250EC1"/>
    <w:rsid w:val="603E7832"/>
    <w:rsid w:val="6044067F"/>
    <w:rsid w:val="60732927"/>
    <w:rsid w:val="60793AF7"/>
    <w:rsid w:val="608A5EC3"/>
    <w:rsid w:val="609805E0"/>
    <w:rsid w:val="6099592B"/>
    <w:rsid w:val="60A13AB9"/>
    <w:rsid w:val="60A7744C"/>
    <w:rsid w:val="60CF04AB"/>
    <w:rsid w:val="60DB5486"/>
    <w:rsid w:val="60E82C1A"/>
    <w:rsid w:val="60EC0541"/>
    <w:rsid w:val="60FD245E"/>
    <w:rsid w:val="61033EA8"/>
    <w:rsid w:val="610A1613"/>
    <w:rsid w:val="610E0DD2"/>
    <w:rsid w:val="61251167"/>
    <w:rsid w:val="613170F5"/>
    <w:rsid w:val="61355E2F"/>
    <w:rsid w:val="61432D9E"/>
    <w:rsid w:val="61572787"/>
    <w:rsid w:val="61683AEB"/>
    <w:rsid w:val="61761FA3"/>
    <w:rsid w:val="618A70BC"/>
    <w:rsid w:val="618D5E50"/>
    <w:rsid w:val="61963F6D"/>
    <w:rsid w:val="61A25D4C"/>
    <w:rsid w:val="61BD1F9D"/>
    <w:rsid w:val="61EA093B"/>
    <w:rsid w:val="62024DB4"/>
    <w:rsid w:val="62117D72"/>
    <w:rsid w:val="62140656"/>
    <w:rsid w:val="62210A89"/>
    <w:rsid w:val="62285DB7"/>
    <w:rsid w:val="626857C6"/>
    <w:rsid w:val="626C17E1"/>
    <w:rsid w:val="62923991"/>
    <w:rsid w:val="62966DA1"/>
    <w:rsid w:val="62C92CD3"/>
    <w:rsid w:val="62F20D03"/>
    <w:rsid w:val="62F26EC0"/>
    <w:rsid w:val="62F75B83"/>
    <w:rsid w:val="63095375"/>
    <w:rsid w:val="630F445E"/>
    <w:rsid w:val="6312135F"/>
    <w:rsid w:val="632A3D0D"/>
    <w:rsid w:val="633443AB"/>
    <w:rsid w:val="63411CBC"/>
    <w:rsid w:val="6353750E"/>
    <w:rsid w:val="638857E1"/>
    <w:rsid w:val="63A6300A"/>
    <w:rsid w:val="63AB78F4"/>
    <w:rsid w:val="63C642C7"/>
    <w:rsid w:val="63C85688"/>
    <w:rsid w:val="63CD5666"/>
    <w:rsid w:val="63D01EF3"/>
    <w:rsid w:val="63D2038C"/>
    <w:rsid w:val="63DB7766"/>
    <w:rsid w:val="63E15DFA"/>
    <w:rsid w:val="63E631E1"/>
    <w:rsid w:val="63F66CE6"/>
    <w:rsid w:val="640815D9"/>
    <w:rsid w:val="640E7E19"/>
    <w:rsid w:val="645A5F57"/>
    <w:rsid w:val="647527CB"/>
    <w:rsid w:val="648A0F84"/>
    <w:rsid w:val="648E4974"/>
    <w:rsid w:val="648F4377"/>
    <w:rsid w:val="64942E6C"/>
    <w:rsid w:val="64994927"/>
    <w:rsid w:val="649E65A7"/>
    <w:rsid w:val="64B4350F"/>
    <w:rsid w:val="64B70C4D"/>
    <w:rsid w:val="64D14920"/>
    <w:rsid w:val="64DC3A26"/>
    <w:rsid w:val="64EA382F"/>
    <w:rsid w:val="64ED3306"/>
    <w:rsid w:val="65112EA3"/>
    <w:rsid w:val="6511603A"/>
    <w:rsid w:val="652763A9"/>
    <w:rsid w:val="653B0F51"/>
    <w:rsid w:val="65434194"/>
    <w:rsid w:val="65477730"/>
    <w:rsid w:val="654912E0"/>
    <w:rsid w:val="656A4332"/>
    <w:rsid w:val="65733372"/>
    <w:rsid w:val="65744876"/>
    <w:rsid w:val="657845AE"/>
    <w:rsid w:val="65991D3E"/>
    <w:rsid w:val="659E280B"/>
    <w:rsid w:val="65B55790"/>
    <w:rsid w:val="65B74A52"/>
    <w:rsid w:val="65BD55BD"/>
    <w:rsid w:val="65C53449"/>
    <w:rsid w:val="65F27286"/>
    <w:rsid w:val="6602655A"/>
    <w:rsid w:val="66037BA1"/>
    <w:rsid w:val="660D45C7"/>
    <w:rsid w:val="66106E6A"/>
    <w:rsid w:val="661F2C0A"/>
    <w:rsid w:val="66280ABB"/>
    <w:rsid w:val="666717B3"/>
    <w:rsid w:val="6668032B"/>
    <w:rsid w:val="667C4290"/>
    <w:rsid w:val="66AB481F"/>
    <w:rsid w:val="66C95898"/>
    <w:rsid w:val="66F8201A"/>
    <w:rsid w:val="671C5A04"/>
    <w:rsid w:val="6739092B"/>
    <w:rsid w:val="673F01D2"/>
    <w:rsid w:val="676777C3"/>
    <w:rsid w:val="677D4B8A"/>
    <w:rsid w:val="67802ACE"/>
    <w:rsid w:val="67804B33"/>
    <w:rsid w:val="67C40A09"/>
    <w:rsid w:val="67D020A7"/>
    <w:rsid w:val="67D53EC8"/>
    <w:rsid w:val="67D600B8"/>
    <w:rsid w:val="67E4087E"/>
    <w:rsid w:val="67EC2FBF"/>
    <w:rsid w:val="6821192D"/>
    <w:rsid w:val="68337E89"/>
    <w:rsid w:val="68337EE8"/>
    <w:rsid w:val="683A6C76"/>
    <w:rsid w:val="685C5B46"/>
    <w:rsid w:val="686219F0"/>
    <w:rsid w:val="686F1486"/>
    <w:rsid w:val="688C0656"/>
    <w:rsid w:val="68AE1735"/>
    <w:rsid w:val="68B72950"/>
    <w:rsid w:val="68D60630"/>
    <w:rsid w:val="68E440F1"/>
    <w:rsid w:val="68F00432"/>
    <w:rsid w:val="68F8555D"/>
    <w:rsid w:val="691B1DAE"/>
    <w:rsid w:val="691D712E"/>
    <w:rsid w:val="697E7396"/>
    <w:rsid w:val="69A009FE"/>
    <w:rsid w:val="69A729C5"/>
    <w:rsid w:val="69BE2739"/>
    <w:rsid w:val="69BF206E"/>
    <w:rsid w:val="69DC0762"/>
    <w:rsid w:val="69E46DF1"/>
    <w:rsid w:val="69E8174D"/>
    <w:rsid w:val="69EB6E30"/>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B020CD0"/>
    <w:rsid w:val="6B1148AC"/>
    <w:rsid w:val="6B146AB5"/>
    <w:rsid w:val="6B3E0351"/>
    <w:rsid w:val="6B42449D"/>
    <w:rsid w:val="6B4A5562"/>
    <w:rsid w:val="6B565807"/>
    <w:rsid w:val="6B7174EC"/>
    <w:rsid w:val="6B7A369F"/>
    <w:rsid w:val="6BAC2823"/>
    <w:rsid w:val="6BAE515B"/>
    <w:rsid w:val="6BBD5024"/>
    <w:rsid w:val="6BF37DF1"/>
    <w:rsid w:val="6C143B34"/>
    <w:rsid w:val="6C1D2961"/>
    <w:rsid w:val="6C3867D3"/>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965EA7"/>
    <w:rsid w:val="6DC237AE"/>
    <w:rsid w:val="6DEA61F3"/>
    <w:rsid w:val="6DF91502"/>
    <w:rsid w:val="6E01482E"/>
    <w:rsid w:val="6E027099"/>
    <w:rsid w:val="6E0D1941"/>
    <w:rsid w:val="6E18292B"/>
    <w:rsid w:val="6E402C35"/>
    <w:rsid w:val="6E403BCF"/>
    <w:rsid w:val="6E424CF7"/>
    <w:rsid w:val="6E946B9D"/>
    <w:rsid w:val="6E96703D"/>
    <w:rsid w:val="6E984122"/>
    <w:rsid w:val="6EC4761A"/>
    <w:rsid w:val="6ED26905"/>
    <w:rsid w:val="6ED924EF"/>
    <w:rsid w:val="6EE20566"/>
    <w:rsid w:val="6EEB6DD8"/>
    <w:rsid w:val="6EF513F6"/>
    <w:rsid w:val="6F1F0771"/>
    <w:rsid w:val="6F3669E2"/>
    <w:rsid w:val="6F3A0437"/>
    <w:rsid w:val="6F410095"/>
    <w:rsid w:val="6F452492"/>
    <w:rsid w:val="6F4E1ABB"/>
    <w:rsid w:val="6F5C03A9"/>
    <w:rsid w:val="6F65489B"/>
    <w:rsid w:val="6F86274A"/>
    <w:rsid w:val="6F8A6B50"/>
    <w:rsid w:val="6F9E4E98"/>
    <w:rsid w:val="6FB536E7"/>
    <w:rsid w:val="6FC169C6"/>
    <w:rsid w:val="6FD20CED"/>
    <w:rsid w:val="6FF62C2D"/>
    <w:rsid w:val="700148B1"/>
    <w:rsid w:val="700708F2"/>
    <w:rsid w:val="70262445"/>
    <w:rsid w:val="70796EB7"/>
    <w:rsid w:val="70822713"/>
    <w:rsid w:val="70846EFD"/>
    <w:rsid w:val="70891E2B"/>
    <w:rsid w:val="709304FC"/>
    <w:rsid w:val="70B21D55"/>
    <w:rsid w:val="70BA4068"/>
    <w:rsid w:val="70CB40BA"/>
    <w:rsid w:val="70DC62C7"/>
    <w:rsid w:val="70F06D61"/>
    <w:rsid w:val="70F36F46"/>
    <w:rsid w:val="710650F2"/>
    <w:rsid w:val="71231B23"/>
    <w:rsid w:val="713B214A"/>
    <w:rsid w:val="714633CE"/>
    <w:rsid w:val="714A76D4"/>
    <w:rsid w:val="715C3ADF"/>
    <w:rsid w:val="718621EE"/>
    <w:rsid w:val="71894FD2"/>
    <w:rsid w:val="718B4C10"/>
    <w:rsid w:val="71A3311F"/>
    <w:rsid w:val="71AA4E1C"/>
    <w:rsid w:val="71D271CF"/>
    <w:rsid w:val="71EC078C"/>
    <w:rsid w:val="72005730"/>
    <w:rsid w:val="721F290F"/>
    <w:rsid w:val="722717C4"/>
    <w:rsid w:val="72280301"/>
    <w:rsid w:val="7231753D"/>
    <w:rsid w:val="72386C6E"/>
    <w:rsid w:val="723A3057"/>
    <w:rsid w:val="72400885"/>
    <w:rsid w:val="724B6026"/>
    <w:rsid w:val="725273EA"/>
    <w:rsid w:val="725B1897"/>
    <w:rsid w:val="72603689"/>
    <w:rsid w:val="726C47BC"/>
    <w:rsid w:val="726C5429"/>
    <w:rsid w:val="728E7595"/>
    <w:rsid w:val="72CD2240"/>
    <w:rsid w:val="72DC19E2"/>
    <w:rsid w:val="72EC4E12"/>
    <w:rsid w:val="72F923AC"/>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149B"/>
    <w:rsid w:val="741D2E7E"/>
    <w:rsid w:val="745B7503"/>
    <w:rsid w:val="74694C3B"/>
    <w:rsid w:val="746A6AAD"/>
    <w:rsid w:val="747A4FBC"/>
    <w:rsid w:val="748B466B"/>
    <w:rsid w:val="749018A2"/>
    <w:rsid w:val="74D94903"/>
    <w:rsid w:val="74DC7834"/>
    <w:rsid w:val="74E271F1"/>
    <w:rsid w:val="750915C6"/>
    <w:rsid w:val="75326EC3"/>
    <w:rsid w:val="75474A77"/>
    <w:rsid w:val="7551327B"/>
    <w:rsid w:val="755F3E02"/>
    <w:rsid w:val="755F782E"/>
    <w:rsid w:val="75725D44"/>
    <w:rsid w:val="75A16A9F"/>
    <w:rsid w:val="75BC6CCF"/>
    <w:rsid w:val="75E27D49"/>
    <w:rsid w:val="761867BE"/>
    <w:rsid w:val="76365AD0"/>
    <w:rsid w:val="765D57EA"/>
    <w:rsid w:val="7688585F"/>
    <w:rsid w:val="76E97048"/>
    <w:rsid w:val="76EF6E3C"/>
    <w:rsid w:val="76F54CF0"/>
    <w:rsid w:val="76FD5906"/>
    <w:rsid w:val="77072866"/>
    <w:rsid w:val="770B684E"/>
    <w:rsid w:val="771D50F3"/>
    <w:rsid w:val="77204CB1"/>
    <w:rsid w:val="77356662"/>
    <w:rsid w:val="777C1603"/>
    <w:rsid w:val="77A14CDE"/>
    <w:rsid w:val="77AA2F7D"/>
    <w:rsid w:val="77C96BD3"/>
    <w:rsid w:val="77FF4BD8"/>
    <w:rsid w:val="78216CB5"/>
    <w:rsid w:val="78266CE5"/>
    <w:rsid w:val="7827421F"/>
    <w:rsid w:val="782B4A23"/>
    <w:rsid w:val="78302F8F"/>
    <w:rsid w:val="784117AB"/>
    <w:rsid w:val="78510397"/>
    <w:rsid w:val="78552936"/>
    <w:rsid w:val="785C164E"/>
    <w:rsid w:val="78731F0E"/>
    <w:rsid w:val="78754CBA"/>
    <w:rsid w:val="78941235"/>
    <w:rsid w:val="78962FA5"/>
    <w:rsid w:val="78C148AC"/>
    <w:rsid w:val="78CA1FEE"/>
    <w:rsid w:val="78CB3FEB"/>
    <w:rsid w:val="78D37FAF"/>
    <w:rsid w:val="78F13AA1"/>
    <w:rsid w:val="793B5CE2"/>
    <w:rsid w:val="79554E68"/>
    <w:rsid w:val="795C411F"/>
    <w:rsid w:val="795D3D1D"/>
    <w:rsid w:val="796834B3"/>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430CC"/>
    <w:rsid w:val="7A7F2C76"/>
    <w:rsid w:val="7AAC462A"/>
    <w:rsid w:val="7ADE2701"/>
    <w:rsid w:val="7AF84FA0"/>
    <w:rsid w:val="7AF909C6"/>
    <w:rsid w:val="7B330309"/>
    <w:rsid w:val="7B6273C9"/>
    <w:rsid w:val="7B692E88"/>
    <w:rsid w:val="7B6E2211"/>
    <w:rsid w:val="7B6F1BD0"/>
    <w:rsid w:val="7B732126"/>
    <w:rsid w:val="7B755C15"/>
    <w:rsid w:val="7B7B20CE"/>
    <w:rsid w:val="7B89704B"/>
    <w:rsid w:val="7B8E1216"/>
    <w:rsid w:val="7B9A1345"/>
    <w:rsid w:val="7BCA6C86"/>
    <w:rsid w:val="7C003703"/>
    <w:rsid w:val="7C044DA1"/>
    <w:rsid w:val="7C1C7EBF"/>
    <w:rsid w:val="7C365DE1"/>
    <w:rsid w:val="7C3F595C"/>
    <w:rsid w:val="7CA33449"/>
    <w:rsid w:val="7CC876FF"/>
    <w:rsid w:val="7CCE4D69"/>
    <w:rsid w:val="7D0A0BA4"/>
    <w:rsid w:val="7D107AF3"/>
    <w:rsid w:val="7D1333D8"/>
    <w:rsid w:val="7D4253C7"/>
    <w:rsid w:val="7D4C5341"/>
    <w:rsid w:val="7D4E5EE6"/>
    <w:rsid w:val="7D805EF5"/>
    <w:rsid w:val="7D807FDA"/>
    <w:rsid w:val="7D8901AD"/>
    <w:rsid w:val="7D8E577D"/>
    <w:rsid w:val="7D9A426A"/>
    <w:rsid w:val="7DF97456"/>
    <w:rsid w:val="7E006F08"/>
    <w:rsid w:val="7E01736D"/>
    <w:rsid w:val="7E266DD3"/>
    <w:rsid w:val="7E333E03"/>
    <w:rsid w:val="7E391FE6"/>
    <w:rsid w:val="7E916762"/>
    <w:rsid w:val="7EA916FD"/>
    <w:rsid w:val="7EAB552B"/>
    <w:rsid w:val="7EE53C64"/>
    <w:rsid w:val="7EF649F8"/>
    <w:rsid w:val="7F4C1610"/>
    <w:rsid w:val="7F541580"/>
    <w:rsid w:val="7F590594"/>
    <w:rsid w:val="7F667225"/>
    <w:rsid w:val="7F7B2EF8"/>
    <w:rsid w:val="7F827AE8"/>
    <w:rsid w:val="7F844A6E"/>
    <w:rsid w:val="7FAA1C29"/>
    <w:rsid w:val="7FAC4830"/>
    <w:rsid w:val="7FB659E5"/>
    <w:rsid w:val="7FB7407D"/>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8">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customStyle="1" w:styleId="2">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rPr>
  </w:style>
  <w:style w:type="paragraph" w:styleId="6">
    <w:name w:val="annotation text"/>
    <w:basedOn w:val="1"/>
    <w:autoRedefine/>
    <w:qFormat/>
    <w:uiPriority w:val="0"/>
    <w:pPr>
      <w:jc w:val="left"/>
    </w:pPr>
    <w:rPr>
      <w:rFonts w:eastAsia="宋体"/>
      <w:kern w:val="2"/>
      <w:sz w:val="21"/>
      <w:szCs w:val="24"/>
      <w:lang w:val="en-US" w:eastAsia="zh-CN" w:bidi="ar-SA"/>
    </w:rPr>
  </w:style>
  <w:style w:type="paragraph" w:styleId="7">
    <w:name w:val="Body Text 3"/>
    <w:basedOn w:val="1"/>
    <w:autoRedefine/>
    <w:qFormat/>
    <w:uiPriority w:val="0"/>
    <w:rPr>
      <w:rFonts w:ascii="宋体"/>
      <w:sz w:val="24"/>
      <w:szCs w:val="20"/>
    </w:rPr>
  </w:style>
  <w:style w:type="paragraph" w:styleId="8">
    <w:name w:val="Body Text"/>
    <w:basedOn w:val="1"/>
    <w:autoRedefine/>
    <w:qFormat/>
    <w:uiPriority w:val="0"/>
    <w:pPr>
      <w:spacing w:after="120"/>
    </w:pPr>
  </w:style>
  <w:style w:type="paragraph" w:styleId="9">
    <w:name w:val="Body Text Indent"/>
    <w:basedOn w:val="1"/>
    <w:autoRedefine/>
    <w:qFormat/>
    <w:uiPriority w:val="0"/>
    <w:pPr>
      <w:spacing w:after="120" w:afterLines="0"/>
      <w:ind w:left="420" w:leftChars="200"/>
    </w:p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autoRedefine/>
    <w:qFormat/>
    <w:uiPriority w:val="0"/>
    <w:pPr>
      <w:ind w:firstLine="420" w:firstLineChars="100"/>
    </w:pPr>
  </w:style>
  <w:style w:type="table" w:styleId="17">
    <w:name w:val="Table Grid"/>
    <w:basedOn w:val="1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style>
  <w:style w:type="paragraph" w:customStyle="1" w:styleId="20">
    <w:name w:val="样式 标题 2 + Times New Roman 四号 非加粗 段前: 5 磅 段后: 0 磅 行距: 固定值 20..."/>
    <w:basedOn w:val="4"/>
    <w:autoRedefine/>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5"/>
    <w:autoRedefine/>
    <w:qFormat/>
    <w:uiPriority w:val="0"/>
    <w:pPr>
      <w:spacing w:before="0" w:after="0" w:line="400" w:lineRule="exact"/>
    </w:pPr>
    <w:rPr>
      <w:rFonts w:eastAsia="黑体" w:cs="宋体"/>
      <w:b w:val="0"/>
      <w:bCs w:val="0"/>
      <w:sz w:val="24"/>
      <w:szCs w:val="20"/>
    </w:rPr>
  </w:style>
  <w:style w:type="paragraph" w:customStyle="1" w:styleId="22">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autoRedefine/>
    <w:qFormat/>
    <w:uiPriority w:val="34"/>
    <w:pPr>
      <w:ind w:firstLine="420" w:firstLineChars="200"/>
    </w:pPr>
  </w:style>
  <w:style w:type="character" w:customStyle="1" w:styleId="24">
    <w:name w:val="font11"/>
    <w:basedOn w:val="18"/>
    <w:autoRedefine/>
    <w:qFormat/>
    <w:uiPriority w:val="0"/>
    <w:rPr>
      <w:rFonts w:ascii="Calibri" w:hAnsi="Calibri" w:cs="Calibri"/>
      <w:color w:val="000000"/>
      <w:sz w:val="21"/>
      <w:szCs w:val="21"/>
      <w:u w:val="none"/>
    </w:rPr>
  </w:style>
  <w:style w:type="character" w:customStyle="1" w:styleId="25">
    <w:name w:val="font21"/>
    <w:basedOn w:val="18"/>
    <w:autoRedefine/>
    <w:qFormat/>
    <w:uiPriority w:val="0"/>
    <w:rPr>
      <w:rFonts w:hint="eastAsia" w:ascii="宋体" w:hAnsi="宋体" w:eastAsia="宋体" w:cs="宋体"/>
      <w:color w:val="000000"/>
      <w:sz w:val="21"/>
      <w:szCs w:val="21"/>
      <w:u w:val="none"/>
    </w:rPr>
  </w:style>
  <w:style w:type="character" w:customStyle="1" w:styleId="26">
    <w:name w:val="font01"/>
    <w:basedOn w:val="18"/>
    <w:autoRedefine/>
    <w:qFormat/>
    <w:uiPriority w:val="0"/>
    <w:rPr>
      <w:rFonts w:ascii="Calibri" w:hAnsi="Calibri" w:cs="Calibri"/>
      <w:color w:val="000000"/>
      <w:sz w:val="21"/>
      <w:szCs w:val="21"/>
      <w:u w:val="none"/>
    </w:rPr>
  </w:style>
  <w:style w:type="character" w:customStyle="1" w:styleId="27">
    <w:name w:val="font31"/>
    <w:basedOn w:val="18"/>
    <w:autoRedefine/>
    <w:qFormat/>
    <w:uiPriority w:val="0"/>
    <w:rPr>
      <w:rFonts w:hint="default" w:ascii="Calibri" w:hAnsi="Calibri" w:cs="Calibri"/>
      <w:color w:val="000000"/>
      <w:sz w:val="21"/>
      <w:szCs w:val="21"/>
      <w:u w:val="none"/>
    </w:rPr>
  </w:style>
  <w:style w:type="paragraph" w:customStyle="1" w:styleId="28">
    <w:name w:val="Table Paragraph"/>
    <w:basedOn w:val="1"/>
    <w:autoRedefine/>
    <w:qFormat/>
    <w:uiPriority w:val="1"/>
    <w:rPr>
      <w:rFonts w:ascii="宋体" w:hAnsi="宋体" w:eastAsia="宋体" w:cs="宋体"/>
    </w:rPr>
  </w:style>
  <w:style w:type="paragraph" w:customStyle="1" w:styleId="29">
    <w:name w:val="Table Text"/>
    <w:basedOn w:val="1"/>
    <w:autoRedefine/>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47</Pages>
  <Words>10738</Words>
  <Characters>12159</Characters>
  <Lines>0</Lines>
  <Paragraphs>0</Paragraphs>
  <TotalTime>47</TotalTime>
  <ScaleCrop>false</ScaleCrop>
  <LinksUpToDate>false</LinksUpToDate>
  <CharactersWithSpaces>13995</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2024-04-08T09:15:00Z</cp:lastPrinted>
  <dcterms:modified xsi:type="dcterms:W3CDTF">2024-04-09T08:24:03Z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C389AD32EF704CB6B84FA6DF0E71B713_13</vt:lpwstr>
  </property>
</Properties>
</file>