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spacing w:line="520" w:lineRule="exact"/>
        <w:jc w:val="center"/>
        <w:rPr>
          <w:rFonts w:hint="eastAsia" w:ascii="黑体" w:hAnsi="黑体" w:eastAsia="黑体" w:cs="黑体"/>
          <w:kern w:val="0"/>
          <w:sz w:val="32"/>
          <w:szCs w:val="32"/>
          <w:highlight w:val="none"/>
          <w:shd w:val="clear" w:color="auto" w:fill="auto"/>
          <w:lang w:val="en-US" w:eastAsia="zh-CN"/>
        </w:rPr>
      </w:pPr>
      <w:r>
        <w:rPr>
          <w:rFonts w:hint="eastAsia" w:ascii="黑体" w:hAnsi="黑体" w:eastAsia="黑体" w:cs="黑体"/>
          <w:color w:val="000000" w:themeColor="text1"/>
          <w:sz w:val="32"/>
          <w:szCs w:val="32"/>
          <w:lang w:eastAsia="zh-CN"/>
          <w14:textFill>
            <w14:solidFill>
              <w14:schemeClr w14:val="tx1"/>
            </w14:solidFill>
          </w14:textFill>
        </w:rPr>
        <w:t>道路泊车一期项目运营管理服务（二次）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BZJK-2024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016</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cs="Times New Roman"/>
          <w:color w:val="000000" w:themeColor="text1"/>
          <w:sz w:val="32"/>
          <w:szCs w:val="32"/>
          <w14:textFill>
            <w14:solidFill>
              <w14:schemeClr w14:val="tx1"/>
            </w14:solidFill>
          </w14:textFill>
        </w:rPr>
        <w:t>安徽通享商业运营管理有限公司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2024 </w:t>
      </w:r>
      <w:bookmarkStart w:id="492" w:name="_GoBack"/>
      <w:bookmarkEnd w:id="492"/>
      <w:r>
        <w:rPr>
          <w:rFonts w:hint="eastAsia" w:ascii="Times New Roman" w:hAnsi="Times New Roman" w:eastAsia="楷体" w:cs="Times New Roman"/>
          <w:kern w:val="0"/>
          <w:sz w:val="32"/>
          <w:szCs w:val="32"/>
          <w:highlight w:val="none"/>
          <w:shd w:val="clear" w:color="auto" w:fill="auto"/>
          <w:lang w:val="en-US" w:eastAsia="zh-CN"/>
        </w:rPr>
        <w:t>年4</w:t>
      </w:r>
      <w:r>
        <w:rPr>
          <w:rFonts w:hint="eastAsia" w:ascii="Times New Roman" w:hAnsi="Times New Roman" w:eastAsia="楷体" w:cs="Times New Roman"/>
          <w:kern w:val="0"/>
          <w:sz w:val="32"/>
          <w:szCs w:val="32"/>
          <w:highlight w:val="none"/>
          <w:u w:val="none"/>
          <w:shd w:val="clear" w:color="auto" w:fill="auto"/>
          <w:lang w:val="en-US" w:eastAsia="zh-CN"/>
        </w:rPr>
        <w:t>月 3日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spacing w:line="520" w:lineRule="exact"/>
        <w:ind w:firstLine="840" w:firstLineChars="300"/>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道路泊车一期项目运营管理服务（二次）招标公告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144974487"/>
      <w:bookmarkStart w:id="2" w:name="_Toc179632536"/>
      <w:bookmarkStart w:id="3" w:name="_Toc246996909"/>
      <w:bookmarkStart w:id="4" w:name="_Toc296602410"/>
      <w:bookmarkStart w:id="5" w:name="_Toc152045519"/>
      <w:bookmarkStart w:id="6" w:name="_Toc246996166"/>
      <w:bookmarkStart w:id="7" w:name="_Toc247085680"/>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152045520"/>
      <w:bookmarkStart w:id="10" w:name="_Toc179632537"/>
      <w:bookmarkStart w:id="11" w:name="_Toc152042296"/>
      <w:bookmarkStart w:id="12" w:name="_Toc246996910"/>
      <w:bookmarkStart w:id="13" w:name="_Toc247085681"/>
      <w:bookmarkStart w:id="14" w:name="_Toc246996167"/>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道路泊车一期项目运营管理服务（二次）</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5" w:edGrp="everyone"/>
      <w:r>
        <w:rPr>
          <w:rFonts w:hint="eastAsia" w:asciiTheme="minorEastAsia" w:hAnsiTheme="minorEastAsia" w:eastAsiaTheme="minorEastAsia" w:cstheme="minorEastAsia"/>
          <w:sz w:val="28"/>
          <w:szCs w:val="28"/>
          <w:highlight w:val="none"/>
          <w:lang w:val="en-US" w:eastAsia="zh-CN"/>
        </w:rPr>
        <w:t xml:space="preserve">  BZJK-2024-016号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w:t>
      </w:r>
      <w:r>
        <w:rPr>
          <w:rFonts w:hint="eastAsia" w:asciiTheme="minorEastAsia" w:hAnsiTheme="minorEastAsia" w:eastAsiaTheme="minorEastAsia" w:cstheme="minorEastAsia"/>
          <w:sz w:val="28"/>
          <w:szCs w:val="28"/>
          <w:highlight w:val="none"/>
          <w:lang w:val="en-US" w:eastAsia="zh-CN"/>
        </w:rPr>
        <w:t xml:space="preserve">自筹 </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（四）招标人：</w:t>
      </w:r>
      <w:permStart w:id="7" w:edGrp="everyone"/>
      <w:r>
        <w:rPr>
          <w:rFonts w:hint="eastAsia" w:asciiTheme="minorEastAsia" w:hAnsiTheme="minorEastAsia" w:eastAsiaTheme="minorEastAsia" w:cstheme="minorEastAsia"/>
          <w:sz w:val="28"/>
          <w:szCs w:val="28"/>
          <w:highlight w:val="none"/>
          <w:lang w:val="en-US" w:eastAsia="zh-CN"/>
        </w:rPr>
        <w:t xml:space="preserve"> 安徽通享商业运营管理有限公司 </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8"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为进一步规范城区停车秩序，盘活公</w:t>
      </w:r>
      <w:r>
        <w:rPr>
          <w:rFonts w:hint="eastAsia" w:asciiTheme="minorEastAsia" w:hAnsiTheme="minorEastAsia" w:cstheme="minorEastAsia"/>
          <w:sz w:val="28"/>
          <w:szCs w:val="28"/>
          <w:highlight w:val="none"/>
          <w:lang w:val="en-US" w:eastAsia="zh-CN"/>
        </w:rPr>
        <w:t>共</w:t>
      </w:r>
      <w:r>
        <w:rPr>
          <w:rFonts w:hint="eastAsia" w:asciiTheme="minorEastAsia" w:hAnsiTheme="minorEastAsia" w:eastAsiaTheme="minorEastAsia" w:cstheme="minorEastAsia"/>
          <w:sz w:val="28"/>
          <w:szCs w:val="28"/>
          <w:highlight w:val="none"/>
          <w:lang w:val="en-US" w:eastAsia="zh-CN"/>
        </w:rPr>
        <w:t>停车资源，拟通过收费管理方式调节停车泊位的供需平衡。中心城区道路停车泊位一期项目建设路段包括：人民路（魏武大道</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涡阳路）、希夷大道（利辛路</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芍花路）、芍花路（建安路</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汤王大道）和药都路（魏武大道</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汤王大道）约1200个（以实际交付数量为准）路内停车泊位 </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9" w:edGrp="everyone"/>
      <w:r>
        <w:rPr>
          <w:rFonts w:hint="eastAsia" w:asciiTheme="minorEastAsia" w:hAnsiTheme="minorEastAsia" w:eastAsiaTheme="minorEastAsia" w:cstheme="minorEastAsia"/>
          <w:sz w:val="28"/>
          <w:szCs w:val="28"/>
          <w:highlight w:val="none"/>
          <w:lang w:val="en-US" w:eastAsia="zh-CN"/>
        </w:rPr>
        <w:t xml:space="preserve"> 通过采购运营管理服务，负责道路泊车项目一期道路停车泊位的现场运营管理、停车秩序维护、欠费追缴、应用程序优化等运营管理工作。</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5</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u w:val="none"/>
          <w:lang w:val="en-US" w:eastAsia="zh-CN"/>
        </w:rPr>
        <w:t>年。</w:t>
      </w:r>
      <w:permEnd w:id="11"/>
    </w:p>
    <w:p>
      <w:pPr>
        <w:spacing w:line="52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2" w:edGrp="everyone"/>
      <w:r>
        <w:rPr>
          <w:rFonts w:hint="eastAsia" w:asciiTheme="minorEastAsia" w:hAnsiTheme="minorEastAsia" w:eastAsiaTheme="minorEastAsia" w:cstheme="minorEastAsia"/>
          <w:sz w:val="28"/>
          <w:szCs w:val="28"/>
          <w:highlight w:val="none"/>
          <w:u w:val="none"/>
          <w:lang w:val="en-US" w:eastAsia="zh-CN"/>
        </w:rPr>
        <w:t>本次报价形式为分成比例，收入200万元（含）以内部分按照不高于经营收入的50%支付给运营单位，超过200万元（不含）部分按照不高于经营收入的75%支付给运营单位。</w:t>
      </w:r>
      <w:r>
        <w:rPr>
          <w:rFonts w:hint="eastAsia" w:asciiTheme="minorEastAsia" w:hAnsiTheme="minorEastAsia" w:cstheme="minorEastAsia"/>
          <w:sz w:val="28"/>
          <w:szCs w:val="28"/>
          <w:highlight w:val="none"/>
          <w:u w:val="none"/>
          <w:lang w:val="en-US" w:eastAsia="zh-CN"/>
        </w:rPr>
        <w:t xml:space="preserve"> </w:t>
      </w:r>
      <w:permEnd w:id="12"/>
      <w:r>
        <w:rPr>
          <w:rFonts w:hint="eastAsia" w:asciiTheme="minorEastAsia" w:hAnsiTheme="minorEastAsia" w:eastAsiaTheme="minorEastAsia" w:cstheme="minorEastAsia"/>
          <w:sz w:val="28"/>
          <w:szCs w:val="28"/>
          <w:highlight w:val="none"/>
          <w:lang w:val="en-US" w:eastAsia="zh-CN"/>
        </w:rPr>
        <w:t>按</w:t>
      </w:r>
      <w:permStart w:id="13"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比例</w:t>
      </w:r>
      <w:permEnd w:id="13"/>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5" w:edGrp="everyone"/>
      <w:r>
        <w:rPr>
          <w:rFonts w:hint="eastAsia" w:asciiTheme="minorEastAsia" w:hAnsiTheme="minorEastAsia" w:cstheme="minorEastAsia"/>
          <w:sz w:val="28"/>
          <w:szCs w:val="28"/>
          <w:highlight w:val="none"/>
          <w:u w:val="single"/>
          <w:lang w:val="en-US" w:eastAsia="zh-CN"/>
        </w:rPr>
        <w:t xml:space="preserve">2019 </w:t>
      </w:r>
      <w:permEnd w:id="15"/>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6"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1  </w:t>
      </w:r>
      <w:permEnd w:id="16"/>
      <w:r>
        <w:rPr>
          <w:rFonts w:hint="eastAsia" w:asciiTheme="minorEastAsia" w:hAnsiTheme="minorEastAsia" w:eastAsiaTheme="minorEastAsia" w:cstheme="minorEastAsia"/>
          <w:sz w:val="28"/>
          <w:szCs w:val="28"/>
          <w:highlight w:val="none"/>
          <w:lang w:val="en-US" w:eastAsia="zh-CN"/>
        </w:rPr>
        <w:t>个，以</w:t>
      </w:r>
      <w:permStart w:id="17"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7"/>
      <w:r>
        <w:rPr>
          <w:rFonts w:hint="eastAsia" w:asciiTheme="minorEastAsia" w:hAnsiTheme="minorEastAsia" w:eastAsiaTheme="minorEastAsia" w:cstheme="minorEastAsia"/>
          <w:sz w:val="28"/>
          <w:szCs w:val="28"/>
          <w:highlight w:val="none"/>
          <w:lang w:val="en-US" w:eastAsia="zh-CN"/>
        </w:rPr>
        <w:t>为准。类似项目业绩指：</w:t>
      </w:r>
      <w:permStart w:id="18" w:edGrp="everyone"/>
      <w:r>
        <w:rPr>
          <w:rFonts w:hint="eastAsia" w:asciiTheme="minorEastAsia" w:hAnsiTheme="minorEastAsia" w:cstheme="minorEastAsia"/>
          <w:sz w:val="28"/>
          <w:szCs w:val="28"/>
          <w:highlight w:val="none"/>
          <w:lang w:val="en-US" w:eastAsia="zh-CN"/>
        </w:rPr>
        <w:t>单项合同</w:t>
      </w:r>
      <w:r>
        <w:rPr>
          <w:rFonts w:hint="eastAsia" w:asciiTheme="minorEastAsia" w:hAnsiTheme="minorEastAsia" w:eastAsiaTheme="minorEastAsia" w:cstheme="minorEastAsia"/>
          <w:sz w:val="28"/>
          <w:szCs w:val="28"/>
          <w:highlight w:val="none"/>
          <w:lang w:val="en-US" w:eastAsia="zh-CN"/>
        </w:rPr>
        <w:t>不少于1000个道路停车泊位的运营</w:t>
      </w:r>
      <w:r>
        <w:rPr>
          <w:rFonts w:hint="eastAsia" w:asciiTheme="minorEastAsia" w:hAnsiTheme="minorEastAsia" w:cstheme="minorEastAsia"/>
          <w:sz w:val="28"/>
          <w:szCs w:val="28"/>
          <w:highlight w:val="none"/>
          <w:lang w:val="en-US" w:eastAsia="zh-CN"/>
        </w:rPr>
        <w:t>业绩</w:t>
      </w:r>
      <w:r>
        <w:rPr>
          <w:rFonts w:hint="eastAsia" w:asciiTheme="minorEastAsia" w:hAnsiTheme="minorEastAsia" w:eastAsiaTheme="minorEastAsia" w:cstheme="minorEastAsia"/>
          <w:sz w:val="28"/>
          <w:szCs w:val="28"/>
          <w:highlight w:val="none"/>
          <w:lang w:val="en-US" w:eastAsia="zh-CN"/>
        </w:rPr>
        <w:t xml:space="preserve"> </w:t>
      </w:r>
      <w:permEnd w:id="18"/>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9"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、合同任意节点税务发票等相关资料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r>
        <w:rPr>
          <w:rFonts w:hint="eastAsia" w:asciiTheme="minorEastAsia" w:hAnsiTheme="minorEastAsia" w:cstheme="minorEastAsia"/>
          <w:sz w:val="28"/>
          <w:szCs w:val="28"/>
          <w:highlight w:val="none"/>
          <w:lang w:val="en-US" w:eastAsia="zh-CN"/>
        </w:rPr>
        <w:t>，封闭停车场业绩无效</w:t>
      </w:r>
      <w:permEnd w:id="19"/>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1" w:edGrp="everyone"/>
      <w:r>
        <w:rPr>
          <w:rFonts w:hint="eastAsia" w:asciiTheme="minorEastAsia" w:hAnsiTheme="minorEastAsia" w:cstheme="minorEastAsia"/>
          <w:sz w:val="28"/>
          <w:szCs w:val="28"/>
          <w:highlight w:val="none"/>
          <w:lang w:val="en-US" w:eastAsia="zh-CN"/>
        </w:rPr>
        <w:t xml:space="preserve">   /   </w:t>
      </w:r>
      <w:permEnd w:id="21"/>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2"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2"/>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3"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4" w:edGrp="everyone"/>
      <w:r>
        <w:rPr>
          <w:rFonts w:hint="default" w:asciiTheme="minorEastAsia" w:hAnsiTheme="minorEastAsia" w:eastAsiaTheme="minorEastAsia" w:cstheme="minorEastAsia"/>
          <w:color w:val="FF0000"/>
          <w:sz w:val="28"/>
          <w:szCs w:val="28"/>
          <w:highlight w:val="none"/>
          <w:lang w:val="en-US" w:eastAsia="zh-CN"/>
        </w:rPr>
        <w:t>允许</w:t>
      </w:r>
      <w:permEnd w:id="24"/>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建议投标人在邮寄前使用透明胶带对投标文件密封袋进行二次密封，如因投标文件密封袋在邮寄过程中发生破损，导致不符合招标文件密封要求而被招标平台拒收，其风险由投标人自行承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5"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25"/>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 </w:t>
      </w:r>
      <w:r>
        <w:rPr>
          <w:rFonts w:hint="default" w:asciiTheme="minorEastAsia" w:hAnsiTheme="minorEastAsia" w:cstheme="minorEastAsia"/>
          <w:sz w:val="28"/>
          <w:szCs w:val="28"/>
          <w:highlight w:val="none"/>
          <w:lang w:val="en-US" w:eastAsia="zh-CN"/>
        </w:rPr>
        <w:t xml:space="preserve"> </w:t>
      </w:r>
      <w:r>
        <w:rPr>
          <w:rFonts w:hint="default" w:asciiTheme="minorEastAsia" w:hAnsiTheme="minorEastAsia" w:cstheme="minorEastAsia"/>
          <w:color w:val="auto"/>
          <w:sz w:val="28"/>
          <w:szCs w:val="28"/>
          <w:highlight w:val="none"/>
        </w:rPr>
        <w:t>安徽通享商业运营管理有限公司</w:t>
      </w:r>
      <w:r>
        <w:rPr>
          <w:rFonts w:hint="default" w:asciiTheme="minorEastAsia" w:hAnsiTheme="minorEastAsia" w:cstheme="minorEastAsia"/>
          <w:sz w:val="28"/>
          <w:szCs w:val="28"/>
          <w:highlight w:val="none"/>
          <w:lang w:val="en-US" w:eastAsia="zh-CN"/>
        </w:rPr>
        <w:t xml:space="preserve"> </w:t>
      </w:r>
    </w:p>
    <w:permEnd w:id="2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7" w:edGrp="everyone"/>
      <w:r>
        <w:rPr>
          <w:rFonts w:hint="default" w:asciiTheme="minorEastAsia" w:hAnsiTheme="minorEastAsia" w:cstheme="minorEastAsia"/>
          <w:sz w:val="28"/>
          <w:szCs w:val="28"/>
          <w:highlight w:val="none"/>
          <w:lang w:val="en-US" w:eastAsia="zh-CN"/>
        </w:rPr>
        <w:t xml:space="preserve">  亳州市汽车南站西侧二楼 </w:t>
      </w:r>
      <w:r>
        <w:rPr>
          <w:rFonts w:hint="eastAsia" w:asciiTheme="minorEastAsia" w:hAnsiTheme="minorEastAsia" w:cstheme="minorEastAsia"/>
          <w:sz w:val="28"/>
          <w:szCs w:val="28"/>
          <w:highlight w:val="none"/>
          <w:lang w:val="en-US" w:eastAsia="zh-CN"/>
        </w:rPr>
        <w:t xml:space="preserve"> </w:t>
      </w:r>
      <w:permEnd w:id="2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 xml:space="preserve">    高旭   </w:t>
      </w:r>
      <w:permEnd w:id="2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9" w:edGrp="everyone"/>
      <w:r>
        <w:rPr>
          <w:rFonts w:hint="eastAsia" w:asciiTheme="minorEastAsia" w:hAnsiTheme="minorEastAsia" w:cstheme="minorEastAsia"/>
          <w:sz w:val="28"/>
          <w:szCs w:val="28"/>
          <w:highlight w:val="none"/>
          <w:lang w:val="en-US" w:eastAsia="zh-CN"/>
        </w:rPr>
        <w:t xml:space="preserve"> 18856789180 </w:t>
      </w:r>
      <w:permEnd w:id="29"/>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0"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auto"/>
          <w:sz w:val="28"/>
          <w:szCs w:val="28"/>
          <w:highlight w:val="none"/>
        </w:rPr>
        <w:t>安徽通享商业运营管理有限公司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permEnd w:id="30"/>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1"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1"/>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6"/>
              <w:topLinePunct/>
              <w:spacing w:line="440" w:lineRule="exact"/>
              <w:ind w:firstLine="420" w:firstLineChars="200"/>
              <w:rPr>
                <w:rFonts w:hint="default" w:ascii="Times New Roman" w:hAnsi="Times New Roman" w:cs="Times New Roman"/>
                <w:szCs w:val="21"/>
                <w:highlight w:val="none"/>
              </w:rPr>
            </w:pPr>
            <w:permStart w:id="32" w:edGrp="everyone"/>
            <w:r>
              <w:rPr>
                <w:rFonts w:hint="eastAsia" w:hAnsi="宋体"/>
                <w:sz w:val="21"/>
                <w:szCs w:val="21"/>
                <w:lang w:val="en-US" w:eastAsia="zh-CN"/>
              </w:rPr>
              <w:t xml:space="preserve">  / </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4" w:edGrp="everyone"/>
            <w:r>
              <w:rPr>
                <w:rFonts w:hint="eastAsia" w:hAnsi="宋体"/>
                <w:sz w:val="21"/>
                <w:szCs w:val="21"/>
                <w:lang w:val="en-US" w:eastAsia="zh-CN"/>
              </w:rPr>
              <w:t xml:space="preserve">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5"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6"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6"/>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8" w:edGrp="everyone"/>
            <w:r>
              <w:rPr>
                <w:rFonts w:hint="eastAsia" w:ascii="Times New Roman" w:hAnsi="Times New Roman" w:cs="Times New Roman"/>
                <w:color w:val="FF0000"/>
                <w:sz w:val="21"/>
                <w:szCs w:val="21"/>
                <w:highlight w:val="none"/>
                <w:lang w:val="en-US" w:eastAsia="zh-CN"/>
              </w:rPr>
              <w:t xml:space="preserve">  </w:t>
            </w:r>
            <w:r>
              <w:rPr>
                <w:rFonts w:hint="eastAsia"/>
                <w:color w:val="auto"/>
                <w:sz w:val="24"/>
                <w:szCs w:val="24"/>
              </w:rPr>
              <w:t>详见</w:t>
            </w:r>
            <w:r>
              <w:rPr>
                <w:rFonts w:hint="eastAsia"/>
                <w:color w:val="auto"/>
                <w:sz w:val="24"/>
                <w:szCs w:val="24"/>
                <w:lang w:val="en-US" w:eastAsia="zh-CN"/>
              </w:rPr>
              <w:t>招标文件第一章招标公告、</w:t>
            </w:r>
            <w:r>
              <w:rPr>
                <w:rFonts w:hint="eastAsia"/>
                <w:color w:val="auto"/>
                <w:sz w:val="24"/>
                <w:szCs w:val="24"/>
              </w:rPr>
              <w:t>第四章合同条款及格式、第五章发包人要求</w:t>
            </w:r>
            <w:r>
              <w:rPr>
                <w:rFonts w:hint="eastAsia" w:ascii="Times New Roman" w:hAnsi="Times New Roman" w:cs="Times New Roman"/>
                <w:color w:val="FF0000"/>
                <w:sz w:val="21"/>
                <w:szCs w:val="21"/>
                <w:highlight w:val="none"/>
                <w:lang w:val="en-US" w:eastAsia="zh-CN"/>
              </w:rPr>
              <w:t xml:space="preserve">  </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39" w:edGrp="everyone"/>
            <w:r>
              <w:rPr>
                <w:rFonts w:hint="eastAsia" w:ascii="Times New Roman" w:hAnsi="Times New Roman" w:cs="Times New Roman"/>
                <w:kern w:val="2"/>
                <w:sz w:val="21"/>
                <w:szCs w:val="21"/>
                <w:highlight w:val="none"/>
                <w:u w:val="single"/>
                <w:lang w:val="en-US" w:eastAsia="zh-CN" w:bidi="ar-SA"/>
              </w:rPr>
              <w:t xml:space="preserve"> 详见第一章招标公告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1" w:edGrp="everyone"/>
            <w:r>
              <w:rPr>
                <w:rFonts w:hint="default" w:ascii="Times New Roman" w:hAnsi="Times New Roman" w:cs="Times New Roman"/>
                <w:color w:val="FF0000"/>
                <w:szCs w:val="21"/>
                <w:highlight w:val="none"/>
              </w:rPr>
              <w:t>银行汇款或转账</w:t>
            </w:r>
            <w:permEnd w:id="41"/>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 xml:space="preserve"> 10000 元 </w:t>
            </w:r>
            <w:permEnd w:id="4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3" w:edGrp="everyone"/>
            <w:r>
              <w:rPr>
                <w:rFonts w:hint="eastAsia" w:ascii="Times New Roman" w:hAnsi="Times New Roman" w:cs="Times New Roman"/>
                <w:color w:val="FF0000"/>
                <w:szCs w:val="21"/>
                <w:highlight w:val="none"/>
                <w:lang w:val="en-US" w:eastAsia="zh-CN"/>
              </w:rPr>
              <w:t>BZJK-2024-   号保证金</w:t>
            </w:r>
            <w:permEnd w:id="4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8"/>
              <w:spacing w:before="152" w:line="227" w:lineRule="auto"/>
              <w:ind w:left="129"/>
            </w:pPr>
            <w:permStart w:id="44" w:edGrp="everyone"/>
            <w:r>
              <w:rPr>
                <w:rFonts w:hint="eastAsia" w:ascii="Times New Roman" w:hAnsi="Times New Roman" w:eastAsia="宋体" w:cs="Times New Roman"/>
                <w:spacing w:val="-9"/>
                <w:sz w:val="31"/>
                <w:szCs w:val="31"/>
                <w:lang w:eastAsia="zh-CN"/>
              </w:rPr>
              <w:t>☑</w:t>
            </w:r>
            <w:r>
              <w:rPr>
                <w:spacing w:val="-9"/>
              </w:rPr>
              <w:t>无</w:t>
            </w:r>
          </w:p>
          <w:p>
            <w:pPr>
              <w:pStyle w:val="28"/>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28"/>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5" w:edGrp="everyone"/>
            <w:r>
              <w:rPr>
                <w:u w:val="single" w:color="auto"/>
              </w:rPr>
              <w:tab/>
            </w:r>
            <w:r>
              <w:rPr>
                <w:rFonts w:hint="eastAsia"/>
                <w:u w:val="single" w:color="auto"/>
                <w:lang w:val="en-US" w:eastAsia="zh-CN"/>
              </w:rPr>
              <w:t>/</w:t>
            </w:r>
            <w:r>
              <w:rPr>
                <w:spacing w:val="-94"/>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46" w:edGrp="everyone"/>
            <w:r>
              <w:rPr>
                <w:spacing w:val="6"/>
                <w:u w:val="single" w:color="auto"/>
              </w:rPr>
              <w:t xml:space="preserve">   </w:t>
            </w:r>
            <w:r>
              <w:rPr>
                <w:rFonts w:hint="eastAsia"/>
                <w:spacing w:val="6"/>
                <w:u w:val="single" w:color="auto"/>
                <w:lang w:val="en-US" w:eastAsia="zh-CN"/>
              </w:rPr>
              <w:t xml:space="preserve">/  </w:t>
            </w:r>
            <w:r>
              <w:rPr>
                <w:spacing w:val="6"/>
                <w:u w:val="single" w:color="auto"/>
              </w:rPr>
              <w:t xml:space="preserve"> </w:t>
            </w:r>
            <w:r>
              <w:rPr>
                <w:spacing w:val="-92"/>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4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8"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8"/>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0"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szCs w:val="21"/>
                <w:highlight w:val="none"/>
                <w:u w:val="none"/>
                <w:lang w:val="en-US" w:eastAsia="zh-CN"/>
              </w:rPr>
              <w:t>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招标人：安徽通享商业运营管理有限公司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000000" w:themeColor="text1"/>
                <w:sz w:val="24"/>
                <w:szCs w:val="24"/>
                <w:lang w:eastAsia="zh-CN"/>
                <w14:textFill>
                  <w14:solidFill>
                    <w14:schemeClr w14:val="tx1"/>
                  </w14:solidFill>
                </w14:textFill>
              </w:rPr>
              <w:t>道路泊车一期项目运营管理服务（二次）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2"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10000元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2305"/>
      <w:bookmarkStart w:id="17" w:name="_Toc246996918"/>
      <w:bookmarkStart w:id="18" w:name="_Toc296602420"/>
      <w:bookmarkStart w:id="19" w:name="_Toc247085689"/>
      <w:bookmarkStart w:id="20" w:name="_Toc144974497"/>
      <w:bookmarkStart w:id="21" w:name="_Toc152045529"/>
      <w:bookmarkStart w:id="22" w:name="_Toc246996175"/>
      <w:bookmarkStart w:id="23" w:name="_Toc179632546"/>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19"/>
      <w:bookmarkStart w:id="25" w:name="_Toc152042306"/>
      <w:bookmarkStart w:id="26" w:name="_Toc246996176"/>
      <w:bookmarkStart w:id="27" w:name="_Toc247085690"/>
      <w:bookmarkStart w:id="28" w:name="_Toc296602421"/>
      <w:bookmarkStart w:id="29" w:name="_Toc179632547"/>
      <w:bookmarkStart w:id="30" w:name="_Toc144974498"/>
      <w:bookmarkStart w:id="31" w:name="_Toc15204553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96602422"/>
      <w:bookmarkStart w:id="33" w:name="_Toc152045531"/>
      <w:bookmarkStart w:id="34" w:name="_Toc246996920"/>
      <w:bookmarkStart w:id="35" w:name="_Toc247085691"/>
      <w:bookmarkStart w:id="36" w:name="_Toc152042307"/>
      <w:bookmarkStart w:id="37" w:name="_Toc179632548"/>
      <w:bookmarkStart w:id="38" w:name="_Toc246996177"/>
      <w:bookmarkStart w:id="39" w:name="_Toc144974499"/>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7085692"/>
      <w:bookmarkStart w:id="41" w:name="_Toc179632549"/>
      <w:bookmarkStart w:id="42" w:name="_Toc296602423"/>
      <w:bookmarkStart w:id="43" w:name="_Toc144974500"/>
      <w:bookmarkStart w:id="44" w:name="_Toc246996921"/>
      <w:bookmarkStart w:id="45" w:name="_Toc246996178"/>
      <w:bookmarkStart w:id="46" w:name="_Toc152045532"/>
      <w:bookmarkStart w:id="47" w:name="_Toc152042308"/>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34"/>
      <w:bookmarkStart w:id="49" w:name="_Toc246996922"/>
      <w:bookmarkStart w:id="50" w:name="_Toc296602424"/>
      <w:bookmarkStart w:id="51" w:name="_Toc179632551"/>
      <w:bookmarkStart w:id="52" w:name="_Toc246996179"/>
      <w:bookmarkStart w:id="53" w:name="_Toc247085693"/>
      <w:bookmarkStart w:id="54" w:name="_Toc144974502"/>
      <w:bookmarkStart w:id="55" w:name="_Toc152042310"/>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4"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r>
        <w:rPr>
          <w:rFonts w:hint="eastAsia"/>
          <w:lang w:eastAsia="zh-CN"/>
        </w:rPr>
        <w:t>/</w:t>
      </w:r>
    </w:p>
    <w:permEnd w:id="54"/>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923"/>
      <w:bookmarkStart w:id="57" w:name="_Toc152042311"/>
      <w:bookmarkStart w:id="58" w:name="_Toc152045535"/>
      <w:bookmarkStart w:id="59" w:name="_Toc246996180"/>
      <w:bookmarkStart w:id="60" w:name="_Toc247085694"/>
      <w:bookmarkStart w:id="61" w:name="_Toc296602425"/>
      <w:bookmarkStart w:id="62" w:name="_Toc179632552"/>
      <w:bookmarkStart w:id="63" w:name="_Toc14497450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4"/>
      <w:bookmarkStart w:id="65" w:name="_Toc296602426"/>
      <w:bookmarkStart w:id="66" w:name="_Toc246996924"/>
      <w:bookmarkStart w:id="67" w:name="_Toc246996181"/>
      <w:bookmarkStart w:id="68" w:name="_Toc179632553"/>
      <w:bookmarkStart w:id="69" w:name="_Toc152042312"/>
      <w:bookmarkStart w:id="70" w:name="_Toc247085695"/>
      <w:bookmarkStart w:id="71" w:name="_Toc15204553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2313"/>
      <w:bookmarkStart w:id="74" w:name="_Toc179632554"/>
      <w:bookmarkStart w:id="75" w:name="_Toc247085696"/>
      <w:bookmarkStart w:id="76" w:name="_Toc152045537"/>
      <w:bookmarkStart w:id="77" w:name="_Toc296602427"/>
      <w:bookmarkStart w:id="78" w:name="_Toc246996925"/>
      <w:bookmarkStart w:id="79" w:name="_Toc246996182"/>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152042314"/>
      <w:bookmarkStart w:id="82" w:name="_Toc144974506"/>
      <w:bookmarkStart w:id="83" w:name="_Toc246996926"/>
      <w:bookmarkStart w:id="84" w:name="_Toc246996183"/>
      <w:bookmarkStart w:id="85" w:name="_Toc152045538"/>
      <w:bookmarkStart w:id="86" w:name="_Toc179632555"/>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296602429"/>
      <w:bookmarkStart w:id="90" w:name="_Toc247592876"/>
      <w:bookmarkStart w:id="91" w:name="_Toc152045539"/>
      <w:bookmarkStart w:id="92" w:name="_Toc144974507"/>
      <w:bookmarkStart w:id="93" w:name="_Toc152042315"/>
      <w:bookmarkStart w:id="94" w:name="_Toc247513962"/>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152045540"/>
      <w:bookmarkStart w:id="97" w:name="_Toc247592877"/>
      <w:bookmarkStart w:id="98" w:name="_Toc144974508"/>
      <w:bookmarkStart w:id="99" w:name="_Toc296602430"/>
      <w:bookmarkStart w:id="100" w:name="_Toc247527564"/>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w:t>
      </w:r>
      <w:r>
        <w:rPr>
          <w:rFonts w:hint="eastAsia"/>
          <w:lang w:eastAsia="zh-CN"/>
        </w:rPr>
        <w:t>候选</w:t>
      </w:r>
      <w:r>
        <w:rPr>
          <w:rFonts w:hint="eastAsia"/>
        </w:rPr>
        <w:t>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30"/>
      <w:bookmarkStart w:id="104" w:name="_Toc246996187"/>
      <w:bookmarkStart w:id="105" w:name="_Toc152042318"/>
      <w:bookmarkStart w:id="106" w:name="_Toc152045542"/>
      <w:bookmarkStart w:id="107" w:name="_Toc179632560"/>
      <w:bookmarkStart w:id="108" w:name="_Toc144974510"/>
      <w:bookmarkStart w:id="109" w:name="_Toc296602432"/>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19"/>
      <w:bookmarkStart w:id="112" w:name="_Toc247085702"/>
      <w:bookmarkStart w:id="113" w:name="_Toc246996931"/>
      <w:bookmarkStart w:id="114" w:name="_Toc179632561"/>
      <w:bookmarkStart w:id="115" w:name="_Toc246996188"/>
      <w:bookmarkStart w:id="116" w:name="_Toc144974511"/>
      <w:bookmarkStart w:id="117" w:name="_Toc296602433"/>
      <w:bookmarkStart w:id="118" w:name="_Toc15204554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w:t>
      </w:r>
      <w:r>
        <w:rPr>
          <w:rFonts w:hint="eastAsia"/>
          <w:lang w:eastAsia="zh-CN"/>
        </w:rPr>
        <w:t>做</w:t>
      </w:r>
      <w:r>
        <w:rPr>
          <w:rFonts w:hint="eastAsia"/>
        </w:rPr>
        <w:t>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12"/>
      <w:bookmarkStart w:id="120" w:name="_Toc179632562"/>
      <w:bookmarkStart w:id="121" w:name="_Toc152042320"/>
      <w:bookmarkStart w:id="122" w:name="_Toc246996189"/>
      <w:bookmarkStart w:id="123" w:name="_Toc246996932"/>
      <w:bookmarkStart w:id="124" w:name="_Toc247085703"/>
      <w:bookmarkStart w:id="125" w:name="_Toc296602434"/>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5"/>
      <w:bookmarkStart w:id="128" w:name="_Toc179632563"/>
      <w:bookmarkStart w:id="129" w:name="_Toc246996933"/>
      <w:bookmarkStart w:id="130" w:name="_Toc246996190"/>
      <w:bookmarkStart w:id="131" w:name="_Toc152042321"/>
      <w:bookmarkStart w:id="132" w:name="_Toc247085704"/>
      <w:bookmarkStart w:id="133" w:name="_Toc296602435"/>
      <w:bookmarkStart w:id="134" w:name="_Toc14497451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5546"/>
      <w:bookmarkStart w:id="136" w:name="_Toc296602436"/>
      <w:bookmarkStart w:id="137" w:name="_Toc247085705"/>
      <w:bookmarkStart w:id="138" w:name="_Toc152042322"/>
      <w:bookmarkStart w:id="139" w:name="_Toc246996191"/>
      <w:bookmarkStart w:id="140" w:name="_Toc246996934"/>
      <w:bookmarkStart w:id="141" w:name="_Toc144974514"/>
      <w:bookmarkStart w:id="142" w:name="_Toc17963256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15"/>
      <w:bookmarkStart w:id="144" w:name="_Toc152042323"/>
      <w:bookmarkStart w:id="145" w:name="_Toc296602437"/>
      <w:bookmarkStart w:id="146" w:name="_Toc152045547"/>
      <w:bookmarkStart w:id="147" w:name="_Toc246996192"/>
      <w:bookmarkStart w:id="148" w:name="_Toc246996935"/>
      <w:bookmarkStart w:id="149" w:name="_Toc247085706"/>
      <w:bookmarkStart w:id="150" w:name="_Toc17963256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w:t>
      </w:r>
      <w:r>
        <w:rPr>
          <w:rFonts w:hint="eastAsia"/>
          <w:lang w:eastAsia="zh-CN"/>
        </w:rPr>
        <w:t>）项</w:t>
      </w:r>
      <w:r>
        <w:rPr>
          <w:rFonts w:hint="eastAsia"/>
        </w:rPr>
        <w:t>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79632566"/>
      <w:bookmarkStart w:id="152" w:name="_Toc246996936"/>
      <w:bookmarkStart w:id="153" w:name="_Toc152045548"/>
      <w:bookmarkStart w:id="154" w:name="_Toc152042324"/>
      <w:bookmarkStart w:id="155" w:name="_Toc296602438"/>
      <w:bookmarkStart w:id="156" w:name="_Toc144974516"/>
      <w:bookmarkStart w:id="157" w:name="_Toc246996193"/>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79632567"/>
      <w:bookmarkStart w:id="161" w:name="_Toc144974517"/>
      <w:bookmarkStart w:id="162" w:name="_Toc152042325"/>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194"/>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195"/>
      <w:bookmarkStart w:id="168" w:name="_Toc179632568"/>
      <w:bookmarkStart w:id="169" w:name="_Toc144974518"/>
      <w:bookmarkStart w:id="170" w:name="_Toc152042326"/>
      <w:bookmarkStart w:id="171" w:name="_Toc296602440"/>
      <w:bookmarkStart w:id="172" w:name="_Toc247085709"/>
      <w:bookmarkStart w:id="173" w:name="_Toc246996938"/>
      <w:bookmarkStart w:id="174" w:name="_Toc15204555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44974520"/>
      <w:bookmarkStart w:id="176" w:name="_Toc152042328"/>
      <w:bookmarkStart w:id="177" w:name="_Toc247085710"/>
      <w:bookmarkStart w:id="178" w:name="_Toc296602441"/>
      <w:bookmarkStart w:id="179" w:name="_Toc179632570"/>
      <w:bookmarkStart w:id="180" w:name="_Toc152045552"/>
      <w:bookmarkStart w:id="181" w:name="_Toc246996939"/>
      <w:bookmarkStart w:id="182" w:name="_Toc246996196"/>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7085711"/>
      <w:bookmarkStart w:id="184" w:name="_Toc152045553"/>
      <w:bookmarkStart w:id="185" w:name="_Toc152042329"/>
      <w:bookmarkStart w:id="186" w:name="_Toc144974521"/>
      <w:bookmarkStart w:id="187" w:name="_Toc246996197"/>
      <w:bookmarkStart w:id="188" w:name="_Toc246996940"/>
      <w:bookmarkStart w:id="189" w:name="_Toc296602442"/>
      <w:bookmarkStart w:id="190" w:name="_Toc179632571"/>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246996942"/>
      <w:bookmarkStart w:id="192" w:name="_Toc246996199"/>
      <w:bookmarkStart w:id="193" w:name="_Toc179632573"/>
      <w:bookmarkStart w:id="194" w:name="_Toc152042331"/>
      <w:bookmarkStart w:id="195" w:name="_Toc144974523"/>
      <w:bookmarkStart w:id="196" w:name="_Toc152045555"/>
      <w:bookmarkStart w:id="197" w:name="_Toc24708571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56"/>
      <w:bookmarkStart w:id="200" w:name="_Toc152042332"/>
      <w:bookmarkStart w:id="201" w:name="_Toc247085714"/>
      <w:bookmarkStart w:id="202" w:name="_Toc144974524"/>
      <w:bookmarkStart w:id="203" w:name="_Toc179632574"/>
      <w:bookmarkStart w:id="204" w:name="_Toc296602444"/>
      <w:bookmarkStart w:id="205" w:name="_Toc246996200"/>
      <w:bookmarkStart w:id="206" w:name="_Toc246996943"/>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6996944"/>
      <w:bookmarkStart w:id="208" w:name="_Toc152042333"/>
      <w:bookmarkStart w:id="209" w:name="_Toc247085715"/>
      <w:bookmarkStart w:id="210" w:name="_Toc246996201"/>
      <w:bookmarkStart w:id="211" w:name="_Toc144974525"/>
      <w:bookmarkStart w:id="212" w:name="_Toc152045557"/>
      <w:bookmarkStart w:id="213" w:name="_Toc17963257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7085716"/>
      <w:bookmarkStart w:id="216" w:name="_Toc144974526"/>
      <w:bookmarkStart w:id="217" w:name="_Toc246996202"/>
      <w:bookmarkStart w:id="218" w:name="_Toc246996945"/>
      <w:bookmarkStart w:id="219" w:name="_Toc179632576"/>
      <w:bookmarkStart w:id="220" w:name="_Toc152045558"/>
      <w:bookmarkStart w:id="221" w:name="_Toc152042334"/>
      <w:bookmarkStart w:id="222" w:name="_Toc29660244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7085717"/>
      <w:bookmarkStart w:id="224" w:name="_Toc179632577"/>
      <w:bookmarkStart w:id="225" w:name="_Toc152042335"/>
      <w:bookmarkStart w:id="226" w:name="_Toc144974527"/>
      <w:bookmarkStart w:id="227" w:name="_Toc246996946"/>
      <w:bookmarkStart w:id="228" w:name="_Toc246996203"/>
      <w:bookmarkStart w:id="229" w:name="_Toc296602447"/>
      <w:bookmarkStart w:id="230" w:name="_Toc152045559"/>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2336"/>
      <w:bookmarkStart w:id="232" w:name="_Toc179632578"/>
      <w:bookmarkStart w:id="233" w:name="_Toc152045560"/>
      <w:bookmarkStart w:id="234" w:name="_Toc246996947"/>
      <w:bookmarkStart w:id="235" w:name="_Toc144974528"/>
      <w:bookmarkStart w:id="236" w:name="_Toc247085718"/>
      <w:bookmarkStart w:id="237" w:name="_Toc296602448"/>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2337"/>
      <w:bookmarkStart w:id="240" w:name="_Toc247085719"/>
      <w:bookmarkStart w:id="241" w:name="_Toc179632579"/>
      <w:bookmarkStart w:id="242" w:name="_Toc296602449"/>
      <w:bookmarkStart w:id="243" w:name="_Toc246996948"/>
      <w:bookmarkStart w:id="244" w:name="_Toc246996205"/>
      <w:bookmarkStart w:id="245" w:name="_Toc144974529"/>
      <w:bookmarkStart w:id="246" w:name="_Toc152045561"/>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179632580"/>
      <w:bookmarkStart w:id="250" w:name="_Toc246996206"/>
      <w:bookmarkStart w:id="251" w:name="_Toc247085720"/>
      <w:bookmarkStart w:id="252" w:name="_Toc296602451"/>
      <w:bookmarkStart w:id="253" w:name="_Toc152042338"/>
      <w:bookmarkStart w:id="254" w:name="_Toc246996949"/>
      <w:bookmarkStart w:id="255" w:name="_Toc152045562"/>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950"/>
      <w:bookmarkStart w:id="257" w:name="_Toc296602452"/>
      <w:bookmarkStart w:id="258" w:name="_Toc179632581"/>
      <w:bookmarkStart w:id="259" w:name="_Toc246996207"/>
      <w:bookmarkStart w:id="260" w:name="_Toc152045563"/>
      <w:bookmarkStart w:id="261" w:name="_Toc152042339"/>
      <w:bookmarkStart w:id="262" w:name="_Toc144974531"/>
      <w:bookmarkStart w:id="263" w:name="_Toc24708572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96602453"/>
      <w:bookmarkStart w:id="265" w:name="_Toc144974532"/>
      <w:bookmarkStart w:id="266" w:name="_Toc247085722"/>
      <w:bookmarkStart w:id="267" w:name="_Toc246996951"/>
      <w:bookmarkStart w:id="268" w:name="_Toc179632582"/>
      <w:bookmarkStart w:id="269" w:name="_Toc152045564"/>
      <w:bookmarkStart w:id="270" w:name="_Toc246996208"/>
      <w:bookmarkStart w:id="271" w:name="_Toc152042340"/>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5565"/>
      <w:bookmarkStart w:id="273" w:name="_Toc246996209"/>
      <w:bookmarkStart w:id="274" w:name="_Toc296602454"/>
      <w:bookmarkStart w:id="275" w:name="_Toc246996952"/>
      <w:bookmarkStart w:id="276" w:name="_Toc144974533"/>
      <w:bookmarkStart w:id="277" w:name="_Toc247085723"/>
      <w:bookmarkStart w:id="278" w:name="_Toc152042341"/>
      <w:bookmarkStart w:id="279" w:name="_Toc17963258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210"/>
      <w:bookmarkStart w:id="281" w:name="_Toc152045566"/>
      <w:bookmarkStart w:id="282" w:name="_Toc152042342"/>
      <w:bookmarkStart w:id="283" w:name="_Toc179632584"/>
      <w:bookmarkStart w:id="284" w:name="_Toc296602455"/>
      <w:bookmarkStart w:id="285" w:name="_Toc246996953"/>
      <w:bookmarkStart w:id="286" w:name="_Toc144974534"/>
      <w:bookmarkStart w:id="287" w:name="_Toc247085724"/>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211"/>
      <w:bookmarkStart w:id="289" w:name="_Toc296602456"/>
      <w:bookmarkStart w:id="290" w:name="_Toc179632585"/>
      <w:bookmarkStart w:id="291" w:name="_Toc144974535"/>
      <w:bookmarkStart w:id="292" w:name="_Toc152042343"/>
      <w:bookmarkStart w:id="293" w:name="_Toc247085725"/>
      <w:bookmarkStart w:id="294" w:name="_Toc152045567"/>
      <w:bookmarkStart w:id="295" w:name="_Toc246996954"/>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8"/>
      <w:bookmarkStart w:id="297" w:name="_Toc179632586"/>
      <w:bookmarkStart w:id="298" w:name="_Toc144974536"/>
      <w:bookmarkStart w:id="299" w:name="_Toc246996955"/>
      <w:bookmarkStart w:id="300" w:name="_Toc152045568"/>
      <w:bookmarkStart w:id="301" w:name="_Toc152042344"/>
      <w:bookmarkStart w:id="302" w:name="_Toc247085726"/>
      <w:bookmarkStart w:id="303" w:name="_Toc246996212"/>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79632587"/>
      <w:bookmarkStart w:id="305" w:name="_Toc144974537"/>
      <w:bookmarkStart w:id="306" w:name="_Toc152045569"/>
      <w:bookmarkStart w:id="307" w:name="_Toc296602459"/>
      <w:bookmarkStart w:id="308" w:name="_Toc246996956"/>
      <w:bookmarkStart w:id="309" w:name="_Toc246996213"/>
      <w:bookmarkStart w:id="310" w:name="_Toc247085727"/>
      <w:bookmarkStart w:id="311" w:name="_Toc152042345"/>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w:t>
      </w:r>
      <w:r>
        <w:rPr>
          <w:rFonts w:hint="eastAsia"/>
          <w:lang w:eastAsia="zh-CN"/>
        </w:rPr>
        <w:t>保证金</w:t>
      </w:r>
      <w:r>
        <w:rPr>
          <w:rFonts w:hint="eastAsia"/>
        </w:rPr>
        <w:t>。除投标人须知前附表另有规定外，履约保证金为中标合同金额的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46996214"/>
      <w:bookmarkStart w:id="313" w:name="_Toc296602460"/>
      <w:bookmarkStart w:id="314" w:name="_Toc144974538"/>
      <w:bookmarkStart w:id="315" w:name="_Toc246996957"/>
      <w:bookmarkStart w:id="316" w:name="_Toc152042346"/>
      <w:bookmarkStart w:id="317" w:name="_Toc247085728"/>
      <w:bookmarkStart w:id="318" w:name="_Toc179632588"/>
      <w:bookmarkStart w:id="319" w:name="_Toc152045570"/>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2"/>
      <w:bookmarkStart w:id="322" w:name="_Toc246996962"/>
      <w:bookmarkStart w:id="323" w:name="_Toc152045575"/>
      <w:bookmarkStart w:id="324" w:name="_Toc296590983"/>
      <w:bookmarkStart w:id="325" w:name="_Toc179632593"/>
      <w:bookmarkStart w:id="326" w:name="_Toc247085733"/>
      <w:bookmarkStart w:id="327" w:name="_Toc144974543"/>
      <w:bookmarkStart w:id="328" w:name="_Toc246996219"/>
      <w:bookmarkStart w:id="329" w:name="_Toc152042351"/>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152045576"/>
      <w:bookmarkStart w:id="331" w:name="_Toc144974544"/>
      <w:bookmarkStart w:id="332" w:name="_Toc247085734"/>
      <w:bookmarkStart w:id="333" w:name="_Toc152042352"/>
      <w:bookmarkStart w:id="334" w:name="_Toc179632594"/>
      <w:bookmarkStart w:id="335" w:name="_Toc296602463"/>
      <w:bookmarkStart w:id="336" w:name="_Toc246996963"/>
      <w:bookmarkStart w:id="337" w:name="_Toc246996220"/>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96602464"/>
      <w:bookmarkStart w:id="339" w:name="_Toc144974545"/>
      <w:bookmarkStart w:id="340" w:name="_Toc152042353"/>
      <w:bookmarkStart w:id="341" w:name="_Toc179632595"/>
      <w:bookmarkStart w:id="342" w:name="_Toc246996221"/>
      <w:bookmarkStart w:id="343" w:name="_Toc247085735"/>
      <w:bookmarkStart w:id="344" w:name="_Toc246996964"/>
      <w:bookmarkStart w:id="345" w:name="_Toc152045577"/>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52045578"/>
      <w:bookmarkStart w:id="347" w:name="_Toc152042354"/>
      <w:bookmarkStart w:id="348" w:name="_Toc247085736"/>
      <w:bookmarkStart w:id="349" w:name="_Toc296602465"/>
      <w:bookmarkStart w:id="350" w:name="_Toc179632596"/>
      <w:bookmarkStart w:id="351" w:name="_Toc246996222"/>
      <w:bookmarkStart w:id="352" w:name="_Toc246996965"/>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7085737"/>
      <w:bookmarkStart w:id="356" w:name="_Toc246996223"/>
      <w:bookmarkStart w:id="357" w:name="_Toc152045579"/>
      <w:bookmarkStart w:id="358" w:name="_Toc179632597"/>
      <w:bookmarkStart w:id="359" w:name="_Toc246996966"/>
      <w:bookmarkStart w:id="360" w:name="_Toc152042356"/>
      <w:bookmarkStart w:id="361" w:name="_Toc296602466"/>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224"/>
      <w:bookmarkStart w:id="364" w:name="_Toc144974547"/>
      <w:bookmarkStart w:id="365" w:name="_Toc247085738"/>
      <w:bookmarkStart w:id="366" w:name="_Toc152042357"/>
      <w:bookmarkStart w:id="367" w:name="_Toc152045580"/>
      <w:bookmarkStart w:id="368" w:name="_Toc179632598"/>
      <w:bookmarkStart w:id="369" w:name="_Toc296602467"/>
      <w:bookmarkStart w:id="370" w:name="_Toc24699696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W w:w="888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97"/>
        <w:gridCol w:w="53"/>
        <w:gridCol w:w="850"/>
        <w:gridCol w:w="977"/>
        <w:gridCol w:w="1007"/>
        <w:gridCol w:w="51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5"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0" w:edGrp="everyone"/>
            <w:r>
              <w:rPr>
                <w:rFonts w:hint="eastAsia" w:ascii="Times New Roman" w:hAnsi="Times New Roman" w:cs="Times New Roman"/>
                <w:kern w:val="0"/>
                <w:sz w:val="24"/>
                <w:szCs w:val="24"/>
                <w:highlight w:val="none"/>
                <w:lang w:val="en-US" w:eastAsia="zh-CN"/>
              </w:rPr>
              <w:t>符合第二章“投标人须知”第1.4.1项规定</w:t>
            </w:r>
            <w:permEnd w:id="6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4"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296602477"/>
            <w:bookmarkStart w:id="372" w:name="_Toc152045589"/>
            <w:bookmarkStart w:id="373" w:name="_Toc246996975"/>
            <w:bookmarkStart w:id="374" w:name="_Toc179632607"/>
            <w:bookmarkStart w:id="375" w:name="_Toc152042366"/>
            <w:bookmarkStart w:id="376" w:name="_Toc247085747"/>
            <w:bookmarkStart w:id="377" w:name="_Toc144974556"/>
            <w:bookmarkStart w:id="378" w:name="_Toc246996232"/>
            <w:r>
              <w:rPr>
                <w:rFonts w:hint="default" w:ascii="Times New Roman" w:hAnsi="Times New Roman" w:cs="Times New Roman"/>
                <w:b/>
                <w:bCs/>
                <w:kern w:val="0"/>
                <w:sz w:val="24"/>
                <w:szCs w:val="24"/>
                <w:highlight w:val="none"/>
                <w:lang w:val="en-US" w:eastAsia="zh-CN"/>
              </w:rPr>
              <w:t>条款号</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2" w:edGrp="everyone" w:colFirst="2" w:colLast="2"/>
            <w:r>
              <w:rPr>
                <w:rFonts w:hint="eastAsia" w:ascii="Times New Roman" w:hAnsi="Times New Roman" w:cs="Times New Roman"/>
                <w:kern w:val="0"/>
                <w:sz w:val="24"/>
                <w:szCs w:val="24"/>
                <w:highlight w:val="none"/>
                <w:lang w:val="en-US" w:eastAsia="zh-CN"/>
              </w:rPr>
              <w:t>2.2.1</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33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47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 xml:space="preserve">  / </w:t>
            </w:r>
            <w:r>
              <w:rPr>
                <w:rFonts w:hint="default" w:ascii="Times New Roman" w:hAnsi="Times New Roman" w:cs="Times New Roman" w:eastAsiaTheme="minorEastAsia"/>
                <w:color w:val="auto"/>
                <w:kern w:val="0"/>
                <w:sz w:val="24"/>
                <w:szCs w:val="24"/>
                <w:highlight w:val="none"/>
              </w:rPr>
              <w:t>分</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3" w:edGrp="everyone" w:colFirst="2" w:colLast="2"/>
            <w:r>
              <w:rPr>
                <w:rFonts w:hint="eastAsia" w:ascii="Times New Roman" w:hAnsi="Times New Roman" w:cs="Times New Roman"/>
                <w:kern w:val="0"/>
                <w:sz w:val="24"/>
                <w:szCs w:val="24"/>
                <w:highlight w:val="none"/>
                <w:lang w:val="en-US" w:eastAsia="zh-CN"/>
              </w:rPr>
              <w:t>2.2.2</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74" w:edGrp="everyone"/>
            <w:r>
              <w:rPr>
                <w:rFonts w:hint="eastAsia" w:ascii="Times New Roman" w:hAnsi="Times New Roman" w:cs="Times New Roman"/>
                <w:color w:val="auto"/>
                <w:kern w:val="0"/>
                <w:sz w:val="24"/>
                <w:szCs w:val="24"/>
                <w:highlight w:val="none"/>
                <w:lang w:val="en-US" w:eastAsia="zh-CN"/>
              </w:rPr>
              <w:t>/</w:t>
            </w:r>
            <w:permEnd w:id="7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0" w:type="dxa"/>
            <w:gridSpan w:val="3"/>
            <w:vAlign w:val="center"/>
          </w:tcPr>
          <w:p>
            <w:pPr>
              <w:adjustRightInd w:val="0"/>
              <w:snapToGrid w:val="0"/>
              <w:spacing w:line="500" w:lineRule="exact"/>
              <w:jc w:val="center"/>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评审因素</w:t>
            </w:r>
          </w:p>
        </w:tc>
        <w:tc>
          <w:tcPr>
            <w:tcW w:w="1984" w:type="dxa"/>
            <w:gridSpan w:val="2"/>
            <w:vAlign w:val="center"/>
          </w:tcPr>
          <w:p>
            <w:pPr>
              <w:adjustRightInd w:val="0"/>
              <w:snapToGrid w:val="0"/>
              <w:spacing w:line="500" w:lineRule="exact"/>
              <w:jc w:val="center"/>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分值</w:t>
            </w:r>
          </w:p>
        </w:tc>
        <w:tc>
          <w:tcPr>
            <w:tcW w:w="5199" w:type="dxa"/>
            <w:vAlign w:val="center"/>
          </w:tcPr>
          <w:p>
            <w:pPr>
              <w:adjustRightInd w:val="0"/>
              <w:snapToGrid w:val="0"/>
              <w:spacing w:line="500" w:lineRule="exact"/>
              <w:jc w:val="center"/>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6" w:hRule="atLeast"/>
          <w:jc w:val="center"/>
        </w:trPr>
        <w:tc>
          <w:tcPr>
            <w:tcW w:w="797" w:type="dxa"/>
            <w:vMerge w:val="restart"/>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kern w:val="0"/>
                <w:sz w:val="24"/>
                <w:szCs w:val="24"/>
                <w:highlight w:val="none"/>
                <w:lang w:val="en-US" w:eastAsia="zh-CN"/>
              </w:rPr>
              <w:t>资信业绩评分标准</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33</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tc>
        <w:tc>
          <w:tcPr>
            <w:tcW w:w="903" w:type="dxa"/>
            <w:gridSpan w:val="2"/>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服务网点</w:t>
            </w:r>
          </w:p>
        </w:tc>
        <w:tc>
          <w:tcPr>
            <w:tcW w:w="977" w:type="dxa"/>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tc>
        <w:tc>
          <w:tcPr>
            <w:tcW w:w="6206" w:type="dxa"/>
            <w:gridSpan w:val="2"/>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为保障项目运营质量，投标人需承诺中标后15日内在亳州设立本地项目服务网点专门用于项目运营管理</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得5分，未承诺不得分。</w:t>
            </w:r>
            <w:r>
              <w:rPr>
                <w:rFonts w:hint="eastAsia" w:asciiTheme="minorEastAsia" w:hAnsiTheme="minorEastAsia" w:eastAsiaTheme="minorEastAsia" w:cstheme="minorEastAsia"/>
                <w:color w:val="000000" w:themeColor="text1"/>
                <w:sz w:val="24"/>
                <w:szCs w:val="24"/>
                <w14:textFill>
                  <w14:solidFill>
                    <w14:schemeClr w14:val="tx1"/>
                  </w14:solidFill>
                </w14:textFill>
              </w:rPr>
              <w:t>如未按照承诺履行视为放弃履约，并承担相关违约责任。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797" w:type="dxa"/>
            <w:vMerge w:val="continue"/>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企业实力</w:t>
            </w:r>
          </w:p>
        </w:tc>
        <w:tc>
          <w:tcPr>
            <w:tcW w:w="977" w:type="dxa"/>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5分</w:t>
            </w:r>
          </w:p>
        </w:tc>
        <w:tc>
          <w:tcPr>
            <w:tcW w:w="6206" w:type="dxa"/>
            <w:gridSpan w:val="2"/>
            <w:vAlign w:val="center"/>
          </w:tcPr>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1.具有ISO9001质量管理体系认证；</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2.具有ISO14001环境管理体系认证；</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3.具有ISO45001职业健康安全管理体系认证；</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4.具有ISO/IEC27001信息安全管理体系认证；</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5.具有IS020000信息技术服务管理认证；</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每</w:t>
            </w:r>
            <w:r>
              <w:rPr>
                <w:rFonts w:hint="eastAsia" w:asciiTheme="minorEastAsia" w:hAnsiTheme="minorEastAsia" w:cstheme="minorEastAsia"/>
                <w:color w:val="000000" w:themeColor="text1"/>
                <w:sz w:val="24"/>
                <w:szCs w:val="24"/>
                <w:lang w:val="en-US" w:eastAsia="zh-CN"/>
                <w14:textFill>
                  <w14:solidFill>
                    <w14:schemeClr w14:val="tx1"/>
                  </w14:solidFill>
                </w14:textFill>
              </w:rPr>
              <w:t>提供</w:t>
            </w:r>
            <w:r>
              <w:rPr>
                <w:rFonts w:hint="eastAsia" w:asciiTheme="minorEastAsia" w:hAnsiTheme="minorEastAsia" w:eastAsiaTheme="minorEastAsia" w:cstheme="minorEastAsia"/>
                <w:color w:val="000000" w:themeColor="text1"/>
                <w:sz w:val="24"/>
                <w:szCs w:val="24"/>
                <w14:textFill>
                  <w14:solidFill>
                    <w14:schemeClr w14:val="tx1"/>
                  </w14:solidFill>
                </w14:textFill>
              </w:rPr>
              <w:t>1项得1分，最高5分。</w:t>
            </w: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注:提供投标人获得的有效期内的认证证书复印件，不提供不得分。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797" w:type="dxa"/>
            <w:vMerge w:val="continue"/>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履约能力</w:t>
            </w:r>
          </w:p>
        </w:tc>
        <w:tc>
          <w:tcPr>
            <w:tcW w:w="977" w:type="dxa"/>
            <w:vAlign w:val="center"/>
          </w:tcPr>
          <w:p>
            <w:pPr>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6分</w:t>
            </w:r>
          </w:p>
        </w:tc>
        <w:tc>
          <w:tcPr>
            <w:tcW w:w="6206" w:type="dxa"/>
            <w:gridSpan w:val="2"/>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投标人具有已运营停车项目，其中运营年限至今超过</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年的，泊位数量达到1000个及以</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上</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的，得2分；</w:t>
            </w:r>
          </w:p>
          <w:p>
            <w:pPr>
              <w:adjustRightInd w:val="0"/>
              <w:snapToGrid w:val="0"/>
              <w:spacing w:line="500" w:lineRule="exact"/>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泊位数量1000-2000个的，得4分；</w:t>
            </w:r>
          </w:p>
          <w:p>
            <w:pPr>
              <w:adjustRightInd w:val="0"/>
              <w:snapToGrid w:val="0"/>
              <w:spacing w:line="500" w:lineRule="exact"/>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泊位数量达到2000-3000个</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及以上</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的，得6分；</w:t>
            </w:r>
          </w:p>
          <w:p>
            <w:pPr>
              <w:pStyle w:val="7"/>
              <w:spacing w:after="0"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上述</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业绩指单项业绩合同，多项业绩仅取最高分计取，不累计计分，投标人须</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提供合同复印件</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封闭式停车场案例无效</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业绩合同</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原件中标后备查</w:t>
            </w:r>
            <w:r>
              <w:rPr>
                <w:rFonts w:hint="eastAsia" w:asciiTheme="minorEastAsia" w:hAnsiTheme="minorEastAsia" w:eastAsiaTheme="minorEastAsia" w:cstheme="minorEastAsia"/>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797" w:type="dxa"/>
            <w:vMerge w:val="continue"/>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企业信用</w:t>
            </w:r>
          </w:p>
        </w:tc>
        <w:tc>
          <w:tcPr>
            <w:tcW w:w="977" w:type="dxa"/>
            <w:vAlign w:val="center"/>
          </w:tcPr>
          <w:p>
            <w:pPr>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分</w:t>
            </w:r>
          </w:p>
        </w:tc>
        <w:tc>
          <w:tcPr>
            <w:tcW w:w="6206" w:type="dxa"/>
            <w:gridSpan w:val="2"/>
            <w:vAlign w:val="center"/>
          </w:tcPr>
          <w:p>
            <w:pPr>
              <w:spacing w:line="500" w:lineRule="exac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投标人</w:t>
            </w:r>
            <w:r>
              <w:rPr>
                <w:rFonts w:hint="eastAsia" w:asciiTheme="minorEastAsia" w:hAnsiTheme="minorEastAsia" w:cstheme="minorEastAsia"/>
                <w:color w:val="000000" w:themeColor="text1"/>
                <w:sz w:val="24"/>
                <w:szCs w:val="24"/>
                <w:lang w:val="en-US" w:eastAsia="zh-CN"/>
                <w14:textFill>
                  <w14:solidFill>
                    <w14:schemeClr w14:val="tx1"/>
                  </w14:solidFill>
                </w14:textFill>
              </w:rPr>
              <w:t>需</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提供</w:t>
            </w:r>
            <w:r>
              <w:rPr>
                <w:rFonts w:hint="eastAsia" w:asciiTheme="minorEastAsia" w:hAnsiTheme="minorEastAsia" w:cstheme="minorEastAsia"/>
                <w:color w:val="000000" w:themeColor="text1"/>
                <w:sz w:val="24"/>
                <w:szCs w:val="24"/>
                <w:lang w:val="en-US" w:eastAsia="zh-CN"/>
                <w14:textFill>
                  <w14:solidFill>
                    <w14:schemeClr w14:val="tx1"/>
                  </w14:solidFill>
                </w14:textFill>
              </w:rPr>
              <w:t>由银行颁发的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企业信用</w:t>
            </w:r>
            <w:r>
              <w:rPr>
                <w:rFonts w:hint="eastAsia" w:asciiTheme="minorEastAsia" w:hAnsiTheme="minorEastAsia" w:cstheme="minorEastAsia"/>
                <w:color w:val="000000" w:themeColor="text1"/>
                <w:sz w:val="24"/>
                <w:szCs w:val="24"/>
                <w:lang w:val="en-US" w:eastAsia="zh-CN"/>
                <w14:textFill>
                  <w14:solidFill>
                    <w14:schemeClr w14:val="tx1"/>
                  </w14:solidFill>
                </w14:textFill>
              </w:rPr>
              <w:t>等级</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证书，</w:t>
            </w:r>
            <w:r>
              <w:rPr>
                <w:rFonts w:hint="eastAsia" w:asciiTheme="minorEastAsia" w:hAnsiTheme="minorEastAsia" w:eastAsiaTheme="minorEastAsia" w:cstheme="minorEastAsia"/>
                <w:color w:val="000000" w:themeColor="text1"/>
                <w:sz w:val="24"/>
                <w:szCs w:val="24"/>
                <w14:textFill>
                  <w14:solidFill>
                    <w14:schemeClr w14:val="tx1"/>
                  </w14:solidFill>
                </w14:textFill>
              </w:rPr>
              <w:t>信用等级为 AA 级及以上的得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分，信用等级为 A 级的得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3" w:hRule="atLeast"/>
          <w:jc w:val="center"/>
        </w:trPr>
        <w:tc>
          <w:tcPr>
            <w:tcW w:w="797" w:type="dxa"/>
            <w:vMerge w:val="continue"/>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企业业绩</w:t>
            </w:r>
          </w:p>
        </w:tc>
        <w:tc>
          <w:tcPr>
            <w:tcW w:w="977" w:type="dxa"/>
            <w:vAlign w:val="center"/>
          </w:tcPr>
          <w:p>
            <w:pPr>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1</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分</w:t>
            </w:r>
          </w:p>
        </w:tc>
        <w:tc>
          <w:tcPr>
            <w:tcW w:w="6206" w:type="dxa"/>
            <w:gridSpan w:val="2"/>
            <w:vAlign w:val="center"/>
          </w:tcPr>
          <w:p>
            <w:pPr>
              <w:pStyle w:val="7"/>
              <w:spacing w:after="0" w:line="500" w:lineRule="exac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除投标人资格要求业绩外，</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投标人</w:t>
            </w: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每额外提供1项企业类似项目业绩</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得</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分，满分15分；业绩时间以合同签订时间为准，单个项目签订的合同不重复累计</w:t>
            </w:r>
            <w:r>
              <w:rPr>
                <w:rFonts w:hint="eastAsia" w:asciiTheme="minorEastAsia" w:hAnsiTheme="minorEastAsia" w:cstheme="minorEastAsia"/>
                <w:color w:val="000000" w:themeColor="text1"/>
                <w:kern w:val="0"/>
                <w:sz w:val="24"/>
                <w:szCs w:val="24"/>
                <w:lang w:eastAsia="zh-CN"/>
                <w14:textFill>
                  <w14:solidFill>
                    <w14:schemeClr w14:val="tx1"/>
                  </w14:solidFill>
                </w14:textFill>
              </w:rPr>
              <w:t>计分</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p>
          <w:p>
            <w:pPr>
              <w:pStyle w:val="7"/>
              <w:spacing w:after="0" w:line="500" w:lineRule="exac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注：</w:t>
            </w:r>
            <w:permStart w:id="75" w:edGrp="everyone"/>
            <w:r>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提供业绩合同</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、合同任意节点税务发票等相关资料</w:t>
            </w:r>
            <w:r>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复印件或扫描件装订入投标文件中</w:t>
            </w: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w:t>
            </w:r>
            <w:permEnd w:id="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97" w:type="dxa"/>
            <w:vMerge w:val="restart"/>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kern w:val="0"/>
                <w:sz w:val="24"/>
                <w:szCs w:val="24"/>
                <w:highlight w:val="none"/>
                <w:lang w:val="en-US" w:eastAsia="zh-CN"/>
              </w:rPr>
            </w:pPr>
            <w:r>
              <w:rPr>
                <w:rFonts w:hint="eastAsia" w:asciiTheme="minorEastAsia" w:hAnsiTheme="minorEastAsia" w:eastAsiaTheme="minorEastAsia" w:cstheme="minorEastAsia"/>
                <w:kern w:val="0"/>
                <w:sz w:val="24"/>
                <w:szCs w:val="24"/>
                <w:highlight w:val="none"/>
                <w:lang w:val="en-US" w:eastAsia="zh-CN"/>
              </w:rPr>
              <w:t>服务方案评分标准</w:t>
            </w: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tc>
        <w:tc>
          <w:tcPr>
            <w:tcW w:w="903" w:type="dxa"/>
            <w:gridSpan w:val="2"/>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技术能力</w:t>
            </w:r>
          </w:p>
        </w:tc>
        <w:tc>
          <w:tcPr>
            <w:tcW w:w="977" w:type="dxa"/>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3分</w:t>
            </w:r>
          </w:p>
        </w:tc>
        <w:tc>
          <w:tcPr>
            <w:tcW w:w="6206" w:type="dxa"/>
            <w:gridSpan w:val="2"/>
            <w:vAlign w:val="center"/>
          </w:tcPr>
          <w:p>
            <w:pPr>
              <w:spacing w:line="400" w:lineRule="exac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投标人具有停车方面的发明专利、实用新型专利或软著，每提供一个得1分，满分3分。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97" w:type="dxa"/>
            <w:vMerge w:val="continue"/>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泊位管理</w:t>
            </w:r>
          </w:p>
        </w:tc>
        <w:tc>
          <w:tcPr>
            <w:tcW w:w="977" w:type="dxa"/>
            <w:vAlign w:val="center"/>
          </w:tcPr>
          <w:p>
            <w:pPr>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tc>
        <w:tc>
          <w:tcPr>
            <w:tcW w:w="6206" w:type="dxa"/>
            <w:gridSpan w:val="2"/>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投标人承诺：</w:t>
            </w: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1.泊位管理覆盖率在95%的基础上每增加1%加1分，此项最高</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得</w:t>
            </w:r>
            <w:r>
              <w:rPr>
                <w:rFonts w:hint="eastAsia" w:asciiTheme="minorEastAsia" w:hAnsiTheme="minorEastAsia" w:eastAsiaTheme="minorEastAsia" w:cstheme="minorEastAsia"/>
                <w:color w:val="000000" w:themeColor="text1"/>
                <w:sz w:val="24"/>
                <w:szCs w:val="24"/>
                <w14:textFill>
                  <w14:solidFill>
                    <w14:schemeClr w14:val="tx1"/>
                  </w14:solidFill>
                </w14:textFill>
              </w:rPr>
              <w:t>5分；</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2.承诺月收费率≥80%得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分，承诺月收费率≥75%得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分，承诺月收费率≥70%得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797" w:type="dxa"/>
            <w:vMerge w:val="continue"/>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智慧停车应用推广</w:t>
            </w:r>
          </w:p>
        </w:tc>
        <w:tc>
          <w:tcPr>
            <w:tcW w:w="977" w:type="dxa"/>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14</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tc>
        <w:tc>
          <w:tcPr>
            <w:tcW w:w="6206" w:type="dxa"/>
            <w:gridSpan w:val="2"/>
            <w:vAlign w:val="center"/>
          </w:tcPr>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投标人对招标人指定的智慧停车应用软件进行宣传推广，提升用户注册认证人数。</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投标人承诺</w:t>
            </w:r>
          </w:p>
          <w:p>
            <w:pPr>
              <w:spacing w:line="500" w:lineRule="exac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自合同签订之日起，</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第一年，</w:t>
            </w:r>
            <w:r>
              <w:rPr>
                <w:rFonts w:hint="eastAsia" w:asciiTheme="minorEastAsia" w:hAnsiTheme="minorEastAsia" w:eastAsiaTheme="minorEastAsia" w:cstheme="minorEastAsia"/>
                <w:color w:val="000000" w:themeColor="text1"/>
                <w:sz w:val="24"/>
                <w:szCs w:val="24"/>
                <w14:textFill>
                  <w14:solidFill>
                    <w14:schemeClr w14:val="tx1"/>
                  </w14:solidFill>
                </w14:textFill>
              </w:rPr>
              <w:t>每月新增的实名注册认证用户不少于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000人得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第一年，</w:t>
            </w:r>
            <w:r>
              <w:rPr>
                <w:rFonts w:hint="eastAsia" w:asciiTheme="minorEastAsia" w:hAnsiTheme="minorEastAsia" w:eastAsiaTheme="minorEastAsia" w:cstheme="minorEastAsia"/>
                <w:color w:val="000000" w:themeColor="text1"/>
                <w:sz w:val="24"/>
                <w:szCs w:val="24"/>
                <w14:textFill>
                  <w14:solidFill>
                    <w14:schemeClr w14:val="tx1"/>
                  </w14:solidFill>
                </w14:textFill>
              </w:rPr>
              <w:t>每月新增的实名注册认证用户不少于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000人得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第一年，</w:t>
            </w:r>
            <w:r>
              <w:rPr>
                <w:rFonts w:hint="eastAsia" w:asciiTheme="minorEastAsia" w:hAnsiTheme="minorEastAsia" w:eastAsiaTheme="minorEastAsia" w:cstheme="minorEastAsia"/>
                <w:color w:val="000000" w:themeColor="text1"/>
                <w:sz w:val="24"/>
                <w:szCs w:val="24"/>
                <w14:textFill>
                  <w14:solidFill>
                    <w14:schemeClr w14:val="tx1"/>
                  </w14:solidFill>
                </w14:textFill>
              </w:rPr>
              <w:t>每月新增的实名注册认证用户不少于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00人得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pPr>
              <w:spacing w:line="500" w:lineRule="exac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自合同签订之日起</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第二年每月</w:t>
            </w:r>
            <w:r>
              <w:rPr>
                <w:rFonts w:hint="eastAsia" w:asciiTheme="minorEastAsia" w:hAnsiTheme="minorEastAsia" w:eastAsiaTheme="minorEastAsia" w:cstheme="minorEastAsia"/>
                <w:color w:val="000000" w:themeColor="text1"/>
                <w:sz w:val="24"/>
                <w:szCs w:val="24"/>
                <w14:textFill>
                  <w14:solidFill>
                    <w14:schemeClr w14:val="tx1"/>
                  </w14:solidFill>
                </w14:textFill>
              </w:rPr>
              <w:t>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000人得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第二年每月</w:t>
            </w:r>
            <w:r>
              <w:rPr>
                <w:rFonts w:hint="eastAsia" w:asciiTheme="minorEastAsia" w:hAnsiTheme="minorEastAsia" w:eastAsiaTheme="minorEastAsia" w:cstheme="minorEastAsia"/>
                <w:color w:val="000000" w:themeColor="text1"/>
                <w:sz w:val="24"/>
                <w:szCs w:val="24"/>
                <w14:textFill>
                  <w14:solidFill>
                    <w14:schemeClr w14:val="tx1"/>
                  </w14:solidFill>
                </w14:textFill>
              </w:rPr>
              <w:t>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00人得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第二年每月</w:t>
            </w:r>
            <w:r>
              <w:rPr>
                <w:rFonts w:hint="eastAsia" w:asciiTheme="minorEastAsia" w:hAnsiTheme="minorEastAsia" w:eastAsiaTheme="minorEastAsia" w:cstheme="minorEastAsia"/>
                <w:color w:val="000000" w:themeColor="text1"/>
                <w:sz w:val="24"/>
                <w:szCs w:val="24"/>
                <w14:textFill>
                  <w14:solidFill>
                    <w14:schemeClr w14:val="tx1"/>
                  </w14:solidFill>
                </w14:textFill>
              </w:rPr>
              <w:t>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00人得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自合同签订之日起，</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第三、四、五年</w:t>
            </w:r>
            <w:r>
              <w:rPr>
                <w:rFonts w:hint="eastAsia" w:asciiTheme="minorEastAsia" w:hAnsiTheme="minorEastAsia" w:eastAsiaTheme="minorEastAsia" w:cstheme="minorEastAsia"/>
                <w:color w:val="000000" w:themeColor="text1"/>
                <w:sz w:val="24"/>
                <w:szCs w:val="24"/>
                <w14:textFill>
                  <w14:solidFill>
                    <w14:schemeClr w14:val="tx1"/>
                  </w14:solidFill>
                </w14:textFill>
              </w:rPr>
              <w:t>每月新增的实名注册认证用户不少于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00</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人</w:t>
            </w:r>
            <w:r>
              <w:rPr>
                <w:rFonts w:hint="eastAsia" w:asciiTheme="minorEastAsia" w:hAnsiTheme="minorEastAsia" w:eastAsiaTheme="minorEastAsia" w:cstheme="minorEastAsia"/>
                <w:color w:val="000000" w:themeColor="text1"/>
                <w:sz w:val="24"/>
                <w:szCs w:val="24"/>
                <w14:textFill>
                  <w14:solidFill>
                    <w14:schemeClr w14:val="tx1"/>
                  </w14:solidFill>
                </w14:textFill>
              </w:rPr>
              <w:t>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第三、四、五年每月</w:t>
            </w:r>
            <w:r>
              <w:rPr>
                <w:rFonts w:hint="eastAsia" w:asciiTheme="minorEastAsia" w:hAnsiTheme="minorEastAsia" w:eastAsiaTheme="minorEastAsia" w:cstheme="minorEastAsia"/>
                <w:color w:val="000000" w:themeColor="text1"/>
                <w:sz w:val="24"/>
                <w:szCs w:val="24"/>
                <w14:textFill>
                  <w14:solidFill>
                    <w14:schemeClr w14:val="tx1"/>
                  </w14:solidFill>
                </w14:textFill>
              </w:rPr>
              <w:t>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00得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第三、四、五年</w:t>
            </w:r>
            <w:r>
              <w:rPr>
                <w:rFonts w:hint="eastAsia" w:asciiTheme="minorEastAsia" w:hAnsiTheme="minorEastAsia" w:eastAsiaTheme="minorEastAsia" w:cstheme="minorEastAsia"/>
                <w:color w:val="000000" w:themeColor="text1"/>
                <w:sz w:val="24"/>
                <w:szCs w:val="24"/>
                <w14:textFill>
                  <w14:solidFill>
                    <w14:schemeClr w14:val="tx1"/>
                  </w14:solidFill>
                </w14:textFill>
              </w:rPr>
              <w:t>每月新增的实名注册认证用户不少于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00</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人</w:t>
            </w:r>
            <w:r>
              <w:rPr>
                <w:rFonts w:hint="eastAsia" w:asciiTheme="minorEastAsia" w:hAnsiTheme="minorEastAsia" w:eastAsiaTheme="minorEastAsia" w:cstheme="minorEastAsia"/>
                <w:color w:val="000000" w:themeColor="text1"/>
                <w:sz w:val="24"/>
                <w:szCs w:val="24"/>
                <w14:textFill>
                  <w14:solidFill>
                    <w14:schemeClr w14:val="tx1"/>
                  </w14:solidFill>
                </w14:textFill>
              </w:rPr>
              <w:t>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797" w:type="dxa"/>
            <w:vMerge w:val="continue"/>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运营方案</w:t>
            </w:r>
          </w:p>
        </w:tc>
        <w:tc>
          <w:tcPr>
            <w:tcW w:w="977" w:type="dxa"/>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20分</w:t>
            </w:r>
          </w:p>
        </w:tc>
        <w:tc>
          <w:tcPr>
            <w:tcW w:w="6206" w:type="dxa"/>
            <w:gridSpan w:val="2"/>
            <w:vAlign w:val="center"/>
          </w:tcPr>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1、总体运营方案（4分）：</w:t>
            </w:r>
            <w:r>
              <w:rPr>
                <w:rFonts w:hint="eastAsia" w:asciiTheme="minorEastAsia" w:hAnsiTheme="minorEastAsia" w:eastAsiaTheme="minorEastAsia" w:cstheme="minorEastAsia"/>
                <w:color w:val="000000" w:themeColor="text1"/>
                <w:sz w:val="24"/>
                <w:szCs w:val="24"/>
                <w14:textFill>
                  <w14:solidFill>
                    <w14:schemeClr w14:val="tx1"/>
                  </w14:solidFill>
                </w14:textFill>
              </w:rPr>
              <w:t>根据各投标人所投项目的总体运营方案对本项目需求理解准确，内容全面完整，</w:t>
            </w:r>
            <w:r>
              <w:rPr>
                <w:rFonts w:hint="eastAsia" w:asciiTheme="minorEastAsia" w:hAnsiTheme="minorEastAsia" w:cstheme="minorEastAsia"/>
                <w:color w:val="000000" w:themeColor="text1"/>
                <w:sz w:val="24"/>
                <w:szCs w:val="24"/>
                <w:lang w:eastAsia="zh-CN"/>
                <w14:textFill>
                  <w14:solidFill>
                    <w14:schemeClr w14:val="tx1"/>
                  </w14:solidFill>
                </w14:textFill>
              </w:rPr>
              <w:t>条理清晰</w:t>
            </w:r>
            <w:r>
              <w:rPr>
                <w:rFonts w:hint="eastAsia" w:asciiTheme="minorEastAsia" w:hAnsiTheme="minorEastAsia" w:eastAsiaTheme="minorEastAsia" w:cstheme="minorEastAsia"/>
                <w:color w:val="000000" w:themeColor="text1"/>
                <w:sz w:val="24"/>
                <w:szCs w:val="24"/>
                <w14:textFill>
                  <w14:solidFill>
                    <w14:schemeClr w14:val="tx1"/>
                  </w14:solidFill>
                </w14:textFill>
              </w:rPr>
              <w:t>，包括不限于：日常运营方案、管理措施、相关管理制度、组织机构等结合项目情况进行分析。提出服务方案的整体设计、管理模式、管理服务理念等；方案综合、全面得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4分；方案一般得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4"/>
                <w:szCs w:val="24"/>
                <w14:textFill>
                  <w14:solidFill>
                    <w14:schemeClr w14:val="tx1"/>
                  </w14:solidFill>
                </w14:textFill>
              </w:rPr>
              <w:t>分；方案不可执行或未提供得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0-1</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2、欠费追缴方案（4分）：</w:t>
            </w:r>
            <w:r>
              <w:rPr>
                <w:rFonts w:hint="eastAsia" w:asciiTheme="minorEastAsia" w:hAnsiTheme="minorEastAsia" w:eastAsiaTheme="minorEastAsia" w:cstheme="minorEastAsia"/>
                <w:color w:val="000000" w:themeColor="text1"/>
                <w:sz w:val="24"/>
                <w:szCs w:val="24"/>
                <w14:textFill>
                  <w14:solidFill>
                    <w14:schemeClr w14:val="tx1"/>
                  </w14:solidFill>
                </w14:textFill>
              </w:rPr>
              <w:t>欠费追缴方案完善、可执行、高效、人性化得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4分，方案设置基本合理、完善后可投入项目使用的，得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4"/>
                <w:szCs w:val="24"/>
                <w14:textFill>
                  <w14:solidFill>
                    <w14:schemeClr w14:val="tx1"/>
                  </w14:solidFill>
                </w14:textFill>
              </w:rPr>
              <w:t>分；方案设置不够合理、不适合直接投入项目使用的，或未提供不得分；</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3.商业运营</w:t>
            </w:r>
            <w:r>
              <w:rPr>
                <w:rFonts w:hint="eastAsia" w:asciiTheme="minorEastAsia" w:hAnsiTheme="minorEastAsia" w:cstheme="minorEastAsia"/>
                <w:b/>
                <w:color w:val="000000" w:themeColor="text1"/>
                <w:sz w:val="24"/>
                <w:szCs w:val="24"/>
                <w:lang w:eastAsia="zh-CN"/>
                <w14:textFill>
                  <w14:solidFill>
                    <w14:schemeClr w14:val="tx1"/>
                  </w14:solidFill>
                </w14:textFill>
              </w:rPr>
              <w:t>策略</w:t>
            </w:r>
            <w:r>
              <w:rPr>
                <w:rFonts w:hint="eastAsia" w:asciiTheme="minorEastAsia" w:hAnsiTheme="minorEastAsia" w:eastAsiaTheme="minorEastAsia" w:cstheme="minorEastAsia"/>
                <w:b/>
                <w:color w:val="000000" w:themeColor="text1"/>
                <w:sz w:val="24"/>
                <w:szCs w:val="24"/>
                <w14:textFill>
                  <w14:solidFill>
                    <w14:schemeClr w14:val="tx1"/>
                  </w14:solidFill>
                </w14:textFill>
              </w:rPr>
              <w:t>（4分）：</w:t>
            </w:r>
            <w:r>
              <w:rPr>
                <w:rFonts w:hint="eastAsia" w:asciiTheme="minorEastAsia" w:hAnsiTheme="minorEastAsia" w:eastAsiaTheme="minorEastAsia" w:cstheme="minorEastAsia"/>
                <w:color w:val="000000" w:themeColor="text1"/>
                <w:sz w:val="24"/>
                <w:szCs w:val="24"/>
                <w14:textFill>
                  <w14:solidFill>
                    <w14:schemeClr w14:val="tx1"/>
                  </w14:solidFill>
                </w14:textFill>
              </w:rPr>
              <w:t>围绕道路泊车项目的商业运营，包括不限于：app推广、商家合作、大数据商业推广等，提供合理、可执行、完善的商业运营方案，得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4分；基本合理可行，得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4"/>
                <w:szCs w:val="24"/>
                <w14:textFill>
                  <w14:solidFill>
                    <w14:schemeClr w14:val="tx1"/>
                  </w14:solidFill>
                </w14:textFill>
              </w:rPr>
              <w:t>分，不合理或难以实现，及未提供的不得分；</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4.应急响应预案（4分）：</w:t>
            </w:r>
            <w:r>
              <w:rPr>
                <w:rFonts w:hint="eastAsia" w:asciiTheme="minorEastAsia" w:hAnsiTheme="minorEastAsia" w:eastAsiaTheme="minorEastAsia" w:cstheme="minorEastAsia"/>
                <w:color w:val="000000" w:themeColor="text1"/>
                <w:sz w:val="24"/>
                <w:szCs w:val="24"/>
                <w14:textFill>
                  <w14:solidFill>
                    <w14:schemeClr w14:val="tx1"/>
                  </w14:solidFill>
                </w14:textFill>
              </w:rPr>
              <w:t>制定快速、高效、合理的应急预案和处理措施方案，确保在日常经营管理期间，快速响应、应对突击保障任务、突发问题。方案可行、有效、合理得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4分；方案一般得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4"/>
                <w:szCs w:val="24"/>
                <w14:textFill>
                  <w14:solidFill>
                    <w14:schemeClr w14:val="tx1"/>
                  </w14:solidFill>
                </w14:textFill>
              </w:rPr>
              <w:t>分；方案不可执行得0分；</w:t>
            </w:r>
          </w:p>
          <w:p>
            <w:pPr>
              <w:spacing w:line="500" w:lineRule="exac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5.投诉处理预案（4分）：</w:t>
            </w:r>
            <w:r>
              <w:rPr>
                <w:rFonts w:hint="eastAsia" w:asciiTheme="minorEastAsia" w:hAnsiTheme="minorEastAsia" w:eastAsiaTheme="minorEastAsia" w:cstheme="minorEastAsia"/>
                <w:color w:val="000000" w:themeColor="text1"/>
                <w:sz w:val="24"/>
                <w:szCs w:val="24"/>
                <w14:textFill>
                  <w14:solidFill>
                    <w14:schemeClr w14:val="tx1"/>
                  </w14:solidFill>
                </w14:textFill>
              </w:rPr>
              <w:t>制定完善、及时、切实可行的处理方案，应对运营过程中的咨询、投诉、舆情等问题，得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3-4</w:t>
            </w:r>
            <w:r>
              <w:rPr>
                <w:rFonts w:hint="eastAsia" w:asciiTheme="minorEastAsia" w:hAnsiTheme="minorEastAsia" w:eastAsiaTheme="minorEastAsia" w:cstheme="minorEastAsia"/>
                <w:color w:val="000000" w:themeColor="text1"/>
                <w:sz w:val="24"/>
                <w:szCs w:val="24"/>
                <w14:textFill>
                  <w14:solidFill>
                    <w14:schemeClr w14:val="tx1"/>
                  </w14:solidFill>
                </w14:textFill>
              </w:rPr>
              <w:t>分；方案一般得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4"/>
                <w:szCs w:val="24"/>
                <w14:textFill>
                  <w14:solidFill>
                    <w14:schemeClr w14:val="tx1"/>
                  </w14:solidFill>
                </w14:textFill>
              </w:rPr>
              <w:t>分；方案不可执行或未提供不得分；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97" w:type="dxa"/>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auto"/>
                <w:kern w:val="0"/>
                <w:sz w:val="24"/>
                <w:szCs w:val="24"/>
                <w:highlight w:val="none"/>
                <w:lang w:val="en-US" w:eastAsia="zh-CN"/>
              </w:rPr>
              <w:t>投标报价</w:t>
            </w:r>
          </w:p>
        </w:tc>
        <w:tc>
          <w:tcPr>
            <w:tcW w:w="903" w:type="dxa"/>
            <w:gridSpan w:val="2"/>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分成比例</w:t>
            </w:r>
          </w:p>
        </w:tc>
        <w:tc>
          <w:tcPr>
            <w:tcW w:w="977" w:type="dxa"/>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20分</w:t>
            </w:r>
          </w:p>
        </w:tc>
        <w:tc>
          <w:tcPr>
            <w:tcW w:w="6206" w:type="dxa"/>
            <w:gridSpan w:val="2"/>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每年实际经营收入小于200万元（含200万）时，发包人按照50%比例支付给投标人，发包人支付比例每减少1%，加2分，最高加10分；</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不足1%部分不计分</w:t>
            </w:r>
            <w:r>
              <w:rPr>
                <w:rFonts w:hint="eastAsia" w:asciiTheme="minorEastAsia" w:hAnsiTheme="minorEastAsia" w:cstheme="minorEastAsia"/>
                <w:color w:val="000000" w:themeColor="text1"/>
                <w:sz w:val="24"/>
                <w:szCs w:val="24"/>
                <w:lang w:eastAsia="zh-CN"/>
                <w14:textFill>
                  <w14:solidFill>
                    <w14:schemeClr w14:val="tx1"/>
                  </w14:solidFill>
                </w14:textFill>
              </w:rPr>
              <w:t>）</w:t>
            </w:r>
          </w:p>
          <w:p>
            <w:pPr>
              <w:adjustRightInd w:val="0"/>
              <w:snapToGrid w:val="0"/>
              <w:spacing w:line="500" w:lineRule="exact"/>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每年实际经营</w:t>
            </w:r>
            <w:r>
              <w:rPr>
                <w:rFonts w:hint="eastAsia" w:asciiTheme="minorEastAsia" w:hAnsiTheme="minorEastAsia" w:cstheme="minorEastAsia"/>
                <w:color w:val="000000" w:themeColor="text1"/>
                <w:sz w:val="24"/>
                <w:szCs w:val="24"/>
                <w:lang w:eastAsia="zh-CN"/>
                <w14:textFill>
                  <w14:solidFill>
                    <w14:schemeClr w14:val="tx1"/>
                  </w14:solidFill>
                </w14:textFill>
              </w:rPr>
              <w:t>收入</w:t>
            </w:r>
            <w:r>
              <w:rPr>
                <w:rFonts w:hint="eastAsia" w:asciiTheme="minorEastAsia" w:hAnsiTheme="minorEastAsia" w:eastAsiaTheme="minorEastAsia" w:cstheme="minorEastAsia"/>
                <w:color w:val="000000" w:themeColor="text1"/>
                <w:sz w:val="24"/>
                <w:szCs w:val="24"/>
                <w14:textFill>
                  <w14:solidFill>
                    <w14:schemeClr w14:val="tx1"/>
                  </w14:solidFill>
                </w14:textFill>
              </w:rPr>
              <w:t>超过200万（不含</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00万）时，超出200万元部分发包人按照75%支付给投标人，发包人支付比例每减少1%，加1分，最高加10分。</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不足1%部分不计分</w:t>
            </w:r>
            <w:r>
              <w:rPr>
                <w:rFonts w:hint="eastAsia" w:asciiTheme="minorEastAsia" w:hAnsiTheme="minorEastAsia" w:cstheme="minorEastAsia"/>
                <w:color w:val="000000" w:themeColor="text1"/>
                <w:sz w:val="24"/>
                <w:szCs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700" w:type="dxa"/>
            <w:gridSpan w:val="3"/>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合计</w:t>
            </w:r>
          </w:p>
        </w:tc>
        <w:tc>
          <w:tcPr>
            <w:tcW w:w="977" w:type="dxa"/>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100分</w:t>
            </w:r>
          </w:p>
        </w:tc>
        <w:tc>
          <w:tcPr>
            <w:tcW w:w="6206" w:type="dxa"/>
            <w:gridSpan w:val="2"/>
            <w:vAlign w:val="center"/>
          </w:tcPr>
          <w:p>
            <w:pPr>
              <w:adjustRightInd w:val="0"/>
              <w:snapToGrid w:val="0"/>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得分高的优先；投标报价得分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247085748"/>
      <w:bookmarkStart w:id="380" w:name="_Toc296602478"/>
      <w:bookmarkStart w:id="381" w:name="_Toc152042367"/>
      <w:bookmarkStart w:id="382" w:name="_Toc144974557"/>
      <w:bookmarkStart w:id="383" w:name="_Toc179632608"/>
      <w:bookmarkStart w:id="384" w:name="_Toc246996233"/>
      <w:bookmarkStart w:id="385" w:name="_Toc152045590"/>
      <w:bookmarkStart w:id="386" w:name="_Toc246996976"/>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296602479"/>
      <w:bookmarkStart w:id="388" w:name="_Toc152042368"/>
      <w:bookmarkStart w:id="389" w:name="_Toc179632609"/>
      <w:bookmarkStart w:id="390" w:name="_Toc144974558"/>
      <w:bookmarkStart w:id="391" w:name="_Toc247085749"/>
      <w:bookmarkStart w:id="392" w:name="_Toc246996234"/>
      <w:bookmarkStart w:id="393" w:name="_Toc246996977"/>
      <w:bookmarkStart w:id="394"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179632611"/>
      <w:bookmarkStart w:id="396" w:name="_Toc296602481"/>
      <w:bookmarkStart w:id="397" w:name="_Toc246996236"/>
      <w:bookmarkStart w:id="398" w:name="_Toc144974560"/>
      <w:bookmarkStart w:id="399" w:name="_Toc152045593"/>
      <w:bookmarkStart w:id="400" w:name="_Toc247085751"/>
      <w:bookmarkStart w:id="401" w:name="_Toc152042370"/>
      <w:bookmarkStart w:id="402"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76" w:edGrp="everyone"/>
      <w:r>
        <w:rPr>
          <w:rFonts w:hint="eastAsia" w:ascii="Times New Roman" w:hAnsi="Times New Roman" w:cs="Times New Roman"/>
          <w:kern w:val="0"/>
          <w:sz w:val="24"/>
          <w:szCs w:val="24"/>
          <w:highlight w:val="none"/>
          <w:lang w:val="en-US" w:eastAsia="zh-CN"/>
        </w:rPr>
        <w:t>资信业绩</w:t>
      </w:r>
      <w:permEnd w:id="76"/>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77" w:edGrp="everyone"/>
      <w:r>
        <w:rPr>
          <w:rFonts w:hint="eastAsia" w:ascii="Times New Roman" w:hAnsi="Times New Roman" w:cs="Times New Roman"/>
          <w:kern w:val="0"/>
          <w:sz w:val="24"/>
          <w:szCs w:val="24"/>
          <w:highlight w:val="none"/>
          <w:lang w:val="en-US" w:eastAsia="zh-CN"/>
        </w:rPr>
        <w:t>服务方案</w:t>
      </w:r>
      <w:permEnd w:id="77"/>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78" w:edGrp="everyone"/>
      <w:r>
        <w:rPr>
          <w:rFonts w:hint="eastAsia" w:ascii="Times New Roman" w:hAnsi="Times New Roman" w:cs="Times New Roman" w:eastAsiaTheme="minorEastAsia"/>
          <w:kern w:val="0"/>
          <w:sz w:val="24"/>
          <w:szCs w:val="24"/>
          <w:highlight w:val="none"/>
          <w:lang w:val="en-US" w:eastAsia="zh-CN"/>
        </w:rPr>
        <w:t>投标报价</w:t>
      </w:r>
      <w:permEnd w:id="78"/>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79" w:edGrp="everyone"/>
      <w:r>
        <w:rPr>
          <w:rFonts w:hint="eastAsia" w:ascii="Times New Roman" w:hAnsi="Times New Roman" w:cs="Times New Roman" w:eastAsiaTheme="minorEastAsia"/>
          <w:kern w:val="0"/>
          <w:sz w:val="24"/>
          <w:szCs w:val="24"/>
          <w:highlight w:val="none"/>
          <w:lang w:val="en-US" w:eastAsia="zh-CN"/>
        </w:rPr>
        <w:t>其他评分因素</w:t>
      </w:r>
      <w:permEnd w:id="7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8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8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82"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8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83"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83"/>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246996237"/>
      <w:bookmarkStart w:id="404" w:name="_Toc246996980"/>
      <w:bookmarkStart w:id="405" w:name="_Toc247085752"/>
      <w:bookmarkStart w:id="406" w:name="_Toc152042371"/>
      <w:bookmarkStart w:id="407" w:name="_Toc179632612"/>
      <w:bookmarkStart w:id="408" w:name="_Toc296602482"/>
      <w:bookmarkStart w:id="409" w:name="_Toc152045594"/>
      <w:bookmarkStart w:id="410" w:name="_Toc144974561"/>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247085753"/>
      <w:bookmarkStart w:id="412" w:name="_Toc246996238"/>
      <w:bookmarkStart w:id="413" w:name="_Toc179632613"/>
      <w:bookmarkStart w:id="414" w:name="_Toc246996981"/>
      <w:bookmarkStart w:id="415" w:name="_Toc296602483"/>
      <w:bookmarkStart w:id="416" w:name="_Toc152042372"/>
      <w:bookmarkStart w:id="417" w:name="_Toc144974562"/>
      <w:bookmarkStart w:id="418" w:name="_Toc152045595"/>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246996982"/>
      <w:bookmarkStart w:id="421" w:name="_Toc152045596"/>
      <w:bookmarkStart w:id="422" w:name="_Toc152042373"/>
      <w:bookmarkStart w:id="423" w:name="_Toc246996239"/>
      <w:bookmarkStart w:id="424" w:name="_Toc179632614"/>
      <w:bookmarkStart w:id="425" w:name="_Toc247085754"/>
      <w:bookmarkStart w:id="426"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8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84"/>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8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85"/>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8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86"/>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8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87"/>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88"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color w:val="000000" w:themeColor="text1"/>
                <w:sz w:val="32"/>
                <w:szCs w:val="32"/>
                <w14:textFill>
                  <w14:solidFill>
                    <w14:schemeClr w14:val="tx1"/>
                  </w14:solidFill>
                </w14:textFill>
              </w:rPr>
              <w:t>安徽通享商业运营管理有限公司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auto"/>
                <w:kern w:val="0"/>
                <w:sz w:val="24"/>
                <w:szCs w:val="24"/>
                <w:highlight w:val="none"/>
                <w:u w:val="single"/>
                <w:shd w:val="clear" w:color="auto" w:fill="auto"/>
                <w:vertAlign w:val="baseline"/>
                <w:lang w:val="en-US" w:eastAsia="zh-CN"/>
              </w:rPr>
            </w:pPr>
            <w:permStart w:id="89" w:edGrp="everyone"/>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按照先服务后结算方法，根据合同签订分成比例按月结算。运营服务费按月结算，招标人每月10日前完成上月度经营收入、支付金额的核算统计，投标人开具专用增值税发票后，招标人向中标人支付运营服务费。 </w:t>
            </w:r>
            <w:permEnd w:id="8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招标人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中标人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90" w:edGrp="everyone"/>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本项目服务期5年，采购人根据服务期限内实际运营情况有权决定是否续签合同。 </w:t>
            </w:r>
            <w:permEnd w:id="90"/>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spacing w:line="520" w:lineRule="exact"/>
        <w:ind w:firstLine="640" w:firstLineChars="200"/>
        <w:rPr>
          <w:rFonts w:hint="eastAsia" w:ascii="Times New Roman" w:hAnsi="Times New Roman" w:cs="Times New Roman"/>
          <w:color w:val="000000" w:themeColor="text1"/>
          <w:sz w:val="32"/>
          <w:szCs w:val="32"/>
          <w14:textFill>
            <w14:solidFill>
              <w14:schemeClr w14:val="tx1"/>
            </w14:solidFill>
          </w14:textFill>
        </w:rPr>
      </w:pPr>
      <w:permStart w:id="91" w:edGrp="everyone"/>
      <w:r>
        <w:rPr>
          <w:rFonts w:hint="eastAsia" w:ascii="Times New Roman" w:hAnsi="Times New Roman" w:cs="Times New Roman"/>
          <w:color w:val="000000" w:themeColor="text1"/>
          <w:sz w:val="32"/>
          <w:szCs w:val="32"/>
          <w:lang w:val="en-US" w:eastAsia="zh-CN"/>
          <w14:textFill>
            <w14:solidFill>
              <w14:schemeClr w14:val="tx1"/>
            </w14:solidFill>
          </w14:textFill>
        </w:rPr>
        <w:t>一、</w:t>
      </w:r>
      <w:r>
        <w:rPr>
          <w:rFonts w:hint="eastAsia" w:ascii="Times New Roman" w:hAnsi="Times New Roman" w:cs="Times New Roman"/>
          <w:color w:val="000000" w:themeColor="text1"/>
          <w:sz w:val="32"/>
          <w:szCs w:val="32"/>
          <w14:textFill>
            <w14:solidFill>
              <w14:schemeClr w14:val="tx1"/>
            </w14:solidFill>
          </w14:textFill>
        </w:rPr>
        <w:t>项目概况：为进一步规范城区停车秩序，盘活公</w:t>
      </w:r>
      <w:r>
        <w:rPr>
          <w:rFonts w:hint="eastAsia" w:ascii="Times New Roman" w:hAnsi="Times New Roman" w:cs="Times New Roman"/>
          <w:color w:val="000000" w:themeColor="text1"/>
          <w:sz w:val="32"/>
          <w:szCs w:val="32"/>
          <w:lang w:eastAsia="zh-CN"/>
          <w14:textFill>
            <w14:solidFill>
              <w14:schemeClr w14:val="tx1"/>
            </w14:solidFill>
          </w14:textFill>
        </w:rPr>
        <w:t>共</w:t>
      </w:r>
      <w:r>
        <w:rPr>
          <w:rFonts w:hint="eastAsia" w:ascii="Times New Roman" w:hAnsi="Times New Roman" w:cs="Times New Roman"/>
          <w:color w:val="000000" w:themeColor="text1"/>
          <w:sz w:val="32"/>
          <w:szCs w:val="32"/>
          <w14:textFill>
            <w14:solidFill>
              <w14:schemeClr w14:val="tx1"/>
            </w14:solidFill>
          </w14:textFill>
        </w:rPr>
        <w:t>停车资源，拟通过收费管理方式调节停车泊位的供需平衡。中心城区道路停车泊位一期项目建设路段包括：人民路（魏武大道-涡阳路）、希夷大道（利辛路-芍花路）、芍花路（建安路-汤王大道）和药都路（魏武大道-汤王大道）约1200个（以实际交付数量为准）路内停车泊位</w:t>
      </w:r>
    </w:p>
    <w:permEnd w:id="91"/>
    <w:p>
      <w:pPr>
        <w:spacing w:line="520" w:lineRule="exact"/>
        <w:ind w:firstLine="960" w:firstLineChars="300"/>
        <w:rPr>
          <w:rFonts w:hint="eastAsia" w:ascii="Times New Roman" w:hAnsi="Times New Roman" w:cs="Times New Roman"/>
          <w:color w:val="000000" w:themeColor="text1"/>
          <w:sz w:val="32"/>
          <w:szCs w:val="32"/>
          <w:lang w:val="en-US" w:eastAsia="zh-CN"/>
          <w14:textFill>
            <w14:solidFill>
              <w14:schemeClr w14:val="tx1"/>
            </w14:solidFill>
          </w14:textFill>
        </w:rPr>
      </w:pPr>
      <w:r>
        <w:rPr>
          <w:rFonts w:hint="eastAsia" w:ascii="Times New Roman" w:hAnsi="Times New Roman" w:cs="Times New Roman"/>
          <w:color w:val="000000" w:themeColor="text1"/>
          <w:sz w:val="32"/>
          <w:szCs w:val="32"/>
          <w:lang w:val="en-US" w:eastAsia="zh-CN"/>
          <w14:textFill>
            <w14:solidFill>
              <w14:schemeClr w14:val="tx1"/>
            </w14:solidFill>
          </w14:textFill>
        </w:rPr>
        <w:t>二、</w:t>
      </w:r>
      <w:r>
        <w:rPr>
          <w:rFonts w:hint="eastAsia" w:ascii="Times New Roman" w:hAnsi="Times New Roman" w:cs="Times New Roman"/>
          <w:color w:val="000000" w:themeColor="text1"/>
          <w:sz w:val="32"/>
          <w:szCs w:val="32"/>
          <w14:textFill>
            <w14:solidFill>
              <w14:schemeClr w14:val="tx1"/>
            </w14:solidFill>
          </w14:textFill>
        </w:rPr>
        <w:t>停车收费管理工作执行的收费标准为：</w:t>
      </w:r>
    </w:p>
    <w:p>
      <w:pPr>
        <w:rPr>
          <w:rFonts w:hint="eastAsia" w:ascii="仿宋" w:hAnsi="仿宋" w:eastAsia="仿宋" w:cs="仿宋"/>
          <w:bCs/>
          <w:color w:val="000000" w:themeColor="text1"/>
          <w:sz w:val="32"/>
          <w:szCs w:val="32"/>
          <w14:textFill>
            <w14:solidFill>
              <w14:schemeClr w14:val="tx1"/>
            </w14:solidFill>
          </w14:textFill>
        </w:rPr>
      </w:pPr>
      <w:r>
        <w:rPr>
          <w:color w:val="000000" w:themeColor="text1"/>
          <w14:textFill>
            <w14:solidFill>
              <w14:schemeClr w14:val="tx1"/>
            </w14:solidFill>
          </w14:textFill>
        </w:rPr>
        <w:drawing>
          <wp:inline distT="0" distB="0" distL="0" distR="0">
            <wp:extent cx="5274310" cy="1868805"/>
            <wp:effectExtent l="0" t="0" r="254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274310" cy="1868805"/>
                    </a:xfrm>
                    <a:prstGeom prst="rect">
                      <a:avLst/>
                    </a:prstGeom>
                  </pic:spPr>
                </pic:pic>
              </a:graphicData>
            </a:graphic>
          </wp:inline>
        </w:drawing>
      </w:r>
    </w:p>
    <w:p>
      <w:pPr>
        <w:ind w:firstLine="640" w:firstLineChars="200"/>
      </w:pPr>
      <w:r>
        <w:rPr>
          <w:rFonts w:hint="eastAsia" w:ascii="Times New Roman" w:hAnsi="Times New Roman" w:cs="Times New Roman"/>
          <w:color w:val="000000" w:themeColor="text1"/>
          <w:sz w:val="32"/>
          <w:szCs w:val="32"/>
          <w:lang w:val="en-US" w:eastAsia="zh-CN"/>
          <w14:textFill>
            <w14:solidFill>
              <w14:schemeClr w14:val="tx1"/>
            </w14:solidFill>
          </w14:textFill>
        </w:rPr>
        <w:t>三、实施路段为：</w:t>
      </w:r>
      <w:r>
        <w:rPr>
          <w:rFonts w:hint="eastAsia" w:ascii="Times New Roman" w:hAnsi="Times New Roman" w:cs="Times New Roman"/>
          <w:color w:val="000000" w:themeColor="text1"/>
          <w:sz w:val="32"/>
          <w:szCs w:val="32"/>
          <w14:textFill>
            <w14:solidFill>
              <w14:schemeClr w14:val="tx1"/>
            </w14:solidFill>
          </w14:textFill>
        </w:rPr>
        <w:t>人民路（魏武大道-涡阳路）、希夷大道（利辛路-芍花路）、芍花路（建安路-汤王大道）和药都路（魏武大道-汤王大道）</w:t>
      </w:r>
    </w:p>
    <w:p>
      <w:pPr>
        <w:spacing w:line="520" w:lineRule="exact"/>
        <w:ind w:firstLine="640" w:firstLineChars="200"/>
        <w:jc w:val="both"/>
        <w:rPr>
          <w:rFonts w:hint="default" w:ascii="Times New Roman" w:hAnsi="Times New Roman" w:cs="Times New Roman"/>
          <w:color w:val="000000" w:themeColor="text1"/>
          <w:sz w:val="32"/>
          <w:szCs w:val="32"/>
          <w:lang w:val="en-US" w:eastAsia="zh-CN"/>
          <w14:textFill>
            <w14:solidFill>
              <w14:schemeClr w14:val="tx1"/>
            </w14:solidFill>
          </w14:textFill>
        </w:rPr>
      </w:pPr>
      <w:r>
        <w:rPr>
          <w:rFonts w:hint="eastAsia" w:ascii="Times New Roman" w:hAnsi="Times New Roman" w:cs="Times New Roman"/>
          <w:color w:val="000000" w:themeColor="text1"/>
          <w:sz w:val="32"/>
          <w:szCs w:val="32"/>
          <w:lang w:val="en-US" w:eastAsia="zh-CN"/>
          <w14:textFill>
            <w14:solidFill>
              <w14:schemeClr w14:val="tx1"/>
            </w14:solidFill>
          </w14:textFill>
        </w:rPr>
        <w:t>四、相关要求</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1</w:t>
      </w:r>
      <w:r>
        <w:rPr>
          <w:rFonts w:ascii="Times New Roman" w:hAnsi="Times New Roman" w:cs="Times New Roman"/>
          <w:color w:val="000000" w:themeColor="text1"/>
          <w:sz w:val="32"/>
          <w:szCs w:val="32"/>
          <w14:textFill>
            <w14:solidFill>
              <w14:schemeClr w14:val="tx1"/>
            </w14:solidFill>
          </w14:textFill>
        </w:rPr>
        <w:t>.</w:t>
      </w:r>
      <w:r>
        <w:rPr>
          <w:rFonts w:hint="eastAsia" w:ascii="Times New Roman" w:hAnsi="Times New Roman" w:cs="Times New Roman"/>
          <w:color w:val="000000" w:themeColor="text1"/>
          <w:sz w:val="32"/>
          <w:szCs w:val="32"/>
          <w14:textFill>
            <w14:solidFill>
              <w14:schemeClr w14:val="tx1"/>
            </w14:solidFill>
          </w14:textFill>
        </w:rPr>
        <w:t>在合同履约期间，招标人保留对运营考核实施细则进行修改、细化、完善的权利，投标人应当严格执行招</w:t>
      </w:r>
      <w:r>
        <w:rPr>
          <w:rFonts w:hint="eastAsia" w:ascii="Times New Roman" w:hAnsi="Times New Roman" w:cs="Times New Roman"/>
          <w:color w:val="000000" w:themeColor="text1"/>
          <w:sz w:val="32"/>
          <w:szCs w:val="32"/>
          <w:lang w:eastAsia="zh-CN"/>
          <w14:textFill>
            <w14:solidFill>
              <w14:schemeClr w14:val="tx1"/>
            </w14:solidFill>
          </w14:textFill>
        </w:rPr>
        <w:t>标人</w:t>
      </w:r>
      <w:r>
        <w:rPr>
          <w:rFonts w:hint="eastAsia" w:ascii="Times New Roman" w:hAnsi="Times New Roman" w:cs="Times New Roman"/>
          <w:color w:val="000000" w:themeColor="text1"/>
          <w:sz w:val="32"/>
          <w:szCs w:val="32"/>
          <w14:textFill>
            <w14:solidFill>
              <w14:schemeClr w14:val="tx1"/>
            </w14:solidFill>
          </w14:textFill>
        </w:rPr>
        <w:t>最新修订印发的运营考核实施细则。</w:t>
      </w:r>
    </w:p>
    <w:p>
      <w:pPr>
        <w:spacing w:line="520" w:lineRule="exact"/>
        <w:ind w:firstLine="640" w:firstLineChars="200"/>
        <w:rPr>
          <w:rFonts w:hint="eastAsia" w:ascii="Times New Roman" w:hAnsi="Times New Roman" w:cs="Times New Roman" w:eastAsiaTheme="minorEastAsia"/>
          <w:color w:val="000000" w:themeColor="text1"/>
          <w:sz w:val="32"/>
          <w:szCs w:val="32"/>
          <w:lang w:eastAsia="zh-CN"/>
          <w14:textFill>
            <w14:solidFill>
              <w14:schemeClr w14:val="tx1"/>
            </w14:solidFill>
          </w14:textFill>
        </w:rPr>
      </w:pPr>
      <w:r>
        <w:rPr>
          <w:rFonts w:ascii="Times New Roman" w:hAnsi="Times New Roman" w:cs="Times New Roman"/>
          <w:color w:val="000000" w:themeColor="text1"/>
          <w:sz w:val="32"/>
          <w:szCs w:val="32"/>
          <w14:textFill>
            <w14:solidFill>
              <w14:schemeClr w14:val="tx1"/>
            </w14:solidFill>
          </w14:textFill>
        </w:rPr>
        <w:t>2.</w:t>
      </w:r>
      <w:r>
        <w:rPr>
          <w:rFonts w:hint="eastAsia" w:ascii="Times New Roman" w:hAnsi="Times New Roman" w:cs="Times New Roman"/>
          <w:color w:val="000000" w:themeColor="text1"/>
          <w:sz w:val="32"/>
          <w:szCs w:val="32"/>
          <w14:textFill>
            <w14:solidFill>
              <w14:schemeClr w14:val="tx1"/>
            </w14:solidFill>
          </w14:textFill>
        </w:rPr>
        <w:t>受政府工作安排、特殊活动开展等原因影响，需要对收费泊位数量、价格等作出调整时，投标人需积极配合招标人作出相应调整</w:t>
      </w:r>
      <w:r>
        <w:rPr>
          <w:rFonts w:hint="eastAsia" w:ascii="Times New Roman" w:hAnsi="Times New Roman" w:cs="Times New Roman"/>
          <w:color w:val="000000" w:themeColor="text1"/>
          <w:sz w:val="32"/>
          <w:szCs w:val="32"/>
          <w:lang w:eastAsia="zh-CN"/>
          <w14:textFill>
            <w14:solidFill>
              <w14:schemeClr w14:val="tx1"/>
            </w14:solidFill>
          </w14:textFill>
        </w:rPr>
        <w:t>。</w:t>
      </w:r>
    </w:p>
    <w:p>
      <w:pPr>
        <w:spacing w:line="520" w:lineRule="exact"/>
        <w:ind w:firstLine="640" w:firstLineChars="200"/>
        <w:rPr>
          <w:rFonts w:hint="eastAsia" w:ascii="Times New Roman" w:hAnsi="Times New Roman" w:cs="Times New Roman"/>
          <w:color w:val="000000" w:themeColor="text1"/>
          <w:sz w:val="32"/>
          <w:szCs w:val="32"/>
          <w14:textFill>
            <w14:solidFill>
              <w14:schemeClr w14:val="tx1"/>
            </w14:solidFill>
          </w14:textFill>
        </w:rPr>
      </w:pPr>
      <w:r>
        <w:rPr>
          <w:rFonts w:ascii="Times New Roman" w:hAnsi="Times New Roman" w:cs="Times New Roman"/>
          <w:color w:val="000000" w:themeColor="text1"/>
          <w:sz w:val="32"/>
          <w:szCs w:val="32"/>
          <w14:textFill>
            <w14:solidFill>
              <w14:schemeClr w14:val="tx1"/>
            </w14:solidFill>
          </w14:textFill>
        </w:rPr>
        <w:t>3.</w:t>
      </w:r>
      <w:r>
        <w:rPr>
          <w:rFonts w:hint="eastAsia" w:ascii="Times New Roman" w:hAnsi="Times New Roman" w:cs="Times New Roman"/>
          <w:color w:val="000000" w:themeColor="text1"/>
          <w:sz w:val="32"/>
          <w:szCs w:val="32"/>
          <w14:textFill>
            <w14:solidFill>
              <w14:schemeClr w14:val="tx1"/>
            </w14:solidFill>
          </w14:textFill>
        </w:rPr>
        <w:t>为更好开展项目的运营宣传和市场营销</w:t>
      </w:r>
      <w:r>
        <w:rPr>
          <w:rFonts w:hint="eastAsia" w:ascii="Times New Roman" w:hAnsi="Times New Roman" w:cs="Times New Roman"/>
          <w:color w:val="000000" w:themeColor="text1"/>
          <w:sz w:val="32"/>
          <w:szCs w:val="32"/>
          <w:lang w:eastAsia="zh-CN"/>
          <w14:textFill>
            <w14:solidFill>
              <w14:schemeClr w14:val="tx1"/>
            </w14:solidFill>
          </w14:textFill>
        </w:rPr>
        <w:t>工作</w:t>
      </w:r>
      <w:r>
        <w:rPr>
          <w:rFonts w:hint="eastAsia" w:ascii="Times New Roman" w:hAnsi="Times New Roman" w:cs="Times New Roman"/>
          <w:color w:val="000000" w:themeColor="text1"/>
          <w:sz w:val="32"/>
          <w:szCs w:val="32"/>
          <w14:textFill>
            <w14:solidFill>
              <w14:schemeClr w14:val="tx1"/>
            </w14:solidFill>
          </w14:textFill>
        </w:rPr>
        <w:t>，投标人需配合发包人开展市场营销、优惠促销等营销活动的开展。</w:t>
      </w:r>
    </w:p>
    <w:p>
      <w:pPr>
        <w:spacing w:line="520" w:lineRule="exact"/>
        <w:ind w:firstLine="640" w:firstLineChars="200"/>
        <w:rPr>
          <w:rFonts w:hint="eastAsia" w:ascii="Times New Roman" w:hAnsi="Times New Roman" w:cs="Times New Roman"/>
          <w:color w:val="000000" w:themeColor="text1"/>
          <w:sz w:val="32"/>
          <w:szCs w:val="32"/>
          <w:lang w:val="en-US" w:eastAsia="zh-CN"/>
          <w14:textFill>
            <w14:solidFill>
              <w14:schemeClr w14:val="tx1"/>
            </w14:solidFill>
          </w14:textFill>
        </w:rPr>
      </w:pPr>
      <w:r>
        <w:rPr>
          <w:rFonts w:hint="eastAsia" w:ascii="Times New Roman" w:hAnsi="Times New Roman" w:cs="Times New Roman"/>
          <w:color w:val="000000" w:themeColor="text1"/>
          <w:sz w:val="32"/>
          <w:szCs w:val="32"/>
          <w:lang w:val="en-US" w:eastAsia="zh-CN"/>
          <w14:textFill>
            <w14:solidFill>
              <w14:schemeClr w14:val="tx1"/>
            </w14:solidFill>
          </w14:textFill>
        </w:rPr>
        <w:t>4.</w:t>
      </w:r>
      <w:r>
        <w:rPr>
          <w:rFonts w:hint="eastAsia" w:ascii="Times New Roman" w:hAnsi="Times New Roman" w:cs="Times New Roman"/>
          <w:color w:val="000000" w:themeColor="text1"/>
          <w:sz w:val="32"/>
          <w:szCs w:val="32"/>
          <w14:textFill>
            <w14:solidFill>
              <w14:schemeClr w14:val="tx1"/>
            </w14:solidFill>
          </w14:textFill>
        </w:rPr>
        <w:t>投标人承诺</w:t>
      </w:r>
      <w:r>
        <w:rPr>
          <w:rFonts w:hint="eastAsia" w:ascii="Times New Roman" w:hAnsi="Times New Roman" w:cs="Times New Roman"/>
          <w:color w:val="000000" w:themeColor="text1"/>
          <w:sz w:val="32"/>
          <w:szCs w:val="32"/>
          <w:lang w:val="en-US" w:eastAsia="zh-CN"/>
          <w14:textFill>
            <w14:solidFill>
              <w14:schemeClr w14:val="tx1"/>
            </w14:solidFill>
          </w14:textFill>
        </w:rPr>
        <w:t>泊位管理覆盖率、收费率、</w:t>
      </w:r>
      <w:r>
        <w:rPr>
          <w:rFonts w:hint="eastAsia" w:ascii="Times New Roman" w:hAnsi="Times New Roman" w:cs="Times New Roman"/>
          <w:color w:val="000000" w:themeColor="text1"/>
          <w:sz w:val="32"/>
          <w:szCs w:val="32"/>
          <w14:textFill>
            <w14:solidFill>
              <w14:schemeClr w14:val="tx1"/>
            </w14:solidFill>
          </w14:textFill>
        </w:rPr>
        <w:t>智慧停车应用软件进行宣传推广低于</w:t>
      </w:r>
      <w:r>
        <w:rPr>
          <w:rFonts w:hint="eastAsia" w:ascii="Times New Roman" w:hAnsi="Times New Roman" w:cs="Times New Roman"/>
          <w:color w:val="000000" w:themeColor="text1"/>
          <w:sz w:val="32"/>
          <w:szCs w:val="32"/>
          <w:lang w:val="en-US" w:eastAsia="zh-CN"/>
          <w14:textFill>
            <w14:solidFill>
              <w14:schemeClr w14:val="tx1"/>
            </w14:solidFill>
          </w14:textFill>
        </w:rPr>
        <w:t>承诺值的</w:t>
      </w:r>
      <w:r>
        <w:rPr>
          <w:rFonts w:hint="eastAsia" w:ascii="Times New Roman" w:hAnsi="Times New Roman" w:cs="Times New Roman"/>
          <w:color w:val="000000" w:themeColor="text1"/>
          <w:sz w:val="32"/>
          <w:szCs w:val="32"/>
          <w14:textFill>
            <w14:solidFill>
              <w14:schemeClr w14:val="tx1"/>
            </w14:solidFill>
          </w14:textFill>
        </w:rPr>
        <w:t>，每低于1%，支付比例扣除0.5%</w:t>
      </w:r>
      <w:r>
        <w:rPr>
          <w:rFonts w:hint="eastAsia" w:ascii="Times New Roman" w:hAnsi="Times New Roman"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7" w:name="_Toc144974856"/>
      <w:bookmarkStart w:id="428" w:name="_Toc247527827"/>
      <w:bookmarkStart w:id="429" w:name="_Toc300835209"/>
      <w:bookmarkStart w:id="430" w:name="_Toc247514246"/>
      <w:bookmarkStart w:id="431" w:name="_Toc152042576"/>
      <w:bookmarkStart w:id="432" w:name="_Toc152045787"/>
      <w:r>
        <w:rPr>
          <w:rFonts w:hint="default" w:ascii="Times New Roman" w:hAnsi="Times New Roman" w:cs="Times New Roman"/>
        </w:rPr>
        <w:t>目    录</w:t>
      </w:r>
      <w:bookmarkEnd w:id="427"/>
      <w:bookmarkEnd w:id="428"/>
      <w:bookmarkEnd w:id="429"/>
      <w:bookmarkEnd w:id="430"/>
      <w:bookmarkEnd w:id="431"/>
      <w:bookmarkEnd w:id="432"/>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433" w:name="_Toc152045788"/>
      <w:bookmarkStart w:id="434" w:name="_Toc152042577"/>
      <w:bookmarkStart w:id="435" w:name="_Toc300835210"/>
      <w:bookmarkStart w:id="436" w:name="_Toc247527828"/>
      <w:bookmarkStart w:id="437" w:name="_Toc144974857"/>
      <w:bookmarkStart w:id="438" w:name="_Toc247514247"/>
      <w:r>
        <w:rPr>
          <w:rFonts w:hint="default" w:ascii="Times New Roman" w:hAnsi="Times New Roman" w:cs="Times New Roman"/>
        </w:rPr>
        <w:t>一、投标函及投标函附录</w:t>
      </w:r>
      <w:bookmarkEnd w:id="433"/>
      <w:bookmarkEnd w:id="434"/>
      <w:bookmarkEnd w:id="435"/>
      <w:bookmarkEnd w:id="436"/>
      <w:bookmarkEnd w:id="437"/>
      <w:bookmarkEnd w:id="438"/>
    </w:p>
    <w:p>
      <w:pPr>
        <w:spacing w:line="440" w:lineRule="exact"/>
        <w:rPr>
          <w:rFonts w:hint="default" w:ascii="Times New Roman" w:hAnsi="Times New Roman" w:cs="Times New Roman" w:eastAsiaTheme="minorEastAsia"/>
          <w:sz w:val="20"/>
          <w:szCs w:val="20"/>
          <w:lang w:val="en-US" w:eastAsia="zh-CN"/>
        </w:rPr>
      </w:pPr>
      <w:bookmarkStart w:id="439" w:name="_Toc152045790"/>
      <w:bookmarkStart w:id="440" w:name="_Toc247527830"/>
      <w:bookmarkStart w:id="441" w:name="_Toc247514249"/>
      <w:bookmarkStart w:id="442" w:name="_Toc152042579"/>
      <w:bookmarkStart w:id="443" w:name="_Toc300835212"/>
      <w:bookmarkStart w:id="444" w:name="_Toc14497485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92" w:edGrp="everyone"/>
      <w:r>
        <w:rPr>
          <w:rFonts w:hint="eastAsia" w:ascii="Times New Roman" w:hAnsi="Times New Roman" w:cs="Times New Roman"/>
          <w:szCs w:val="21"/>
          <w:lang w:val="en-US" w:eastAsia="zh-CN"/>
        </w:rPr>
        <w:t>收入200万元（含）以内部分分成经营收入的</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，超过200万元（不含）部分分成经营收入的</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92"/>
      <w:r>
        <w:rPr>
          <w:rFonts w:hint="eastAsia" w:ascii="Times New Roman" w:hAnsi="Times New Roman" w:cs="Times New Roman"/>
          <w:szCs w:val="21"/>
          <w:lang w:val="en-US" w:eastAsia="zh-CN"/>
        </w:rPr>
        <w:t>，服务期限：</w:t>
      </w:r>
      <w:permStart w:id="93" w:edGrp="everyone"/>
      <w:r>
        <w:rPr>
          <w:rFonts w:hint="eastAsia" w:ascii="Times New Roman" w:hAnsi="Times New Roman" w:cs="Times New Roman"/>
          <w:szCs w:val="21"/>
          <w:u w:val="none"/>
          <w:lang w:val="en-US" w:eastAsia="zh-CN"/>
        </w:rPr>
        <w:t>自签订合同之日起5年。</w:t>
      </w:r>
      <w:permEnd w:id="93"/>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833"/>
        <w:gridCol w:w="4771"/>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833"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4771"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1066"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833"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4771"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10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833"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泊位管理覆盖率</w:t>
            </w:r>
          </w:p>
        </w:tc>
        <w:tc>
          <w:tcPr>
            <w:tcW w:w="4771" w:type="dxa"/>
            <w:vAlign w:val="center"/>
          </w:tcPr>
          <w:p>
            <w:pPr>
              <w:spacing w:line="440" w:lineRule="exact"/>
              <w:jc w:val="center"/>
              <w:rPr>
                <w:rFonts w:hint="default" w:ascii="Times New Roman" w:hAnsi="Times New Roman" w:cs="Times New Roman"/>
                <w:sz w:val="20"/>
                <w:szCs w:val="20"/>
                <w:vertAlign w:val="baseline"/>
                <w:lang w:val="en-US" w:eastAsia="zh-CN"/>
              </w:rPr>
            </w:pPr>
          </w:p>
        </w:tc>
        <w:tc>
          <w:tcPr>
            <w:tcW w:w="10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833"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月收费率</w:t>
            </w:r>
          </w:p>
        </w:tc>
        <w:tc>
          <w:tcPr>
            <w:tcW w:w="4771" w:type="dxa"/>
            <w:vAlign w:val="center"/>
          </w:tcPr>
          <w:p>
            <w:pPr>
              <w:spacing w:line="440" w:lineRule="exact"/>
              <w:jc w:val="center"/>
              <w:rPr>
                <w:rFonts w:hint="eastAsia" w:ascii="Times New Roman" w:hAnsi="Times New Roman" w:cs="Times New Roman"/>
                <w:sz w:val="20"/>
                <w:szCs w:val="20"/>
                <w:vertAlign w:val="baseline"/>
                <w:lang w:val="en-US" w:eastAsia="zh-CN"/>
              </w:rPr>
            </w:pPr>
          </w:p>
        </w:tc>
        <w:tc>
          <w:tcPr>
            <w:tcW w:w="10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4</w:t>
            </w:r>
          </w:p>
        </w:tc>
        <w:tc>
          <w:tcPr>
            <w:tcW w:w="1833"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智慧停车应用推广</w:t>
            </w:r>
          </w:p>
        </w:tc>
        <w:tc>
          <w:tcPr>
            <w:tcW w:w="4771" w:type="dxa"/>
            <w:vAlign w:val="center"/>
          </w:tcPr>
          <w:p>
            <w:pPr>
              <w:spacing w:line="440" w:lineRule="exact"/>
              <w:jc w:val="center"/>
              <w:rPr>
                <w:rFonts w:hint="eastAsia" w:ascii="Times New Roman" w:hAnsi="Times New Roman" w:cs="Times New Roman"/>
                <w:szCs w:val="21"/>
                <w:u w:val="single"/>
                <w:lang w:val="en-US" w:eastAsia="zh-CN"/>
              </w:rPr>
            </w:pPr>
            <w:r>
              <w:rPr>
                <w:rFonts w:hint="eastAsia" w:ascii="Times New Roman" w:hAnsi="Times New Roman" w:cs="Times New Roman"/>
                <w:sz w:val="20"/>
                <w:szCs w:val="20"/>
                <w:vertAlign w:val="baseline"/>
                <w:lang w:val="en-US" w:eastAsia="zh-CN"/>
              </w:rPr>
              <w:t>第一年，每月新增的实名注册认证用户不少于</w:t>
            </w: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vertAlign w:val="baseline"/>
                <w:lang w:val="en-US" w:eastAsia="zh-CN"/>
              </w:rPr>
              <w:t>人</w:t>
            </w:r>
          </w:p>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第二年，每月新增的实名注册认证用户不少于</w:t>
            </w: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vertAlign w:val="baseline"/>
                <w:lang w:val="en-US" w:eastAsia="zh-CN"/>
              </w:rPr>
              <w:t>人</w:t>
            </w:r>
          </w:p>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第三、四、五年，每月新增的实名注册认证用户不少于</w:t>
            </w: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vertAlign w:val="baseline"/>
                <w:lang w:val="en-US" w:eastAsia="zh-CN"/>
              </w:rPr>
              <w:t>人</w:t>
            </w:r>
          </w:p>
        </w:tc>
        <w:tc>
          <w:tcPr>
            <w:tcW w:w="10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5</w:t>
            </w:r>
          </w:p>
        </w:tc>
        <w:tc>
          <w:tcPr>
            <w:tcW w:w="1833"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是否承诺亳州设立本地项目服务网点</w:t>
            </w:r>
          </w:p>
        </w:tc>
        <w:tc>
          <w:tcPr>
            <w:tcW w:w="4771" w:type="dxa"/>
            <w:vAlign w:val="center"/>
          </w:tcPr>
          <w:p>
            <w:pPr>
              <w:spacing w:line="440" w:lineRule="exact"/>
              <w:jc w:val="center"/>
              <w:rPr>
                <w:rFonts w:hint="eastAsia" w:ascii="Times New Roman" w:hAnsi="Times New Roman" w:cs="Times New Roman"/>
                <w:sz w:val="20"/>
                <w:szCs w:val="20"/>
                <w:vertAlign w:val="baseline"/>
                <w:lang w:val="en-US" w:eastAsia="zh-CN"/>
              </w:rPr>
            </w:pPr>
          </w:p>
        </w:tc>
        <w:tc>
          <w:tcPr>
            <w:tcW w:w="1066"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填“是”或“否”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eastAsiaTheme="minorEastAsia"/>
                <w:kern w:val="2"/>
                <w:sz w:val="20"/>
                <w:szCs w:val="20"/>
                <w:vertAlign w:val="baseline"/>
                <w:lang w:val="en-US" w:eastAsia="zh-CN" w:bidi="ar-SA"/>
              </w:rPr>
            </w:pPr>
            <w:r>
              <w:rPr>
                <w:rFonts w:hint="eastAsia" w:ascii="Times New Roman" w:hAnsi="Times New Roman" w:cs="Times New Roman"/>
                <w:sz w:val="20"/>
                <w:szCs w:val="20"/>
                <w:vertAlign w:val="baseline"/>
                <w:lang w:val="en-US" w:eastAsia="zh-CN"/>
              </w:rPr>
              <w:t>......</w:t>
            </w:r>
          </w:p>
        </w:tc>
        <w:tc>
          <w:tcPr>
            <w:tcW w:w="1833" w:type="dxa"/>
            <w:vAlign w:val="center"/>
          </w:tcPr>
          <w:p>
            <w:pPr>
              <w:spacing w:line="440" w:lineRule="exact"/>
              <w:jc w:val="center"/>
              <w:rPr>
                <w:rFonts w:hint="eastAsia" w:ascii="Times New Roman" w:hAnsi="Times New Roman" w:cs="Times New Roman" w:eastAsiaTheme="minorEastAsia"/>
                <w:kern w:val="2"/>
                <w:sz w:val="20"/>
                <w:szCs w:val="20"/>
                <w:vertAlign w:val="baseline"/>
                <w:lang w:val="en-US" w:eastAsia="zh-CN" w:bidi="ar-SA"/>
              </w:rPr>
            </w:pPr>
            <w:r>
              <w:rPr>
                <w:rFonts w:hint="eastAsia" w:ascii="Times New Roman" w:hAnsi="Times New Roman" w:cs="Times New Roman"/>
                <w:sz w:val="20"/>
                <w:szCs w:val="20"/>
                <w:vertAlign w:val="baseline"/>
                <w:lang w:val="en-US" w:eastAsia="zh-CN"/>
              </w:rPr>
              <w:t>......</w:t>
            </w:r>
          </w:p>
        </w:tc>
        <w:tc>
          <w:tcPr>
            <w:tcW w:w="4771" w:type="dxa"/>
            <w:vAlign w:val="center"/>
          </w:tcPr>
          <w:p>
            <w:pPr>
              <w:spacing w:line="440" w:lineRule="exact"/>
              <w:jc w:val="center"/>
              <w:rPr>
                <w:rFonts w:hint="eastAsia" w:ascii="Times New Roman" w:hAnsi="Times New Roman" w:cs="Times New Roman" w:eastAsiaTheme="minorEastAsia"/>
                <w:kern w:val="2"/>
                <w:sz w:val="20"/>
                <w:szCs w:val="20"/>
                <w:vertAlign w:val="baseline"/>
                <w:lang w:val="en-US" w:eastAsia="zh-CN" w:bidi="ar-SA"/>
              </w:rPr>
            </w:pPr>
            <w:r>
              <w:rPr>
                <w:rFonts w:hint="eastAsia" w:ascii="Times New Roman" w:hAnsi="Times New Roman" w:cs="Times New Roman"/>
                <w:sz w:val="20"/>
                <w:szCs w:val="20"/>
                <w:vertAlign w:val="baseline"/>
                <w:lang w:val="en-US" w:eastAsia="zh-CN"/>
              </w:rPr>
              <w:t>......</w:t>
            </w:r>
          </w:p>
        </w:tc>
        <w:tc>
          <w:tcPr>
            <w:tcW w:w="10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445" w:name="_Toc152045791"/>
      <w:bookmarkStart w:id="446" w:name="_Toc247527831"/>
      <w:bookmarkStart w:id="447" w:name="_Toc300835213"/>
      <w:bookmarkStart w:id="448" w:name="_Toc144974860"/>
      <w:bookmarkStart w:id="449" w:name="_Toc152042580"/>
      <w:bookmarkStart w:id="450" w:name="_Toc24751428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1" w:name="_Toc300835214"/>
      <w:bookmarkStart w:id="452" w:name="_Toc247514284"/>
      <w:bookmarkStart w:id="453" w:name="_Toc247527832"/>
      <w:bookmarkStart w:id="454" w:name="_Toc144974861"/>
      <w:bookmarkStart w:id="455" w:name="_Toc152042581"/>
      <w:bookmarkStart w:id="456" w:name="_Toc152045792"/>
      <w:r>
        <w:rPr>
          <w:rFonts w:hint="default" w:ascii="Times New Roman" w:hAnsi="Times New Roman" w:cs="Times New Roman"/>
        </w:rPr>
        <w:t>二、授权委托书</w:t>
      </w:r>
      <w:bookmarkEnd w:id="451"/>
      <w:bookmarkEnd w:id="452"/>
      <w:bookmarkEnd w:id="453"/>
      <w:bookmarkEnd w:id="454"/>
      <w:bookmarkEnd w:id="455"/>
      <w:bookmarkEnd w:id="456"/>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57" w:name="_Toc247514286"/>
      <w:bookmarkStart w:id="458" w:name="_Toc144974862"/>
      <w:bookmarkStart w:id="459" w:name="_Toc247527834"/>
      <w:bookmarkStart w:id="460" w:name="_Toc300835216"/>
      <w:bookmarkStart w:id="461" w:name="_Toc152045794"/>
      <w:bookmarkStart w:id="462"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63"/>
    <w:p>
      <w:pPr>
        <w:rPr>
          <w:rFonts w:hint="default" w:ascii="Times New Roman" w:hAnsi="Times New Roman" w:cs="Times New Roman"/>
        </w:rPr>
      </w:pPr>
      <w:bookmarkStart w:id="464" w:name="_Toc144974863"/>
      <w:bookmarkStart w:id="465" w:name="_Toc247527835"/>
      <w:bookmarkStart w:id="466" w:name="_Toc152045795"/>
      <w:bookmarkStart w:id="467" w:name="_Toc152042584"/>
      <w:bookmarkStart w:id="468" w:name="_Toc300835218"/>
      <w:bookmarkStart w:id="469" w:name="_Toc247514287"/>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64"/>
      <w:bookmarkEnd w:id="465"/>
      <w:bookmarkEnd w:id="466"/>
      <w:bookmarkEnd w:id="467"/>
      <w:bookmarkEnd w:id="468"/>
      <w:bookmarkEnd w:id="469"/>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70" w:name="_Toc144974864"/>
            <w:bookmarkStart w:id="471" w:name="_Toc152045796"/>
            <w:bookmarkStart w:id="472" w:name="_Toc152042585"/>
            <w:bookmarkStart w:id="473" w:name="_Toc247514288"/>
            <w:bookmarkStart w:id="474" w:name="_Toc247527836"/>
            <w:bookmarkStart w:id="475" w:name="_Toc300835221"/>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70"/>
    <w:bookmarkEnd w:id="471"/>
    <w:bookmarkEnd w:id="472"/>
    <w:bookmarkEnd w:id="473"/>
    <w:bookmarkEnd w:id="474"/>
    <w:bookmarkEnd w:id="475"/>
    <w:p>
      <w:pPr>
        <w:pStyle w:val="3"/>
        <w:jc w:val="center"/>
        <w:rPr>
          <w:rFonts w:hint="eastAsia"/>
          <w:highlight w:val="none"/>
        </w:rPr>
      </w:pPr>
      <w:bookmarkStart w:id="476" w:name="_Toc144974871"/>
      <w:bookmarkStart w:id="477" w:name="_Toc247514300"/>
      <w:bookmarkStart w:id="478" w:name="_Toc152045808"/>
      <w:bookmarkStart w:id="479" w:name="_Toc247527848"/>
      <w:bookmarkStart w:id="480" w:name="_Toc246996369"/>
      <w:bookmarkStart w:id="481" w:name="_Toc246997112"/>
      <w:bookmarkStart w:id="482" w:name="_Toc144974876"/>
      <w:bookmarkStart w:id="483" w:name="_Toc152042592"/>
      <w:bookmarkStart w:id="484" w:name="_Toc296602614"/>
      <w:bookmarkStart w:id="485" w:name="_Toc179632823"/>
      <w:bookmarkStart w:id="486" w:name="_Toc247085887"/>
      <w:bookmarkStart w:id="487" w:name="_Toc152045803"/>
      <w:bookmarkStart w:id="488" w:name="_Toc152042597"/>
      <w:bookmarkStart w:id="489" w:name="_Toc300835224"/>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“近年完成的类似项目情况表”应附合同协议书或、合同任意节点税务发票；具体时间要求见投标人须知前附表，每张表格只填写一个项目，并标明序号。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90" w:name="_Toc271821942"/>
      <w:bookmarkStart w:id="491"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490"/>
      <w:bookmarkEnd w:id="491"/>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8C519F"/>
    <w:rsid w:val="019846E3"/>
    <w:rsid w:val="01CB0CDF"/>
    <w:rsid w:val="01CD2334"/>
    <w:rsid w:val="01E140D3"/>
    <w:rsid w:val="01E35F07"/>
    <w:rsid w:val="01EE4D0C"/>
    <w:rsid w:val="01F16263"/>
    <w:rsid w:val="02016132"/>
    <w:rsid w:val="0212370C"/>
    <w:rsid w:val="021D04ED"/>
    <w:rsid w:val="021D348F"/>
    <w:rsid w:val="026E5FAB"/>
    <w:rsid w:val="02983D41"/>
    <w:rsid w:val="029F2BC9"/>
    <w:rsid w:val="02A31129"/>
    <w:rsid w:val="02A46690"/>
    <w:rsid w:val="02AC508C"/>
    <w:rsid w:val="02BE075F"/>
    <w:rsid w:val="02F0175E"/>
    <w:rsid w:val="02F4317E"/>
    <w:rsid w:val="0324584F"/>
    <w:rsid w:val="032652C7"/>
    <w:rsid w:val="033964DC"/>
    <w:rsid w:val="034877EC"/>
    <w:rsid w:val="035021B2"/>
    <w:rsid w:val="03633A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7A1C27"/>
    <w:rsid w:val="04885B47"/>
    <w:rsid w:val="04A52387"/>
    <w:rsid w:val="04A55157"/>
    <w:rsid w:val="04B54547"/>
    <w:rsid w:val="04CD15E8"/>
    <w:rsid w:val="04CF4810"/>
    <w:rsid w:val="04D63FDF"/>
    <w:rsid w:val="04EB08D2"/>
    <w:rsid w:val="04EC7DA2"/>
    <w:rsid w:val="050252F6"/>
    <w:rsid w:val="0541752E"/>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7FD104A"/>
    <w:rsid w:val="08033CE1"/>
    <w:rsid w:val="083726B7"/>
    <w:rsid w:val="08554A0D"/>
    <w:rsid w:val="08563EE1"/>
    <w:rsid w:val="086D3DA1"/>
    <w:rsid w:val="08774BE1"/>
    <w:rsid w:val="08805332"/>
    <w:rsid w:val="088F5820"/>
    <w:rsid w:val="08903F11"/>
    <w:rsid w:val="08932D8F"/>
    <w:rsid w:val="08E13E13"/>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741652"/>
    <w:rsid w:val="0C773477"/>
    <w:rsid w:val="0C9F113B"/>
    <w:rsid w:val="0CD3448B"/>
    <w:rsid w:val="0CF072F3"/>
    <w:rsid w:val="0D2466BD"/>
    <w:rsid w:val="0D3303D4"/>
    <w:rsid w:val="0D3A1668"/>
    <w:rsid w:val="0D5C2246"/>
    <w:rsid w:val="0D6A3C45"/>
    <w:rsid w:val="0D7F3B4D"/>
    <w:rsid w:val="0D84383E"/>
    <w:rsid w:val="0D933D59"/>
    <w:rsid w:val="0DA13B17"/>
    <w:rsid w:val="0DA277FF"/>
    <w:rsid w:val="0DB22432"/>
    <w:rsid w:val="0DB8057F"/>
    <w:rsid w:val="0DC57869"/>
    <w:rsid w:val="0DD331D8"/>
    <w:rsid w:val="0DDB677F"/>
    <w:rsid w:val="0DDF71E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932DF1"/>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60941"/>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10172"/>
    <w:rsid w:val="142B5FE2"/>
    <w:rsid w:val="14542872"/>
    <w:rsid w:val="147E2423"/>
    <w:rsid w:val="1487273A"/>
    <w:rsid w:val="148C28CB"/>
    <w:rsid w:val="14944440"/>
    <w:rsid w:val="14A059A0"/>
    <w:rsid w:val="14B97B05"/>
    <w:rsid w:val="14CB44CC"/>
    <w:rsid w:val="14CD31B9"/>
    <w:rsid w:val="14DA6BBE"/>
    <w:rsid w:val="14E67563"/>
    <w:rsid w:val="14F926F4"/>
    <w:rsid w:val="15021B62"/>
    <w:rsid w:val="150A21BA"/>
    <w:rsid w:val="151779D1"/>
    <w:rsid w:val="15204125"/>
    <w:rsid w:val="1522437E"/>
    <w:rsid w:val="15283931"/>
    <w:rsid w:val="15382F40"/>
    <w:rsid w:val="158374C1"/>
    <w:rsid w:val="15A62ECC"/>
    <w:rsid w:val="15B14179"/>
    <w:rsid w:val="15C516BD"/>
    <w:rsid w:val="160475A2"/>
    <w:rsid w:val="166266B1"/>
    <w:rsid w:val="169528F0"/>
    <w:rsid w:val="16A82B98"/>
    <w:rsid w:val="16C724D4"/>
    <w:rsid w:val="16D411E7"/>
    <w:rsid w:val="16ED0036"/>
    <w:rsid w:val="170756D4"/>
    <w:rsid w:val="170F4587"/>
    <w:rsid w:val="176115DC"/>
    <w:rsid w:val="176D7525"/>
    <w:rsid w:val="17824660"/>
    <w:rsid w:val="178F2FF8"/>
    <w:rsid w:val="179121FE"/>
    <w:rsid w:val="17915931"/>
    <w:rsid w:val="17C41ABF"/>
    <w:rsid w:val="17CD63B8"/>
    <w:rsid w:val="17DC6566"/>
    <w:rsid w:val="18175D56"/>
    <w:rsid w:val="18276B10"/>
    <w:rsid w:val="184802E8"/>
    <w:rsid w:val="18930C59"/>
    <w:rsid w:val="189B5F22"/>
    <w:rsid w:val="18A70256"/>
    <w:rsid w:val="18A944F8"/>
    <w:rsid w:val="18B73074"/>
    <w:rsid w:val="18DA76F1"/>
    <w:rsid w:val="18E65685"/>
    <w:rsid w:val="19034C2D"/>
    <w:rsid w:val="1916127C"/>
    <w:rsid w:val="193D465D"/>
    <w:rsid w:val="193D4E12"/>
    <w:rsid w:val="196C6238"/>
    <w:rsid w:val="198A59D6"/>
    <w:rsid w:val="199C18FD"/>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AC102A"/>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EA7E10"/>
    <w:rsid w:val="1EF342CB"/>
    <w:rsid w:val="1F020A44"/>
    <w:rsid w:val="1F041BC7"/>
    <w:rsid w:val="1F127B09"/>
    <w:rsid w:val="1F2354C8"/>
    <w:rsid w:val="1F36160E"/>
    <w:rsid w:val="1F3F33F9"/>
    <w:rsid w:val="1F5D00BF"/>
    <w:rsid w:val="1F640255"/>
    <w:rsid w:val="1F671677"/>
    <w:rsid w:val="1F722047"/>
    <w:rsid w:val="1F904945"/>
    <w:rsid w:val="1FA7625B"/>
    <w:rsid w:val="1FAA6A2E"/>
    <w:rsid w:val="1FC11059"/>
    <w:rsid w:val="1FDC7161"/>
    <w:rsid w:val="1FE570E2"/>
    <w:rsid w:val="1FE7673E"/>
    <w:rsid w:val="200455E9"/>
    <w:rsid w:val="200E38F2"/>
    <w:rsid w:val="201E585F"/>
    <w:rsid w:val="2049266D"/>
    <w:rsid w:val="20534B67"/>
    <w:rsid w:val="20557DC5"/>
    <w:rsid w:val="205A5C16"/>
    <w:rsid w:val="205B7D6A"/>
    <w:rsid w:val="207C33EE"/>
    <w:rsid w:val="2081342E"/>
    <w:rsid w:val="209740BF"/>
    <w:rsid w:val="2099242E"/>
    <w:rsid w:val="20B0411F"/>
    <w:rsid w:val="20C52024"/>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61686"/>
    <w:rsid w:val="21C13A32"/>
    <w:rsid w:val="22270787"/>
    <w:rsid w:val="2248373D"/>
    <w:rsid w:val="224D73DD"/>
    <w:rsid w:val="22524061"/>
    <w:rsid w:val="22592601"/>
    <w:rsid w:val="22603DB2"/>
    <w:rsid w:val="226D7B83"/>
    <w:rsid w:val="2293123C"/>
    <w:rsid w:val="22A570EC"/>
    <w:rsid w:val="232E56FD"/>
    <w:rsid w:val="233F5F96"/>
    <w:rsid w:val="23494BC1"/>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64CE5"/>
    <w:rsid w:val="26FE679C"/>
    <w:rsid w:val="27301EDB"/>
    <w:rsid w:val="27453115"/>
    <w:rsid w:val="276C029F"/>
    <w:rsid w:val="27867E0A"/>
    <w:rsid w:val="27982DD4"/>
    <w:rsid w:val="27CC5B2A"/>
    <w:rsid w:val="27DD09CE"/>
    <w:rsid w:val="27EC553C"/>
    <w:rsid w:val="280A4100"/>
    <w:rsid w:val="280C4BFC"/>
    <w:rsid w:val="2813394B"/>
    <w:rsid w:val="281C1F63"/>
    <w:rsid w:val="281C54D8"/>
    <w:rsid w:val="283610D5"/>
    <w:rsid w:val="285F5293"/>
    <w:rsid w:val="28622D71"/>
    <w:rsid w:val="286E69FD"/>
    <w:rsid w:val="287075B4"/>
    <w:rsid w:val="28852E8B"/>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9FF55DC"/>
    <w:rsid w:val="2A017BFD"/>
    <w:rsid w:val="2A0A71F8"/>
    <w:rsid w:val="2A4913A2"/>
    <w:rsid w:val="2A77438F"/>
    <w:rsid w:val="2A9154D8"/>
    <w:rsid w:val="2AA04C57"/>
    <w:rsid w:val="2AB56C65"/>
    <w:rsid w:val="2AD750C3"/>
    <w:rsid w:val="2AE77D08"/>
    <w:rsid w:val="2AEA3011"/>
    <w:rsid w:val="2AFA0B1C"/>
    <w:rsid w:val="2B252D72"/>
    <w:rsid w:val="2B3E0375"/>
    <w:rsid w:val="2B492499"/>
    <w:rsid w:val="2B652A8D"/>
    <w:rsid w:val="2B6C55DB"/>
    <w:rsid w:val="2B8D5640"/>
    <w:rsid w:val="2BAF7B59"/>
    <w:rsid w:val="2BF4029C"/>
    <w:rsid w:val="2C1C6937"/>
    <w:rsid w:val="2C202757"/>
    <w:rsid w:val="2C270D43"/>
    <w:rsid w:val="2C6436A6"/>
    <w:rsid w:val="2C7212B2"/>
    <w:rsid w:val="2C7A2A8F"/>
    <w:rsid w:val="2C9023A5"/>
    <w:rsid w:val="2C937549"/>
    <w:rsid w:val="2C9D6A04"/>
    <w:rsid w:val="2CB43679"/>
    <w:rsid w:val="2CB62598"/>
    <w:rsid w:val="2CBC136A"/>
    <w:rsid w:val="2CD47877"/>
    <w:rsid w:val="2CFE607B"/>
    <w:rsid w:val="2D095409"/>
    <w:rsid w:val="2D383316"/>
    <w:rsid w:val="2D3A3199"/>
    <w:rsid w:val="2D3E1194"/>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E144CD"/>
    <w:rsid w:val="2EFA0191"/>
    <w:rsid w:val="2EFA65C7"/>
    <w:rsid w:val="2F436846"/>
    <w:rsid w:val="2F4556CE"/>
    <w:rsid w:val="2F6F3C93"/>
    <w:rsid w:val="2F754A27"/>
    <w:rsid w:val="2FAB3655"/>
    <w:rsid w:val="2FB1448A"/>
    <w:rsid w:val="2FC802AE"/>
    <w:rsid w:val="301C41BF"/>
    <w:rsid w:val="302369A0"/>
    <w:rsid w:val="303474C0"/>
    <w:rsid w:val="305C41A9"/>
    <w:rsid w:val="307C26FF"/>
    <w:rsid w:val="30820205"/>
    <w:rsid w:val="308E41B5"/>
    <w:rsid w:val="30952C59"/>
    <w:rsid w:val="30BC0D4E"/>
    <w:rsid w:val="30FF4D69"/>
    <w:rsid w:val="310E5321"/>
    <w:rsid w:val="3113559B"/>
    <w:rsid w:val="311978DB"/>
    <w:rsid w:val="312421F6"/>
    <w:rsid w:val="3127420C"/>
    <w:rsid w:val="31477BEB"/>
    <w:rsid w:val="315523B1"/>
    <w:rsid w:val="3198056E"/>
    <w:rsid w:val="31CD31BF"/>
    <w:rsid w:val="31D72AD0"/>
    <w:rsid w:val="31E10F55"/>
    <w:rsid w:val="31F664E1"/>
    <w:rsid w:val="32081D71"/>
    <w:rsid w:val="320B7F80"/>
    <w:rsid w:val="3219008D"/>
    <w:rsid w:val="32215B79"/>
    <w:rsid w:val="322241F2"/>
    <w:rsid w:val="3229379D"/>
    <w:rsid w:val="32294133"/>
    <w:rsid w:val="322D5AFA"/>
    <w:rsid w:val="32514C44"/>
    <w:rsid w:val="328916BE"/>
    <w:rsid w:val="32974C7A"/>
    <w:rsid w:val="32B44D4F"/>
    <w:rsid w:val="32BB4ABE"/>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D4661F"/>
    <w:rsid w:val="33EA5BD2"/>
    <w:rsid w:val="33ED39C2"/>
    <w:rsid w:val="340F56DE"/>
    <w:rsid w:val="3425597D"/>
    <w:rsid w:val="342A5DF5"/>
    <w:rsid w:val="344851FD"/>
    <w:rsid w:val="346A286F"/>
    <w:rsid w:val="349B5E0E"/>
    <w:rsid w:val="34A432B6"/>
    <w:rsid w:val="34AA020B"/>
    <w:rsid w:val="34BC17DA"/>
    <w:rsid w:val="34D015E3"/>
    <w:rsid w:val="34F85DA8"/>
    <w:rsid w:val="35092088"/>
    <w:rsid w:val="3509398E"/>
    <w:rsid w:val="35201994"/>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AA1648"/>
    <w:rsid w:val="36B34449"/>
    <w:rsid w:val="36C342D9"/>
    <w:rsid w:val="370F2E93"/>
    <w:rsid w:val="370F32ED"/>
    <w:rsid w:val="374E35E0"/>
    <w:rsid w:val="374E63F8"/>
    <w:rsid w:val="37560CC6"/>
    <w:rsid w:val="378D0CEB"/>
    <w:rsid w:val="379A026D"/>
    <w:rsid w:val="37A2207E"/>
    <w:rsid w:val="37A2434F"/>
    <w:rsid w:val="37CE1367"/>
    <w:rsid w:val="37ED6D6E"/>
    <w:rsid w:val="380C3B20"/>
    <w:rsid w:val="381039F4"/>
    <w:rsid w:val="381B27FE"/>
    <w:rsid w:val="38422CE2"/>
    <w:rsid w:val="38464281"/>
    <w:rsid w:val="386E21B0"/>
    <w:rsid w:val="38AE496C"/>
    <w:rsid w:val="38B54D45"/>
    <w:rsid w:val="38D242CD"/>
    <w:rsid w:val="38DA238F"/>
    <w:rsid w:val="391D25A6"/>
    <w:rsid w:val="393E0C7A"/>
    <w:rsid w:val="39470BCD"/>
    <w:rsid w:val="39821F75"/>
    <w:rsid w:val="398B5520"/>
    <w:rsid w:val="398C3DB7"/>
    <w:rsid w:val="39972358"/>
    <w:rsid w:val="39AB6275"/>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F69DB"/>
    <w:rsid w:val="3B667011"/>
    <w:rsid w:val="3B79226F"/>
    <w:rsid w:val="3B8F1138"/>
    <w:rsid w:val="3B904834"/>
    <w:rsid w:val="3B932344"/>
    <w:rsid w:val="3B9D20F5"/>
    <w:rsid w:val="3BB33F88"/>
    <w:rsid w:val="3BC15D34"/>
    <w:rsid w:val="3BD93153"/>
    <w:rsid w:val="3BDA6996"/>
    <w:rsid w:val="3C0A3047"/>
    <w:rsid w:val="3C2E50FB"/>
    <w:rsid w:val="3C2F6E65"/>
    <w:rsid w:val="3C37637A"/>
    <w:rsid w:val="3C3F0A85"/>
    <w:rsid w:val="3C4A12AD"/>
    <w:rsid w:val="3C5125FC"/>
    <w:rsid w:val="3C690ECB"/>
    <w:rsid w:val="3C860AC6"/>
    <w:rsid w:val="3C8967A4"/>
    <w:rsid w:val="3C960BC8"/>
    <w:rsid w:val="3C9848A1"/>
    <w:rsid w:val="3CA509B7"/>
    <w:rsid w:val="3CA509D1"/>
    <w:rsid w:val="3CD537E6"/>
    <w:rsid w:val="3CD93879"/>
    <w:rsid w:val="3D2571D3"/>
    <w:rsid w:val="3D5949C7"/>
    <w:rsid w:val="3D7A2818"/>
    <w:rsid w:val="3D8106EA"/>
    <w:rsid w:val="3D834DF8"/>
    <w:rsid w:val="3D8F3346"/>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3FF16E4F"/>
    <w:rsid w:val="40031733"/>
    <w:rsid w:val="40076D3D"/>
    <w:rsid w:val="401B4579"/>
    <w:rsid w:val="401F65F0"/>
    <w:rsid w:val="404470DB"/>
    <w:rsid w:val="404C2292"/>
    <w:rsid w:val="405D572D"/>
    <w:rsid w:val="406960D0"/>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AC2719"/>
    <w:rsid w:val="41B17185"/>
    <w:rsid w:val="41F05895"/>
    <w:rsid w:val="42030A6F"/>
    <w:rsid w:val="420C70DA"/>
    <w:rsid w:val="421502BE"/>
    <w:rsid w:val="4226611D"/>
    <w:rsid w:val="425402BB"/>
    <w:rsid w:val="42564ADA"/>
    <w:rsid w:val="42747A95"/>
    <w:rsid w:val="427E52C8"/>
    <w:rsid w:val="429D02B3"/>
    <w:rsid w:val="42FA6BD0"/>
    <w:rsid w:val="42FB4E01"/>
    <w:rsid w:val="4301585B"/>
    <w:rsid w:val="43110625"/>
    <w:rsid w:val="431B31A4"/>
    <w:rsid w:val="43325808"/>
    <w:rsid w:val="433E1CAF"/>
    <w:rsid w:val="43412297"/>
    <w:rsid w:val="43413ED4"/>
    <w:rsid w:val="43594499"/>
    <w:rsid w:val="43636C3F"/>
    <w:rsid w:val="436E5353"/>
    <w:rsid w:val="438073DF"/>
    <w:rsid w:val="439D6340"/>
    <w:rsid w:val="43CA332A"/>
    <w:rsid w:val="43FD7280"/>
    <w:rsid w:val="441532B2"/>
    <w:rsid w:val="441C5686"/>
    <w:rsid w:val="441E55BD"/>
    <w:rsid w:val="442C59F4"/>
    <w:rsid w:val="442C5CE7"/>
    <w:rsid w:val="443F7EE3"/>
    <w:rsid w:val="44477A7A"/>
    <w:rsid w:val="445A5900"/>
    <w:rsid w:val="44831552"/>
    <w:rsid w:val="44890AEF"/>
    <w:rsid w:val="44A72CB4"/>
    <w:rsid w:val="44DC0CFE"/>
    <w:rsid w:val="44DC4FCA"/>
    <w:rsid w:val="44E4041B"/>
    <w:rsid w:val="44FD1C6D"/>
    <w:rsid w:val="45273BFE"/>
    <w:rsid w:val="453F207E"/>
    <w:rsid w:val="454276A8"/>
    <w:rsid w:val="45465AD9"/>
    <w:rsid w:val="457C4AF8"/>
    <w:rsid w:val="45A100BA"/>
    <w:rsid w:val="45A31600"/>
    <w:rsid w:val="45E526C2"/>
    <w:rsid w:val="45EF5694"/>
    <w:rsid w:val="45F32D75"/>
    <w:rsid w:val="45FE4441"/>
    <w:rsid w:val="460934CE"/>
    <w:rsid w:val="461F685B"/>
    <w:rsid w:val="46357180"/>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9C4FDD"/>
    <w:rsid w:val="47A4380D"/>
    <w:rsid w:val="47A6297A"/>
    <w:rsid w:val="47B35BF8"/>
    <w:rsid w:val="47C01A50"/>
    <w:rsid w:val="47C041C7"/>
    <w:rsid w:val="47CB4E60"/>
    <w:rsid w:val="47CD1E0C"/>
    <w:rsid w:val="47D964DB"/>
    <w:rsid w:val="47FC33A5"/>
    <w:rsid w:val="48012A31"/>
    <w:rsid w:val="481D4366"/>
    <w:rsid w:val="484D62D8"/>
    <w:rsid w:val="485803F1"/>
    <w:rsid w:val="485E2C28"/>
    <w:rsid w:val="4865215C"/>
    <w:rsid w:val="486942C4"/>
    <w:rsid w:val="487B552A"/>
    <w:rsid w:val="48842F37"/>
    <w:rsid w:val="48A34F21"/>
    <w:rsid w:val="48B05292"/>
    <w:rsid w:val="48B971DC"/>
    <w:rsid w:val="48E924A4"/>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D26E8C"/>
    <w:rsid w:val="49F72310"/>
    <w:rsid w:val="49FD2EE4"/>
    <w:rsid w:val="4A0B4FDE"/>
    <w:rsid w:val="4A343D11"/>
    <w:rsid w:val="4A497D35"/>
    <w:rsid w:val="4A585377"/>
    <w:rsid w:val="4A8A37D8"/>
    <w:rsid w:val="4A8B4AB2"/>
    <w:rsid w:val="4AD9595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C2C8C"/>
    <w:rsid w:val="4D1E77BE"/>
    <w:rsid w:val="4D245FC5"/>
    <w:rsid w:val="4D2B3B2C"/>
    <w:rsid w:val="4DA943B0"/>
    <w:rsid w:val="4DC515BB"/>
    <w:rsid w:val="4DCB5984"/>
    <w:rsid w:val="4DD64458"/>
    <w:rsid w:val="4DDD4E1A"/>
    <w:rsid w:val="4DE00A28"/>
    <w:rsid w:val="4DE374C2"/>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3316A"/>
    <w:rsid w:val="4F944D8F"/>
    <w:rsid w:val="4FCA5221"/>
    <w:rsid w:val="4FED0FB9"/>
    <w:rsid w:val="50561719"/>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31B72EC"/>
    <w:rsid w:val="531E35FC"/>
    <w:rsid w:val="531E3DBA"/>
    <w:rsid w:val="532B1547"/>
    <w:rsid w:val="532C2C22"/>
    <w:rsid w:val="533E6E17"/>
    <w:rsid w:val="5343182D"/>
    <w:rsid w:val="5350721C"/>
    <w:rsid w:val="53552E21"/>
    <w:rsid w:val="535D3886"/>
    <w:rsid w:val="536C4A63"/>
    <w:rsid w:val="536F3473"/>
    <w:rsid w:val="539B26A9"/>
    <w:rsid w:val="53A201DA"/>
    <w:rsid w:val="53B22D34"/>
    <w:rsid w:val="53B6236C"/>
    <w:rsid w:val="53BD6F30"/>
    <w:rsid w:val="540540F5"/>
    <w:rsid w:val="54231D7C"/>
    <w:rsid w:val="542913B3"/>
    <w:rsid w:val="543A39C2"/>
    <w:rsid w:val="543F18BA"/>
    <w:rsid w:val="54483D0D"/>
    <w:rsid w:val="54883400"/>
    <w:rsid w:val="54932F58"/>
    <w:rsid w:val="54A81CB5"/>
    <w:rsid w:val="54C41B11"/>
    <w:rsid w:val="550E49C6"/>
    <w:rsid w:val="55124B31"/>
    <w:rsid w:val="55A47D96"/>
    <w:rsid w:val="55C94049"/>
    <w:rsid w:val="55DA287E"/>
    <w:rsid w:val="55DD1819"/>
    <w:rsid w:val="55EE6DAD"/>
    <w:rsid w:val="56073162"/>
    <w:rsid w:val="5609127C"/>
    <w:rsid w:val="56243B92"/>
    <w:rsid w:val="5637484F"/>
    <w:rsid w:val="563D619D"/>
    <w:rsid w:val="56413F2B"/>
    <w:rsid w:val="56537C47"/>
    <w:rsid w:val="56A010C0"/>
    <w:rsid w:val="56B96B8E"/>
    <w:rsid w:val="56C747B5"/>
    <w:rsid w:val="56D42684"/>
    <w:rsid w:val="56DD2471"/>
    <w:rsid w:val="571974A0"/>
    <w:rsid w:val="57210A6D"/>
    <w:rsid w:val="5744214A"/>
    <w:rsid w:val="574B480A"/>
    <w:rsid w:val="57543081"/>
    <w:rsid w:val="5789649C"/>
    <w:rsid w:val="57A373F0"/>
    <w:rsid w:val="57B1418D"/>
    <w:rsid w:val="57C83C57"/>
    <w:rsid w:val="57D50F7D"/>
    <w:rsid w:val="57FB2FB4"/>
    <w:rsid w:val="582028C2"/>
    <w:rsid w:val="582908A2"/>
    <w:rsid w:val="583D07DD"/>
    <w:rsid w:val="585F1862"/>
    <w:rsid w:val="58620D26"/>
    <w:rsid w:val="58706FB1"/>
    <w:rsid w:val="587C5983"/>
    <w:rsid w:val="58E8415E"/>
    <w:rsid w:val="58EA204C"/>
    <w:rsid w:val="58ED1995"/>
    <w:rsid w:val="58FF1A45"/>
    <w:rsid w:val="591578E8"/>
    <w:rsid w:val="591C580B"/>
    <w:rsid w:val="5926497A"/>
    <w:rsid w:val="592A1893"/>
    <w:rsid w:val="5954396A"/>
    <w:rsid w:val="595D3E12"/>
    <w:rsid w:val="59961EFB"/>
    <w:rsid w:val="59A11353"/>
    <w:rsid w:val="59AA358A"/>
    <w:rsid w:val="59B40569"/>
    <w:rsid w:val="59B462D5"/>
    <w:rsid w:val="59CF1242"/>
    <w:rsid w:val="59D555D8"/>
    <w:rsid w:val="59FD7B5D"/>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101385"/>
    <w:rsid w:val="5B353486"/>
    <w:rsid w:val="5B3A7E78"/>
    <w:rsid w:val="5B3D442E"/>
    <w:rsid w:val="5B412C22"/>
    <w:rsid w:val="5B4B2EB1"/>
    <w:rsid w:val="5B510D60"/>
    <w:rsid w:val="5B570332"/>
    <w:rsid w:val="5B5C08B4"/>
    <w:rsid w:val="5B5F0395"/>
    <w:rsid w:val="5B6300A3"/>
    <w:rsid w:val="5B6C0ED6"/>
    <w:rsid w:val="5B790B4E"/>
    <w:rsid w:val="5B7A2400"/>
    <w:rsid w:val="5B9B626D"/>
    <w:rsid w:val="5BA762EC"/>
    <w:rsid w:val="5BD32897"/>
    <w:rsid w:val="5BF50A44"/>
    <w:rsid w:val="5C0F2187"/>
    <w:rsid w:val="5C295CCC"/>
    <w:rsid w:val="5C381A3A"/>
    <w:rsid w:val="5C5C135C"/>
    <w:rsid w:val="5C7B4D71"/>
    <w:rsid w:val="5C872DAA"/>
    <w:rsid w:val="5C974816"/>
    <w:rsid w:val="5CA97228"/>
    <w:rsid w:val="5CB214C2"/>
    <w:rsid w:val="5CBA57BD"/>
    <w:rsid w:val="5CC311B1"/>
    <w:rsid w:val="5CC5471C"/>
    <w:rsid w:val="5CDC5386"/>
    <w:rsid w:val="5CEE7B85"/>
    <w:rsid w:val="5CF07506"/>
    <w:rsid w:val="5CF73D69"/>
    <w:rsid w:val="5D202057"/>
    <w:rsid w:val="5D4700C2"/>
    <w:rsid w:val="5D6C4615"/>
    <w:rsid w:val="5D7C5A81"/>
    <w:rsid w:val="5D9702C9"/>
    <w:rsid w:val="5DB14DF6"/>
    <w:rsid w:val="5DD31E8F"/>
    <w:rsid w:val="5DDF2196"/>
    <w:rsid w:val="5DF704AE"/>
    <w:rsid w:val="5DF954B7"/>
    <w:rsid w:val="5DFF05CD"/>
    <w:rsid w:val="5E1672C2"/>
    <w:rsid w:val="5E1B6033"/>
    <w:rsid w:val="5E2612F9"/>
    <w:rsid w:val="5E534129"/>
    <w:rsid w:val="5E6E3C24"/>
    <w:rsid w:val="5E7255BD"/>
    <w:rsid w:val="5E937CCC"/>
    <w:rsid w:val="5ED02AEB"/>
    <w:rsid w:val="5EF83794"/>
    <w:rsid w:val="5F0173CC"/>
    <w:rsid w:val="5F1A1A93"/>
    <w:rsid w:val="5F287F7E"/>
    <w:rsid w:val="5F460670"/>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63727"/>
    <w:rsid w:val="601A25EF"/>
    <w:rsid w:val="60250EC1"/>
    <w:rsid w:val="603E7832"/>
    <w:rsid w:val="6042451C"/>
    <w:rsid w:val="6044067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EA093B"/>
    <w:rsid w:val="61FE788E"/>
    <w:rsid w:val="62024DB4"/>
    <w:rsid w:val="62117D72"/>
    <w:rsid w:val="62140656"/>
    <w:rsid w:val="62210A89"/>
    <w:rsid w:val="62285DB7"/>
    <w:rsid w:val="626857C6"/>
    <w:rsid w:val="626C17E1"/>
    <w:rsid w:val="62923991"/>
    <w:rsid w:val="62966DA1"/>
    <w:rsid w:val="62F20D03"/>
    <w:rsid w:val="62F26EC0"/>
    <w:rsid w:val="62F75B83"/>
    <w:rsid w:val="63095375"/>
    <w:rsid w:val="6312135F"/>
    <w:rsid w:val="63130ED5"/>
    <w:rsid w:val="632A3D0D"/>
    <w:rsid w:val="633443AB"/>
    <w:rsid w:val="633578AF"/>
    <w:rsid w:val="6353750E"/>
    <w:rsid w:val="638857E1"/>
    <w:rsid w:val="63994A40"/>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66FE9"/>
    <w:rsid w:val="66280ABB"/>
    <w:rsid w:val="666717B3"/>
    <w:rsid w:val="6668032B"/>
    <w:rsid w:val="667C4290"/>
    <w:rsid w:val="66AB481F"/>
    <w:rsid w:val="66C95898"/>
    <w:rsid w:val="66F8201A"/>
    <w:rsid w:val="671C5A04"/>
    <w:rsid w:val="6739092B"/>
    <w:rsid w:val="673F01D2"/>
    <w:rsid w:val="676777C3"/>
    <w:rsid w:val="677D4B8A"/>
    <w:rsid w:val="67802ACE"/>
    <w:rsid w:val="67804B33"/>
    <w:rsid w:val="67C40A09"/>
    <w:rsid w:val="67D020A7"/>
    <w:rsid w:val="67D600B8"/>
    <w:rsid w:val="67E4087E"/>
    <w:rsid w:val="67EC2FBF"/>
    <w:rsid w:val="68123B30"/>
    <w:rsid w:val="6821192D"/>
    <w:rsid w:val="68337E89"/>
    <w:rsid w:val="68337EE8"/>
    <w:rsid w:val="683A6C76"/>
    <w:rsid w:val="685C5B46"/>
    <w:rsid w:val="686F1486"/>
    <w:rsid w:val="688C0656"/>
    <w:rsid w:val="68AE1735"/>
    <w:rsid w:val="68B72950"/>
    <w:rsid w:val="68D60630"/>
    <w:rsid w:val="68F00432"/>
    <w:rsid w:val="68F8555D"/>
    <w:rsid w:val="691D712E"/>
    <w:rsid w:val="6942558D"/>
    <w:rsid w:val="697E7396"/>
    <w:rsid w:val="69A009FE"/>
    <w:rsid w:val="69A729C5"/>
    <w:rsid w:val="69BE2739"/>
    <w:rsid w:val="69BF206E"/>
    <w:rsid w:val="69DC778F"/>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A5562"/>
    <w:rsid w:val="6B565807"/>
    <w:rsid w:val="6B7174EC"/>
    <w:rsid w:val="6B7A369F"/>
    <w:rsid w:val="6BAC2823"/>
    <w:rsid w:val="6BBD5024"/>
    <w:rsid w:val="6BF37DF1"/>
    <w:rsid w:val="6C630CE9"/>
    <w:rsid w:val="6C914CAA"/>
    <w:rsid w:val="6CAD225B"/>
    <w:rsid w:val="6CB57E24"/>
    <w:rsid w:val="6CBA7B30"/>
    <w:rsid w:val="6CCC3665"/>
    <w:rsid w:val="6CEC0F34"/>
    <w:rsid w:val="6CF73CA4"/>
    <w:rsid w:val="6D005FF7"/>
    <w:rsid w:val="6D021C57"/>
    <w:rsid w:val="6D05105B"/>
    <w:rsid w:val="6D207FCD"/>
    <w:rsid w:val="6D280C36"/>
    <w:rsid w:val="6D286C4C"/>
    <w:rsid w:val="6D2A6A64"/>
    <w:rsid w:val="6D2B5B01"/>
    <w:rsid w:val="6D36363D"/>
    <w:rsid w:val="6D381497"/>
    <w:rsid w:val="6D6A2DB3"/>
    <w:rsid w:val="6D6A69AA"/>
    <w:rsid w:val="6D79127B"/>
    <w:rsid w:val="6D832281"/>
    <w:rsid w:val="6D966417"/>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2614AD"/>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494C51"/>
    <w:rsid w:val="704C6BB5"/>
    <w:rsid w:val="70796EB7"/>
    <w:rsid w:val="70846EFD"/>
    <w:rsid w:val="70891E2B"/>
    <w:rsid w:val="709304FC"/>
    <w:rsid w:val="70B21D55"/>
    <w:rsid w:val="70BA4068"/>
    <w:rsid w:val="70F06D61"/>
    <w:rsid w:val="70F36F46"/>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42376"/>
    <w:rsid w:val="724B6026"/>
    <w:rsid w:val="725273EA"/>
    <w:rsid w:val="725B1897"/>
    <w:rsid w:val="72603689"/>
    <w:rsid w:val="726C47BC"/>
    <w:rsid w:val="726C5429"/>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944A51"/>
    <w:rsid w:val="74D94903"/>
    <w:rsid w:val="74DC7834"/>
    <w:rsid w:val="74E271F1"/>
    <w:rsid w:val="75326EC3"/>
    <w:rsid w:val="75474A77"/>
    <w:rsid w:val="7551327B"/>
    <w:rsid w:val="755F3E02"/>
    <w:rsid w:val="755F782E"/>
    <w:rsid w:val="75A16A9F"/>
    <w:rsid w:val="75BC6CCF"/>
    <w:rsid w:val="75D752AF"/>
    <w:rsid w:val="75E27D49"/>
    <w:rsid w:val="761867BE"/>
    <w:rsid w:val="76365AD0"/>
    <w:rsid w:val="765D57EA"/>
    <w:rsid w:val="766F28A5"/>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0068C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432F13"/>
    <w:rsid w:val="7A553725"/>
    <w:rsid w:val="7A616D0A"/>
    <w:rsid w:val="7A7F2C76"/>
    <w:rsid w:val="7AAC462A"/>
    <w:rsid w:val="7AF84FA0"/>
    <w:rsid w:val="7AF909C6"/>
    <w:rsid w:val="7B6273C9"/>
    <w:rsid w:val="7B6F1BD0"/>
    <w:rsid w:val="7B732126"/>
    <w:rsid w:val="7B755C15"/>
    <w:rsid w:val="7B7B20CE"/>
    <w:rsid w:val="7B8E1216"/>
    <w:rsid w:val="7B9A1345"/>
    <w:rsid w:val="7BCA6C86"/>
    <w:rsid w:val="7C003703"/>
    <w:rsid w:val="7C044DA1"/>
    <w:rsid w:val="7C2B3C5E"/>
    <w:rsid w:val="7C365DE1"/>
    <w:rsid w:val="7CA33449"/>
    <w:rsid w:val="7CC171CF"/>
    <w:rsid w:val="7CC876FF"/>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3E014D"/>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 w:type="paragraph" w:customStyle="1" w:styleId="28">
    <w:name w:val="Table Text"/>
    <w:basedOn w:val="1"/>
    <w:autoRedefine/>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20089</Words>
  <Characters>22165</Characters>
  <Lines>0</Lines>
  <Paragraphs>0</Paragraphs>
  <TotalTime>32</TotalTime>
  <ScaleCrop>false</ScaleCrop>
  <LinksUpToDate>false</LinksUpToDate>
  <CharactersWithSpaces>23890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2024-03-22T09:03:00Z</cp:lastPrinted>
  <dcterms:modified xsi:type="dcterms:W3CDTF">2024-04-03T02:00:49Z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BFF4346238A64AF9B9446D1A22492FC2_13</vt:lpwstr>
  </property>
</Properties>
</file>