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permStart w:id="0" w:edGrp="everyone"/>
      <w:r>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亳州高铁南站金融商务中心项目1#、2#楼装饰工程监理服务</w:t>
      </w:r>
      <w:permEnd w:id="0"/>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1" w:edGrp="everyone"/>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24</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020</w:t>
      </w:r>
      <w:r>
        <w:rPr>
          <w:rFonts w:hint="default" w:ascii="Times New Roman" w:hAnsi="Times New Roman" w:eastAsia="楷体" w:cs="Times New Roman"/>
          <w:kern w:val="0"/>
          <w:sz w:val="28"/>
          <w:szCs w:val="28"/>
          <w:highlight w:val="none"/>
          <w:shd w:val="clear" w:color="auto" w:fill="auto"/>
          <w:lang w:val="en-US" w:eastAsia="zh-CN"/>
        </w:rPr>
        <w:t>号</w:t>
      </w:r>
      <w:permEnd w:id="1"/>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permStart w:id="2" w:edGrp="everyone"/>
      <w:r>
        <w:rPr>
          <w:rFonts w:hint="eastAsia" w:ascii="Times New Roman" w:hAnsi="Times New Roman" w:eastAsia="楷体" w:cs="Times New Roman"/>
          <w:kern w:val="0"/>
          <w:sz w:val="32"/>
          <w:szCs w:val="32"/>
          <w:highlight w:val="none"/>
          <w:shd w:val="clear" w:color="auto" w:fill="auto"/>
          <w:lang w:val="en-US" w:eastAsia="zh-CN"/>
        </w:rPr>
        <w:t>亳州通惠房地产开发有限公司</w:t>
      </w:r>
      <w:permEnd w:id="2"/>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3" w:edGrp="everyone"/>
      <w:r>
        <w:rPr>
          <w:rFonts w:hint="eastAsia" w:ascii="Times New Roman" w:hAnsi="Times New Roman" w:eastAsia="楷体" w:cs="Times New Roman"/>
          <w:kern w:val="0"/>
          <w:sz w:val="32"/>
          <w:szCs w:val="32"/>
          <w:highlight w:val="none"/>
          <w:shd w:val="clear" w:color="auto" w:fill="auto"/>
          <w:lang w:val="en-US" w:eastAsia="zh-CN"/>
        </w:rPr>
        <w:t>2024年3</w:t>
      </w:r>
      <w:r>
        <w:rPr>
          <w:rFonts w:hint="eastAsia" w:ascii="Times New Roman" w:hAnsi="Times New Roman" w:eastAsia="楷体" w:cs="Times New Roman"/>
          <w:kern w:val="0"/>
          <w:sz w:val="32"/>
          <w:szCs w:val="32"/>
          <w:highlight w:val="none"/>
          <w:u w:val="none"/>
          <w:shd w:val="clear" w:color="auto" w:fill="auto"/>
          <w:lang w:val="en-US" w:eastAsia="zh-CN"/>
        </w:rPr>
        <w:t>月26日</w:t>
      </w:r>
      <w:permEnd w:id="3"/>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4" w:edGrp="everyone"/>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（合理低价法）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26</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发包人要求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27</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35</w:t>
      </w:r>
    </w:p>
    <w:permEnd w:id="4"/>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sz w:val="28"/>
          <w:szCs w:val="28"/>
          <w:highlight w:val="none"/>
          <w:u w:val="single"/>
          <w:lang w:val="en-US" w:eastAsia="zh-CN"/>
        </w:rPr>
      </w:pPr>
      <w:permStart w:id="5" w:edGrp="everyone"/>
      <w:r>
        <w:rPr>
          <w:rFonts w:hint="eastAsia" w:ascii="Times New Roman" w:hAnsi="Times New Roman" w:eastAsia="黑体" w:cs="Times New Roman"/>
          <w:sz w:val="28"/>
          <w:szCs w:val="28"/>
          <w:highlight w:val="none"/>
          <w:u w:val="single"/>
          <w:lang w:val="en-US" w:eastAsia="zh-CN"/>
        </w:rPr>
        <w:t>亳州高铁南站金融商务中心项目1#、2#楼装饰工程监理服务</w:t>
      </w:r>
    </w:p>
    <w:permEnd w:id="5"/>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lang w:val="en-US" w:eastAsia="zh-CN"/>
        </w:rPr>
        <w:t>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296602410"/>
      <w:bookmarkStart w:id="1" w:name="_Toc179632536"/>
      <w:bookmarkStart w:id="2" w:name="_Toc246996166"/>
      <w:bookmarkStart w:id="3" w:name="_Toc144974487"/>
      <w:bookmarkStart w:id="4" w:name="_Toc152045519"/>
      <w:bookmarkStart w:id="5" w:name="_Toc152042295"/>
      <w:bookmarkStart w:id="6" w:name="_Toc246996909"/>
      <w:bookmarkStart w:id="7" w:name="_Toc247085680"/>
    </w:p>
    <w:bookmarkEnd w:id="0"/>
    <w:bookmarkEnd w:id="1"/>
    <w:bookmarkEnd w:id="2"/>
    <w:bookmarkEnd w:id="3"/>
    <w:bookmarkEnd w:id="4"/>
    <w:bookmarkEnd w:id="5"/>
    <w:bookmarkEnd w:id="6"/>
    <w:bookmarkEnd w:id="7"/>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bookmarkStart w:id="8" w:name="_Toc152042296"/>
      <w:bookmarkStart w:id="9" w:name="_Toc246996167"/>
      <w:bookmarkStart w:id="10" w:name="_Toc247085681"/>
      <w:bookmarkStart w:id="11" w:name="_Toc152045520"/>
      <w:bookmarkStart w:id="12" w:name="_Toc144974488"/>
      <w:bookmarkStart w:id="13" w:name="_Toc246996910"/>
      <w:bookmarkStart w:id="14" w:name="_Toc179632537"/>
      <w:bookmarkStart w:id="15" w:name="_Toc296602411"/>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6" w:edGrp="everyone"/>
      <w:r>
        <w:rPr>
          <w:rFonts w:hint="eastAsia" w:asciiTheme="minorEastAsia" w:hAnsiTheme="minorEastAsia" w:eastAsiaTheme="minorEastAsia" w:cstheme="minorEastAsia"/>
          <w:sz w:val="28"/>
          <w:szCs w:val="28"/>
          <w:highlight w:val="none"/>
          <w:lang w:val="en-US" w:eastAsia="zh-CN"/>
        </w:rPr>
        <w:t>亳州高铁南站金融商务中心项目1#、2#楼装饰工程监理服务</w:t>
      </w:r>
    </w:p>
    <w:permEnd w:id="6"/>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7" w:edGrp="everyone"/>
      <w:r>
        <w:rPr>
          <w:rFonts w:hint="default" w:asciiTheme="minorEastAsia" w:hAnsiTheme="minorEastAsia" w:eastAsiaTheme="minorEastAsia" w:cstheme="minorEastAsia"/>
          <w:sz w:val="28"/>
          <w:szCs w:val="28"/>
          <w:highlight w:val="none"/>
          <w:lang w:val="en-US" w:eastAsia="zh-CN"/>
        </w:rPr>
        <w:t>BZJK-20</w:t>
      </w:r>
      <w:r>
        <w:rPr>
          <w:rFonts w:hint="eastAsia" w:asciiTheme="minorEastAsia" w:hAnsiTheme="minorEastAsia" w:eastAsiaTheme="minorEastAsia" w:cstheme="minorEastAsia"/>
          <w:sz w:val="28"/>
          <w:szCs w:val="28"/>
          <w:highlight w:val="none"/>
          <w:lang w:val="en-US" w:eastAsia="zh-CN"/>
        </w:rPr>
        <w:t>24</w:t>
      </w:r>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u w:val="single"/>
          <w:lang w:val="en-US" w:eastAsia="zh-CN"/>
        </w:rPr>
        <w:t>020</w:t>
      </w:r>
      <w:r>
        <w:rPr>
          <w:rFonts w:hint="default" w:asciiTheme="minorEastAsia" w:hAnsiTheme="minorEastAsia" w:eastAsiaTheme="minorEastAsia" w:cstheme="minorEastAsia"/>
          <w:sz w:val="28"/>
          <w:szCs w:val="28"/>
          <w:highlight w:val="none"/>
          <w:lang w:val="en-US" w:eastAsia="zh-CN"/>
        </w:rPr>
        <w:t>号</w:t>
      </w:r>
      <w:r>
        <w:rPr>
          <w:rFonts w:hint="eastAsia" w:asciiTheme="minorEastAsia" w:hAnsiTheme="minorEastAsia" w:eastAsiaTheme="minorEastAsia" w:cstheme="minorEastAsia"/>
          <w:sz w:val="28"/>
          <w:szCs w:val="28"/>
          <w:highlight w:val="none"/>
          <w:lang w:val="en-US" w:eastAsia="zh-CN"/>
        </w:rPr>
        <w:t xml:space="preserve"> </w:t>
      </w:r>
      <w:permEnd w:id="7"/>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资金来源：</w:t>
      </w:r>
      <w:permStart w:id="8" w:edGrp="everyone"/>
      <w:r>
        <w:rPr>
          <w:rFonts w:hint="eastAsia" w:asciiTheme="minorEastAsia" w:hAnsiTheme="minorEastAsia" w:cstheme="minorEastAsia"/>
          <w:sz w:val="28"/>
          <w:szCs w:val="28"/>
          <w:highlight w:val="none"/>
          <w:lang w:val="en-US" w:eastAsia="zh-CN"/>
        </w:rPr>
        <w:t>企业自筹</w:t>
      </w:r>
    </w:p>
    <w:permEnd w:id="8"/>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招标人：</w:t>
      </w:r>
      <w:permStart w:id="9" w:edGrp="everyone"/>
      <w:r>
        <w:rPr>
          <w:rFonts w:hint="eastAsia" w:asciiTheme="minorEastAsia" w:hAnsiTheme="minorEastAsia" w:cstheme="minorEastAsia"/>
          <w:sz w:val="28"/>
          <w:szCs w:val="28"/>
          <w:highlight w:val="none"/>
          <w:lang w:val="en-US" w:eastAsia="zh-CN"/>
        </w:rPr>
        <w:t>亳州通惠房地产开发有限公司</w:t>
      </w:r>
    </w:p>
    <w:permEnd w:id="9"/>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项目已具备招标条件，现对该项目进行公开招标。</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w:t>
      </w:r>
      <w:permStart w:id="10" w:edGrp="everyone"/>
      <w:r>
        <w:rPr>
          <w:rFonts w:hint="eastAsia" w:asciiTheme="minorEastAsia" w:hAnsiTheme="minorEastAsia" w:cstheme="minorEastAsia"/>
          <w:color w:val="FF0000"/>
          <w:sz w:val="28"/>
          <w:szCs w:val="28"/>
          <w:highlight w:val="none"/>
          <w:lang w:val="en-US" w:eastAsia="zh-CN"/>
        </w:rPr>
        <w:t xml:space="preserve"> </w:t>
      </w:r>
      <w:r>
        <w:rPr>
          <w:rFonts w:hint="eastAsia" w:asciiTheme="minorEastAsia" w:hAnsiTheme="minorEastAsia" w:cstheme="minorEastAsia"/>
          <w:color w:val="auto"/>
          <w:sz w:val="28"/>
          <w:szCs w:val="28"/>
          <w:highlight w:val="none"/>
          <w:lang w:val="en-US" w:eastAsia="zh-CN"/>
        </w:rPr>
        <w:t>亳州高铁南站金融商务中心项目1#、2#楼装饰工程</w:t>
      </w:r>
      <w:r>
        <w:rPr>
          <w:rFonts w:hint="default" w:asciiTheme="minorEastAsia" w:hAnsi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其中1#楼装饰1-2层（共6层）</w:t>
      </w:r>
      <w:r>
        <w:rPr>
          <w:rFonts w:hint="default" w:asciiTheme="minorEastAsia" w:hAnsi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建筑面积约1300平方；2#楼装饰1-6层，建筑面积约17700平方</w:t>
      </w:r>
      <w:r>
        <w:rPr>
          <w:rFonts w:hint="default" w:asciiTheme="minorEastAsia" w:hAnsi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项目总投资约3000万。</w:t>
      </w:r>
      <w:permEnd w:id="10"/>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（二）招标范围：</w:t>
      </w:r>
      <w:permStart w:id="11" w:edGrp="everyone"/>
      <w:r>
        <w:rPr>
          <w:rFonts w:hint="eastAsia" w:asciiTheme="minorEastAsia" w:hAnsiTheme="minorEastAsia" w:cstheme="minorEastAsia"/>
          <w:color w:val="auto"/>
          <w:sz w:val="28"/>
          <w:szCs w:val="28"/>
          <w:highlight w:val="none"/>
          <w:lang w:val="en-US" w:eastAsia="zh-CN"/>
        </w:rPr>
        <w:t xml:space="preserve"> 主要包括但不限于1#、2#楼水电、暖通、消防改造，部分墙体拆除、结构加固、装饰装修工程；监理招标范围包括</w:t>
      </w:r>
      <w:r>
        <w:rPr>
          <w:rFonts w:hint="eastAsia" w:asciiTheme="minorEastAsia" w:hAnsiTheme="minorEastAsia" w:cstheme="minorEastAsia"/>
          <w:color w:val="auto"/>
          <w:sz w:val="28"/>
          <w:szCs w:val="28"/>
          <w:highlight w:val="none"/>
          <w:lang w:val="zh-CN" w:eastAsia="zh-CN"/>
        </w:rPr>
        <w:t>工程施工准备阶段、施工阶段、竣工结算阶段、保修期阶段、施工图及设计变更等所有内容的全过程监理服务。</w:t>
      </w:r>
      <w:permEnd w:id="11"/>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w:t>
      </w:r>
      <w:r>
        <w:rPr>
          <w:rFonts w:hint="eastAsia" w:asciiTheme="minorEastAsia" w:hAnsiTheme="minorEastAsia" w:cstheme="minorEastAsia"/>
          <w:sz w:val="28"/>
          <w:szCs w:val="28"/>
          <w:highlight w:val="none"/>
          <w:lang w:val="en-US" w:eastAsia="zh-CN"/>
        </w:rPr>
        <w:t>质量</w:t>
      </w:r>
      <w:r>
        <w:rPr>
          <w:rFonts w:hint="eastAsia" w:asciiTheme="minorEastAsia" w:hAnsiTheme="minorEastAsia" w:eastAsiaTheme="minorEastAsia" w:cstheme="minorEastAsia"/>
          <w:sz w:val="28"/>
          <w:szCs w:val="28"/>
          <w:highlight w:val="none"/>
          <w:lang w:val="en-US" w:eastAsia="zh-CN"/>
        </w:rPr>
        <w:t>标准：</w:t>
      </w:r>
      <w:permStart w:id="12"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r>
        <w:rPr>
          <w:rFonts w:hint="eastAsia" w:asciiTheme="minorEastAsia" w:hAnsiTheme="minorEastAsia" w:cstheme="minorEastAsia"/>
          <w:sz w:val="28"/>
          <w:szCs w:val="28"/>
          <w:highlight w:val="none"/>
          <w:lang w:val="en-US" w:eastAsia="zh-CN"/>
        </w:rPr>
        <w:t>。</w:t>
      </w:r>
      <w:permEnd w:id="12"/>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w:t>
      </w:r>
      <w:r>
        <w:rPr>
          <w:rFonts w:hint="eastAsia" w:asciiTheme="minorEastAsia" w:hAnsiTheme="minorEastAsia" w:cstheme="minorEastAsia"/>
          <w:sz w:val="28"/>
          <w:szCs w:val="28"/>
          <w:highlight w:val="none"/>
          <w:lang w:val="en-US" w:eastAsia="zh-CN"/>
        </w:rPr>
        <w:t>服务期限</w:t>
      </w:r>
      <w:r>
        <w:rPr>
          <w:rFonts w:hint="eastAsia" w:asciiTheme="minorEastAsia" w:hAnsiTheme="minorEastAsia" w:eastAsiaTheme="minorEastAsia" w:cstheme="minorEastAsia"/>
          <w:sz w:val="28"/>
          <w:szCs w:val="28"/>
          <w:highlight w:val="none"/>
          <w:lang w:val="en-US" w:eastAsia="zh-CN"/>
        </w:rPr>
        <w:t>：</w:t>
      </w:r>
      <w:permStart w:id="13" w:edGrp="everyone"/>
      <w:r>
        <w:rPr>
          <w:rFonts w:hint="eastAsia" w:asciiTheme="minorEastAsia" w:hAnsiTheme="minorEastAsia" w:eastAsiaTheme="minorEastAsia" w:cstheme="minorEastAsia"/>
          <w:sz w:val="28"/>
          <w:szCs w:val="28"/>
          <w:highlight w:val="none"/>
          <w:u w:val="none"/>
          <w:lang w:val="en-US" w:eastAsia="zh-CN"/>
        </w:rPr>
        <w:t>计划工期180日历天，实际以项目竣工验收为准。</w:t>
      </w:r>
      <w:permEnd w:id="13"/>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（五）最高投标限价</w:t>
      </w:r>
      <w:permStart w:id="14" w:edGrp="everyone"/>
      <w:r>
        <w:rPr>
          <w:rFonts w:hint="eastAsia" w:asciiTheme="minorEastAsia" w:hAnsiTheme="minorEastAsia" w:cstheme="minorEastAsia"/>
          <w:color w:val="auto"/>
          <w:sz w:val="28"/>
          <w:szCs w:val="28"/>
          <w:highlight w:val="none"/>
          <w:lang w:val="en-US" w:eastAsia="zh-CN"/>
        </w:rPr>
        <w:t>（含税：6%）</w:t>
      </w:r>
      <w:permEnd w:id="14"/>
      <w:r>
        <w:rPr>
          <w:rFonts w:hint="eastAsia" w:asciiTheme="minorEastAsia" w:hAnsiTheme="minorEastAsia" w:eastAsiaTheme="minorEastAsia" w:cstheme="minorEastAsia"/>
          <w:color w:val="auto"/>
          <w:sz w:val="28"/>
          <w:szCs w:val="28"/>
          <w:highlight w:val="none"/>
          <w:lang w:val="en-US" w:eastAsia="zh-CN"/>
        </w:rPr>
        <w:t>：</w:t>
      </w:r>
      <w:permStart w:id="15" w:edGrp="everyone"/>
      <w:r>
        <w:rPr>
          <w:rFonts w:hint="eastAsia" w:asciiTheme="minorEastAsia" w:hAnsiTheme="minorEastAsia" w:cstheme="minorEastAsia"/>
          <w:color w:val="auto"/>
          <w:sz w:val="28"/>
          <w:szCs w:val="28"/>
          <w:highlight w:val="none"/>
          <w:u w:val="single"/>
          <w:lang w:val="en-US" w:eastAsia="zh-CN"/>
        </w:rPr>
        <w:t>300000元</w:t>
      </w:r>
      <w:permEnd w:id="15"/>
      <w:r>
        <w:rPr>
          <w:rFonts w:hint="eastAsia" w:asciiTheme="minorEastAsia" w:hAnsiTheme="minorEastAsia" w:cstheme="minorEastAsia"/>
          <w:color w:val="auto"/>
          <w:sz w:val="28"/>
          <w:szCs w:val="28"/>
          <w:highlight w:val="none"/>
          <w:lang w:val="en-US" w:eastAsia="zh-CN"/>
        </w:rPr>
        <w:t>，投标人</w:t>
      </w:r>
      <w:r>
        <w:rPr>
          <w:rFonts w:hint="eastAsia" w:asciiTheme="minorEastAsia" w:hAnsiTheme="minorEastAsia" w:eastAsiaTheme="minorEastAsia" w:cstheme="minorEastAsia"/>
          <w:color w:val="auto"/>
          <w:sz w:val="28"/>
          <w:szCs w:val="28"/>
          <w:highlight w:val="none"/>
          <w:lang w:val="en-US" w:eastAsia="zh-CN"/>
        </w:rPr>
        <w:t>按</w:t>
      </w:r>
      <w:permStart w:id="16" w:edGrp="everyone"/>
      <w:r>
        <w:rPr>
          <w:rFonts w:hint="eastAsia" w:asciiTheme="minorEastAsia" w:hAnsiTheme="minorEastAsia" w:eastAsiaTheme="minorEastAsia" w:cstheme="minorEastAsia"/>
          <w:color w:val="auto"/>
          <w:sz w:val="28"/>
          <w:szCs w:val="28"/>
          <w:highlight w:val="none"/>
          <w:u w:val="single"/>
          <w:lang w:val="en-US" w:eastAsia="zh-CN"/>
        </w:rPr>
        <w:t>固定总价</w:t>
      </w:r>
      <w:permEnd w:id="16"/>
      <w:bookmarkStart w:id="444" w:name="_GoBack"/>
      <w:bookmarkEnd w:id="444"/>
      <w:r>
        <w:rPr>
          <w:rFonts w:hint="eastAsia" w:asciiTheme="minorEastAsia" w:hAnsiTheme="minorEastAsia" w:cstheme="minorEastAsia"/>
          <w:sz w:val="28"/>
          <w:szCs w:val="28"/>
          <w:highlight w:val="none"/>
          <w:lang w:val="en-US" w:eastAsia="zh-CN"/>
        </w:rPr>
        <w:t>投标报</w:t>
      </w:r>
      <w:r>
        <w:rPr>
          <w:rFonts w:hint="eastAsia" w:asciiTheme="minorEastAsia" w:hAnsiTheme="minorEastAsia" w:eastAsiaTheme="minorEastAsia" w:cstheme="minorEastAsia"/>
          <w:sz w:val="28"/>
          <w:szCs w:val="28"/>
          <w:highlight w:val="none"/>
          <w:lang w:val="en-US" w:eastAsia="zh-CN"/>
        </w:rPr>
        <w:t>价。投标报价超出限价或低于成本价的，按无效投标处理；投标报价应包括为完成本项目招标范围内各阶段工作内容所需的全部费用</w:t>
      </w:r>
      <w:r>
        <w:rPr>
          <w:rFonts w:hint="eastAsia" w:asciiTheme="minorEastAsia" w:hAnsiTheme="minorEastAsia" w:cstheme="minorEastAsia"/>
          <w:sz w:val="28"/>
          <w:szCs w:val="28"/>
          <w:highlight w:val="none"/>
          <w:lang w:val="en-US" w:eastAsia="zh-CN"/>
        </w:rPr>
        <w:t>，中标后不予调整，其他未尽事宜应统一考虑在报价内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7" w:edGrp="everyone"/>
      <w:r>
        <w:rPr>
          <w:rFonts w:hint="eastAsia" w:asciiTheme="minorEastAsia" w:hAnsiTheme="minorEastAsia" w:eastAsiaTheme="minorEastAsia" w:cstheme="minorEastAsia"/>
          <w:color w:val="FF0000"/>
          <w:sz w:val="28"/>
          <w:szCs w:val="28"/>
          <w:highlight w:val="none"/>
          <w:lang w:val="en-US" w:eastAsia="zh-CN"/>
        </w:rPr>
        <w:t>独立法人资格</w:t>
      </w:r>
      <w:permEnd w:id="17"/>
      <w:r>
        <w:rPr>
          <w:rFonts w:hint="eastAsia" w:asciiTheme="minorEastAsia" w:hAnsiTheme="minorEastAsia" w:eastAsiaTheme="minorEastAsia" w:cstheme="minorEastAsia"/>
          <w:sz w:val="28"/>
          <w:szCs w:val="28"/>
          <w:highlight w:val="none"/>
          <w:lang w:val="en-US" w:eastAsia="zh-CN"/>
        </w:rPr>
        <w:t>，并在人员、设备、资金等方面具有承担本</w:t>
      </w:r>
      <w:r>
        <w:rPr>
          <w:rFonts w:hint="eastAsia" w:asciiTheme="minorEastAsia" w:hAnsiTheme="minorEastAsia" w:cstheme="minorEastAsia"/>
          <w:sz w:val="28"/>
          <w:szCs w:val="28"/>
          <w:highlight w:val="none"/>
          <w:lang w:val="en-US" w:eastAsia="zh-CN"/>
        </w:rPr>
        <w:t>项目</w:t>
      </w:r>
      <w:r>
        <w:rPr>
          <w:rFonts w:hint="eastAsia" w:asciiTheme="minorEastAsia" w:hAnsiTheme="minorEastAsia" w:eastAsiaTheme="minorEastAsia" w:cstheme="minorEastAsia"/>
          <w:sz w:val="28"/>
          <w:szCs w:val="28"/>
          <w:highlight w:val="none"/>
          <w:lang w:val="en-US" w:eastAsia="zh-CN"/>
        </w:rPr>
        <w:t>的能力；</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具有</w:t>
      </w:r>
      <w:permStart w:id="18" w:edGrp="everyone"/>
      <w:r>
        <w:rPr>
          <w:rFonts w:hint="eastAsia" w:asciiTheme="minorEastAsia" w:hAnsiTheme="minorEastAsia" w:cstheme="minorEastAsia"/>
          <w:sz w:val="28"/>
          <w:szCs w:val="28"/>
          <w:highlight w:val="none"/>
          <w:u w:val="single"/>
          <w:lang w:val="en-US" w:eastAsia="zh-CN"/>
        </w:rPr>
        <w:t>房屋建筑工程专业监理乙级资质及以上或工程监理综合</w:t>
      </w:r>
      <w:permEnd w:id="18"/>
      <w:r>
        <w:rPr>
          <w:rFonts w:hint="eastAsia" w:asciiTheme="minorEastAsia" w:hAnsiTheme="minorEastAsia" w:eastAsiaTheme="minorEastAsia" w:cstheme="minorEastAsia"/>
          <w:sz w:val="28"/>
          <w:szCs w:val="28"/>
          <w:highlight w:val="none"/>
          <w:lang w:val="en-US" w:eastAsia="zh-CN"/>
        </w:rPr>
        <w:t>资质</w:t>
      </w:r>
      <w:r>
        <w:rPr>
          <w:rFonts w:hint="eastAsia" w:asciiTheme="minorEastAsia" w:hAnsiTheme="minorEastAsia" w:cstheme="minorEastAsia"/>
          <w:sz w:val="28"/>
          <w:szCs w:val="28"/>
          <w:highlight w:val="none"/>
          <w:lang w:val="en-US" w:eastAsia="zh-CN"/>
        </w:rPr>
        <w:t>；</w:t>
      </w:r>
    </w:p>
    <w:p>
      <w:pPr>
        <w:pStyle w:val="5"/>
        <w:keepNext w:val="0"/>
        <w:keepLines w:val="0"/>
        <w:pageBreakBefore w:val="0"/>
        <w:widowControl w:val="0"/>
        <w:kinsoku/>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）项目负责人具备</w:t>
      </w:r>
      <w:permStart w:id="19" w:edGrp="everyone"/>
      <w:r>
        <w:rPr>
          <w:rFonts w:hint="eastAsia" w:asciiTheme="minorEastAsia" w:hAnsiTheme="minorEastAsia" w:cstheme="minorEastAsia"/>
          <w:sz w:val="28"/>
          <w:szCs w:val="28"/>
          <w:highlight w:val="none"/>
          <w:u w:val="single"/>
          <w:lang w:val="en-US" w:eastAsia="zh-CN"/>
        </w:rPr>
        <w:t>注册监理工程师（房屋建筑工程专业）</w:t>
      </w:r>
      <w:permEnd w:id="19"/>
      <w:r>
        <w:rPr>
          <w:rFonts w:hint="eastAsia" w:asciiTheme="minorEastAsia" w:hAnsiTheme="minorEastAsia" w:eastAsiaTheme="minorEastAsia" w:cstheme="minorEastAsia"/>
          <w:sz w:val="28"/>
          <w:szCs w:val="28"/>
          <w:highlight w:val="none"/>
          <w:lang w:val="en-US" w:eastAsia="zh-CN"/>
        </w:rPr>
        <w:t>执业资格</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）提供</w:t>
      </w:r>
      <w:permStart w:id="20" w:edGrp="everyone"/>
      <w:r>
        <w:rPr>
          <w:rFonts w:hint="eastAsia" w:asciiTheme="minorEastAsia" w:hAnsiTheme="minorEastAsia" w:cstheme="minorEastAsia"/>
          <w:sz w:val="28"/>
          <w:szCs w:val="28"/>
          <w:highlight w:val="none"/>
          <w:u w:val="single"/>
          <w:lang w:val="en-US" w:eastAsia="zh-CN"/>
        </w:rPr>
        <w:t>2021</w:t>
      </w:r>
      <w:permEnd w:id="20"/>
      <w:r>
        <w:rPr>
          <w:rFonts w:hint="eastAsia" w:asciiTheme="minorEastAsia" w:hAnsiTheme="minorEastAsia" w:cstheme="minorEastAsia"/>
          <w:sz w:val="28"/>
          <w:szCs w:val="28"/>
          <w:highlight w:val="none"/>
          <w:u w:val="none"/>
          <w:lang w:val="en-US" w:eastAsia="zh-CN"/>
        </w:rPr>
        <w:t>年</w:t>
      </w:r>
      <w:r>
        <w:rPr>
          <w:rFonts w:hint="eastAsia" w:asciiTheme="minorEastAsia" w:hAnsiTheme="minorEastAsia" w:eastAsiaTheme="minorEastAsia" w:cstheme="minorEastAsia"/>
          <w:sz w:val="28"/>
          <w:szCs w:val="28"/>
          <w:highlight w:val="none"/>
          <w:lang w:val="en-US" w:eastAsia="zh-CN"/>
        </w:rPr>
        <w:t>至今企业类似项目业绩</w:t>
      </w:r>
      <w:permStart w:id="21" w:edGrp="everyone"/>
      <w:r>
        <w:rPr>
          <w:rFonts w:hint="eastAsia" w:asciiTheme="minorEastAsia" w:hAnsiTheme="minorEastAsia" w:cstheme="minorEastAsia"/>
          <w:sz w:val="28"/>
          <w:szCs w:val="28"/>
          <w:highlight w:val="none"/>
          <w:u w:val="single"/>
          <w:lang w:val="en-US" w:eastAsia="zh-CN"/>
        </w:rPr>
        <w:t>1</w:t>
      </w:r>
      <w:permEnd w:id="21"/>
      <w:r>
        <w:rPr>
          <w:rFonts w:hint="eastAsia" w:asciiTheme="minorEastAsia" w:hAnsiTheme="minorEastAsia" w:eastAsiaTheme="minorEastAsia" w:cstheme="minorEastAsia"/>
          <w:sz w:val="28"/>
          <w:szCs w:val="28"/>
          <w:highlight w:val="none"/>
          <w:lang w:val="en-US" w:eastAsia="zh-CN"/>
        </w:rPr>
        <w:t>个，以</w:t>
      </w:r>
      <w:permStart w:id="22" w:edGrp="everyone"/>
      <w:r>
        <w:rPr>
          <w:rFonts w:hint="eastAsia" w:asciiTheme="minorEastAsia" w:hAnsiTheme="minorEastAsia" w:cstheme="minorEastAsia"/>
          <w:sz w:val="28"/>
          <w:szCs w:val="28"/>
          <w:highlight w:val="none"/>
          <w:lang w:val="en-US" w:eastAsia="zh-CN"/>
        </w:rPr>
        <w:t>合同签订</w:t>
      </w:r>
      <w:r>
        <w:rPr>
          <w:rFonts w:hint="eastAsia" w:asciiTheme="minorEastAsia" w:hAnsiTheme="minorEastAsia" w:eastAsiaTheme="minorEastAsia" w:cstheme="minorEastAsia"/>
          <w:sz w:val="28"/>
          <w:szCs w:val="28"/>
          <w:highlight w:val="none"/>
          <w:lang w:val="en-US" w:eastAsia="zh-CN"/>
        </w:rPr>
        <w:t>时间</w:t>
      </w:r>
      <w:permEnd w:id="22"/>
      <w:r>
        <w:rPr>
          <w:rFonts w:hint="eastAsia" w:asciiTheme="minorEastAsia" w:hAnsiTheme="minorEastAsia" w:eastAsiaTheme="minorEastAsia" w:cstheme="minorEastAsia"/>
          <w:sz w:val="28"/>
          <w:szCs w:val="28"/>
          <w:highlight w:val="none"/>
          <w:lang w:val="en-US" w:eastAsia="zh-CN"/>
        </w:rPr>
        <w:t>为准。类似项目业绩指：</w:t>
      </w:r>
      <w:permStart w:id="23" w:edGrp="everyone"/>
      <w:r>
        <w:rPr>
          <w:rFonts w:hint="eastAsia" w:asciiTheme="minorEastAsia" w:hAnsiTheme="minorEastAsia" w:cstheme="minorEastAsia"/>
          <w:sz w:val="28"/>
          <w:szCs w:val="28"/>
          <w:highlight w:val="none"/>
          <w:u w:val="single"/>
          <w:lang w:val="en-US" w:eastAsia="zh-CN"/>
        </w:rPr>
        <w:t>单项合同金额不低于20万元或建筑面积不低于15000平方的装饰工程监理业绩</w:t>
      </w:r>
      <w:permEnd w:id="23"/>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注：提供业绩合同</w:t>
      </w:r>
      <w:r>
        <w:rPr>
          <w:rFonts w:hint="eastAsia" w:asciiTheme="minorEastAsia" w:hAnsiTheme="minorEastAsia" w:cstheme="minorEastAsia"/>
          <w:sz w:val="28"/>
          <w:szCs w:val="28"/>
          <w:highlight w:val="none"/>
          <w:lang w:val="en-US" w:eastAsia="zh-CN"/>
        </w:rPr>
        <w:t>等相关资料</w:t>
      </w:r>
      <w:r>
        <w:rPr>
          <w:rFonts w:hint="default" w:asciiTheme="minorEastAsia" w:hAnsiTheme="minorEastAsia" w:eastAsiaTheme="minorEastAsia" w:cstheme="minorEastAsia"/>
          <w:sz w:val="28"/>
          <w:szCs w:val="28"/>
          <w:highlight w:val="none"/>
          <w:lang w:val="en-US" w:eastAsia="zh-CN"/>
        </w:rPr>
        <w:t>复印件或扫描件装订入投标文件中</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）提供</w:t>
      </w:r>
      <w:permStart w:id="24" w:edGrp="everyone"/>
      <w:r>
        <w:rPr>
          <w:rFonts w:hint="eastAsia" w:asciiTheme="minorEastAsia" w:hAnsiTheme="minorEastAsia" w:cstheme="minorEastAsia"/>
          <w:sz w:val="28"/>
          <w:szCs w:val="28"/>
          <w:highlight w:val="none"/>
          <w:u w:val="single"/>
          <w:lang w:val="en-US" w:eastAsia="zh-CN"/>
        </w:rPr>
        <w:t>2021</w:t>
      </w:r>
      <w:permEnd w:id="24"/>
      <w:r>
        <w:rPr>
          <w:rFonts w:hint="eastAsia" w:asciiTheme="minorEastAsia" w:hAnsiTheme="minorEastAsia" w:cstheme="minorEastAsia"/>
          <w:sz w:val="28"/>
          <w:szCs w:val="28"/>
          <w:highlight w:val="none"/>
          <w:u w:val="none"/>
          <w:lang w:val="en-US" w:eastAsia="zh-CN"/>
        </w:rPr>
        <w:t>年</w:t>
      </w:r>
      <w:r>
        <w:rPr>
          <w:rFonts w:hint="eastAsia" w:asciiTheme="minorEastAsia" w:hAnsiTheme="minorEastAsia" w:eastAsiaTheme="minorEastAsia" w:cstheme="minorEastAsia"/>
          <w:sz w:val="28"/>
          <w:szCs w:val="28"/>
          <w:highlight w:val="none"/>
          <w:lang w:val="en-US" w:eastAsia="zh-CN"/>
        </w:rPr>
        <w:t>至今项目</w:t>
      </w:r>
      <w:r>
        <w:rPr>
          <w:rFonts w:hint="eastAsia" w:asciiTheme="minorEastAsia" w:hAnsiTheme="minorEastAsia" w:cstheme="minorEastAsia"/>
          <w:sz w:val="28"/>
          <w:szCs w:val="28"/>
          <w:highlight w:val="none"/>
          <w:lang w:val="en-US" w:eastAsia="zh-CN"/>
        </w:rPr>
        <w:t>负责人承担</w:t>
      </w:r>
      <w:r>
        <w:rPr>
          <w:rFonts w:hint="eastAsia" w:asciiTheme="minorEastAsia" w:hAnsiTheme="minorEastAsia" w:eastAsiaTheme="minorEastAsia" w:cstheme="minorEastAsia"/>
          <w:sz w:val="28"/>
          <w:szCs w:val="28"/>
          <w:highlight w:val="none"/>
          <w:lang w:val="en-US" w:eastAsia="zh-CN"/>
        </w:rPr>
        <w:t>项目业绩</w:t>
      </w:r>
      <w:permStart w:id="25" w:edGrp="everyone"/>
      <w:r>
        <w:rPr>
          <w:rFonts w:hint="eastAsia" w:asciiTheme="minorEastAsia" w:hAnsiTheme="minorEastAsia" w:cstheme="minorEastAsia"/>
          <w:sz w:val="28"/>
          <w:szCs w:val="28"/>
          <w:highlight w:val="none"/>
          <w:u w:val="single"/>
          <w:lang w:val="en-US" w:eastAsia="zh-CN"/>
        </w:rPr>
        <w:t>1</w:t>
      </w:r>
      <w:permEnd w:id="25"/>
      <w:r>
        <w:rPr>
          <w:rFonts w:hint="eastAsia" w:asciiTheme="minorEastAsia" w:hAnsiTheme="minorEastAsia" w:eastAsiaTheme="minorEastAsia" w:cstheme="minorEastAsia"/>
          <w:sz w:val="28"/>
          <w:szCs w:val="28"/>
          <w:highlight w:val="none"/>
          <w:lang w:val="en-US" w:eastAsia="zh-CN"/>
        </w:rPr>
        <w:t>个，以</w:t>
      </w:r>
      <w:permStart w:id="26" w:edGrp="everyone"/>
      <w:r>
        <w:rPr>
          <w:rFonts w:hint="eastAsia" w:asciiTheme="minorEastAsia" w:hAnsiTheme="minorEastAsia" w:cstheme="minorEastAsia"/>
          <w:sz w:val="28"/>
          <w:szCs w:val="28"/>
          <w:highlight w:val="none"/>
          <w:lang w:val="en-US" w:eastAsia="zh-CN"/>
        </w:rPr>
        <w:t>合同签订</w:t>
      </w:r>
      <w:r>
        <w:rPr>
          <w:rFonts w:hint="eastAsia" w:asciiTheme="minorEastAsia" w:hAnsiTheme="minorEastAsia" w:eastAsiaTheme="minorEastAsia" w:cstheme="minorEastAsia"/>
          <w:sz w:val="28"/>
          <w:szCs w:val="28"/>
          <w:highlight w:val="none"/>
          <w:lang w:val="en-US" w:eastAsia="zh-CN"/>
        </w:rPr>
        <w:t>时间</w:t>
      </w:r>
      <w:permEnd w:id="26"/>
      <w:r>
        <w:rPr>
          <w:rFonts w:hint="eastAsia" w:asciiTheme="minorEastAsia" w:hAnsiTheme="minorEastAsia" w:eastAsiaTheme="minorEastAsia" w:cstheme="minorEastAsia"/>
          <w:sz w:val="28"/>
          <w:szCs w:val="28"/>
          <w:highlight w:val="none"/>
          <w:lang w:val="en-US" w:eastAsia="zh-CN"/>
        </w:rPr>
        <w:t>为准。类似项目业绩指：</w:t>
      </w:r>
      <w:permStart w:id="27" w:edGrp="everyone"/>
      <w:r>
        <w:rPr>
          <w:rFonts w:hint="eastAsia" w:asciiTheme="minorEastAsia" w:hAnsiTheme="minorEastAsia" w:cstheme="minorEastAsia"/>
          <w:sz w:val="28"/>
          <w:szCs w:val="28"/>
          <w:highlight w:val="none"/>
          <w:u w:val="single"/>
          <w:lang w:val="en-US" w:eastAsia="zh-CN"/>
        </w:rPr>
        <w:t>单项合同金额不低于20万元或建筑面积不低于15000平方的装饰工程监理业绩</w:t>
      </w:r>
      <w:permEnd w:id="27"/>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28" w:edGrp="everyone"/>
      <w:r>
        <w:rPr>
          <w:rFonts w:hint="default" w:asciiTheme="minorEastAsia" w:hAnsiTheme="minorEastAsia" w:eastAsiaTheme="minorEastAsia" w:cstheme="minorEastAsia"/>
          <w:sz w:val="28"/>
          <w:szCs w:val="28"/>
          <w:highlight w:val="none"/>
          <w:lang w:val="en-US" w:eastAsia="zh-CN"/>
        </w:rPr>
        <w:t>提供业绩合同</w:t>
      </w:r>
      <w:r>
        <w:rPr>
          <w:rFonts w:hint="eastAsia" w:asciiTheme="minorEastAsia" w:hAnsiTheme="minorEastAsia" w:cstheme="minorEastAsia"/>
          <w:sz w:val="28"/>
          <w:szCs w:val="28"/>
          <w:highlight w:val="none"/>
          <w:lang w:val="en-US" w:eastAsia="zh-CN"/>
        </w:rPr>
        <w:t>等相关资料</w:t>
      </w:r>
      <w:r>
        <w:rPr>
          <w:rFonts w:hint="default" w:asciiTheme="minorEastAsia" w:hAnsiTheme="minorEastAsia" w:eastAsiaTheme="minorEastAsia" w:cstheme="minorEastAsia"/>
          <w:sz w:val="28"/>
          <w:szCs w:val="28"/>
          <w:highlight w:val="none"/>
          <w:lang w:val="en-US" w:eastAsia="zh-CN"/>
        </w:rPr>
        <w:t>复印件或扫描件装订入投标文件中</w:t>
      </w:r>
      <w:permEnd w:id="28"/>
      <w:r>
        <w:rPr>
          <w:rFonts w:hint="default"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（六）</w:t>
      </w:r>
      <w:r>
        <w:rPr>
          <w:rFonts w:hint="eastAsia" w:asciiTheme="minorEastAsia" w:hAnsiTheme="minorEastAsia" w:eastAsiaTheme="minorEastAsia" w:cstheme="minorEastAsia"/>
          <w:sz w:val="28"/>
          <w:szCs w:val="28"/>
          <w:highlight w:val="none"/>
          <w:lang w:val="en-US" w:eastAsia="zh-CN"/>
        </w:rPr>
        <w:t>投标人（含分公司，不含子公司）存在以下不良信用记录情形之一的，不得推荐为中标候选人，不得确定为中标人。</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（1）投标人被人民法院列入失信被执行人的；</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（2）投标人被市场监督管理部门列入企业经营异常名录的；</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（3）投标人被税务部门列入重大税收违法案件当事人名单的；</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（七）</w:t>
      </w:r>
      <w:r>
        <w:rPr>
          <w:rFonts w:hint="eastAsia" w:asciiTheme="minorEastAsia" w:hAnsiTheme="minorEastAsia" w:eastAsiaTheme="minorEastAsia" w:cstheme="minorEastAsia"/>
          <w:sz w:val="28"/>
          <w:szCs w:val="28"/>
          <w:highlight w:val="none"/>
          <w:lang w:val="en-US" w:eastAsia="zh-CN"/>
        </w:rPr>
        <w:t>投标人如在以往承接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项目过程中被记入“黑名单”，不得参加本次招标投标活动；</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八</w:t>
      </w:r>
      <w:r>
        <w:rPr>
          <w:rFonts w:hint="eastAsia" w:asciiTheme="minorEastAsia" w:hAnsiTheme="minorEastAsia" w:eastAsiaTheme="minorEastAsia" w:cstheme="minorEastAsia"/>
          <w:sz w:val="28"/>
          <w:szCs w:val="28"/>
          <w:highlight w:val="none"/>
          <w:lang w:val="en-US" w:eastAsia="zh-CN"/>
        </w:rPr>
        <w:t>）本次招标</w:t>
      </w:r>
      <w:permStart w:id="29" w:edGrp="everyone"/>
      <w:r>
        <w:rPr>
          <w:rFonts w:hint="eastAsia" w:asciiTheme="minorEastAsia" w:hAnsiTheme="minorEastAsia" w:eastAsiaTheme="minorEastAsia" w:cstheme="minorEastAsia"/>
          <w:color w:val="FF0000"/>
          <w:sz w:val="28"/>
          <w:szCs w:val="28"/>
          <w:highlight w:val="none"/>
          <w:lang w:val="en-US" w:eastAsia="zh-CN"/>
        </w:rPr>
        <w:t>不接受</w:t>
      </w:r>
      <w:permEnd w:id="29"/>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。联合体投标的，应满足下列要求：</w:t>
      </w:r>
      <w:permStart w:id="30" w:edGrp="everyone"/>
      <w:r>
        <w:rPr>
          <w:rFonts w:hint="eastAsia" w:asciiTheme="minorEastAsia" w:hAnsiTheme="minorEastAsia" w:cstheme="minorEastAsia"/>
          <w:sz w:val="28"/>
          <w:szCs w:val="28"/>
          <w:highlight w:val="none"/>
          <w:lang w:val="en-US" w:eastAsia="zh-CN"/>
        </w:rPr>
        <w:t>/</w:t>
      </w:r>
      <w:permEnd w:id="30"/>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九</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）本项目委托代理人必须是投标单位正式人员，须提供投标单位公司为其缴纳的</w:t>
      </w:r>
      <w:permStart w:id="31" w:edGrp="everyone"/>
      <w:r>
        <w:rPr>
          <w:rFonts w:hint="eastAsia" w:asciiTheme="minorEastAsia" w:hAnsiTheme="minorEastAsia" w:cstheme="minorEastAsia"/>
          <w:color w:val="FF0000"/>
          <w:sz w:val="28"/>
          <w:szCs w:val="28"/>
          <w:highlight w:val="none"/>
          <w:lang w:val="en-US" w:eastAsia="zh-CN"/>
        </w:rPr>
        <w:t>2023</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6</w:t>
      </w:r>
      <w:r>
        <w:rPr>
          <w:rFonts w:hint="eastAsia" w:asciiTheme="minorEastAsia" w:hAnsiTheme="minorEastAsia" w:eastAsiaTheme="minorEastAsia" w:cstheme="minorEastAsia"/>
          <w:color w:val="FF0000"/>
          <w:sz w:val="28"/>
          <w:szCs w:val="28"/>
          <w:highlight w:val="none"/>
          <w:lang w:val="en-US" w:eastAsia="zh-CN"/>
        </w:rPr>
        <w:t>月</w:t>
      </w:r>
      <w:permEnd w:id="31"/>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起任意3个月及以上养老保险证明，否则按无效投标处理。</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投标者，请于投标文件递交截止时间前到亳州交通投资控股集团有限公司官网（www.bzjkjt.com）、安徽省招标投标信息网（www.ahtba.org.cn）或优质采云采购平台（www.youzhicai.com）自行下载电子招标文件及其他附件。</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（一）开标时间（投标截止时间）</w:t>
      </w:r>
      <w:r>
        <w:rPr>
          <w:rFonts w:hint="eastAsia" w:asciiTheme="minorEastAsia" w:hAnsiTheme="minorEastAsia" w:cstheme="minorEastAsia"/>
          <w:sz w:val="28"/>
          <w:szCs w:val="28"/>
          <w:highlight w:val="none"/>
          <w:lang w:val="en-US" w:eastAsia="zh-CN"/>
        </w:rPr>
        <w:t>：</w:t>
      </w:r>
      <w:permStart w:id="32" w:edGrp="everyone"/>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2024</w:t>
      </w:r>
      <w:r>
        <w:rPr>
          <w:rFonts w:hint="eastAsia" w:asciiTheme="minorEastAsia" w:hAnsiTheme="minorEastAsia" w:eastAsiaTheme="minorEastAsia" w:cstheme="minorEastAsia"/>
          <w:b/>
          <w:bCs/>
          <w:i w:val="0"/>
          <w:iCs w:val="0"/>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4</w:t>
      </w:r>
      <w:r>
        <w:rPr>
          <w:rFonts w:hint="eastAsia" w:asciiTheme="minorEastAsia" w:hAnsiTheme="minorEastAsia" w:eastAsiaTheme="minorEastAsia" w:cstheme="minorEastAsia"/>
          <w:b/>
          <w:bCs/>
          <w:i w:val="0"/>
          <w:iCs w:val="0"/>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3</w:t>
      </w:r>
      <w:r>
        <w:rPr>
          <w:rFonts w:hint="eastAsia" w:asciiTheme="minorEastAsia" w:hAnsiTheme="minorEastAsia" w:eastAsiaTheme="minorEastAsia" w:cstheme="minorEastAsia"/>
          <w:b/>
          <w:bCs/>
          <w:i w:val="0"/>
          <w:iCs w:val="0"/>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b/>
          <w:bCs/>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b/>
          <w:bCs/>
          <w:i w:val="0"/>
          <w:iCs w:val="0"/>
          <w:color w:val="000000" w:themeColor="text1"/>
          <w:sz w:val="28"/>
          <w:szCs w:val="28"/>
          <w:highlight w:val="none"/>
          <w:u w:val="none"/>
          <w:lang w:val="en-US" w:eastAsia="zh-CN"/>
          <w14:textFill>
            <w14:solidFill>
              <w14:schemeClr w14:val="tx1"/>
            </w14:solidFill>
          </w14:textFill>
        </w:rPr>
        <w:t>分</w:t>
      </w:r>
      <w:permEnd w:id="32"/>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（二）开标</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开标</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室（药都大道与希夷大道交叉口东北角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33" w:edGrp="everyone"/>
      <w:r>
        <w:rPr>
          <w:rFonts w:hint="eastAsia" w:asciiTheme="minorEastAsia" w:hAnsiTheme="minorEastAsia" w:cstheme="minorEastAsia"/>
          <w:color w:val="FF0000"/>
          <w:sz w:val="28"/>
          <w:szCs w:val="28"/>
          <w:highlight w:val="none"/>
          <w:lang w:val="en-US" w:eastAsia="zh-CN"/>
        </w:rPr>
        <w:t>不允许</w:t>
      </w:r>
      <w:permEnd w:id="33"/>
      <w:r>
        <w:rPr>
          <w:rFonts w:hint="default" w:asciiTheme="minorEastAsia" w:hAnsiTheme="minorEastAsia" w:eastAsiaTheme="minorEastAsia" w:cstheme="minorEastAsia"/>
          <w:sz w:val="28"/>
          <w:szCs w:val="28"/>
          <w:highlight w:val="none"/>
          <w:lang w:val="en-US" w:eastAsia="zh-CN"/>
        </w:rPr>
        <w:t>投标人以邮寄方式递交投标文件。</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本项目投标保证金：</w:t>
      </w:r>
      <w:permStart w:id="34" w:edGrp="everyone"/>
      <w:r>
        <w:rPr>
          <w:rFonts w:hint="eastAsia" w:asciiTheme="minorEastAsia" w:hAnsiTheme="minorEastAsia" w:cstheme="minorEastAsia"/>
          <w:sz w:val="28"/>
          <w:szCs w:val="28"/>
          <w:highlight w:val="none"/>
          <w:u w:val="single"/>
          <w:lang w:val="en-US" w:eastAsia="zh-CN"/>
        </w:rPr>
        <w:t>6000元</w:t>
      </w:r>
      <w:r>
        <w:rPr>
          <w:rFonts w:hint="default" w:asciiTheme="minorEastAsia" w:hAnsiTheme="minorEastAsia" w:eastAsiaTheme="minorEastAsia" w:cstheme="minorEastAsia"/>
          <w:sz w:val="28"/>
          <w:szCs w:val="28"/>
          <w:highlight w:val="none"/>
          <w:lang w:val="en-US" w:eastAsia="zh-CN"/>
        </w:rPr>
        <w:t>（人民币）</w:t>
      </w:r>
      <w:permEnd w:id="34"/>
      <w:r>
        <w:rPr>
          <w:rFonts w:hint="default" w:asciiTheme="minorEastAsia" w:hAnsiTheme="minorEastAsia" w:eastAsiaTheme="minorEastAsia" w:cstheme="minorEastAsia"/>
          <w:sz w:val="28"/>
          <w:szCs w:val="28"/>
          <w:highlight w:val="none"/>
          <w:lang w:val="en-US" w:eastAsia="zh-CN"/>
        </w:rPr>
        <w:t>，缴纳方式详见招标文件。</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招</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人：</w:t>
      </w:r>
      <w:permStart w:id="35" w:edGrp="everyone"/>
      <w:r>
        <w:rPr>
          <w:rFonts w:hint="eastAsia" w:asciiTheme="minorEastAsia" w:hAnsiTheme="minorEastAsia" w:cstheme="minorEastAsia"/>
          <w:sz w:val="28"/>
          <w:szCs w:val="28"/>
          <w:highlight w:val="none"/>
          <w:lang w:val="en-US" w:eastAsia="zh-CN"/>
        </w:rPr>
        <w:t>亳州通惠房地产开发有限公司</w:t>
      </w:r>
    </w:p>
    <w:permEnd w:id="35"/>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permStart w:id="36" w:edGrp="everyone"/>
      <w:r>
        <w:rPr>
          <w:rFonts w:hint="eastAsia" w:asciiTheme="minorEastAsia" w:hAnsiTheme="minorEastAsia" w:cstheme="minorEastAsia"/>
          <w:sz w:val="28"/>
          <w:szCs w:val="28"/>
          <w:highlight w:val="none"/>
          <w:lang w:val="en-US" w:eastAsia="zh-CN"/>
        </w:rPr>
        <w:t>安徽省亳州市高新区酒城大道与神农大道</w:t>
      </w:r>
    </w:p>
    <w:p>
      <w:pPr>
        <w:keepNext w:val="0"/>
        <w:keepLines w:val="0"/>
        <w:pageBreakBefore w:val="0"/>
        <w:widowControl w:val="0"/>
        <w:kinsoku/>
        <w:wordWrap w:val="0"/>
        <w:overflowPunct/>
        <w:topLinePunct w:val="0"/>
        <w:autoSpaceDE/>
        <w:autoSpaceDN/>
        <w:bidi w:val="0"/>
        <w:adjustRightInd/>
        <w:snapToGrid/>
        <w:spacing w:line="440" w:lineRule="exact"/>
        <w:ind w:firstLine="1960" w:firstLineChars="7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交叉口向北100米路西</w:t>
      </w:r>
      <w:permEnd w:id="36"/>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37" w:edGrp="everyone"/>
      <w:r>
        <w:rPr>
          <w:rFonts w:hint="eastAsia" w:asciiTheme="minorEastAsia" w:hAnsiTheme="minorEastAsia" w:cstheme="minorEastAsia"/>
          <w:sz w:val="28"/>
          <w:szCs w:val="28"/>
          <w:highlight w:val="none"/>
          <w:lang w:val="en-US" w:eastAsia="zh-CN"/>
        </w:rPr>
        <w:t>孙工</w:t>
      </w:r>
      <w:permEnd w:id="37"/>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permStart w:id="38" w:edGrp="everyone"/>
      <w:r>
        <w:rPr>
          <w:rFonts w:hint="eastAsia" w:asciiTheme="minorEastAsia" w:hAnsiTheme="minorEastAsia" w:cstheme="minorEastAsia"/>
          <w:sz w:val="28"/>
          <w:szCs w:val="28"/>
          <w:highlight w:val="none"/>
          <w:lang w:val="en-US" w:eastAsia="zh-CN"/>
        </w:rPr>
        <w:t>13145671128</w:t>
      </w:r>
      <w:permEnd w:id="38"/>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39" w:edGrp="everyone"/>
      <w:r>
        <w:rPr>
          <w:rFonts w:hint="eastAsia" w:asciiTheme="minorEastAsia" w:hAnsiTheme="minorEastAsia" w:cstheme="minorEastAsia"/>
          <w:color w:val="FF0000"/>
          <w:sz w:val="28"/>
          <w:szCs w:val="28"/>
          <w:highlight w:val="none"/>
          <w:lang w:val="en-US" w:eastAsia="zh-CN"/>
        </w:rPr>
        <w:t>亳州通惠房地产开发有限公司</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cstheme="minorEastAsia"/>
          <w:color w:val="FF0000"/>
          <w:sz w:val="28"/>
          <w:szCs w:val="28"/>
          <w:highlight w:val="none"/>
          <w:lang w:val="en-US" w:eastAsia="zh-CN"/>
        </w:rPr>
        <w:t>2024</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3</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26</w:t>
      </w:r>
      <w:r>
        <w:rPr>
          <w:rFonts w:hint="eastAsia" w:asciiTheme="minorEastAsia" w:hAnsiTheme="minorEastAsia" w:eastAsiaTheme="minorEastAsia" w:cstheme="minorEastAsia"/>
          <w:color w:val="FF0000"/>
          <w:sz w:val="28"/>
          <w:szCs w:val="28"/>
          <w:highlight w:val="none"/>
          <w:lang w:val="en-US" w:eastAsia="zh-CN"/>
        </w:rPr>
        <w:t>日</w:t>
      </w:r>
      <w:permEnd w:id="39"/>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建设</w:t>
            </w:r>
            <w:r>
              <w:rPr>
                <w:rFonts w:hint="default" w:ascii="Times New Roman" w:hAnsi="Times New Roman" w:cs="Times New Roman"/>
                <w:szCs w:val="21"/>
                <w:highlight w:val="none"/>
              </w:rPr>
              <w:t>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1.1.6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项目建设规模</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1.1.7</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项目投资估算</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服务期限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质量</w:t>
            </w:r>
            <w:r>
              <w:rPr>
                <w:rFonts w:hint="eastAsia" w:ascii="Times New Roman" w:hAnsi="Times New Roman" w:cs="Times New Roman"/>
                <w:szCs w:val="21"/>
                <w:highlight w:val="none"/>
                <w:lang w:val="en-US" w:eastAsia="zh-CN"/>
              </w:rPr>
              <w:t>标准</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napToGrid w:val="0"/>
              <w:spacing w:line="440" w:lineRule="exact"/>
              <w:jc w:val="left"/>
              <w:rPr>
                <w:rFonts w:hint="eastAsia" w:ascii="宋体" w:hAnsi="宋体" w:cs="宋体"/>
                <w:szCs w:val="21"/>
              </w:rPr>
            </w:pPr>
            <w:r>
              <w:rPr>
                <w:rFonts w:hint="eastAsia"/>
                <w:szCs w:val="21"/>
              </w:rPr>
              <w:t>1、投标人资格要求：详见招标公告。</w:t>
            </w:r>
          </w:p>
          <w:p>
            <w:pPr>
              <w:autoSpaceDE w:val="0"/>
              <w:autoSpaceDN w:val="0"/>
              <w:adjustRightInd w:val="0"/>
              <w:snapToGrid w:val="0"/>
              <w:spacing w:line="440" w:lineRule="exact"/>
              <w:jc w:val="left"/>
              <w:rPr>
                <w:rFonts w:hint="eastAsia" w:hAnsi="宋体"/>
                <w:color w:val="FF0000"/>
                <w:szCs w:val="21"/>
              </w:rPr>
            </w:pPr>
            <w:permStart w:id="40" w:edGrp="everyone"/>
            <w:r>
              <w:rPr>
                <w:rFonts w:hint="eastAsia" w:hAnsi="宋体"/>
                <w:color w:val="FF0000"/>
                <w:szCs w:val="21"/>
                <w:lang w:val="en-US" w:eastAsia="zh-CN"/>
              </w:rPr>
              <w:t>2</w:t>
            </w:r>
            <w:r>
              <w:rPr>
                <w:rFonts w:hint="eastAsia" w:hAnsi="宋体"/>
                <w:color w:val="FF0000"/>
                <w:szCs w:val="21"/>
              </w:rPr>
              <w:t>、财务要求：</w:t>
            </w:r>
          </w:p>
          <w:p>
            <w:pPr>
              <w:autoSpaceDE w:val="0"/>
              <w:autoSpaceDN w:val="0"/>
              <w:adjustRightInd w:val="0"/>
              <w:snapToGrid w:val="0"/>
              <w:spacing w:line="440" w:lineRule="exact"/>
              <w:ind w:firstLine="308" w:firstLineChars="147"/>
              <w:jc w:val="left"/>
              <w:rPr>
                <w:rFonts w:hint="eastAsia" w:hAnsi="宋体" w:eastAsiaTheme="minorEastAsia"/>
                <w:color w:val="FF0000"/>
                <w:szCs w:val="21"/>
                <w:lang w:eastAsia="zh-CN"/>
              </w:rPr>
            </w:pPr>
            <w:r>
              <w:rPr>
                <w:rFonts w:hint="eastAsia" w:hAnsi="宋体"/>
                <w:color w:val="FF0000"/>
                <w:szCs w:val="21"/>
              </w:rPr>
              <w:t>不需要</w:t>
            </w:r>
            <w:r>
              <w:rPr>
                <w:rFonts w:hint="eastAsia" w:hAnsi="宋体"/>
                <w:color w:val="FF0000"/>
                <w:szCs w:val="21"/>
                <w:lang w:eastAsia="zh-CN"/>
              </w:rPr>
              <w:t>☑</w:t>
            </w:r>
          </w:p>
          <w:p>
            <w:pPr>
              <w:autoSpaceDE w:val="0"/>
              <w:autoSpaceDN w:val="0"/>
              <w:adjustRightInd w:val="0"/>
              <w:snapToGrid w:val="0"/>
              <w:spacing w:line="440" w:lineRule="exact"/>
              <w:rPr>
                <w:rFonts w:hint="eastAsia" w:hAnsi="宋体"/>
                <w:szCs w:val="21"/>
              </w:rPr>
            </w:pPr>
            <w:r>
              <w:rPr>
                <w:rFonts w:hint="eastAsia" w:hAnsi="宋体"/>
                <w:color w:val="FF0000"/>
                <w:szCs w:val="21"/>
              </w:rPr>
              <w:t xml:space="preserve">   需  要□，提供</w:t>
            </w:r>
            <w:r>
              <w:rPr>
                <w:rFonts w:hint="eastAsia" w:hAnsi="宋体"/>
                <w:snapToGrid w:val="0"/>
                <w:color w:val="FF0000"/>
                <w:spacing w:val="-4"/>
                <w:kern w:val="0"/>
                <w:sz w:val="24"/>
                <w:u w:val="single"/>
              </w:rPr>
              <w:t xml:space="preserve">   </w:t>
            </w:r>
            <w:r>
              <w:rPr>
                <w:rFonts w:hint="eastAsia" w:hAnsi="宋体"/>
                <w:color w:val="FF0000"/>
                <w:szCs w:val="21"/>
              </w:rPr>
              <w:t>年至</w:t>
            </w:r>
            <w:r>
              <w:rPr>
                <w:rFonts w:hint="eastAsia" w:hAnsi="宋体"/>
                <w:snapToGrid w:val="0"/>
                <w:color w:val="FF0000"/>
                <w:spacing w:val="-4"/>
                <w:kern w:val="0"/>
                <w:sz w:val="24"/>
                <w:u w:val="single"/>
              </w:rPr>
              <w:t xml:space="preserve">   </w:t>
            </w:r>
            <w:r>
              <w:rPr>
                <w:rFonts w:hint="eastAsia" w:hAnsi="宋体"/>
                <w:color w:val="FF0000"/>
                <w:szCs w:val="21"/>
              </w:rPr>
              <w:t>年经审计的财务状况表。</w:t>
            </w:r>
          </w:p>
          <w:permEnd w:id="40"/>
          <w:p>
            <w:pPr>
              <w:autoSpaceDE w:val="0"/>
              <w:autoSpaceDN w:val="0"/>
              <w:adjustRightInd w:val="0"/>
              <w:snapToGrid w:val="0"/>
              <w:spacing w:line="440" w:lineRule="exact"/>
              <w:jc w:val="left"/>
              <w:rPr>
                <w:rFonts w:hint="eastAsia"/>
              </w:rPr>
            </w:pPr>
            <w:r>
              <w:rPr>
                <w:rFonts w:hint="eastAsia"/>
                <w:lang w:val="en-US" w:eastAsia="zh-CN"/>
              </w:rPr>
              <w:t>3</w:t>
            </w:r>
            <w:r>
              <w:rPr>
                <w:rFonts w:hint="eastAsia"/>
              </w:rPr>
              <w:t>、其他要求：</w:t>
            </w:r>
          </w:p>
          <w:p>
            <w:pPr>
              <w:pStyle w:val="6"/>
              <w:topLinePunct/>
              <w:spacing w:line="440" w:lineRule="exact"/>
              <w:rPr>
                <w:rFonts w:hint="default" w:ascii="Times New Roman" w:hAnsi="Times New Roman" w:cs="Times New Roman"/>
                <w:szCs w:val="21"/>
                <w:highlight w:val="none"/>
              </w:rPr>
            </w:pPr>
            <w:permStart w:id="41" w:edGrp="everyone"/>
            <w:r>
              <w:rPr>
                <w:rFonts w:hint="eastAsia" w:hAnsi="宋体"/>
                <w:sz w:val="21"/>
                <w:szCs w:val="21"/>
                <w:lang w:val="en-US" w:eastAsia="zh-CN"/>
              </w:rPr>
              <w:t>/</w:t>
            </w:r>
            <w:permEnd w:id="41"/>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1.4.2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是否接受联合体投标</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 w:val="21"/>
                <w:szCs w:val="21"/>
                <w:highlight w:val="none"/>
                <w:lang w:val="en-US" w:eastAsia="zh-CN"/>
              </w:rPr>
            </w:pPr>
            <w:permStart w:id="42"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接受</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hAnsi="宋体"/>
                <w:sz w:val="21"/>
                <w:szCs w:val="21"/>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接  受</w:t>
            </w:r>
            <w:permEnd w:id="42"/>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hAnsi="宋体"/>
                <w:sz w:val="21"/>
                <w:szCs w:val="21"/>
                <w:lang w:val="en-US" w:eastAsia="zh-CN"/>
              </w:rPr>
            </w:pPr>
            <w:permStart w:id="43" w:edGrp="everyone"/>
            <w:r>
              <w:rPr>
                <w:rFonts w:hint="eastAsia" w:hAnsi="宋体"/>
                <w:sz w:val="21"/>
                <w:szCs w:val="21"/>
                <w:lang w:val="en-US" w:eastAsia="zh-CN"/>
              </w:rPr>
              <w:t>/</w:t>
            </w:r>
            <w:permEnd w:id="43"/>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permStart w:id="44" w:edGrp="everyone" w:colFirst="2" w:colLast="2"/>
            <w:r>
              <w:rPr>
                <w:rFonts w:hint="default" w:ascii="Times New Roman" w:hAnsi="Times New Roman" w:cs="Times New Roman"/>
                <w:szCs w:val="21"/>
                <w:highlight w:val="none"/>
              </w:rPr>
              <w:t>1.9.1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w:t>
            </w:r>
            <w:r>
              <w:rPr>
                <w:rFonts w:hint="eastAsia" w:ascii="Times New Roman" w:hAnsi="Times New Roman" w:cs="Times New Roman"/>
                <w:color w:val="FF0000"/>
                <w:sz w:val="21"/>
                <w:szCs w:val="21"/>
                <w:highlight w:val="none"/>
                <w:lang w:val="en-US" w:eastAsia="zh-CN"/>
              </w:rPr>
              <w:t xml:space="preserve">  </w:t>
            </w:r>
            <w:r>
              <w:rPr>
                <w:rFonts w:hint="default" w:ascii="Times New Roman" w:hAnsi="Times New Roman" w:cs="Times New Roman"/>
                <w:color w:val="FF0000"/>
                <w:sz w:val="21"/>
                <w:szCs w:val="21"/>
                <w:highlight w:val="none"/>
              </w:rPr>
              <w:t>织</w:t>
            </w:r>
          </w:p>
        </w:tc>
      </w:tr>
      <w:permEnd w:id="44"/>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permStart w:id="45" w:edGrp="everyone" w:colFirst="2" w:colLast="2"/>
            <w:r>
              <w:rPr>
                <w:rFonts w:hint="default" w:ascii="Times New Roman" w:hAnsi="Times New Roman" w:cs="Times New Roman"/>
                <w:szCs w:val="21"/>
                <w:highlight w:val="none"/>
              </w:rPr>
              <w:t>1.10.1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投标预备会</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 w:val="21"/>
                <w:szCs w:val="21"/>
                <w:highlight w:val="none"/>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不召开</w:t>
            </w:r>
          </w:p>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 w:val="32"/>
                <w:szCs w:val="32"/>
                <w:highlight w:val="none"/>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召</w:t>
            </w:r>
            <w:r>
              <w:rPr>
                <w:rFonts w:hint="eastAsia" w:ascii="Times New Roman" w:hAnsi="Times New Roman" w:cs="Times New Roman"/>
                <w:color w:val="FF0000"/>
                <w:sz w:val="21"/>
                <w:szCs w:val="21"/>
                <w:highlight w:val="none"/>
                <w:lang w:val="en-US" w:eastAsia="zh-CN"/>
              </w:rPr>
              <w:t xml:space="preserve">  </w:t>
            </w:r>
            <w:r>
              <w:rPr>
                <w:rFonts w:hint="default" w:ascii="Times New Roman" w:hAnsi="Times New Roman" w:cs="Times New Roman"/>
                <w:color w:val="FF0000"/>
                <w:sz w:val="21"/>
                <w:szCs w:val="21"/>
                <w:highlight w:val="none"/>
              </w:rPr>
              <w:t>开</w:t>
            </w:r>
          </w:p>
        </w:tc>
      </w:tr>
      <w:permEnd w:id="45"/>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投标人提出问题的截止时间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招标人书面澄清的时间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.11.1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46"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分包内容要求：</w:t>
            </w:r>
          </w:p>
          <w:p>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eastAsia" w:ascii="Times New Roman" w:hAnsi="Times New Roman" w:cs="Times New Roman"/>
                <w:color w:val="FF0000"/>
                <w:sz w:val="21"/>
                <w:szCs w:val="21"/>
                <w:highlight w:val="none"/>
                <w:lang w:val="en-US" w:eastAsia="zh-CN"/>
              </w:rPr>
            </w:pPr>
            <w:r>
              <w:rPr>
                <w:rFonts w:hint="eastAsia" w:ascii="Times New Roman" w:hAnsi="Times New Roman" w:cs="Times New Roman"/>
                <w:color w:val="FF0000"/>
                <w:sz w:val="21"/>
                <w:szCs w:val="21"/>
                <w:highlight w:val="none"/>
                <w:lang w:val="en-US" w:eastAsia="zh-CN"/>
              </w:rPr>
              <w:t>分包金额要求：</w:t>
            </w:r>
          </w:p>
          <w:p>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default" w:ascii="Times New Roman" w:hAnsi="Times New Roman" w:cs="Times New Roman" w:eastAsiaTheme="minorEastAsia"/>
                <w:sz w:val="21"/>
                <w:szCs w:val="21"/>
                <w:highlight w:val="none"/>
                <w:lang w:val="en-US" w:eastAsia="zh-CN"/>
              </w:rPr>
            </w:pPr>
            <w:r>
              <w:rPr>
                <w:rFonts w:hint="eastAsia" w:ascii="Times New Roman" w:hAnsi="Times New Roman" w:cs="Times New Roman"/>
                <w:color w:val="FF0000"/>
                <w:sz w:val="21"/>
                <w:szCs w:val="21"/>
                <w:highlight w:val="none"/>
                <w:lang w:val="en-US" w:eastAsia="zh-CN"/>
              </w:rPr>
              <w:t>对分包人的资质要求：</w:t>
            </w:r>
            <w:permEnd w:id="46"/>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1.12.1</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实质性要求和条件</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kern w:val="2"/>
                <w:sz w:val="21"/>
                <w:szCs w:val="21"/>
                <w:highlight w:val="none"/>
                <w:lang w:val="en-US" w:eastAsia="zh-CN" w:bidi="ar-SA"/>
              </w:rPr>
            </w:pPr>
            <w:permStart w:id="47" w:edGrp="everyone"/>
            <w:r>
              <w:rPr>
                <w:rFonts w:hint="eastAsia"/>
                <w:lang w:val="en-US" w:eastAsia="zh-CN"/>
              </w:rPr>
              <w:t>详见招标文件第四章合同条款及格式、第五章发包人要求。</w:t>
            </w:r>
            <w:r>
              <w:rPr>
                <w:rFonts w:hint="eastAsia" w:ascii="Times New Roman" w:hAnsi="Times New Roman" w:cs="Times New Roman"/>
                <w:color w:val="FF0000"/>
                <w:sz w:val="21"/>
                <w:szCs w:val="21"/>
                <w:highlight w:val="none"/>
                <w:lang w:val="en-US" w:eastAsia="zh-CN"/>
              </w:rPr>
              <w:t xml:space="preserve"> </w:t>
            </w:r>
            <w:permEnd w:id="47"/>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85"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753"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时间：距投标截止时间止3日前，投标人应仔细阅读和检查招标文件的全部内容。如发现缺页或附件不全，应及时向招标人提出，以便补齐。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2753"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u w:val="none"/>
                <w:lang w:val="en-US" w:eastAsia="zh-CN"/>
              </w:rPr>
              <w:t>投标截止时间前，招标文件的澄清将在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753"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投标人确认收到招标文件澄清</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招标文件的澄清在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上的发布时间，视为投标人确认收到招标文件澄清的时间。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2753"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招标文件修改发出的形式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u w:val="none"/>
                <w:lang w:val="en-US" w:eastAsia="zh-CN"/>
              </w:rPr>
              <w:t>投标截止时间前，招标文件的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将在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2753"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招标人确认收到招标文件修改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2753"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构成投标文件的其他材料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投标人的书面澄清、说明和补正（但不得改变投标文件的实质性内容）。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3.2.1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投标报价应包括国家规定的增值税税金，增值税税金按一般计税方法计算。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3.2.5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投标报价的其他要求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permStart w:id="48" w:edGrp="everyone"/>
            <w:r>
              <w:rPr>
                <w:rFonts w:hint="eastAsia" w:ascii="Times New Roman" w:hAnsi="Times New Roman" w:cs="Times New Roman"/>
                <w:kern w:val="2"/>
                <w:sz w:val="21"/>
                <w:szCs w:val="21"/>
                <w:highlight w:val="none"/>
                <w:u w:val="single"/>
                <w:lang w:val="en-US" w:eastAsia="zh-CN" w:bidi="ar-SA"/>
              </w:rPr>
              <w:t>/</w:t>
            </w:r>
            <w:permEnd w:id="48"/>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递交投标保证金</w:t>
            </w:r>
          </w:p>
          <w:p>
            <w:pPr>
              <w:autoSpaceDE w:val="0"/>
              <w:autoSpaceDN w:val="0"/>
              <w:adjustRightInd w:val="0"/>
              <w:snapToGrid w:val="0"/>
              <w:spacing w:line="440" w:lineRule="exact"/>
              <w:jc w:val="left"/>
              <w:rPr>
                <w:rFonts w:hint="eastAsia" w:hAnsi="宋体"/>
                <w:color w:val="FF0000"/>
                <w:szCs w:val="21"/>
              </w:rPr>
            </w:pPr>
            <w:permStart w:id="49" w:edGrp="everyone"/>
            <w:r>
              <w:rPr>
                <w:rFonts w:hint="eastAsia" w:hAnsi="宋体"/>
                <w:color w:val="FF0000"/>
                <w:szCs w:val="21"/>
              </w:rPr>
              <w:t>不需要</w:t>
            </w:r>
            <w:r>
              <w:rPr>
                <w:rFonts w:hint="eastAsia" w:hAnsi="宋体"/>
                <w:color w:val="FF0000"/>
                <w:szCs w:val="21"/>
              </w:rPr>
              <w:sym w:font="Wingdings 2" w:char="00A3"/>
            </w:r>
          </w:p>
          <w:p>
            <w:pPr>
              <w:autoSpaceDE w:val="0"/>
              <w:autoSpaceDN w:val="0"/>
              <w:adjustRightInd w:val="0"/>
              <w:snapToGrid w:val="0"/>
              <w:spacing w:line="440" w:lineRule="exact"/>
              <w:jc w:val="left"/>
              <w:rPr>
                <w:rFonts w:hint="eastAsia" w:ascii="Times New Roman" w:hAnsi="Times New Roman" w:cs="Times New Roman" w:eastAsiaTheme="minorEastAsia"/>
                <w:color w:val="FF0000"/>
                <w:szCs w:val="21"/>
                <w:highlight w:val="none"/>
                <w:lang w:eastAsia="zh-CN"/>
              </w:rPr>
            </w:pPr>
            <w:r>
              <w:rPr>
                <w:rFonts w:hint="eastAsia" w:hAnsi="宋体"/>
                <w:color w:val="FF0000"/>
                <w:szCs w:val="21"/>
              </w:rPr>
              <w:t xml:space="preserve">需 </w:t>
            </w:r>
            <w:r>
              <w:rPr>
                <w:rFonts w:hint="eastAsia" w:hAnsi="宋体"/>
                <w:color w:val="FF0000"/>
                <w:szCs w:val="21"/>
                <w:lang w:val="en-US" w:eastAsia="zh-CN"/>
              </w:rPr>
              <w:t xml:space="preserve"> </w:t>
            </w:r>
            <w:r>
              <w:rPr>
                <w:rFonts w:hint="eastAsia" w:hAnsi="宋体"/>
                <w:color w:val="FF0000"/>
                <w:szCs w:val="21"/>
              </w:rPr>
              <w:t>要</w:t>
            </w:r>
            <w:r>
              <w:rPr>
                <w:rFonts w:hint="eastAsia" w:hAnsi="宋体"/>
                <w:color w:val="FF0000"/>
                <w:szCs w:val="21"/>
                <w:lang w:eastAsia="zh-CN"/>
              </w:rPr>
              <w:t>☑</w:t>
            </w:r>
          </w:p>
          <w:permEnd w:id="49"/>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w:t>
            </w:r>
            <w:permStart w:id="50" w:edGrp="everyone"/>
            <w:r>
              <w:rPr>
                <w:rFonts w:hint="default" w:ascii="Times New Roman" w:hAnsi="Times New Roman" w:cs="Times New Roman"/>
                <w:color w:val="FF0000"/>
                <w:szCs w:val="21"/>
                <w:highlight w:val="none"/>
              </w:rPr>
              <w:t>银行汇款或转账</w:t>
            </w:r>
            <w:permEnd w:id="50"/>
          </w:p>
          <w:p>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default" w:ascii="Times New Roman" w:hAnsi="Times New Roman" w:cs="Times New Roman"/>
                <w:color w:val="FF0000"/>
                <w:szCs w:val="21"/>
                <w:highlight w:val="none"/>
              </w:rPr>
              <w:t>投标保证金的金额：</w:t>
            </w:r>
            <w:permStart w:id="51" w:edGrp="everyone"/>
            <w:r>
              <w:rPr>
                <w:rFonts w:hint="eastAsia" w:ascii="Times New Roman" w:hAnsi="Times New Roman" w:cs="Times New Roman"/>
                <w:color w:val="auto"/>
                <w:szCs w:val="21"/>
                <w:highlight w:val="none"/>
                <w:u w:val="single"/>
                <w:lang w:val="en-US" w:eastAsia="zh-CN"/>
              </w:rPr>
              <w:t>6000元</w:t>
            </w:r>
            <w:permEnd w:id="51"/>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52" w:edGrp="everyone"/>
            <w:r>
              <w:rPr>
                <w:rFonts w:hint="eastAsia" w:ascii="Times New Roman" w:hAnsi="Times New Roman" w:cs="Times New Roman"/>
                <w:color w:val="FF0000"/>
                <w:szCs w:val="21"/>
                <w:highlight w:val="none"/>
                <w:lang w:val="en-US" w:eastAsia="zh-CN"/>
              </w:rPr>
              <w:t>BZJK-2024-020号保证金</w:t>
            </w:r>
            <w:permEnd w:id="52"/>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其他不予退还投标保证金的情形</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pacing w:line="382" w:lineRule="auto"/>
              <w:jc w:val="center"/>
              <w:rPr>
                <w:rFonts w:ascii="Arial"/>
                <w:sz w:val="21"/>
              </w:rPr>
            </w:pPr>
          </w:p>
          <w:p>
            <w:pPr>
              <w:spacing w:before="60" w:line="187" w:lineRule="auto"/>
              <w:jc w:val="center"/>
              <w:rPr>
                <w:rFonts w:hint="eastAsia" w:ascii="Times New Roman" w:hAnsi="Times New Roman" w:cs="Times New Roman"/>
                <w:szCs w:val="21"/>
                <w:highlight w:val="none"/>
                <w:lang w:val="en-US" w:eastAsia="zh-CN"/>
              </w:rPr>
            </w:pPr>
            <w:r>
              <w:rPr>
                <w:rFonts w:ascii="Times New Roman" w:hAnsi="Times New Roman" w:eastAsia="Times New Roman" w:cs="Times New Roman"/>
                <w:spacing w:val="-2"/>
                <w:sz w:val="21"/>
                <w:szCs w:val="21"/>
              </w:rPr>
              <w:t>3.5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pStyle w:val="28"/>
              <w:spacing w:before="68" w:line="221" w:lineRule="auto"/>
              <w:jc w:val="center"/>
              <w:rPr>
                <w:rFonts w:hint="eastAsia" w:ascii="Times New Roman" w:hAnsi="Times New Roman" w:cs="Times New Roman"/>
                <w:szCs w:val="21"/>
                <w:highlight w:val="none"/>
                <w:lang w:val="en-US" w:eastAsia="zh-CN"/>
              </w:rPr>
            </w:pPr>
            <w:r>
              <w:rPr>
                <w:spacing w:val="-2"/>
              </w:rPr>
              <w:t>资格审查资料的特殊要求</w:t>
            </w:r>
          </w:p>
        </w:tc>
        <w:tc>
          <w:tcPr>
            <w:tcW w:w="4761" w:type="dxa"/>
            <w:tcBorders>
              <w:top w:val="single" w:color="auto" w:sz="4" w:space="0"/>
              <w:left w:val="single" w:color="auto" w:sz="4" w:space="0"/>
              <w:bottom w:val="single" w:color="auto" w:sz="4" w:space="0"/>
              <w:right w:val="single" w:color="auto" w:sz="4" w:space="0"/>
            </w:tcBorders>
            <w:noWrap w:val="0"/>
            <w:vAlign w:val="top"/>
          </w:tcPr>
          <w:p>
            <w:pPr>
              <w:pStyle w:val="28"/>
              <w:spacing w:before="152" w:line="227" w:lineRule="auto"/>
              <w:ind w:left="129"/>
            </w:pPr>
            <w:permStart w:id="53" w:edGrp="everyone"/>
            <w:r>
              <w:rPr>
                <w:rFonts w:hint="eastAsia" w:ascii="Times New Roman" w:hAnsi="Times New Roman" w:eastAsia="宋体" w:cs="Times New Roman"/>
                <w:spacing w:val="-9"/>
                <w:sz w:val="21"/>
                <w:szCs w:val="21"/>
                <w:lang w:eastAsia="zh-CN"/>
              </w:rPr>
              <w:t>☑</w:t>
            </w:r>
            <w:r>
              <w:rPr>
                <w:spacing w:val="-9"/>
              </w:rPr>
              <w:t>无</w:t>
            </w:r>
          </w:p>
          <w:p>
            <w:pPr>
              <w:pStyle w:val="28"/>
              <w:spacing w:before="64" w:line="227" w:lineRule="auto"/>
              <w:ind w:left="129" w:leftChars="0"/>
              <w:rPr>
                <w:rFonts w:hint="eastAsia" w:ascii="Times New Roman" w:hAnsi="Times New Roman" w:cs="Times New Roman"/>
                <w:szCs w:val="21"/>
                <w:highlight w:val="none"/>
                <w:lang w:val="en-US" w:eastAsia="zh-CN"/>
              </w:rPr>
            </w:pPr>
            <w:r>
              <w:rPr>
                <w:rFonts w:ascii="Times New Roman" w:hAnsi="Times New Roman" w:eastAsia="Times New Roman" w:cs="Times New Roman"/>
                <w:spacing w:val="-2"/>
                <w:sz w:val="31"/>
                <w:szCs w:val="31"/>
              </w:rPr>
              <w:t>□</w:t>
            </w:r>
            <w:r>
              <w:rPr>
                <w:spacing w:val="-2"/>
              </w:rPr>
              <w:t>有，具体要求：</w:t>
            </w:r>
            <w:permEnd w:id="53"/>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pacing w:before="60" w:line="187" w:lineRule="auto"/>
              <w:jc w:val="center"/>
              <w:rPr>
                <w:rFonts w:hint="eastAsia" w:ascii="Times New Roman" w:hAnsi="Times New Roman" w:cs="Times New Roman"/>
                <w:szCs w:val="21"/>
                <w:highlight w:val="none"/>
                <w:lang w:val="en-US" w:eastAsia="zh-CN"/>
              </w:rPr>
            </w:pPr>
            <w:r>
              <w:rPr>
                <w:rFonts w:ascii="Times New Roman" w:hAnsi="Times New Roman" w:eastAsia="Times New Roman" w:cs="Times New Roman"/>
                <w:spacing w:val="-1"/>
                <w:sz w:val="21"/>
                <w:szCs w:val="21"/>
              </w:rPr>
              <w:t>3.5.2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pStyle w:val="28"/>
              <w:spacing w:before="69" w:line="221" w:lineRule="auto"/>
              <w:jc w:val="center"/>
              <w:rPr>
                <w:rFonts w:hint="eastAsia" w:ascii="Times New Roman" w:hAnsi="Times New Roman" w:cs="Times New Roman"/>
                <w:szCs w:val="21"/>
                <w:highlight w:val="none"/>
                <w:lang w:val="en-US" w:eastAsia="zh-CN"/>
              </w:rPr>
            </w:pPr>
            <w:r>
              <w:rPr>
                <w:spacing w:val="-1"/>
              </w:rPr>
              <w:t>近年财务状况的年份要求</w:t>
            </w:r>
          </w:p>
        </w:tc>
        <w:tc>
          <w:tcPr>
            <w:tcW w:w="4761" w:type="dxa"/>
            <w:tcBorders>
              <w:top w:val="single" w:color="auto" w:sz="4" w:space="0"/>
              <w:left w:val="single" w:color="auto" w:sz="4" w:space="0"/>
              <w:bottom w:val="single" w:color="auto" w:sz="4" w:space="0"/>
              <w:right w:val="single" w:color="auto" w:sz="4" w:space="0"/>
            </w:tcBorders>
            <w:noWrap w:val="0"/>
            <w:vAlign w:val="top"/>
          </w:tcPr>
          <w:p>
            <w:pPr>
              <w:pStyle w:val="28"/>
              <w:tabs>
                <w:tab w:val="left" w:pos="663"/>
              </w:tabs>
              <w:spacing w:before="69" w:line="221" w:lineRule="auto"/>
              <w:rPr>
                <w:rFonts w:hint="eastAsia" w:ascii="Times New Roman" w:hAnsi="Times New Roman" w:cs="Times New Roman"/>
                <w:szCs w:val="21"/>
                <w:highlight w:val="none"/>
                <w:lang w:val="en-US" w:eastAsia="zh-CN"/>
              </w:rPr>
            </w:pPr>
            <w:permStart w:id="54" w:edGrp="everyone"/>
            <w:r>
              <w:rPr>
                <w:rFonts w:hint="eastAsia"/>
                <w:u w:val="single" w:color="auto"/>
                <w:lang w:val="en-US" w:eastAsia="zh-CN"/>
              </w:rPr>
              <w:t>/</w:t>
            </w:r>
            <w:r>
              <w:rPr>
                <w:spacing w:val="-94"/>
              </w:rPr>
              <w:t xml:space="preserve"> </w:t>
            </w:r>
            <w:r>
              <w:rPr>
                <w:spacing w:val="-3"/>
              </w:rPr>
              <w:t>年至</w:t>
            </w:r>
            <w:r>
              <w:rPr>
                <w:rFonts w:hint="eastAsia"/>
                <w:spacing w:val="6"/>
                <w:u w:val="single" w:color="auto"/>
                <w:lang w:val="en-US" w:eastAsia="zh-CN"/>
              </w:rPr>
              <w:t>/</w:t>
            </w:r>
            <w:r>
              <w:rPr>
                <w:spacing w:val="-3"/>
              </w:rPr>
              <w:t>年</w:t>
            </w:r>
            <w:permEnd w:id="54"/>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近年完成的类似项目的年份要求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pacing w:before="60" w:line="187" w:lineRule="auto"/>
              <w:jc w:val="center"/>
              <w:rPr>
                <w:rFonts w:hint="eastAsia" w:ascii="Times New Roman" w:hAnsi="Times New Roman" w:eastAsia="Times New Roman" w:cs="Times New Roman"/>
                <w:spacing w:val="-1"/>
                <w:sz w:val="21"/>
                <w:szCs w:val="21"/>
                <w:lang w:val="en-US" w:eastAsia="zh-CN"/>
              </w:rPr>
            </w:pPr>
            <w:r>
              <w:rPr>
                <w:rFonts w:ascii="Times New Roman" w:hAnsi="Times New Roman" w:eastAsia="Times New Roman" w:cs="Times New Roman"/>
                <w:spacing w:val="-1"/>
                <w:sz w:val="21"/>
                <w:szCs w:val="21"/>
              </w:rPr>
              <w:t>3.5.5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spacing w:before="60" w:line="187" w:lineRule="auto"/>
              <w:jc w:val="center"/>
              <w:rPr>
                <w:rFonts w:hint="eastAsia" w:ascii="Times New Roman" w:hAnsi="Times New Roman" w:eastAsia="Times New Roman" w:cs="Times New Roman"/>
                <w:spacing w:val="-1"/>
                <w:sz w:val="21"/>
                <w:szCs w:val="21"/>
                <w:lang w:val="en-US" w:eastAsia="zh-CN"/>
              </w:rPr>
            </w:pPr>
            <w:r>
              <w:rPr>
                <w:rFonts w:ascii="Times New Roman" w:hAnsi="Times New Roman" w:eastAsia="Times New Roman" w:cs="Times New Roman"/>
                <w:spacing w:val="-1"/>
                <w:sz w:val="21"/>
                <w:szCs w:val="21"/>
              </w:rPr>
              <w:t>近年发生的诉讼及仲裁情况的时间要求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spacing w:before="60" w:line="187" w:lineRule="auto"/>
              <w:jc w:val="left"/>
              <w:rPr>
                <w:rFonts w:hint="eastAsia" w:ascii="Times New Roman" w:hAnsi="Times New Roman" w:eastAsia="Times New Roman" w:cs="Times New Roman"/>
                <w:spacing w:val="-1"/>
                <w:sz w:val="21"/>
                <w:szCs w:val="21"/>
                <w:lang w:val="en-US" w:eastAsia="zh-CN"/>
              </w:rPr>
            </w:pPr>
            <w:permStart w:id="55" w:edGrp="everyone"/>
            <w:r>
              <w:rPr>
                <w:rFonts w:hint="eastAsia"/>
                <w:spacing w:val="6"/>
                <w:u w:val="single" w:color="auto"/>
                <w:lang w:val="en-US" w:eastAsia="zh-CN"/>
              </w:rPr>
              <w:t>/</w:t>
            </w:r>
            <w:r>
              <w:rPr>
                <w:spacing w:val="-3"/>
              </w:rPr>
              <w:t>年至</w:t>
            </w:r>
            <w:r>
              <w:rPr>
                <w:rFonts w:hint="eastAsia"/>
                <w:spacing w:val="6"/>
                <w:u w:val="single" w:color="auto"/>
                <w:lang w:val="en-US" w:eastAsia="zh-CN"/>
              </w:rPr>
              <w:t>/</w:t>
            </w:r>
            <w:r>
              <w:rPr>
                <w:spacing w:val="-3"/>
              </w:rPr>
              <w:t>年</w:t>
            </w:r>
            <w:permEnd w:id="55"/>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3.6.1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是否允许递交备选投标方案</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color w:val="FF0000"/>
                <w:szCs w:val="21"/>
                <w:highlight w:val="none"/>
                <w:lang w:val="en-US" w:eastAsia="zh-CN"/>
              </w:rPr>
            </w:pPr>
            <w:permStart w:id="56"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不允许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允  许</w:t>
            </w:r>
            <w:permEnd w:id="56"/>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投标文件份数：正本1份、副本4份</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permStart w:id="57" w:edGrp="everyone"/>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57"/>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3.7.3A（3）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投标文件是否需分册装订</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58"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不需要</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color w:val="FF0000"/>
                <w:sz w:val="24"/>
                <w:szCs w:val="24"/>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需要，分册装订要求：</w:t>
            </w:r>
            <w:permEnd w:id="58"/>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59" w:edGrp="everyone"/>
            <w:r>
              <w:rPr>
                <w:rFonts w:hint="eastAsia" w:ascii="Times New Roman" w:hAnsi="Times New Roman" w:cs="Times New Roman"/>
                <w:color w:val="FF0000"/>
                <w:szCs w:val="21"/>
                <w:highlight w:val="none"/>
                <w:lang w:val="en-US" w:eastAsia="zh-CN"/>
              </w:rPr>
              <w:t>开标地址：亳州交通投资控股集团有限公司15楼开标室（药都大道与希夷大道交叉口东北角15楼）</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招标人：亳州通惠房地产开发有限公司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亳州高铁南站金融商务中心项目1#、2#楼装饰工程监理服务</w:t>
            </w:r>
            <w:r>
              <w:rPr>
                <w:rFonts w:hint="eastAsia" w:ascii="Times New Roman" w:hAnsi="Times New Roman" w:cs="Times New Roman"/>
                <w:color w:val="FF0000"/>
                <w:szCs w:val="21"/>
                <w:highlight w:val="none"/>
                <w:lang w:val="en-US" w:eastAsia="zh-CN"/>
              </w:rPr>
              <w:t>投标文件</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项目编号：BZJK-2024-</w:t>
            </w:r>
            <w:r>
              <w:rPr>
                <w:rFonts w:hint="eastAsia" w:ascii="Times New Roman" w:hAnsi="Times New Roman" w:cs="Times New Roman"/>
                <w:color w:val="FF0000"/>
                <w:szCs w:val="21"/>
                <w:highlight w:val="none"/>
                <w:u w:val="single"/>
                <w:lang w:val="en-US" w:eastAsia="zh-CN"/>
              </w:rPr>
              <w:t>020</w:t>
            </w:r>
            <w:r>
              <w:rPr>
                <w:rFonts w:hint="eastAsia" w:ascii="Times New Roman" w:hAnsi="Times New Roman" w:cs="Times New Roman"/>
                <w:color w:val="FF0000"/>
                <w:szCs w:val="21"/>
                <w:highlight w:val="none"/>
                <w:u w:val="none"/>
                <w:lang w:val="en-US" w:eastAsia="zh-CN"/>
              </w:rPr>
              <w:t>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2024</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4</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3</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15</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59"/>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pacing w:before="212" w:line="187" w:lineRule="auto"/>
              <w:jc w:val="center"/>
              <w:rPr>
                <w:rFonts w:hint="eastAsia" w:ascii="Times New Roman" w:hAnsi="Times New Roman" w:eastAsia="Times New Roman" w:cs="Times New Roman"/>
                <w:kern w:val="2"/>
                <w:sz w:val="21"/>
                <w:szCs w:val="21"/>
                <w:lang w:val="en-US" w:eastAsia="zh-CN" w:bidi="ar-SA"/>
              </w:rPr>
            </w:pPr>
            <w:r>
              <w:rPr>
                <w:rFonts w:ascii="Times New Roman" w:hAnsi="Times New Roman" w:eastAsia="Times New Roman" w:cs="Times New Roman"/>
                <w:spacing w:val="-1"/>
                <w:sz w:val="21"/>
                <w:szCs w:val="21"/>
              </w:rPr>
              <w:t>4.2.1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pStyle w:val="28"/>
              <w:spacing w:before="174" w:line="221" w:lineRule="auto"/>
              <w:jc w:val="center"/>
              <w:rPr>
                <w:rFonts w:hint="eastAsia" w:ascii="宋体" w:hAnsi="宋体" w:eastAsia="宋体" w:cs="宋体"/>
                <w:kern w:val="2"/>
                <w:sz w:val="21"/>
                <w:szCs w:val="21"/>
                <w:lang w:val="en-US" w:eastAsia="zh-CN" w:bidi="ar-SA"/>
              </w:rPr>
            </w:pPr>
            <w:r>
              <w:rPr>
                <w:spacing w:val="-2"/>
              </w:rPr>
              <w:t>投标截止时间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是否退还投标文件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5.1（A）</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开标时间：同投标截止时间</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开标地点：</w:t>
            </w:r>
            <w:r>
              <w:rPr>
                <w:rFonts w:hint="eastAsia" w:ascii="Times New Roman" w:hAnsi="Times New Roman" w:cs="Times New Roman"/>
                <w:szCs w:val="21"/>
                <w:highlight w:val="none"/>
                <w:lang w:val="en-US" w:eastAsia="zh-CN"/>
              </w:rPr>
              <w:t>同递交投标文件地点</w:t>
            </w:r>
          </w:p>
          <w:p>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5.2（4）（A）</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开标顺序：按签到正顺序开标。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评标委员会组建：按有关规定组建。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6.3.2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评标委员会推荐中标候选人的人数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1-3人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亳州交通投资控股集团有限公司官网（www.bzjkjt.com）、安徽省招标投标信息网（www.ahtba.org.cn）</w:t>
            </w:r>
            <w:r>
              <w:rPr>
                <w:rFonts w:hint="eastAsia" w:ascii="Times New Roman" w:hAnsi="Times New Roman" w:cs="Times New Roman"/>
                <w:color w:val="auto"/>
                <w:szCs w:val="21"/>
                <w:highlight w:val="none"/>
                <w:lang w:val="en-US" w:eastAsia="zh-CN"/>
              </w:rPr>
              <w:t>等网站上发布。</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szCs w:val="21"/>
                <w:highlight w:val="none"/>
                <w:lang w:val="en-US" w:eastAsia="zh-CN"/>
              </w:rPr>
              <w:t>7.4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rPr>
            </w:pPr>
            <w:r>
              <w:rPr>
                <w:rFonts w:hint="eastAsia" w:ascii="Times New Roman" w:hAnsi="Times New Roman" w:cs="Times New Roman"/>
                <w:szCs w:val="21"/>
                <w:highlight w:val="none"/>
                <w:lang w:val="en-US" w:eastAsia="zh-CN"/>
              </w:rPr>
              <w:t>是否授权评标委员会确定中标人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7.6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技术成果经济补偿</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是否要求中标人提交履约保证金：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60"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Cs w:val="21"/>
                <w:highlight w:val="none"/>
                <w:lang w:val="en-US" w:eastAsia="zh-CN"/>
              </w:rPr>
              <w:t>不要求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60"/>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61" w:edGrp="everyone"/>
            <w:r>
              <w:rPr>
                <w:rFonts w:hint="default" w:ascii="Times New Roman" w:hAnsi="Times New Roman" w:cs="Times New Roman"/>
                <w:color w:val="FF0000"/>
                <w:szCs w:val="21"/>
                <w:highlight w:val="none"/>
              </w:rPr>
              <w:t>中标后，投标保证金自动转为履约保证金，履约保证金不足部分由中标人在收到中标通知书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permEnd w:id="61"/>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permStart w:id="62" w:edGrp="everyone"/>
            <w:r>
              <w:rPr>
                <w:rFonts w:hint="eastAsia" w:ascii="Times New Roman" w:hAnsi="Times New Roman" w:cs="Times New Roman"/>
                <w:b/>
                <w:bCs/>
                <w:color w:val="FF0000"/>
                <w:szCs w:val="21"/>
                <w:highlight w:val="none"/>
                <w:lang w:val="en-US" w:eastAsia="zh-CN"/>
              </w:rPr>
              <w:t>中标价款的10%</w:t>
            </w:r>
            <w:permEnd w:id="62"/>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63"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color w:val="FF0000"/>
                <w:szCs w:val="21"/>
                <w:highlight w:val="none"/>
                <w:lang w:val="en-US" w:eastAsia="zh-CN"/>
              </w:rPr>
              <w:t>服务期满</w:t>
            </w:r>
            <w:r>
              <w:rPr>
                <w:rFonts w:hint="default" w:ascii="Times New Roman" w:hAnsi="Times New Roman" w:cs="Times New Roman"/>
                <w:color w:val="FF0000"/>
                <w:szCs w:val="21"/>
                <w:highlight w:val="none"/>
              </w:rPr>
              <w:t>后</w:t>
            </w:r>
            <w:r>
              <w:rPr>
                <w:rFonts w:hint="eastAsia" w:ascii="Times New Roman" w:hAnsi="Times New Roman" w:cs="Times New Roman"/>
                <w:szCs w:val="21"/>
                <w:highlight w:val="none"/>
                <w:lang w:val="en-US" w:eastAsia="zh-CN"/>
              </w:rPr>
              <w:t>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63"/>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2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电子招标投标</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增11.2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不良行为记录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（十四）其他不良行为。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246996175"/>
      <w:bookmarkStart w:id="17" w:name="_Toc296602420"/>
      <w:bookmarkStart w:id="18" w:name="_Toc144974497"/>
      <w:bookmarkStart w:id="19" w:name="_Toc247085689"/>
      <w:bookmarkStart w:id="20" w:name="_Toc179632546"/>
      <w:bookmarkStart w:id="21" w:name="_Toc152045529"/>
      <w:bookmarkStart w:id="22" w:name="_Toc152042305"/>
      <w:bookmarkStart w:id="23" w:name="_Toc246996918"/>
      <w:r>
        <w:rPr>
          <w:rFonts w:hint="eastAsia"/>
        </w:rPr>
        <w:t>1. 总则</w:t>
      </w:r>
      <w:bookmarkEnd w:id="16"/>
      <w:bookmarkEnd w:id="17"/>
      <w:bookmarkEnd w:id="18"/>
      <w:bookmarkEnd w:id="19"/>
      <w:bookmarkEnd w:id="20"/>
      <w:bookmarkEnd w:id="21"/>
      <w:bookmarkEnd w:id="22"/>
      <w:bookmarkEnd w:id="23"/>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179632547"/>
      <w:bookmarkStart w:id="25" w:name="_Toc152042306"/>
      <w:bookmarkStart w:id="26" w:name="_Toc296602421"/>
      <w:bookmarkStart w:id="27" w:name="_Toc152045530"/>
      <w:bookmarkStart w:id="28" w:name="_Toc246996919"/>
      <w:bookmarkStart w:id="29" w:name="_Toc144974498"/>
      <w:bookmarkStart w:id="30" w:name="_Toc246996176"/>
      <w:bookmarkStart w:id="31" w:name="_Toc247085690"/>
      <w:r>
        <w:rPr>
          <w:rFonts w:hint="eastAsia"/>
        </w:rPr>
        <w:t>1.1 项目概况</w:t>
      </w:r>
      <w:bookmarkEnd w:id="24"/>
      <w:bookmarkEnd w:id="25"/>
      <w:bookmarkEnd w:id="26"/>
      <w:bookmarkEnd w:id="27"/>
      <w:bookmarkEnd w:id="28"/>
      <w:bookmarkEnd w:id="29"/>
      <w:bookmarkEnd w:id="30"/>
      <w:bookmarkEnd w:id="3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1.1.1根据《中华人民共和国招标投标法》等有关法律、法规和规章的规定，本招标项目已具备招标条件，现对本项目进行招标。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 本招标项目招标人：见投标人须知前附表。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1.1.3 本招标项目招标代理机构：见投标人须知前附表。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1.1.4 本招标项目名称：见投标人须知前附表。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1.1.5 本招标项目建设地点：见投标人须知前附表。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1.1.6 </w:t>
      </w:r>
      <w:r>
        <w:rPr>
          <w:rFonts w:hint="eastAsia"/>
          <w:lang w:val="en-US" w:eastAsia="zh-CN"/>
        </w:rPr>
        <w:t>本招标</w:t>
      </w:r>
      <w:r>
        <w:rPr>
          <w:rFonts w:hint="eastAsia"/>
        </w:rPr>
        <w:t>项目建设规模：见投标人须知前附表。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1.1.7 </w:t>
      </w:r>
      <w:r>
        <w:rPr>
          <w:rFonts w:hint="eastAsia"/>
          <w:lang w:val="en-US" w:eastAsia="zh-CN"/>
        </w:rPr>
        <w:t>本招标</w:t>
      </w:r>
      <w:r>
        <w:rPr>
          <w:rFonts w:hint="eastAsia"/>
        </w:rPr>
        <w:t>项目投资估算：见投标人须知前附表。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152042307"/>
      <w:bookmarkStart w:id="33" w:name="_Toc246996920"/>
      <w:bookmarkStart w:id="34" w:name="_Toc179632548"/>
      <w:bookmarkStart w:id="35" w:name="_Toc144974499"/>
      <w:bookmarkStart w:id="36" w:name="_Toc296602422"/>
      <w:bookmarkStart w:id="37" w:name="_Toc246996177"/>
      <w:bookmarkStart w:id="38" w:name="_Toc152045531"/>
      <w:bookmarkStart w:id="39" w:name="_Toc247085691"/>
      <w:r>
        <w:rPr>
          <w:rFonts w:hint="eastAsia"/>
        </w:rPr>
        <w:t>1.2 资金来源和落实情况</w:t>
      </w:r>
      <w:bookmarkEnd w:id="32"/>
      <w:bookmarkEnd w:id="33"/>
      <w:bookmarkEnd w:id="34"/>
      <w:bookmarkEnd w:id="35"/>
      <w:bookmarkEnd w:id="36"/>
      <w:bookmarkEnd w:id="37"/>
      <w:bookmarkEnd w:id="38"/>
      <w:bookmarkEnd w:id="3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1.2.1 本招标项目的资金来源及出资比例：见投标人须知前附表。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1.2.2 本招标项目的资金落实情况：见投标人须知前附表。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0" w:name="_Toc144974500"/>
      <w:bookmarkStart w:id="41" w:name="_Toc179632549"/>
      <w:bookmarkStart w:id="42" w:name="_Toc296602423"/>
      <w:bookmarkStart w:id="43" w:name="_Toc246996921"/>
      <w:bookmarkStart w:id="44" w:name="_Toc152042308"/>
      <w:bookmarkStart w:id="45" w:name="_Toc152045532"/>
      <w:bookmarkStart w:id="46" w:name="_Toc247085692"/>
      <w:bookmarkStart w:id="47" w:name="_Toc246996178"/>
      <w:r>
        <w:rPr>
          <w:rFonts w:hint="eastAsia"/>
        </w:rPr>
        <w:t>1.3 招标范围、</w:t>
      </w:r>
      <w:r>
        <w:rPr>
          <w:rFonts w:hint="eastAsia"/>
          <w:lang w:val="en-US" w:eastAsia="zh-CN"/>
        </w:rPr>
        <w:t>服务期限</w:t>
      </w:r>
      <w:r>
        <w:rPr>
          <w:rFonts w:hint="eastAsia"/>
        </w:rPr>
        <w:t>、质量要求</w:t>
      </w:r>
      <w:bookmarkEnd w:id="40"/>
      <w:bookmarkEnd w:id="41"/>
      <w:bookmarkEnd w:id="42"/>
      <w:bookmarkEnd w:id="43"/>
      <w:bookmarkEnd w:id="44"/>
      <w:bookmarkEnd w:id="45"/>
      <w:bookmarkEnd w:id="46"/>
      <w:bookmarkEnd w:id="4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1.3.1 本次招标范围：见投标人须知前附表。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1.3.2 本招标项目的</w:t>
      </w:r>
      <w:r>
        <w:rPr>
          <w:rFonts w:hint="eastAsia"/>
          <w:lang w:eastAsia="zh-CN"/>
        </w:rPr>
        <w:t>服务期限</w:t>
      </w:r>
      <w:r>
        <w:rPr>
          <w:rFonts w:hint="eastAsia"/>
        </w:rPr>
        <w:t>：见投标人须知前附表。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1.3.3 本招标项目的质量要求：见投标人须知前附表。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8" w:name="_Toc247085693"/>
      <w:bookmarkStart w:id="49" w:name="_Toc152042310"/>
      <w:bookmarkStart w:id="50" w:name="_Toc152045534"/>
      <w:bookmarkStart w:id="51" w:name="_Toc179632551"/>
      <w:bookmarkStart w:id="52" w:name="_Toc246996922"/>
      <w:bookmarkStart w:id="53" w:name="_Toc144974502"/>
      <w:bookmarkStart w:id="54" w:name="_Toc296602424"/>
      <w:bookmarkStart w:id="55" w:name="_Toc246996179"/>
      <w:r>
        <w:rPr>
          <w:rFonts w:hint="eastAsia"/>
        </w:rPr>
        <w:t>1.4 投标人资格要求</w:t>
      </w:r>
      <w:bookmarkEnd w:id="48"/>
      <w:bookmarkEnd w:id="49"/>
      <w:bookmarkEnd w:id="50"/>
      <w:bookmarkEnd w:id="51"/>
      <w:bookmarkEnd w:id="52"/>
      <w:bookmarkEnd w:id="53"/>
      <w:bookmarkEnd w:id="54"/>
      <w:bookmarkEnd w:id="5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1.4.1 投标人应具备承担本招标项目的资质条件、能力和信誉。</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（1）资质要求：见投标人须知前附表；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（2）财务要求：见投标人须知前附表；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（3）业绩要求：见投标人须知前附表；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（4）信誉要求：见投标人须知前附表；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（5）项目负责人的资格要求：见投标人须知前附表；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（6）其他主要人员要求：见投标人须知前附表；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（7）其他有关要求：见投标人须知前附表。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1.4.2 投标人须知前附表规定接受联合体投标的，除应符合本章第1.4.1项和投标人须知前附表的要求外，还应遵守以下规定：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（1）联合体各方应按招标文件提供的格式签订联合体协议书，明确联合体牵头人和各方权利义务；</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（2）由同一专业的单位组成的联合体，按照资质等级较低的单位确定资质等级；</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（3）联合体各方不得再以自己名义单独或参加其他联合体在本招标项目中投标。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1.4.3 投标人不得存在下列情形之一：</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（1）为招标人不具有独立法人资格的附属机构（单位）；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（2）为招标项目前期工作提供咨询服务的；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（3）为本招标项目的监理人；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（4）为本招标项目的代建人；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（5）为本招标项目提供招标代理服务的；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（6）与本招标项目的监理人或代建人或招标代理机构同为一个法定代表人的；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（7）与本招标项目的监理人或代建人或招标代理机构相互控股或参股的；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（8）与本招标项目的监理人或代建人或招标代理机构相互任职或工作的；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（9）被责令停业的；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permStart w:id="64" w:edGrp="everyone"/>
      <w:r>
        <w:rPr>
          <w:rFonts w:hint="eastAsia"/>
        </w:rPr>
        <w:t>（10）投标时（以投标截止时间为准），无被亳州市市本级及县区各行业主管部门或公共资源交易监管部门限制投标的不良行为记录（有效期内）；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w:t>
      </w:r>
    </w:p>
    <w:permEnd w:id="64"/>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1.4.4 单位负责人为同一人或者存在控股、管理关系的不同单位，不得同时参加本招标项目投标。</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6" w:name="_Toc179632552"/>
      <w:bookmarkStart w:id="57" w:name="_Toc144974503"/>
      <w:bookmarkStart w:id="58" w:name="_Toc296602425"/>
      <w:bookmarkStart w:id="59" w:name="_Toc247085694"/>
      <w:bookmarkStart w:id="60" w:name="_Toc152042311"/>
      <w:bookmarkStart w:id="61" w:name="_Toc152045535"/>
      <w:bookmarkStart w:id="62" w:name="_Toc246996180"/>
      <w:bookmarkStart w:id="63" w:name="_Toc246996923"/>
      <w:r>
        <w:rPr>
          <w:rFonts w:hint="eastAsia"/>
        </w:rPr>
        <w:t>1.5 费用承担</w:t>
      </w:r>
      <w:bookmarkEnd w:id="56"/>
      <w:bookmarkEnd w:id="57"/>
      <w:bookmarkEnd w:id="58"/>
      <w:bookmarkEnd w:id="59"/>
      <w:bookmarkEnd w:id="60"/>
      <w:bookmarkEnd w:id="61"/>
      <w:bookmarkEnd w:id="62"/>
      <w:bookmarkEnd w:id="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投标人准备和参加投标活动发生的费用自理。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64" w:name="_Toc152045536"/>
      <w:bookmarkStart w:id="65" w:name="_Toc179632553"/>
      <w:bookmarkStart w:id="66" w:name="_Toc144974504"/>
      <w:bookmarkStart w:id="67" w:name="_Toc296602426"/>
      <w:bookmarkStart w:id="68" w:name="_Toc247085695"/>
      <w:bookmarkStart w:id="69" w:name="_Toc246996181"/>
      <w:bookmarkStart w:id="70" w:name="_Toc246996924"/>
      <w:bookmarkStart w:id="71" w:name="_Toc152042312"/>
      <w:r>
        <w:rPr>
          <w:rFonts w:hint="eastAsia"/>
        </w:rPr>
        <w:t>1.6 保密</w:t>
      </w:r>
      <w:bookmarkEnd w:id="64"/>
      <w:bookmarkEnd w:id="65"/>
      <w:bookmarkEnd w:id="66"/>
      <w:bookmarkEnd w:id="67"/>
      <w:bookmarkEnd w:id="68"/>
      <w:bookmarkEnd w:id="69"/>
      <w:bookmarkEnd w:id="70"/>
      <w:bookmarkEnd w:id="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参与招标投标活动的各方应对招标文件和投标文件中的商业和技术等秘密保密，违者应对由此造成的后果承担法律责任。 </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2" w:name="_Toc144974505"/>
      <w:bookmarkStart w:id="73" w:name="_Toc152042313"/>
      <w:bookmarkStart w:id="74" w:name="_Toc152045537"/>
      <w:bookmarkStart w:id="75" w:name="_Toc179632554"/>
      <w:bookmarkStart w:id="76" w:name="_Toc296602427"/>
      <w:bookmarkStart w:id="77" w:name="_Toc246996182"/>
      <w:bookmarkStart w:id="78" w:name="_Toc247085696"/>
      <w:bookmarkStart w:id="79" w:name="_Toc246996925"/>
      <w:r>
        <w:rPr>
          <w:rFonts w:hint="eastAsia"/>
        </w:rPr>
        <w:t>1.7 语言</w:t>
      </w:r>
      <w:bookmarkEnd w:id="72"/>
      <w:r>
        <w:rPr>
          <w:rFonts w:hint="eastAsia"/>
        </w:rPr>
        <w:t>文字</w:t>
      </w:r>
      <w:bookmarkEnd w:id="73"/>
      <w:bookmarkEnd w:id="74"/>
      <w:bookmarkEnd w:id="75"/>
      <w:bookmarkEnd w:id="76"/>
      <w:bookmarkEnd w:id="77"/>
      <w:bookmarkEnd w:id="78"/>
      <w:bookmarkEnd w:id="79"/>
    </w:p>
    <w:p>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80" w:name="_Toc144974506"/>
      <w:bookmarkStart w:id="81" w:name="_Toc246996926"/>
      <w:bookmarkStart w:id="82" w:name="_Toc179632555"/>
      <w:bookmarkStart w:id="83" w:name="_Toc152042314"/>
      <w:bookmarkStart w:id="84" w:name="_Toc247085697"/>
      <w:bookmarkStart w:id="85" w:name="_Toc152045538"/>
      <w:bookmarkStart w:id="86" w:name="_Toc246996183"/>
      <w:r>
        <w:rPr>
          <w:rFonts w:hint="eastAsia"/>
        </w:rPr>
        <w:t>招标投标文件使用的语言文字为中文。专用术语使用外文的，应附有中文注释。</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7" w:name="_Toc296602428"/>
      <w:r>
        <w:rPr>
          <w:rFonts w:hint="eastAsia"/>
        </w:rPr>
        <w:t>1.8 计量单位</w:t>
      </w:r>
      <w:bookmarkEnd w:id="80"/>
      <w:bookmarkEnd w:id="81"/>
      <w:bookmarkEnd w:id="82"/>
      <w:bookmarkEnd w:id="83"/>
      <w:bookmarkEnd w:id="84"/>
      <w:bookmarkEnd w:id="85"/>
      <w:bookmarkEnd w:id="86"/>
      <w:bookmarkEnd w:id="8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所有计量均采用中华人民共和国法定计量单位。</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8" w:name="_Toc247513962"/>
      <w:bookmarkStart w:id="89" w:name="_Toc152042315"/>
      <w:bookmarkStart w:id="90" w:name="_Toc152045539"/>
      <w:bookmarkStart w:id="91" w:name="_Toc247592876"/>
      <w:bookmarkStart w:id="92" w:name="_Toc296602429"/>
      <w:bookmarkStart w:id="93" w:name="_Toc247527563"/>
      <w:bookmarkStart w:id="94" w:name="_Toc144974507"/>
      <w:r>
        <w:rPr>
          <w:rFonts w:hint="eastAsia"/>
        </w:rPr>
        <w:t>1.9 踏勘现场</w:t>
      </w:r>
      <w:bookmarkEnd w:id="88"/>
      <w:bookmarkEnd w:id="89"/>
      <w:bookmarkEnd w:id="90"/>
      <w:bookmarkEnd w:id="91"/>
      <w:bookmarkEnd w:id="92"/>
      <w:bookmarkEnd w:id="93"/>
      <w:bookmarkEnd w:id="9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1.9.1 投标人须知前附表规定组织踏勘现场的，招标人按投标人须知前附表规定的时间、地点组织投标人踏勘项目现场。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1.9.2 投标人踏勘现场发生的费用自理。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1.9.3 除招标人的原因外，投标人自行负责在踏勘现场中所发生的人员伤亡和财产损失。</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1.9.4 招标人在踏勘现场中介绍的工程场地和相关的周边环境情况，供投标人在编制投标文件时参考，招标人不对投标人据此作出的判断和决策负责。</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152042316"/>
      <w:bookmarkStart w:id="96" w:name="_Toc152045540"/>
      <w:bookmarkStart w:id="97" w:name="_Toc247527564"/>
      <w:bookmarkStart w:id="98" w:name="_Toc247592877"/>
      <w:bookmarkStart w:id="99" w:name="_Toc247513963"/>
      <w:bookmarkStart w:id="100" w:name="_Toc144974508"/>
      <w:bookmarkStart w:id="101" w:name="_Toc296602430"/>
      <w:r>
        <w:rPr>
          <w:rFonts w:hint="eastAsia"/>
        </w:rPr>
        <w:t>1.10 投标预备会</w:t>
      </w:r>
      <w:bookmarkEnd w:id="95"/>
      <w:bookmarkEnd w:id="96"/>
      <w:bookmarkEnd w:id="97"/>
      <w:bookmarkEnd w:id="98"/>
      <w:bookmarkEnd w:id="99"/>
      <w:bookmarkEnd w:id="100"/>
      <w:bookmarkEnd w:id="10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1.10.1 投标人须知前附表规定召开投标预备会的，招标人按投标人须知前附表规定的时间和地点召开投标预备会，澄清投标人提出的问题。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1.10.2 投标人应在投标人须知前附表规定的时间前，以书面形式将提出的问题送达招标人，以便招标人在会议期间澄清。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1.10.3 投标预备会后，招标人在投标人须知前附表规定的时间内，将对投标人所提问题的澄清，以书面形式通知所有购买招标文件的投标人。该澄清内容为招标文件的组成部分。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2" w:name="_Toc296602431"/>
      <w:r>
        <w:rPr>
          <w:rFonts w:hint="eastAsia"/>
        </w:rPr>
        <w:t>1.11 偏离</w:t>
      </w:r>
      <w:bookmarkEnd w:id="10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1.11.1 投标人须知前附表规定应当由分包人实施的非主体、非关键性工作，投标人应当按照第五章“发包人要求”的规定提供分包人侯选名单及其相应资料。</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1.11.2投标人拟在中标后将中标项目的部分非主体、非关键性工作进行分包的，应符合投标人须知前附表规定的分包内容、分包金额和资质要求等限制性条件，除投标人须知前附表规定的非主体、非关键性设计工作外，其他工作不得分包。中标人不得向他人转让中标项目，接受分包的人不得再次分包。中标人应当就分包项目向招标人负责，接受分包的人就分包项目承担连带责任。</w:t>
      </w:r>
    </w:p>
    <w:p>
      <w:pPr>
        <w:pStyle w:val="4"/>
        <w:pageBreakBefore w:val="0"/>
        <w:widowControl w:val="0"/>
        <w:kinsoku/>
        <w:wordWrap/>
        <w:overflowPunct/>
        <w:topLinePunct w:val="0"/>
        <w:autoSpaceDE/>
        <w:autoSpaceDN/>
        <w:bidi w:val="0"/>
        <w:adjustRightInd/>
        <w:snapToGrid/>
        <w:spacing w:line="240" w:lineRule="auto"/>
        <w:textAlignment w:val="auto"/>
        <w:rPr>
          <w:rFonts w:ascii="Arial"/>
          <w:sz w:val="21"/>
        </w:rPr>
      </w:pPr>
      <w:r>
        <w:rPr>
          <w:rFonts w:hint="eastAsia"/>
        </w:rPr>
        <w:t>1.12 响应和偏差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1.12.1 投标文件应当对招标文件的实质性要求和条件作出满足性或更有利于招标人的响应，否则， 投标人的投标将被否决。实质性要求和条件见投标人须知前附表。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1.12.2  投标人应根据招标文件的要求提供投标勘察纲要等内容以对招标文件作出响应。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sz w:val="21"/>
          <w:szCs w:val="21"/>
        </w:rPr>
      </w:pPr>
      <w:r>
        <w:rPr>
          <w:rFonts w:hint="eastAsia"/>
        </w:rPr>
        <w:t>1.12.3  投标人须知前附表允许投标文件偏离招标文件某些要求的， 偏差应当符合招标文件规定的偏差范围和幅度</w:t>
      </w:r>
      <w:r>
        <w:rPr>
          <w:spacing w:val="-2"/>
          <w:sz w:val="21"/>
          <w:szCs w:val="21"/>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152042318"/>
      <w:bookmarkStart w:id="104" w:name="_Toc246996930"/>
      <w:bookmarkStart w:id="105" w:name="_Toc247085701"/>
      <w:bookmarkStart w:id="106" w:name="_Toc179632560"/>
      <w:bookmarkStart w:id="107" w:name="_Toc144974510"/>
      <w:bookmarkStart w:id="108" w:name="_Toc246996187"/>
      <w:bookmarkStart w:id="109" w:name="_Toc152045542"/>
      <w:bookmarkStart w:id="110" w:name="_Toc296602432"/>
      <w:r>
        <w:rPr>
          <w:rFonts w:hint="eastAsia"/>
        </w:rPr>
        <w:t>2. 招标文件</w:t>
      </w:r>
      <w:bookmarkEnd w:id="103"/>
      <w:bookmarkEnd w:id="104"/>
      <w:bookmarkEnd w:id="105"/>
      <w:bookmarkEnd w:id="106"/>
      <w:bookmarkEnd w:id="107"/>
      <w:bookmarkEnd w:id="108"/>
      <w:bookmarkEnd w:id="109"/>
      <w:bookmarkEnd w:id="11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246996188"/>
      <w:bookmarkStart w:id="112" w:name="_Toc152045543"/>
      <w:bookmarkStart w:id="113" w:name="_Toc247085702"/>
      <w:bookmarkStart w:id="114" w:name="_Toc246996931"/>
      <w:bookmarkStart w:id="115" w:name="_Toc144974511"/>
      <w:bookmarkStart w:id="116" w:name="_Toc296602433"/>
      <w:bookmarkStart w:id="117" w:name="_Toc179632561"/>
      <w:bookmarkStart w:id="118" w:name="_Toc152042319"/>
      <w:r>
        <w:rPr>
          <w:rFonts w:hint="eastAsia"/>
        </w:rPr>
        <w:t>2.1 招标文件的组成</w:t>
      </w:r>
      <w:bookmarkEnd w:id="111"/>
      <w:bookmarkEnd w:id="112"/>
      <w:bookmarkEnd w:id="113"/>
      <w:bookmarkEnd w:id="114"/>
      <w:bookmarkEnd w:id="115"/>
      <w:bookmarkEnd w:id="116"/>
      <w:bookmarkEnd w:id="117"/>
      <w:bookmarkEnd w:id="11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本招标文件包括：</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（1）招标公告（或投标邀请书）；</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（2）投标人须知；</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（3）评标办法；</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（4）合同条款及格式；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（5）发包人要求；</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（6）投标文件格式。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根据本章第 1.10 款、第 2.2 款和第 2.3 款对招标文件所作的澄清、修改，构成招标文件的组成部分。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152045544"/>
      <w:bookmarkStart w:id="120" w:name="_Toc246996932"/>
      <w:bookmarkStart w:id="121" w:name="_Toc152042320"/>
      <w:bookmarkStart w:id="122" w:name="_Toc296602434"/>
      <w:bookmarkStart w:id="123" w:name="_Toc144974512"/>
      <w:bookmarkStart w:id="124" w:name="_Toc179632562"/>
      <w:bookmarkStart w:id="125" w:name="_Toc247085703"/>
      <w:bookmarkStart w:id="126" w:name="_Toc246996189"/>
      <w:r>
        <w:rPr>
          <w:rFonts w:hint="eastAsia"/>
        </w:rPr>
        <w:t>2.2 招标文件的澄清</w:t>
      </w:r>
      <w:bookmarkEnd w:id="119"/>
      <w:bookmarkEnd w:id="120"/>
      <w:bookmarkEnd w:id="121"/>
      <w:bookmarkEnd w:id="122"/>
      <w:bookmarkEnd w:id="123"/>
      <w:bookmarkEnd w:id="124"/>
      <w:bookmarkEnd w:id="125"/>
      <w:bookmarkEnd w:id="126"/>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2.2.1 投标人应仔细阅读和检查招标文件的全部内容。</w:t>
      </w:r>
      <w:r>
        <w:rPr>
          <w:rFonts w:hint="eastAsia" w:ascii="宋体" w:hAnsi="宋体"/>
          <w:szCs w:val="21"/>
        </w:rPr>
        <w:t>如发现缺页或附件不全，应及时向招标人提出，以便补齐。</w:t>
      </w:r>
      <w:r>
        <w:rPr>
          <w:rFonts w:hint="eastAsia"/>
        </w:rPr>
        <w:t>如有疑问，应在投标人须知前附表规定的时间前以书面形式（包括信函、电报、传真等可以有形地表现所载内容的形式，下同），要求招标人对招标文件予以澄清。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仿宋_GB2312" w:hAnsi="仿宋_GB2312" w:eastAsia="仿宋_GB2312"/>
          <w:sz w:val="32"/>
          <w:szCs w:val="32"/>
        </w:rPr>
      </w:pPr>
      <w:r>
        <w:rPr>
          <w:rFonts w:hint="eastAsia"/>
        </w:rPr>
        <w:t>2.2.2 招标文件的澄清将以书面形式发给所有购买招标文件的投标人，但不指明澄清问题的来源。如果澄清发出的时间距投标人须知前附表规定的投标截止时间不足</w:t>
      </w:r>
      <w:r>
        <w:rPr>
          <w:rFonts w:hint="eastAsia"/>
          <w:lang w:val="en-US" w:eastAsia="zh-CN"/>
        </w:rPr>
        <w:t>3</w:t>
      </w:r>
      <w:r>
        <w:rPr>
          <w:rFonts w:hint="eastAsia"/>
        </w:rPr>
        <w:t>天，并且澄清内容影响投标文件编制的，将相应延长投标截止时间。</w:t>
      </w:r>
      <w:r>
        <w:rPr>
          <w:rFonts w:hint="eastAsia" w:ascii="仿宋_GB2312" w:hAnsi="仿宋_GB2312" w:eastAsia="仿宋_GB2312"/>
          <w:sz w:val="32"/>
          <w:szCs w:val="32"/>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2.2.3 投标人在收到澄清后，应在投标人须知前附表规定的时间内以书面形式通知招标人，确认已收到该澄清。</w:t>
      </w:r>
      <w:r>
        <w:rPr>
          <w:szCs w:val="21"/>
        </w:rPr>
        <w:t>投标人确认收到招标文件</w:t>
      </w:r>
      <w:r>
        <w:rPr>
          <w:rFonts w:hint="eastAsia"/>
          <w:szCs w:val="21"/>
        </w:rPr>
        <w:t>修改</w:t>
      </w:r>
      <w:r>
        <w:rPr>
          <w:szCs w:val="21"/>
        </w:rPr>
        <w:t>的时间</w:t>
      </w:r>
      <w:r>
        <w:rPr>
          <w:rFonts w:hint="eastAsia"/>
          <w:szCs w:val="21"/>
        </w:rPr>
        <w:t>要求详见投标须知前附表。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27" w:name="_Toc296602435"/>
      <w:bookmarkStart w:id="128" w:name="_Toc144974513"/>
      <w:bookmarkStart w:id="129" w:name="_Toc152045545"/>
      <w:bookmarkStart w:id="130" w:name="_Toc179632563"/>
      <w:bookmarkStart w:id="131" w:name="_Toc246996933"/>
      <w:bookmarkStart w:id="132" w:name="_Toc247085704"/>
      <w:bookmarkStart w:id="133" w:name="_Toc246996190"/>
      <w:bookmarkStart w:id="134" w:name="_Toc152042321"/>
      <w:r>
        <w:rPr>
          <w:rFonts w:hint="eastAsia"/>
        </w:rPr>
        <w:t>2.3 招标文件的修改</w:t>
      </w:r>
      <w:bookmarkEnd w:id="127"/>
      <w:bookmarkEnd w:id="128"/>
      <w:bookmarkEnd w:id="129"/>
      <w:bookmarkEnd w:id="130"/>
      <w:bookmarkEnd w:id="131"/>
      <w:bookmarkEnd w:id="132"/>
      <w:bookmarkEnd w:id="133"/>
      <w:bookmarkEnd w:id="13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2.3.1招标人可以书面形式修改招标文件，并通知所有已购买招标文件的投标人。但如果修改招标文件的时间距投标截止时间不足15天，并且修改内容影响投标文件编制的，将相应延长投标截止时间。</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2.3.2 投标人收到修改内容后，应在投标人须知前附表规定的时间内以书面形式通知招标人，确认已收到该修改。</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35" w:name="_Toc179632564"/>
      <w:bookmarkStart w:id="136" w:name="_Toc246996191"/>
      <w:bookmarkStart w:id="137" w:name="_Toc144974514"/>
      <w:bookmarkStart w:id="138" w:name="_Toc247085705"/>
      <w:bookmarkStart w:id="139" w:name="_Toc296602436"/>
      <w:bookmarkStart w:id="140" w:name="_Toc152042322"/>
      <w:bookmarkStart w:id="141" w:name="_Toc152045546"/>
      <w:bookmarkStart w:id="142" w:name="_Toc246996934"/>
      <w:r>
        <w:rPr>
          <w:rFonts w:hint="eastAsia"/>
        </w:rPr>
        <w:t>3. 投标文件</w:t>
      </w:r>
      <w:bookmarkEnd w:id="135"/>
      <w:bookmarkEnd w:id="136"/>
      <w:bookmarkEnd w:id="137"/>
      <w:bookmarkEnd w:id="138"/>
      <w:bookmarkEnd w:id="139"/>
      <w:bookmarkEnd w:id="140"/>
      <w:bookmarkEnd w:id="141"/>
      <w:bookmarkEnd w:id="142"/>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3" w:name="_Toc296602437"/>
      <w:bookmarkStart w:id="144" w:name="_Toc179632565"/>
      <w:bookmarkStart w:id="145" w:name="_Toc247085706"/>
      <w:bookmarkStart w:id="146" w:name="_Toc152042323"/>
      <w:bookmarkStart w:id="147" w:name="_Toc152045547"/>
      <w:bookmarkStart w:id="148" w:name="_Toc144974515"/>
      <w:bookmarkStart w:id="149" w:name="_Toc246996192"/>
      <w:bookmarkStart w:id="150" w:name="_Toc246996935"/>
      <w:r>
        <w:rPr>
          <w:rFonts w:hint="eastAsia"/>
        </w:rPr>
        <w:t>3.1 投标文件的组成</w:t>
      </w:r>
      <w:bookmarkEnd w:id="143"/>
      <w:bookmarkEnd w:id="144"/>
      <w:bookmarkEnd w:id="145"/>
      <w:bookmarkEnd w:id="146"/>
      <w:bookmarkEnd w:id="147"/>
      <w:bookmarkEnd w:id="148"/>
      <w:bookmarkEnd w:id="149"/>
      <w:bookmarkEnd w:id="150"/>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3.1.1  投标文件应包括下列内容：</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一、投标函及投标函附录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二、法定代表人身份证明（适用于无委托代理人的情况）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二、授权委托书（适用于有委托代理人的情况）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三、投标保证金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四、服务费用清单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五、资格审查资料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六、服务方案</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七、其他资料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投标人在评标过程中作出的符合法律法规和招标文件规定的澄清确认， 构成投标文件的组成部分。</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3.1.2  投标人须知前附表规定不接受联合体投标的， 或投标人没有组成联合体的， 投标文件不包括本章第 3.1.1（3） 目所指的联合体协议书。</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3.1.3  投标人须知前附表未要求提交投标保证金的， 投标文件不包括本章第 3.1.1（4）目所指的投标保证金。</w:t>
      </w:r>
    </w:p>
    <w:p>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sz w:val="21"/>
          <w:szCs w:val="21"/>
        </w:rPr>
      </w:pPr>
      <w:bookmarkStart w:id="151" w:name="_Toc247085707"/>
      <w:bookmarkStart w:id="152" w:name="_Toc152045548"/>
      <w:bookmarkStart w:id="153" w:name="_Toc296602438"/>
      <w:bookmarkStart w:id="154" w:name="_Toc152042324"/>
      <w:bookmarkStart w:id="155" w:name="_Toc179632566"/>
      <w:bookmarkStart w:id="156" w:name="_Toc144974516"/>
      <w:bookmarkStart w:id="157" w:name="_Toc246996936"/>
      <w:bookmarkStart w:id="158" w:name="_Toc246996193"/>
      <w:r>
        <w:rPr>
          <w:rFonts w:hint="eastAsia"/>
        </w:rPr>
        <w:t>3.2 投标报价</w:t>
      </w:r>
      <w:bookmarkEnd w:id="151"/>
      <w:bookmarkEnd w:id="152"/>
      <w:bookmarkEnd w:id="153"/>
      <w:bookmarkEnd w:id="154"/>
      <w:bookmarkEnd w:id="155"/>
      <w:bookmarkEnd w:id="156"/>
      <w:bookmarkEnd w:id="157"/>
      <w:bookmarkEnd w:id="15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159" w:name="_Toc152042325"/>
      <w:bookmarkStart w:id="160" w:name="_Toc179632567"/>
      <w:bookmarkStart w:id="161" w:name="_Toc152045549"/>
      <w:bookmarkStart w:id="162" w:name="_Toc144974517"/>
      <w:r>
        <w:rPr>
          <w:rFonts w:hint="eastAsia"/>
        </w:rPr>
        <w:t>3.2.1 投标报价应包括国家规定的增值税税金， 除投标人须知前附表另有规定外， 增值税税 金按一般计税方法计算。投标人应按第六章“投标文件格式” 的要求在投标函中进行报价并填写设计费用清单。</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3.2.2  投标人应充分了解该项目的总体情况以及影响投标报价的其他要素。</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3.2.3  本项目的报价方式见投标人须知前附表。投标人在投标截止时间前修改投标函中的投 标报价总额，应同时修改投标文件“勘察费用清单” 中的相应报价。此修改须符合本章第 4.3 款的有关要求。</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3.2.4  招标人设有最高投标限价的，投标人的投标报价不得超过最高投标限价，最高投标限价在投标人须知前附表中载明。</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3.2.5  投标报价的其他要求见投标人须知前附表。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3" w:name="_Toc246996194"/>
      <w:bookmarkStart w:id="164" w:name="_Toc296602439"/>
      <w:bookmarkStart w:id="165" w:name="_Toc247085708"/>
      <w:bookmarkStart w:id="166" w:name="_Toc246996937"/>
      <w:r>
        <w:rPr>
          <w:rFonts w:hint="eastAsia"/>
        </w:rPr>
        <w:t>3.3 投标有效期</w:t>
      </w:r>
      <w:bookmarkEnd w:id="159"/>
      <w:bookmarkEnd w:id="160"/>
      <w:bookmarkEnd w:id="161"/>
      <w:bookmarkEnd w:id="162"/>
      <w:bookmarkEnd w:id="163"/>
      <w:bookmarkEnd w:id="164"/>
      <w:bookmarkEnd w:id="165"/>
      <w:bookmarkEnd w:id="16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3.3.1 除投标人须知前附表另有规定外，投标有效期为</w:t>
      </w:r>
      <w:r>
        <w:rPr>
          <w:rFonts w:hint="eastAsia"/>
          <w:lang w:val="en-US" w:eastAsia="zh-CN"/>
        </w:rPr>
        <w:t>9</w:t>
      </w:r>
      <w:r>
        <w:rPr>
          <w:rFonts w:hint="eastAsia"/>
        </w:rPr>
        <w:t>0天。</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3.3.2在投标有效期内，投标人撤销或修改其投标文件的，应承担招标文件和法律规定的责任。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楷体_GB2312" w:hAnsi="宋体" w:eastAsia="楷体_GB2312"/>
          <w:szCs w:val="21"/>
        </w:rPr>
      </w:pPr>
      <w:r>
        <w:rPr>
          <w:rFonts w:hint="eastAsia"/>
        </w:rPr>
        <w:t>3.3.3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7" w:name="_Toc296602440"/>
      <w:bookmarkStart w:id="168" w:name="_Toc246996195"/>
      <w:bookmarkStart w:id="169" w:name="_Toc152042326"/>
      <w:bookmarkStart w:id="170" w:name="_Toc144974518"/>
      <w:bookmarkStart w:id="171" w:name="_Toc179632568"/>
      <w:bookmarkStart w:id="172" w:name="_Toc247085709"/>
      <w:bookmarkStart w:id="173" w:name="_Toc152045550"/>
      <w:bookmarkStart w:id="174" w:name="_Toc246996938"/>
      <w:r>
        <w:rPr>
          <w:rFonts w:hint="eastAsia"/>
        </w:rPr>
        <w:t>3.4 投标保证金</w:t>
      </w:r>
      <w:bookmarkEnd w:id="167"/>
      <w:bookmarkEnd w:id="168"/>
      <w:bookmarkEnd w:id="169"/>
      <w:bookmarkEnd w:id="170"/>
      <w:bookmarkEnd w:id="171"/>
      <w:bookmarkEnd w:id="172"/>
      <w:bookmarkEnd w:id="173"/>
      <w:bookmarkEnd w:id="17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3.4.1 投标人须知前附表规定递交投标保证金的，投标人在递交投标文件的同时，应按投标人须知前附表规定的金额、担保形式和第八章“投标文件格式”规定的或者事先经过招标人认可的投标保证金格式递交投标保证金，并作为其投标文件的组成部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3.4.2 投标人不按本章第3.4.1项要求提交投标保证金的，评标委员会将否决其投标。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b/>
        </w:rPr>
      </w:pPr>
      <w:r>
        <w:rPr>
          <w:rFonts w:hint="eastAsia"/>
        </w:rPr>
        <w:t xml:space="preserve">3.4.3 </w:t>
      </w:r>
      <w:r>
        <w:rPr>
          <w:rFonts w:hint="eastAsia" w:ascii="宋体" w:hAnsi="宋体" w:cs="宋体"/>
          <w:b/>
          <w:kern w:val="0"/>
          <w:szCs w:val="21"/>
        </w:rPr>
        <w:t>退还投标保证金的具体要求详见投标须知前附表。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3.4.4 有下列情形之一的，投标保证金将不予退还：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（1）投标人在规定的投标有效期内撤销或修改其投标文件；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（2）中标人在收到中标通知书后，无正当理由拒签合同协议书或未按招标文件规定提交履约担保；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（3）其他不予退还投标保证金的情形。</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5" w:name="_Toc246996196"/>
      <w:bookmarkStart w:id="176" w:name="_Toc296602441"/>
      <w:bookmarkStart w:id="177" w:name="_Toc246996939"/>
      <w:bookmarkStart w:id="178" w:name="_Toc152045552"/>
      <w:bookmarkStart w:id="179" w:name="_Toc247085710"/>
      <w:bookmarkStart w:id="180" w:name="_Toc152042328"/>
      <w:bookmarkStart w:id="181" w:name="_Toc144974520"/>
      <w:bookmarkStart w:id="182" w:name="_Toc179632570"/>
      <w:r>
        <w:rPr>
          <w:rFonts w:hint="eastAsia"/>
        </w:rPr>
        <w:t>3.5 资格审查资料</w:t>
      </w:r>
      <w:bookmarkEnd w:id="175"/>
      <w:bookmarkEnd w:id="176"/>
      <w:bookmarkEnd w:id="177"/>
      <w:bookmarkEnd w:id="178"/>
      <w:bookmarkEnd w:id="179"/>
      <w:bookmarkEnd w:id="180"/>
      <w:bookmarkEnd w:id="181"/>
      <w:bookmarkEnd w:id="18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3.5.1“投标人基本情况表”应附投标人有效的营业执照（统一社会信用代码）、资质证书等材料的扫描件或复印件。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3.5.2“近年财务状况表”应附经会计师事务所或审计机构审计的财务会计报表，包括资产负债表、现金流量表、利润表和财务情况说明书等扫描件或复印件。具体要求见投标人须知前附表。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3.5.3“近年完成的类似项目情况表”应附中标通知书和（或）合同协议书、发包人出具的证明文件；具体时间要求见投标人须知前附表，每张表格只填写一个项目，并标明序号。具体要求见投标人须知前附表。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3.5.4 “正在实施和新承接的项目情况表”应附中标通知书和（或）合同协议书扫描件或复印件。每张表格只填写一个项目，并标明序号。具体要求见投标人须知前附表。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3.5.5“近年发生的重大诉讼及仲裁情况”应说明相关情况，并附法院或仲裁机构作出的判决、裁决等有关法律文书扫描件或复印件。具体要求见投标人须知前附表。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3.5.6“拟委任的主要人员汇总表”应填报满足本章第 1.4.1 项规定的项目负责人和其他主要人员的相关信息。“主要人员简历表”中项目负责人应附身份证、学历证、职称证、执业资格证书和社保缴费证明复印件，管理过的项目业绩须附合同协议书复印件；其他主要人员应附身份证、学历证、职称证、有关证书和社保缴费证明复印件。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3.5.7投标人须知前附表规定接受联合体投标的，本章第3.5.1项至第3.5.5项规定的表格和资料应包括联合体各方相关情况。</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3.6  备选投标方案</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3.6.1  除投标人须知前附表规定允许外，投标人不得递交备选投标方案， 否则其投标将被否决。</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3.6.2  允许投标人递交备选投标方案的，只有中标人所递交的备选投标方案方可予以考虑。 评标委员会认为中标人的备选投标方案优于其按照招标文件要求编制的投标方案的，招标人可以接受该备选投标方案。</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3.6.3  投标人提供两个或两个以上投标报价，或者在投标文件中提供一个报价，但同时提供两个或两个以上勘察方案的， 视为提供备选方案。</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83" w:name="_Toc247085711"/>
      <w:bookmarkStart w:id="184" w:name="_Toc152042329"/>
      <w:bookmarkStart w:id="185" w:name="_Toc246996940"/>
      <w:bookmarkStart w:id="186" w:name="_Toc296602442"/>
      <w:bookmarkStart w:id="187" w:name="_Toc179632571"/>
      <w:bookmarkStart w:id="188" w:name="_Toc246996197"/>
      <w:bookmarkStart w:id="189" w:name="_Toc144974521"/>
      <w:bookmarkStart w:id="190" w:name="_Toc152045553"/>
      <w:r>
        <w:rPr>
          <w:rFonts w:hint="eastAsia"/>
        </w:rPr>
        <w:t>3.</w:t>
      </w:r>
      <w:r>
        <w:rPr>
          <w:rFonts w:hint="eastAsia"/>
          <w:lang w:val="en-US" w:eastAsia="zh-CN"/>
        </w:rPr>
        <w:t>7</w:t>
      </w:r>
      <w:r>
        <w:rPr>
          <w:rFonts w:hint="eastAsia"/>
        </w:rPr>
        <w:t>投标文件的编制</w:t>
      </w:r>
      <w:bookmarkEnd w:id="183"/>
      <w:bookmarkEnd w:id="184"/>
      <w:bookmarkEnd w:id="185"/>
      <w:bookmarkEnd w:id="186"/>
      <w:bookmarkEnd w:id="187"/>
      <w:bookmarkEnd w:id="188"/>
      <w:bookmarkEnd w:id="189"/>
      <w:bookmarkEnd w:id="190"/>
      <w:bookmarkStart w:id="191" w:name="_Toc144974523"/>
      <w:bookmarkStart w:id="192" w:name="_Toc246996942"/>
      <w:bookmarkStart w:id="193" w:name="_Toc152045555"/>
      <w:bookmarkStart w:id="194" w:name="_Toc246996199"/>
      <w:bookmarkStart w:id="195" w:name="_Toc179632573"/>
      <w:bookmarkStart w:id="196" w:name="_Toc152042331"/>
      <w:bookmarkStart w:id="197" w:name="_Toc24708571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198" w:name="_Toc296602443"/>
      <w:r>
        <w:rPr>
          <w:rFonts w:hint="eastAsia"/>
        </w:rPr>
        <w:t>3.7.1 投标文件应按第</w:t>
      </w:r>
      <w:r>
        <w:rPr>
          <w:rFonts w:hint="eastAsia"/>
          <w:lang w:val="en-US" w:eastAsia="zh-CN"/>
        </w:rPr>
        <w:t>六</w:t>
      </w:r>
      <w:r>
        <w:rPr>
          <w:rFonts w:hint="eastAsia"/>
        </w:rPr>
        <w:t>章“投标文件格式”进行编写，如有必要，可以增加附页，作为投标文件的组成部分。其中，投标函附录（如要求）在满足招标文件实质性要求的基础上，可以提出比招标文件要求更有利于招标人的承诺。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3.7.2 投标文件应当对招标文件有关招标范围、投标有效期、服务期限、质量标准、发包人要求等实质性内容作出响应。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3.7.3 投标文件应用投标文件制作软件进行编制（不褪色的材料书写或打印），并由投标人的法定代表人或其授权的代理人签字或盖单位章。投标人的法定代表人授权代理人签字的，投标文件应附由法定代表人签署的授权委托书。投标文件应尽量避免涂改、行间插字或删除。如果出现上述情况，改动之处应加盖单位章或由投标人的法定代表人或其授权的代理人签字确认。签字或盖章的具体要求见投标人须知前附表。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3.7.4投标文件份数要求见投标人须知前附表。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3.7.5投标文件装订要求见投标人须知前附表规定。 </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4. 投标</w:t>
      </w:r>
      <w:bookmarkEnd w:id="191"/>
      <w:bookmarkEnd w:id="192"/>
      <w:bookmarkEnd w:id="193"/>
      <w:bookmarkEnd w:id="194"/>
      <w:bookmarkEnd w:id="195"/>
      <w:bookmarkEnd w:id="196"/>
      <w:bookmarkEnd w:id="197"/>
      <w:bookmarkEnd w:id="198"/>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9" w:name="_Toc152045556"/>
      <w:bookmarkStart w:id="200" w:name="_Toc144974524"/>
      <w:bookmarkStart w:id="201" w:name="_Toc247085714"/>
      <w:bookmarkStart w:id="202" w:name="_Toc152042332"/>
      <w:bookmarkStart w:id="203" w:name="_Toc296602444"/>
      <w:bookmarkStart w:id="204" w:name="_Toc246996943"/>
      <w:bookmarkStart w:id="205" w:name="_Toc246996200"/>
      <w:bookmarkStart w:id="206" w:name="_Toc179632574"/>
      <w:r>
        <w:rPr>
          <w:rFonts w:hint="eastAsia"/>
        </w:rPr>
        <w:t>4.1 投标文件的密封和标记</w:t>
      </w:r>
      <w:bookmarkEnd w:id="199"/>
      <w:bookmarkEnd w:id="200"/>
      <w:bookmarkEnd w:id="201"/>
      <w:bookmarkEnd w:id="202"/>
      <w:bookmarkEnd w:id="203"/>
      <w:bookmarkEnd w:id="204"/>
      <w:bookmarkEnd w:id="205"/>
      <w:bookmarkEnd w:id="20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207" w:name="_Toc246996944"/>
      <w:bookmarkStart w:id="208" w:name="_Toc152042333"/>
      <w:bookmarkStart w:id="209" w:name="_Toc179632575"/>
      <w:bookmarkStart w:id="210" w:name="_Toc144974525"/>
      <w:bookmarkStart w:id="211" w:name="_Toc247085715"/>
      <w:bookmarkStart w:id="212" w:name="_Toc246996201"/>
      <w:bookmarkStart w:id="213" w:name="_Toc152045557"/>
      <w:r>
        <w:rPr>
          <w:rFonts w:hint="eastAsia"/>
        </w:rPr>
        <w:t>4.1.1 投标文件应密封包装，并在封套的封口处加盖投标人单位章或由投标人的法定代表人或其授权的代理人签字。</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4.1.2  投标文件封套上应写明的内容见投标人须知前附表。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4.1.3  未按本章第 4.1.1 项要求密封的投标文件，招标人将予以拒收。</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4" w:name="_Toc296602445"/>
      <w:r>
        <w:rPr>
          <w:rFonts w:hint="eastAsia"/>
        </w:rPr>
        <w:t>4.2 投标文件的递交</w:t>
      </w:r>
      <w:bookmarkEnd w:id="207"/>
      <w:bookmarkEnd w:id="208"/>
      <w:bookmarkEnd w:id="209"/>
      <w:bookmarkEnd w:id="210"/>
      <w:bookmarkEnd w:id="211"/>
      <w:bookmarkEnd w:id="212"/>
      <w:bookmarkEnd w:id="213"/>
      <w:bookmarkEnd w:id="21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4.2.1  投标人应在投标人须知前附表规定的投标截止时间前递交投标文件。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4.2.2  投标人递交投标文件的地点： 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4.2.3  除投标人须知前附表另有规定外，投标人所递交的投标文件不予退还。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w:t>
      </w:r>
      <w:r>
        <w:rPr>
          <w:rFonts w:hint="eastAsia"/>
          <w:lang w:val="en-US" w:eastAsia="zh-CN"/>
        </w:rPr>
        <w:t>4</w:t>
      </w:r>
      <w:r>
        <w:rPr>
          <w:rFonts w:hint="eastAsia"/>
        </w:rPr>
        <w:t xml:space="preserve"> </w:t>
      </w:r>
      <w:r>
        <w:rPr>
          <w:rFonts w:hint="eastAsia"/>
          <w:lang w:val="en-US" w:eastAsia="zh-CN"/>
        </w:rPr>
        <w:t xml:space="preserve"> </w:t>
      </w:r>
      <w:r>
        <w:rPr>
          <w:rFonts w:hint="eastAsia"/>
        </w:rPr>
        <w:t>逾期送达的投标文件，招标人将予以拒收。</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5" w:name="_Toc152045558"/>
      <w:bookmarkStart w:id="216" w:name="_Toc152042334"/>
      <w:bookmarkStart w:id="217" w:name="_Toc144974526"/>
      <w:bookmarkStart w:id="218" w:name="_Toc247085716"/>
      <w:bookmarkStart w:id="219" w:name="_Toc296602446"/>
      <w:bookmarkStart w:id="220" w:name="_Toc179632576"/>
      <w:bookmarkStart w:id="221" w:name="_Toc246996945"/>
      <w:bookmarkStart w:id="222" w:name="_Toc246996202"/>
      <w:r>
        <w:rPr>
          <w:rFonts w:hint="eastAsia"/>
        </w:rPr>
        <w:t>4.3 投标文件的修改与撤回</w:t>
      </w:r>
      <w:bookmarkEnd w:id="215"/>
      <w:bookmarkEnd w:id="216"/>
      <w:bookmarkEnd w:id="217"/>
      <w:bookmarkEnd w:id="218"/>
      <w:bookmarkEnd w:id="219"/>
      <w:bookmarkEnd w:id="220"/>
      <w:bookmarkEnd w:id="221"/>
      <w:bookmarkEnd w:id="22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4.3.1  在本章第 4.2.1 项规定的投标截止时间前，投标人可以修改或撤回已递交的投标文件，但应以书面形式通知招标人。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4.3.2 </w:t>
      </w:r>
      <w:r>
        <w:rPr>
          <w:rFonts w:hint="eastAsia"/>
          <w:lang w:val="en-US" w:eastAsia="zh-CN"/>
        </w:rPr>
        <w:t xml:space="preserve"> </w:t>
      </w:r>
      <w:r>
        <w:rPr>
          <w:rFonts w:hint="eastAsia"/>
        </w:rPr>
        <w:t>投标人修改或撤回已递交投标文件的书面通知应按照本章第 3.7.3（A）项的要求签字或盖章。招标人收到书面通知后， 向投标人出具签收凭证。</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4.3.3  投标人撤回投标文件的，招标人自收到投标人书面撤回通知之日起 5  日内退还已收取的投标保证金。</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4.3.4  修改的内容为投标文件的组成部分。修改的投标文件应按照本章第 3 条、第 4 条的规定进行编制、密封、标记和递交，并标明“修改”字样。</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23" w:name="_Toc247085717"/>
      <w:bookmarkStart w:id="224" w:name="_Toc246996946"/>
      <w:bookmarkStart w:id="225" w:name="_Toc152045559"/>
      <w:bookmarkStart w:id="226" w:name="_Toc144974527"/>
      <w:bookmarkStart w:id="227" w:name="_Toc296602447"/>
      <w:bookmarkStart w:id="228" w:name="_Toc179632577"/>
      <w:bookmarkStart w:id="229" w:name="_Toc246996203"/>
      <w:bookmarkStart w:id="230" w:name="_Toc152042335"/>
      <w:r>
        <w:rPr>
          <w:rFonts w:hint="eastAsia"/>
        </w:rPr>
        <w:t>5. 开标</w:t>
      </w:r>
      <w:bookmarkEnd w:id="223"/>
      <w:bookmarkEnd w:id="224"/>
      <w:bookmarkEnd w:id="225"/>
      <w:bookmarkEnd w:id="226"/>
      <w:bookmarkEnd w:id="227"/>
      <w:bookmarkEnd w:id="228"/>
      <w:bookmarkEnd w:id="229"/>
      <w:bookmarkEnd w:id="23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1" w:name="_Toc179632578"/>
      <w:bookmarkStart w:id="232" w:name="_Toc296602448"/>
      <w:bookmarkStart w:id="233" w:name="_Toc144974528"/>
      <w:bookmarkStart w:id="234" w:name="_Toc246996204"/>
      <w:bookmarkStart w:id="235" w:name="_Toc152042336"/>
      <w:bookmarkStart w:id="236" w:name="_Toc247085718"/>
      <w:bookmarkStart w:id="237" w:name="_Toc152045560"/>
      <w:bookmarkStart w:id="238" w:name="_Toc246996947"/>
      <w:r>
        <w:rPr>
          <w:rFonts w:hint="eastAsia"/>
        </w:rPr>
        <w:t>5.1 开标时间和地点</w:t>
      </w:r>
      <w:bookmarkEnd w:id="231"/>
      <w:bookmarkEnd w:id="232"/>
      <w:bookmarkEnd w:id="233"/>
      <w:bookmarkEnd w:id="234"/>
      <w:bookmarkEnd w:id="235"/>
      <w:bookmarkEnd w:id="236"/>
      <w:bookmarkEnd w:id="237"/>
      <w:bookmarkEnd w:id="2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招标人在本章第 4.2.1 项规定的投标截止时间（开标时间） 和投标人须知前附表规定的地点公开开标， 并邀请所有投标人的法定代表人或其委托代理人准时参加。</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9" w:name="_Toc246996205"/>
      <w:bookmarkStart w:id="240" w:name="_Toc247085719"/>
      <w:bookmarkStart w:id="241" w:name="_Toc296602449"/>
      <w:bookmarkStart w:id="242" w:name="_Toc152045561"/>
      <w:bookmarkStart w:id="243" w:name="_Toc179632579"/>
      <w:bookmarkStart w:id="244" w:name="_Toc144974529"/>
      <w:bookmarkStart w:id="245" w:name="_Toc246996948"/>
      <w:bookmarkStart w:id="246" w:name="_Toc152042337"/>
      <w:r>
        <w:rPr>
          <w:rFonts w:hint="eastAsia"/>
        </w:rPr>
        <w:t>5.2 开标程序</w:t>
      </w:r>
      <w:bookmarkEnd w:id="239"/>
      <w:bookmarkEnd w:id="240"/>
      <w:bookmarkEnd w:id="241"/>
      <w:bookmarkEnd w:id="242"/>
      <w:bookmarkEnd w:id="243"/>
      <w:bookmarkEnd w:id="244"/>
      <w:bookmarkEnd w:id="245"/>
      <w:bookmarkEnd w:id="246"/>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主持人按下列程序进行开标：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（1）宣布开标纪律；</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（2）公布在投标截止时间前递交投标文件的投标人名称；</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（3）宣布开标人、唱标人、记录人、监标人等有关人员姓名（如有）；</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（4）检查投标文件的密封情况，按照投标人须知前附表规定的开标顺序当众开标， 公布招标项目名称、投标人名称、投标保证金的递交情况、投标报价、服务期限及其他内容，并记录在案；</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（5）投标人代表、招标人代表、监标人、记录人等有关人员（如有）在开标记录上签字确认；</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（6）开标结束。</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5.2.2如有询标事宜，评标委员会向投标人发起询标。投标人应在规定的时间内（从评标委员会发起询标起不超过30分钟）对询标内容进行答复，否则视为放弃答复。</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7" w:name="_Toc296602450"/>
      <w:r>
        <w:rPr>
          <w:rFonts w:hint="eastAsia"/>
        </w:rPr>
        <w:t>5.3 开标异议</w:t>
      </w:r>
      <w:bookmarkEnd w:id="247"/>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投标人对开标有异议的，应当在开标现场提出，招标人当场作出答复，并制作记录。</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48" w:name="_Toc296602451"/>
      <w:bookmarkStart w:id="249" w:name="_Toc179632580"/>
      <w:bookmarkStart w:id="250" w:name="_Toc152045562"/>
      <w:bookmarkStart w:id="251" w:name="_Toc144974530"/>
      <w:bookmarkStart w:id="252" w:name="_Toc246996206"/>
      <w:bookmarkStart w:id="253" w:name="_Toc246996949"/>
      <w:bookmarkStart w:id="254" w:name="_Toc247085720"/>
      <w:bookmarkStart w:id="255" w:name="_Toc152042338"/>
      <w:r>
        <w:rPr>
          <w:rFonts w:hint="eastAsia"/>
        </w:rPr>
        <w:t>6. 评标</w:t>
      </w:r>
      <w:bookmarkEnd w:id="248"/>
      <w:bookmarkEnd w:id="249"/>
      <w:bookmarkEnd w:id="250"/>
      <w:bookmarkEnd w:id="251"/>
      <w:bookmarkEnd w:id="252"/>
      <w:bookmarkEnd w:id="253"/>
      <w:bookmarkEnd w:id="254"/>
      <w:bookmarkEnd w:id="255"/>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56" w:name="_Toc152042339"/>
      <w:bookmarkStart w:id="257" w:name="_Toc152045563"/>
      <w:bookmarkStart w:id="258" w:name="_Toc247085721"/>
      <w:bookmarkStart w:id="259" w:name="_Toc246996207"/>
      <w:bookmarkStart w:id="260" w:name="_Toc179632581"/>
      <w:bookmarkStart w:id="261" w:name="_Toc144974531"/>
      <w:bookmarkStart w:id="262" w:name="_Toc246996950"/>
      <w:bookmarkStart w:id="263" w:name="_Toc296602452"/>
      <w:r>
        <w:rPr>
          <w:rFonts w:hint="eastAsia"/>
        </w:rPr>
        <w:t>6.1 评标委员会</w:t>
      </w:r>
      <w:bookmarkEnd w:id="256"/>
      <w:bookmarkEnd w:id="257"/>
      <w:bookmarkEnd w:id="258"/>
      <w:bookmarkEnd w:id="259"/>
      <w:bookmarkEnd w:id="260"/>
      <w:bookmarkEnd w:id="261"/>
      <w:bookmarkEnd w:id="262"/>
      <w:bookmarkEnd w:id="263"/>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6.1.1 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6.1.2 评标委员会成员有下列情形之一的，应当回避：</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（1）投标人或投标人主要负责人的近亲属；</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（2）项目主管部门或者行政监督部门的人员；</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（3）与投标人有经济利益关系，可能影响对投标公正评审的；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（4）曾因在招标、评标以及其他与招标投标有关活动中从事违法行为而受过行政处罚或刑事处罚的；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（5）与投标人有其他利害关系。</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64" w:name="_Toc247085722"/>
      <w:bookmarkStart w:id="265" w:name="_Toc296602453"/>
      <w:bookmarkStart w:id="266" w:name="_Toc246996951"/>
      <w:bookmarkStart w:id="267" w:name="_Toc246996208"/>
      <w:bookmarkStart w:id="268" w:name="_Toc179632582"/>
      <w:bookmarkStart w:id="269" w:name="_Toc152042340"/>
      <w:bookmarkStart w:id="270" w:name="_Toc144974532"/>
      <w:bookmarkStart w:id="271" w:name="_Toc152045564"/>
      <w:r>
        <w:rPr>
          <w:rFonts w:hint="eastAsia"/>
        </w:rPr>
        <w:t>6.2 评标原则</w:t>
      </w:r>
      <w:bookmarkEnd w:id="264"/>
      <w:bookmarkEnd w:id="265"/>
      <w:bookmarkEnd w:id="266"/>
      <w:bookmarkEnd w:id="267"/>
      <w:bookmarkEnd w:id="268"/>
      <w:bookmarkEnd w:id="269"/>
      <w:bookmarkEnd w:id="270"/>
      <w:bookmarkEnd w:id="2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评标活动遵循公平、公正、科学和择优的原则。</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72" w:name="_Toc247085723"/>
      <w:bookmarkStart w:id="273" w:name="_Toc296602454"/>
      <w:bookmarkStart w:id="274" w:name="_Toc144974533"/>
      <w:bookmarkStart w:id="275" w:name="_Toc152045565"/>
      <w:bookmarkStart w:id="276" w:name="_Toc246996952"/>
      <w:bookmarkStart w:id="277" w:name="_Toc179632583"/>
      <w:bookmarkStart w:id="278" w:name="_Toc152042341"/>
      <w:bookmarkStart w:id="279" w:name="_Toc246996209"/>
      <w:r>
        <w:rPr>
          <w:rFonts w:hint="eastAsia"/>
        </w:rPr>
        <w:t>6.3 评标</w:t>
      </w:r>
      <w:bookmarkEnd w:id="272"/>
      <w:bookmarkEnd w:id="273"/>
      <w:bookmarkEnd w:id="274"/>
      <w:bookmarkEnd w:id="275"/>
      <w:bookmarkEnd w:id="276"/>
      <w:bookmarkEnd w:id="277"/>
      <w:bookmarkEnd w:id="278"/>
      <w:bookmarkEnd w:id="279"/>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6.3.1评标委员会按照第三章“评标办法”规定的方法、评审因素、标准和程序对投标文件进行评审。第三章“评标办法”没有规定的方法、评审因素和标准，不作为评标依据。</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6.3.2 评标完成后，评标委员会应当向招标人提交书面评标报告和中标候选人名单。评标委员会推荐中标候选人的人数见投标人须知前附表。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80" w:name="_Toc296602455"/>
      <w:bookmarkStart w:id="281" w:name="_Toc152045566"/>
      <w:bookmarkStart w:id="282" w:name="_Toc152042342"/>
      <w:bookmarkStart w:id="283" w:name="_Toc246996210"/>
      <w:bookmarkStart w:id="284" w:name="_Toc179632584"/>
      <w:bookmarkStart w:id="285" w:name="_Toc247085724"/>
      <w:bookmarkStart w:id="286" w:name="_Toc246996953"/>
      <w:bookmarkStart w:id="287" w:name="_Toc144974534"/>
      <w:r>
        <w:rPr>
          <w:rFonts w:hint="eastAsia"/>
        </w:rPr>
        <w:t>7. 合同授予</w:t>
      </w:r>
      <w:bookmarkEnd w:id="280"/>
      <w:bookmarkEnd w:id="281"/>
      <w:bookmarkEnd w:id="282"/>
      <w:bookmarkEnd w:id="283"/>
      <w:bookmarkEnd w:id="284"/>
      <w:bookmarkEnd w:id="285"/>
      <w:bookmarkEnd w:id="286"/>
      <w:bookmarkEnd w:id="287"/>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88" w:name="_Toc152045567"/>
      <w:bookmarkStart w:id="289" w:name="_Toc296602456"/>
      <w:bookmarkStart w:id="290" w:name="_Toc144974535"/>
      <w:bookmarkStart w:id="291" w:name="_Toc246996954"/>
      <w:bookmarkStart w:id="292" w:name="_Toc152042343"/>
      <w:bookmarkStart w:id="293" w:name="_Toc246996211"/>
      <w:bookmarkStart w:id="294" w:name="_Toc247085725"/>
      <w:bookmarkStart w:id="295" w:name="_Toc179632585"/>
      <w:r>
        <w:rPr>
          <w:rFonts w:hint="eastAsia"/>
        </w:rPr>
        <w:t>7.1中标候选人公示</w:t>
      </w:r>
      <w:bookmarkEnd w:id="288"/>
      <w:bookmarkEnd w:id="289"/>
      <w:bookmarkEnd w:id="290"/>
      <w:bookmarkEnd w:id="291"/>
      <w:bookmarkEnd w:id="292"/>
      <w:bookmarkEnd w:id="293"/>
      <w:bookmarkEnd w:id="294"/>
      <w:bookmarkEnd w:id="295"/>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招标人在收到评标报告之日起 3 日内，按照投标人须知前附表规定的公示媒介和期限公示中标候选人。</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7.2 评标结果异议</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投标人或者其他利害关系人对评标结果有异议的，应当在中标候选人公示期间提出。招标人将在收到异议之日起 3 日内作出答复；作出答复前，将暂停招标投标活动。</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7.3 中标候选人履约能力审查</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中标候选人的经营、财务状况发生较大变化或存在违法行为，招标人认为可能影响其履约能力的，将在发出中标通知书前提请原评标委员会按照招标文件规定的标准和方法进行审查确认。</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7.4 定标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按照投标人须知前附表的规定， 招标人或招标人授权的评标委员会依法确定中标人。</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96" w:name="_Toc152042344"/>
      <w:bookmarkStart w:id="297" w:name="_Toc296602458"/>
      <w:bookmarkStart w:id="298" w:name="_Toc179632586"/>
      <w:bookmarkStart w:id="299" w:name="_Toc144974536"/>
      <w:bookmarkStart w:id="300" w:name="_Toc247085726"/>
      <w:bookmarkStart w:id="301" w:name="_Toc246996212"/>
      <w:bookmarkStart w:id="302" w:name="_Toc246996955"/>
      <w:bookmarkStart w:id="303" w:name="_Toc152045568"/>
      <w:r>
        <w:rPr>
          <w:rFonts w:hint="eastAsia"/>
        </w:rPr>
        <w:t>7.5 中标通知</w:t>
      </w:r>
      <w:bookmarkEnd w:id="296"/>
      <w:bookmarkEnd w:id="297"/>
      <w:bookmarkEnd w:id="298"/>
      <w:bookmarkEnd w:id="299"/>
      <w:bookmarkEnd w:id="300"/>
      <w:bookmarkEnd w:id="301"/>
      <w:bookmarkEnd w:id="302"/>
      <w:bookmarkEnd w:id="303"/>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在本章第 3.3 款规定的投标有效期内，招标人以书面形式向中标人发出中标通知书，同时将中标结果通知未中标的投标人。</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04" w:name="_Toc246996956"/>
      <w:bookmarkStart w:id="305" w:name="_Toc247085727"/>
      <w:bookmarkStart w:id="306" w:name="_Toc144974537"/>
      <w:bookmarkStart w:id="307" w:name="_Toc296602459"/>
      <w:bookmarkStart w:id="308" w:name="_Toc246996213"/>
      <w:bookmarkStart w:id="309" w:name="_Toc152045569"/>
      <w:bookmarkStart w:id="310" w:name="_Toc179632587"/>
      <w:bookmarkStart w:id="311" w:name="_Toc152042345"/>
      <w:r>
        <w:rPr>
          <w:rFonts w:hint="eastAsia"/>
        </w:rPr>
        <w:t>7.7 履约担保</w:t>
      </w:r>
      <w:bookmarkEnd w:id="304"/>
      <w:bookmarkEnd w:id="305"/>
      <w:bookmarkEnd w:id="306"/>
      <w:bookmarkEnd w:id="307"/>
      <w:bookmarkEnd w:id="308"/>
      <w:bookmarkEnd w:id="309"/>
      <w:bookmarkEnd w:id="310"/>
      <w:bookmarkEnd w:id="311"/>
      <w:r>
        <w:rPr>
          <w:rFonts w:hint="eastAsia"/>
        </w:rPr>
        <w:t>（履约保证金）</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7.6.1  在签订合同前，中标人应按投标人须知前附表规定的形式、金额和招标文件第四章“合同条款及格式”规定的或者事先经过招标人书面认可的履约保证金格式向招标人提交履约保证 金。除投标人须知前附表另有规定外，履约保证金为中标合同金额的 10%。联合体中标的， 其履约保证金以联合体各方或者联合体中牵头人的名义提交。</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7.6.2  中标人不能按本章第 7.6.1 项要求提交履约保证金的，视为放弃中标， 其投标保证金不予退还， 给招标人造成的损失超过投标保证金数额的， 中标人还应当对超过部分予以赔偿。</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12" w:name="_Toc144974538"/>
      <w:bookmarkStart w:id="313" w:name="_Toc246996957"/>
      <w:bookmarkStart w:id="314" w:name="_Toc247085728"/>
      <w:bookmarkStart w:id="315" w:name="_Toc296602460"/>
      <w:bookmarkStart w:id="316" w:name="_Toc246996214"/>
      <w:bookmarkStart w:id="317" w:name="_Toc179632588"/>
      <w:bookmarkStart w:id="318" w:name="_Toc152045570"/>
      <w:bookmarkStart w:id="319" w:name="_Toc152042346"/>
      <w:r>
        <w:rPr>
          <w:rFonts w:hint="eastAsia"/>
        </w:rPr>
        <w:t>7.8 签订合同</w:t>
      </w:r>
      <w:bookmarkEnd w:id="312"/>
      <w:bookmarkEnd w:id="313"/>
      <w:bookmarkEnd w:id="314"/>
      <w:bookmarkEnd w:id="315"/>
      <w:bookmarkEnd w:id="316"/>
      <w:bookmarkEnd w:id="317"/>
      <w:bookmarkEnd w:id="318"/>
      <w:bookmarkEnd w:id="319"/>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7.7.1  招标人和中标人应当在中标通知书发出之日起 30日内，根据招标文件和中标人的投标文件订立书面合同。中标人无正当理由拒签合同，在签订合同时向招标人提出附加条件， 或者不按照招标文件要求提交履约保证金的，招标人有权取消其中标资格，其投标保证金不予退还；给招标人造成的损失超过投标保证金数额的， 中标人还应当对超过部分予以赔偿。</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7.7.2  发出中标通知书后， 招标人无正当理由拒签合同， 或者在签订合同时向中标人提出附加条件的， 招标人向中标人退还投标保证金； 给中标人造成损失的，还应当赔偿损失。</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7.7.3 联合体中标的， 联合体各方应当共同与招标人签订合同， 就中标项目向招标人承担连带责任。</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20" w:name="_Toc296602461"/>
      <w:r>
        <w:rPr>
          <w:rFonts w:hint="eastAsia"/>
        </w:rPr>
        <w:t>8. 纪律和监督</w:t>
      </w:r>
      <w:bookmarkEnd w:id="32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1" w:name="_Toc152042351"/>
      <w:bookmarkStart w:id="322" w:name="_Toc152045575"/>
      <w:bookmarkStart w:id="323" w:name="_Toc296590983"/>
      <w:bookmarkStart w:id="324" w:name="_Toc179632593"/>
      <w:bookmarkStart w:id="325" w:name="_Toc247085733"/>
      <w:bookmarkStart w:id="326" w:name="_Toc246996962"/>
      <w:bookmarkStart w:id="327" w:name="_Toc144974543"/>
      <w:bookmarkStart w:id="328" w:name="_Toc296602462"/>
      <w:bookmarkStart w:id="329" w:name="_Toc246996219"/>
      <w:r>
        <w:rPr>
          <w:rFonts w:hint="eastAsia"/>
        </w:rPr>
        <w:t>8.1 对招标人的纪律要求</w:t>
      </w:r>
      <w:bookmarkEnd w:id="321"/>
      <w:bookmarkEnd w:id="322"/>
      <w:bookmarkEnd w:id="323"/>
      <w:bookmarkEnd w:id="324"/>
      <w:bookmarkEnd w:id="325"/>
      <w:bookmarkEnd w:id="326"/>
      <w:bookmarkEnd w:id="327"/>
      <w:bookmarkEnd w:id="328"/>
      <w:bookmarkEnd w:id="32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招标人不得泄漏招标投标活动中应当保密的情况和资料，不得与投标人串通损害国家利益、社会公共利益或者他人合法权益。</w:t>
      </w:r>
    </w:p>
    <w:p>
      <w:pPr>
        <w:pStyle w:val="3"/>
        <w:bidi w:val="0"/>
        <w:rPr>
          <w:rFonts w:hint="eastAsia"/>
        </w:rPr>
      </w:pPr>
      <w:bookmarkStart w:id="330" w:name="_Toc144974544"/>
      <w:bookmarkStart w:id="331" w:name="_Toc246996220"/>
      <w:bookmarkStart w:id="332" w:name="_Toc179632594"/>
      <w:bookmarkStart w:id="333" w:name="_Toc152045576"/>
      <w:bookmarkStart w:id="334" w:name="_Toc152042352"/>
      <w:bookmarkStart w:id="335" w:name="_Toc247085734"/>
      <w:bookmarkStart w:id="336" w:name="_Toc296602463"/>
      <w:bookmarkStart w:id="337" w:name="_Toc246996963"/>
      <w:r>
        <w:rPr>
          <w:rFonts w:hint="eastAsia"/>
        </w:rPr>
        <w:t>8.2 对投标人的纪律要求</w:t>
      </w:r>
      <w:bookmarkEnd w:id="330"/>
      <w:bookmarkEnd w:id="331"/>
      <w:bookmarkEnd w:id="332"/>
      <w:bookmarkEnd w:id="333"/>
      <w:bookmarkEnd w:id="334"/>
      <w:bookmarkEnd w:id="335"/>
      <w:bookmarkEnd w:id="336"/>
      <w:bookmarkEnd w:id="33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投标人不得相互串通投标或者与招标人串通投标，不得向招标人或者评标委员会成员行贿谋取中标，不得以他人名义投标或者以其他方式弄虚作假骗取中标；投标人不得以任何方式干扰、影响评标工作。</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38" w:name="_Toc246996964"/>
      <w:bookmarkStart w:id="339" w:name="_Toc179632595"/>
      <w:bookmarkStart w:id="340" w:name="_Toc152042353"/>
      <w:bookmarkStart w:id="341" w:name="_Toc144974545"/>
      <w:bookmarkStart w:id="342" w:name="_Toc246996221"/>
      <w:bookmarkStart w:id="343" w:name="_Toc296602464"/>
      <w:bookmarkStart w:id="344" w:name="_Toc152045577"/>
      <w:bookmarkStart w:id="345" w:name="_Toc247085735"/>
      <w:r>
        <w:rPr>
          <w:rFonts w:hint="eastAsia"/>
        </w:rPr>
        <w:t>8.3 对评标委员会成员的纪律要求</w:t>
      </w:r>
      <w:bookmarkEnd w:id="338"/>
      <w:bookmarkEnd w:id="339"/>
      <w:bookmarkEnd w:id="340"/>
      <w:bookmarkEnd w:id="341"/>
      <w:bookmarkEnd w:id="342"/>
      <w:bookmarkEnd w:id="343"/>
      <w:bookmarkEnd w:id="344"/>
      <w:bookmarkEnd w:id="34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46" w:name="_Toc296602465"/>
      <w:bookmarkStart w:id="347" w:name="_Toc247085736"/>
      <w:bookmarkStart w:id="348" w:name="_Toc246996965"/>
      <w:bookmarkStart w:id="349" w:name="_Toc152045578"/>
      <w:bookmarkStart w:id="350" w:name="_Toc152042354"/>
      <w:bookmarkStart w:id="351" w:name="_Toc246996222"/>
      <w:bookmarkStart w:id="352" w:name="_Toc179632596"/>
      <w:bookmarkStart w:id="353" w:name="_Toc144974546"/>
      <w:r>
        <w:rPr>
          <w:rFonts w:hint="eastAsia"/>
        </w:rPr>
        <w:t>8.4 对与评标活动有关的工作人员的纪律要求</w:t>
      </w:r>
      <w:bookmarkEnd w:id="346"/>
      <w:bookmarkEnd w:id="347"/>
      <w:bookmarkEnd w:id="348"/>
      <w:bookmarkEnd w:id="349"/>
      <w:bookmarkEnd w:id="350"/>
      <w:bookmarkEnd w:id="351"/>
      <w:bookmarkEnd w:id="35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354" w:name="_Toc152042355"/>
      <w:r>
        <w:rPr>
          <w:rFonts w:hint="eastAsia"/>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End w:id="354"/>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55" w:name="_Toc246996966"/>
      <w:bookmarkStart w:id="356" w:name="_Toc296602466"/>
      <w:bookmarkStart w:id="357" w:name="_Toc246996223"/>
      <w:bookmarkStart w:id="358" w:name="_Toc152045579"/>
      <w:bookmarkStart w:id="359" w:name="_Toc247085737"/>
      <w:bookmarkStart w:id="360" w:name="_Toc152042356"/>
      <w:bookmarkStart w:id="361" w:name="_Toc179632597"/>
      <w:r>
        <w:rPr>
          <w:rFonts w:hint="eastAsia"/>
        </w:rPr>
        <w:t>8.5 投诉</w:t>
      </w:r>
      <w:bookmarkEnd w:id="353"/>
      <w:bookmarkEnd w:id="355"/>
      <w:bookmarkEnd w:id="356"/>
      <w:bookmarkEnd w:id="357"/>
      <w:bookmarkEnd w:id="358"/>
      <w:bookmarkEnd w:id="359"/>
      <w:bookmarkEnd w:id="360"/>
      <w:bookmarkEnd w:id="36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投标人和其他利害关系人认为本次招标活动违反法律、法规和规章规定的，有权向有关行政监督部门投诉。</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62" w:name="_Toc296602468"/>
      <w:r>
        <w:rPr>
          <w:rFonts w:hint="eastAsia"/>
          <w:lang w:val="en-US" w:eastAsia="zh-CN"/>
        </w:rPr>
        <w:t>9</w:t>
      </w:r>
      <w:r>
        <w:rPr>
          <w:rFonts w:hint="eastAsia"/>
        </w:rPr>
        <w:t>．电子招标投标</w:t>
      </w:r>
      <w:bookmarkEnd w:id="36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采用电子招标投标，对投标文件的编制、密封和标记、递交、开标、评标等的具体要求，见投标人须知前附表。</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63" w:name="_Toc152045580"/>
      <w:bookmarkStart w:id="364" w:name="_Toc296602467"/>
      <w:bookmarkStart w:id="365" w:name="_Toc152042357"/>
      <w:bookmarkStart w:id="366" w:name="_Toc144974547"/>
      <w:bookmarkStart w:id="367" w:name="_Toc179632598"/>
      <w:bookmarkStart w:id="368" w:name="_Toc246996224"/>
      <w:bookmarkStart w:id="369" w:name="_Toc246996967"/>
      <w:bookmarkStart w:id="370" w:name="_Toc247085738"/>
      <w:r>
        <w:rPr>
          <w:rFonts w:hint="eastAsia"/>
          <w:lang w:val="en-US" w:eastAsia="zh-CN"/>
        </w:rPr>
        <w:t>10</w:t>
      </w:r>
      <w:r>
        <w:rPr>
          <w:rFonts w:hint="eastAsia"/>
        </w:rPr>
        <w:t>. 需要补充的其他内容</w:t>
      </w:r>
      <w:bookmarkEnd w:id="363"/>
      <w:bookmarkEnd w:id="364"/>
      <w:bookmarkEnd w:id="365"/>
      <w:bookmarkEnd w:id="366"/>
      <w:bookmarkEnd w:id="367"/>
      <w:bookmarkEnd w:id="368"/>
      <w:bookmarkEnd w:id="369"/>
      <w:bookmarkEnd w:id="37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需要补充的其他内容：见投标人须知前附表。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（合理低价法）</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tbl>
      <w:tblPr>
        <w:tblStyle w:val="15"/>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评标办法</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中标候选人排序方法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eastAsiaTheme="minorEastAsia"/>
                <w:i w:val="0"/>
                <w:iCs w:val="0"/>
                <w:color w:val="auto"/>
                <w:kern w:val="0"/>
                <w:sz w:val="24"/>
                <w:szCs w:val="24"/>
                <w:highlight w:val="none"/>
                <w:u w:val="none"/>
              </w:rPr>
            </w:pPr>
            <w:permStart w:id="65" w:edGrp="everyone"/>
            <w:r>
              <w:rPr>
                <w:rFonts w:hint="eastAsia" w:ascii="Times New Roman" w:hAnsi="Times New Roman" w:cs="Times New Roman"/>
                <w:i w:val="0"/>
                <w:iCs w:val="0"/>
                <w:color w:val="auto"/>
                <w:kern w:val="0"/>
                <w:sz w:val="24"/>
                <w:szCs w:val="24"/>
                <w:highlight w:val="none"/>
                <w:u w:val="none"/>
                <w:lang w:val="en-US" w:eastAsia="zh-CN"/>
              </w:rPr>
              <w:t>以评审合格的投标人的投标报价为</w:t>
            </w:r>
            <w:r>
              <w:rPr>
                <w:rFonts w:hint="default" w:ascii="Times New Roman" w:hAnsi="Times New Roman" w:cs="Times New Roman" w:eastAsiaTheme="minorEastAsia"/>
                <w:i w:val="0"/>
                <w:iCs w:val="0"/>
                <w:color w:val="auto"/>
                <w:kern w:val="0"/>
                <w:sz w:val="24"/>
                <w:szCs w:val="24"/>
                <w:highlight w:val="none"/>
                <w:u w:val="none"/>
              </w:rPr>
              <w:t>有效报价：</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eastAsiaTheme="minorEastAsia"/>
                <w:i w:val="0"/>
                <w:iCs w:val="0"/>
                <w:color w:val="auto"/>
                <w:kern w:val="0"/>
                <w:sz w:val="24"/>
                <w:szCs w:val="24"/>
                <w:highlight w:val="none"/>
                <w:u w:val="none"/>
              </w:rPr>
            </w:pPr>
            <w:r>
              <w:rPr>
                <w:rFonts w:hint="default" w:ascii="Times New Roman" w:hAnsi="Times New Roman" w:cs="Times New Roman" w:eastAsiaTheme="minorEastAsia"/>
                <w:i w:val="0"/>
                <w:iCs w:val="0"/>
                <w:color w:val="auto"/>
                <w:kern w:val="0"/>
                <w:sz w:val="24"/>
                <w:szCs w:val="24"/>
                <w:highlight w:val="none"/>
                <w:u w:val="none"/>
              </w:rPr>
              <w:t>（</w:t>
            </w:r>
            <w:r>
              <w:rPr>
                <w:rFonts w:hint="eastAsia" w:ascii="Times New Roman" w:hAnsi="Times New Roman" w:cs="Times New Roman"/>
                <w:i w:val="0"/>
                <w:iCs w:val="0"/>
                <w:color w:val="auto"/>
                <w:kern w:val="0"/>
                <w:sz w:val="24"/>
                <w:szCs w:val="24"/>
                <w:highlight w:val="none"/>
                <w:u w:val="none"/>
                <w:lang w:val="en-US" w:eastAsia="zh-CN"/>
              </w:rPr>
              <w:t>1</w:t>
            </w:r>
            <w:r>
              <w:rPr>
                <w:rFonts w:hint="default" w:ascii="Times New Roman" w:hAnsi="Times New Roman" w:cs="Times New Roman" w:eastAsiaTheme="minorEastAsia"/>
                <w:i w:val="0"/>
                <w:iCs w:val="0"/>
                <w:color w:val="auto"/>
                <w:kern w:val="0"/>
                <w:sz w:val="24"/>
                <w:szCs w:val="24"/>
                <w:highlight w:val="none"/>
                <w:u w:val="none"/>
              </w:rPr>
              <w:t>）有效报价为1</w:t>
            </w:r>
            <w:r>
              <w:rPr>
                <w:rFonts w:hint="eastAsia" w:ascii="Times New Roman" w:hAnsi="Times New Roman" w:cs="Times New Roman"/>
                <w:i w:val="0"/>
                <w:iCs w:val="0"/>
                <w:color w:val="auto"/>
                <w:kern w:val="0"/>
                <w:sz w:val="24"/>
                <w:szCs w:val="24"/>
                <w:highlight w:val="none"/>
                <w:u w:val="none"/>
                <w:lang w:val="en-US" w:eastAsia="zh-CN"/>
              </w:rPr>
              <w:t>0</w:t>
            </w:r>
            <w:r>
              <w:rPr>
                <w:rFonts w:hint="default" w:ascii="Times New Roman" w:hAnsi="Times New Roman" w:cs="Times New Roman" w:eastAsiaTheme="minorEastAsia"/>
                <w:i w:val="0"/>
                <w:iCs w:val="0"/>
                <w:color w:val="auto"/>
                <w:kern w:val="0"/>
                <w:sz w:val="24"/>
                <w:szCs w:val="24"/>
                <w:highlight w:val="none"/>
                <w:u w:val="none"/>
              </w:rPr>
              <w:t>家</w:t>
            </w:r>
            <w:r>
              <w:rPr>
                <w:rFonts w:hint="eastAsia" w:ascii="Times New Roman" w:hAnsi="Times New Roman" w:cs="Times New Roman"/>
                <w:i w:val="0"/>
                <w:iCs w:val="0"/>
                <w:color w:val="auto"/>
                <w:kern w:val="0"/>
                <w:sz w:val="24"/>
                <w:szCs w:val="24"/>
                <w:highlight w:val="none"/>
                <w:u w:val="none"/>
                <w:lang w:val="en-US" w:eastAsia="zh-CN"/>
              </w:rPr>
              <w:t>及以上</w:t>
            </w:r>
            <w:r>
              <w:rPr>
                <w:rFonts w:hint="default" w:ascii="Times New Roman" w:hAnsi="Times New Roman" w:cs="Times New Roman" w:eastAsiaTheme="minorEastAsia"/>
                <w:i w:val="0"/>
                <w:iCs w:val="0"/>
                <w:color w:val="auto"/>
                <w:kern w:val="0"/>
                <w:sz w:val="24"/>
                <w:szCs w:val="24"/>
                <w:highlight w:val="none"/>
                <w:u w:val="none"/>
              </w:rPr>
              <w:t>时，去掉2个最高价和2个最低价，取余下投标人的</w:t>
            </w:r>
            <w:r>
              <w:rPr>
                <w:rFonts w:hint="eastAsia" w:ascii="Times New Roman" w:hAnsi="Times New Roman" w:cs="Times New Roman"/>
                <w:i w:val="0"/>
                <w:iCs w:val="0"/>
                <w:color w:val="auto"/>
                <w:kern w:val="0"/>
                <w:sz w:val="24"/>
                <w:szCs w:val="24"/>
                <w:highlight w:val="none"/>
                <w:u w:val="none"/>
                <w:lang w:val="en-US" w:eastAsia="zh-CN"/>
              </w:rPr>
              <w:t>报价算术平均值，现场抽取随机值a（2%、2.5%、3%、3.5%、4%），以算术平均值乘以（1-a）作为评标基准价</w:t>
            </w:r>
            <w:r>
              <w:rPr>
                <w:rFonts w:hint="default" w:ascii="Times New Roman" w:hAnsi="Times New Roman" w:cs="Times New Roman"/>
                <w:i w:val="0"/>
                <w:iCs w:val="0"/>
                <w:color w:val="auto"/>
                <w:kern w:val="0"/>
                <w:sz w:val="24"/>
                <w:szCs w:val="24"/>
                <w:highlight w:val="none"/>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i w:val="0"/>
                <w:iCs w:val="0"/>
                <w:color w:val="auto"/>
                <w:kern w:val="0"/>
                <w:sz w:val="24"/>
                <w:szCs w:val="24"/>
                <w:highlight w:val="none"/>
                <w:u w:val="none"/>
                <w:lang w:val="en-US" w:eastAsia="zh-CN"/>
              </w:rPr>
            </w:pPr>
            <w:r>
              <w:rPr>
                <w:rFonts w:hint="default" w:ascii="Times New Roman" w:hAnsi="Times New Roman" w:cs="Times New Roman" w:eastAsiaTheme="minorEastAsia"/>
                <w:i w:val="0"/>
                <w:iCs w:val="0"/>
                <w:color w:val="auto"/>
                <w:kern w:val="0"/>
                <w:sz w:val="24"/>
                <w:szCs w:val="24"/>
                <w:highlight w:val="none"/>
                <w:u w:val="none"/>
              </w:rPr>
              <w:t>（</w:t>
            </w:r>
            <w:r>
              <w:rPr>
                <w:rFonts w:hint="eastAsia" w:ascii="Times New Roman" w:hAnsi="Times New Roman" w:cs="Times New Roman"/>
                <w:i w:val="0"/>
                <w:iCs w:val="0"/>
                <w:color w:val="auto"/>
                <w:kern w:val="0"/>
                <w:sz w:val="24"/>
                <w:szCs w:val="24"/>
                <w:highlight w:val="none"/>
                <w:u w:val="none"/>
                <w:lang w:val="en-US" w:eastAsia="zh-CN"/>
              </w:rPr>
              <w:t>2</w:t>
            </w:r>
            <w:r>
              <w:rPr>
                <w:rFonts w:hint="default" w:ascii="Times New Roman" w:hAnsi="Times New Roman" w:cs="Times New Roman" w:eastAsiaTheme="minorEastAsia"/>
                <w:i w:val="0"/>
                <w:iCs w:val="0"/>
                <w:color w:val="auto"/>
                <w:kern w:val="0"/>
                <w:sz w:val="24"/>
                <w:szCs w:val="24"/>
                <w:highlight w:val="none"/>
                <w:u w:val="none"/>
              </w:rPr>
              <w:t>）有效报价为</w:t>
            </w:r>
            <w:r>
              <w:rPr>
                <w:rFonts w:hint="eastAsia" w:ascii="Times New Roman" w:hAnsi="Times New Roman" w:cs="Times New Roman"/>
                <w:i w:val="0"/>
                <w:iCs w:val="0"/>
                <w:color w:val="auto"/>
                <w:kern w:val="0"/>
                <w:sz w:val="24"/>
                <w:szCs w:val="24"/>
                <w:highlight w:val="none"/>
                <w:u w:val="none"/>
                <w:lang w:val="en-US" w:eastAsia="zh-CN"/>
              </w:rPr>
              <w:t>5</w:t>
            </w:r>
            <w:r>
              <w:rPr>
                <w:rFonts w:hint="default" w:ascii="Times New Roman" w:hAnsi="Times New Roman" w:cs="Times New Roman" w:eastAsiaTheme="minorEastAsia"/>
                <w:i w:val="0"/>
                <w:iCs w:val="0"/>
                <w:color w:val="auto"/>
                <w:kern w:val="0"/>
                <w:sz w:val="24"/>
                <w:szCs w:val="24"/>
                <w:highlight w:val="none"/>
                <w:u w:val="none"/>
              </w:rPr>
              <w:t>（含）家至 10（</w:t>
            </w:r>
            <w:r>
              <w:rPr>
                <w:rFonts w:hint="eastAsia" w:ascii="Times New Roman" w:hAnsi="Times New Roman" w:cs="Times New Roman"/>
                <w:i w:val="0"/>
                <w:iCs w:val="0"/>
                <w:color w:val="auto"/>
                <w:kern w:val="0"/>
                <w:sz w:val="24"/>
                <w:szCs w:val="24"/>
                <w:highlight w:val="none"/>
                <w:u w:val="none"/>
                <w:lang w:val="en-US" w:eastAsia="zh-CN"/>
              </w:rPr>
              <w:t>不</w:t>
            </w:r>
            <w:r>
              <w:rPr>
                <w:rFonts w:hint="default" w:ascii="Times New Roman" w:hAnsi="Times New Roman" w:cs="Times New Roman" w:eastAsiaTheme="minorEastAsia"/>
                <w:i w:val="0"/>
                <w:iCs w:val="0"/>
                <w:color w:val="auto"/>
                <w:kern w:val="0"/>
                <w:sz w:val="24"/>
                <w:szCs w:val="24"/>
                <w:highlight w:val="none"/>
                <w:u w:val="none"/>
              </w:rPr>
              <w:t>含）家时，去掉1个最高价和1个最低价，取余下投标人的</w:t>
            </w:r>
            <w:r>
              <w:rPr>
                <w:rFonts w:hint="eastAsia" w:ascii="Times New Roman" w:hAnsi="Times New Roman" w:cs="Times New Roman"/>
                <w:i w:val="0"/>
                <w:iCs w:val="0"/>
                <w:color w:val="auto"/>
                <w:kern w:val="0"/>
                <w:sz w:val="24"/>
                <w:szCs w:val="24"/>
                <w:highlight w:val="none"/>
                <w:u w:val="none"/>
                <w:lang w:val="en-US" w:eastAsia="zh-CN"/>
              </w:rPr>
              <w:t>报价</w:t>
            </w:r>
            <w:r>
              <w:rPr>
                <w:rFonts w:hint="default" w:ascii="Times New Roman" w:hAnsi="Times New Roman" w:cs="Times New Roman" w:eastAsiaTheme="minorEastAsia"/>
                <w:i w:val="0"/>
                <w:iCs w:val="0"/>
                <w:color w:val="auto"/>
                <w:kern w:val="0"/>
                <w:sz w:val="24"/>
                <w:szCs w:val="24"/>
                <w:highlight w:val="none"/>
                <w:u w:val="none"/>
              </w:rPr>
              <w:t>进行</w:t>
            </w:r>
            <w:r>
              <w:rPr>
                <w:rFonts w:hint="eastAsia" w:ascii="Times New Roman" w:hAnsi="Times New Roman" w:cs="Times New Roman"/>
                <w:i w:val="0"/>
                <w:iCs w:val="0"/>
                <w:color w:val="auto"/>
                <w:kern w:val="0"/>
                <w:sz w:val="24"/>
                <w:szCs w:val="24"/>
                <w:highlight w:val="none"/>
                <w:u w:val="none"/>
                <w:lang w:val="en-US" w:eastAsia="zh-CN"/>
              </w:rPr>
              <w:t>算术平均值，现场抽取随机值a（2%、2.5%、3%、3.5%、4%），以算术平均值乘以（1-a）作为评标基准价</w:t>
            </w:r>
            <w:r>
              <w:rPr>
                <w:rFonts w:hint="default" w:ascii="Times New Roman" w:hAnsi="Times New Roman" w:cs="Times New Roman"/>
                <w:i w:val="0"/>
                <w:iCs w:val="0"/>
                <w:color w:val="auto"/>
                <w:kern w:val="0"/>
                <w:sz w:val="24"/>
                <w:szCs w:val="24"/>
                <w:highlight w:val="none"/>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eastAsiaTheme="minorEastAsia"/>
                <w:i w:val="0"/>
                <w:iCs w:val="0"/>
                <w:color w:val="auto"/>
                <w:kern w:val="0"/>
                <w:sz w:val="24"/>
                <w:szCs w:val="24"/>
                <w:highlight w:val="none"/>
                <w:u w:val="none"/>
              </w:rPr>
            </w:pPr>
            <w:r>
              <w:rPr>
                <w:rFonts w:hint="default" w:ascii="Times New Roman" w:hAnsi="Times New Roman" w:cs="Times New Roman" w:eastAsiaTheme="minorEastAsia"/>
                <w:i w:val="0"/>
                <w:iCs w:val="0"/>
                <w:color w:val="auto"/>
                <w:kern w:val="0"/>
                <w:sz w:val="24"/>
                <w:szCs w:val="24"/>
                <w:highlight w:val="none"/>
                <w:u w:val="none"/>
              </w:rPr>
              <w:t>（</w:t>
            </w:r>
            <w:r>
              <w:rPr>
                <w:rFonts w:hint="eastAsia" w:ascii="Times New Roman" w:hAnsi="Times New Roman" w:cs="Times New Roman"/>
                <w:i w:val="0"/>
                <w:iCs w:val="0"/>
                <w:color w:val="auto"/>
                <w:kern w:val="0"/>
                <w:sz w:val="24"/>
                <w:szCs w:val="24"/>
                <w:highlight w:val="none"/>
                <w:u w:val="none"/>
                <w:lang w:val="en-US" w:eastAsia="zh-CN"/>
              </w:rPr>
              <w:t>3</w:t>
            </w:r>
            <w:r>
              <w:rPr>
                <w:rFonts w:hint="default" w:ascii="Times New Roman" w:hAnsi="Times New Roman" w:cs="Times New Roman" w:eastAsiaTheme="minorEastAsia"/>
                <w:i w:val="0"/>
                <w:iCs w:val="0"/>
                <w:color w:val="auto"/>
                <w:kern w:val="0"/>
                <w:sz w:val="24"/>
                <w:szCs w:val="24"/>
                <w:highlight w:val="none"/>
                <w:u w:val="none"/>
              </w:rPr>
              <w:t>）有效报价在5家以下时，取所有投标人的</w:t>
            </w:r>
            <w:r>
              <w:rPr>
                <w:rFonts w:hint="eastAsia" w:ascii="Times New Roman" w:hAnsi="Times New Roman" w:cs="Times New Roman"/>
                <w:i w:val="0"/>
                <w:iCs w:val="0"/>
                <w:color w:val="auto"/>
                <w:kern w:val="0"/>
                <w:sz w:val="24"/>
                <w:szCs w:val="24"/>
                <w:highlight w:val="none"/>
                <w:u w:val="none"/>
                <w:lang w:val="en-US" w:eastAsia="zh-CN"/>
              </w:rPr>
              <w:t>报价</w:t>
            </w:r>
            <w:r>
              <w:rPr>
                <w:rFonts w:hint="default" w:ascii="Times New Roman" w:hAnsi="Times New Roman" w:cs="Times New Roman" w:eastAsiaTheme="minorEastAsia"/>
                <w:i w:val="0"/>
                <w:iCs w:val="0"/>
                <w:color w:val="auto"/>
                <w:kern w:val="0"/>
                <w:sz w:val="24"/>
                <w:szCs w:val="24"/>
                <w:highlight w:val="none"/>
                <w:u w:val="none"/>
              </w:rPr>
              <w:t>进行</w:t>
            </w:r>
            <w:r>
              <w:rPr>
                <w:rFonts w:hint="eastAsia" w:ascii="Times New Roman" w:hAnsi="Times New Roman" w:cs="Times New Roman"/>
                <w:i w:val="0"/>
                <w:iCs w:val="0"/>
                <w:color w:val="auto"/>
                <w:kern w:val="0"/>
                <w:sz w:val="24"/>
                <w:szCs w:val="24"/>
                <w:highlight w:val="none"/>
                <w:u w:val="none"/>
                <w:lang w:val="en-US" w:eastAsia="zh-CN"/>
              </w:rPr>
              <w:t>算术平均值，现场抽取随机值a（2%、2.5%、3%、3.5%、4%），以算术平均值乘以（1-a）作为评标基准价</w:t>
            </w:r>
            <w:r>
              <w:rPr>
                <w:rFonts w:hint="default" w:ascii="Times New Roman" w:hAnsi="Times New Roman" w:cs="Times New Roman"/>
                <w:i w:val="0"/>
                <w:iCs w:val="0"/>
                <w:color w:val="auto"/>
                <w:kern w:val="0"/>
                <w:sz w:val="24"/>
                <w:szCs w:val="24"/>
                <w:highlight w:val="none"/>
                <w:u w:val="none"/>
                <w:lang w:val="en-US" w:eastAsia="zh-CN"/>
              </w:rPr>
              <w:t>；</w:t>
            </w:r>
          </w:p>
          <w:p>
            <w:pPr>
              <w:pStyle w:val="5"/>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eastAsiaTheme="minorEastAsia"/>
                <w:i w:val="0"/>
                <w:iCs w:val="0"/>
                <w:color w:val="auto"/>
                <w:kern w:val="0"/>
                <w:sz w:val="24"/>
                <w:szCs w:val="24"/>
                <w:highlight w:val="none"/>
                <w:u w:val="none"/>
                <w:lang w:eastAsia="zh-CN"/>
              </w:rPr>
            </w:pPr>
            <w:r>
              <w:rPr>
                <w:rFonts w:hint="default" w:ascii="Times New Roman" w:hAnsi="Times New Roman" w:cs="Times New Roman" w:eastAsiaTheme="minorEastAsia"/>
                <w:i w:val="0"/>
                <w:iCs w:val="0"/>
                <w:color w:val="auto"/>
                <w:kern w:val="0"/>
                <w:sz w:val="24"/>
                <w:szCs w:val="24"/>
                <w:highlight w:val="none"/>
                <w:u w:val="none"/>
              </w:rPr>
              <w:t>取所有纳入评标基准价计算的投标报价与评标基准价相减，其差值绝对值最小的为第一名，次小的为第二名……以此类推</w:t>
            </w:r>
            <w:r>
              <w:rPr>
                <w:rFonts w:hint="eastAsia" w:ascii="Times New Roman" w:hAnsi="Times New Roman" w:cs="Times New Roman" w:eastAsiaTheme="minorEastAsia"/>
                <w:i w:val="0"/>
                <w:iCs w:val="0"/>
                <w:color w:val="auto"/>
                <w:kern w:val="0"/>
                <w:sz w:val="24"/>
                <w:szCs w:val="24"/>
                <w:highlight w:val="none"/>
                <w:u w:val="none"/>
                <w:lang w:eastAsia="zh-CN"/>
              </w:rPr>
              <w:t>；</w:t>
            </w:r>
            <w:r>
              <w:rPr>
                <w:rFonts w:hint="eastAsia" w:ascii="Times New Roman" w:hAnsi="Times New Roman" w:cs="Times New Roman" w:eastAsiaTheme="minorEastAsia"/>
                <w:i w:val="0"/>
                <w:iCs w:val="0"/>
                <w:color w:val="auto"/>
                <w:kern w:val="0"/>
                <w:sz w:val="24"/>
                <w:szCs w:val="24"/>
                <w:highlight w:val="none"/>
                <w:u w:val="none"/>
                <w:lang w:val="en-US" w:eastAsia="zh-CN"/>
              </w:rPr>
              <w:t>差值绝对值相同的，以投标报价低的优先；投标报价也相同的，由招标人或其授权的评标委员会自行确定排序</w:t>
            </w:r>
            <w:r>
              <w:rPr>
                <w:rFonts w:hint="eastAsia" w:ascii="Times New Roman" w:hAnsi="Times New Roman" w:cs="Times New Roman"/>
                <w:i w:val="0"/>
                <w:iCs w:val="0"/>
                <w:color w:val="auto"/>
                <w:kern w:val="0"/>
                <w:sz w:val="24"/>
                <w:szCs w:val="24"/>
                <w:highlight w:val="none"/>
                <w:u w:val="none"/>
                <w:lang w:eastAsia="zh-CN"/>
              </w:rPr>
              <w:t>。</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i w:val="0"/>
                <w:iCs w:val="0"/>
                <w:color w:val="auto"/>
                <w:kern w:val="0"/>
                <w:sz w:val="24"/>
                <w:szCs w:val="24"/>
                <w:highlight w:val="none"/>
                <w:u w:val="none"/>
              </w:rPr>
              <w:t>（说明：去掉1个或 2个最高价，是指按照有效报价排序，从排序最高的有效报价依次去掉；去掉1个或2个最低价，是指按照有效报价排序，从排序最低的有效报价依次去掉。）</w:t>
            </w:r>
            <w:permEnd w:id="65"/>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投标函及投标函附录</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w:t>
            </w:r>
            <w:r>
              <w:rPr>
                <w:rFonts w:hint="eastAsia" w:ascii="Times New Roman" w:hAnsi="Times New Roman" w:cs="Times New Roman"/>
                <w:kern w:val="0"/>
                <w:sz w:val="24"/>
                <w:szCs w:val="24"/>
                <w:highlight w:val="none"/>
                <w:lang w:val="en-US" w:eastAsia="zh-CN"/>
              </w:rPr>
              <w:t>或其委托代理人签字或加盖单位章。由法定代表人签字的，应附法定代表人身份证明，由代理人签字的，应附授权委托书，身份证明或授权委托书应符合第六章“投标文件格式”的规定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66" w:edGrp="everyone" w:colFirst="3" w:colLast="3"/>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7"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8"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9"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0"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7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信誉要求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eastAsiaTheme="minorEastAsia"/>
                <w:kern w:val="0"/>
                <w:sz w:val="24"/>
                <w:szCs w:val="24"/>
                <w:highlight w:val="none"/>
                <w:lang w:val="en-US" w:eastAsia="zh-CN" w:bidi="ar-SA"/>
              </w:rPr>
            </w:pPr>
            <w:permStart w:id="71" w:edGrp="everyone"/>
            <w:r>
              <w:rPr>
                <w:rFonts w:hint="eastAsia" w:ascii="Times New Roman" w:hAnsi="Times New Roman" w:cs="Times New Roman"/>
                <w:kern w:val="0"/>
                <w:sz w:val="24"/>
                <w:szCs w:val="24"/>
                <w:highlight w:val="none"/>
                <w:lang w:val="en-US" w:eastAsia="zh-CN"/>
              </w:rPr>
              <w:t>符合第二章“投标人须知”第1.4.1项规定</w:t>
            </w:r>
            <w:permEnd w:id="71"/>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2"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联合体投标人</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符合第二章“投标人须知”第1.4.2项规定</w:t>
            </w:r>
          </w:p>
        </w:tc>
      </w:tr>
      <w:permEnd w:id="7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3"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不存在禁止投标的情形</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不存在第二章“投标人须知”第1.4.3项规定的任何一种情形</w:t>
            </w:r>
          </w:p>
        </w:tc>
      </w:tr>
      <w:permEnd w:id="7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4"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7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75" w:edGrp="everyone" w:colFirst="3" w:colLast="3"/>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permEnd w:id="7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6"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permEnd w:id="7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7"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服务期限</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permEnd w:id="7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8"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质量标准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permEnd w:id="7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9"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permEnd w:id="7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80"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permEnd w:id="8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81"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符合第二章“投标人须知”第1.12.1项规定和第四章“合同条款及格式”中的实质性要求和条件</w:t>
            </w:r>
          </w:p>
        </w:tc>
      </w:tr>
      <w:permEnd w:id="8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82"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发包人要求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符合第五章“发包人要求”中的实质性要求和条件</w:t>
            </w:r>
          </w:p>
        </w:tc>
      </w:tr>
      <w:permEnd w:id="82"/>
    </w:tbl>
    <w:p>
      <w:pPr>
        <w:rPr>
          <w:rFonts w:hint="default" w:ascii="Times New Roman" w:hAnsi="Times New Roman" w:cs="Times New Roman" w:eastAsiaTheme="minorEastAsia"/>
          <w:b/>
          <w:bCs/>
          <w:kern w:val="0"/>
          <w:sz w:val="28"/>
          <w:szCs w:val="28"/>
          <w:highlight w:val="none"/>
        </w:rPr>
      </w:pPr>
      <w:bookmarkStart w:id="371" w:name="_Toc152042366"/>
      <w:bookmarkStart w:id="372" w:name="_Toc246996232"/>
      <w:bookmarkStart w:id="373" w:name="_Toc152045589"/>
      <w:bookmarkStart w:id="374" w:name="_Toc179632607"/>
      <w:bookmarkStart w:id="375" w:name="_Toc296602477"/>
      <w:bookmarkStart w:id="376" w:name="_Toc246996975"/>
      <w:bookmarkStart w:id="377" w:name="_Toc144974556"/>
      <w:bookmarkStart w:id="378" w:name="_Toc247085747"/>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w:t>
      </w:r>
      <w:r>
        <w:rPr>
          <w:rFonts w:hint="eastAsia" w:ascii="Times New Roman" w:hAnsi="Times New Roman" w:cs="Times New Roman"/>
          <w:kern w:val="0"/>
          <w:sz w:val="24"/>
          <w:szCs w:val="24"/>
          <w:highlight w:val="none"/>
          <w:lang w:val="en-US" w:eastAsia="zh-CN"/>
        </w:rPr>
        <w:t>合理低价法。评标委员会对满足招标文件实质要求的投标文件，</w:t>
      </w:r>
      <w:r>
        <w:rPr>
          <w:rFonts w:hint="eastAsia" w:ascii="Times New Roman" w:hAnsi="Times New Roman" w:cs="Times New Roman" w:eastAsiaTheme="minorEastAsia"/>
          <w:kern w:val="0"/>
          <w:sz w:val="24"/>
          <w:szCs w:val="24"/>
          <w:highlight w:val="none"/>
          <w:lang w:val="en-US" w:eastAsia="zh-CN"/>
        </w:rPr>
        <w:t>按照本章</w:t>
      </w:r>
      <w:r>
        <w:rPr>
          <w:rFonts w:hint="eastAsia" w:ascii="Times New Roman" w:hAnsi="Times New Roman" w:cs="Times New Roman"/>
          <w:kern w:val="0"/>
          <w:sz w:val="24"/>
          <w:szCs w:val="24"/>
          <w:highlight w:val="none"/>
          <w:lang w:val="en-US" w:eastAsia="zh-CN"/>
        </w:rPr>
        <w:t>“</w:t>
      </w:r>
      <w:r>
        <w:rPr>
          <w:rFonts w:hint="eastAsia" w:ascii="Times New Roman" w:hAnsi="Times New Roman" w:cs="Times New Roman" w:eastAsiaTheme="minorEastAsia"/>
          <w:kern w:val="0"/>
          <w:sz w:val="24"/>
          <w:szCs w:val="24"/>
          <w:highlight w:val="none"/>
          <w:lang w:val="en-US" w:eastAsia="zh-CN"/>
        </w:rPr>
        <w:t>评标办法前附表</w:t>
      </w:r>
      <w:r>
        <w:rPr>
          <w:rFonts w:hint="eastAsia" w:ascii="Times New Roman" w:hAnsi="Times New Roman" w:cs="Times New Roman"/>
          <w:kern w:val="0"/>
          <w:sz w:val="24"/>
          <w:szCs w:val="24"/>
          <w:highlight w:val="none"/>
          <w:lang w:val="en-US" w:eastAsia="zh-CN"/>
        </w:rPr>
        <w:t>”中的评标办法</w:t>
      </w:r>
      <w:r>
        <w:rPr>
          <w:rFonts w:hint="eastAsia" w:ascii="Times New Roman" w:hAnsi="Times New Roman" w:cs="Times New Roman" w:eastAsiaTheme="minorEastAsia"/>
          <w:kern w:val="0"/>
          <w:sz w:val="24"/>
          <w:szCs w:val="24"/>
          <w:highlight w:val="none"/>
          <w:lang w:val="en-US" w:eastAsia="zh-CN"/>
        </w:rPr>
        <w:t>推荐中标候选人</w:t>
      </w:r>
      <w:r>
        <w:rPr>
          <w:rFonts w:hint="eastAsia" w:ascii="Times New Roman" w:hAnsi="Times New Roman" w:cs="Times New Roman"/>
          <w:kern w:val="0"/>
          <w:sz w:val="24"/>
          <w:szCs w:val="24"/>
          <w:highlight w:val="none"/>
          <w:lang w:val="en-US" w:eastAsia="zh-CN"/>
        </w:rPr>
        <w:t>，或根据招标人授权直接确定中标人，但投标报价低于其成本的除外。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2. 评审标准</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详细评审标准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详细评审标准：见评标办法前附表。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3.1 初步评审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第3.5.1项至第3.5.4项规定的有关证明和证件的原件，以便核验。评标委员会依据本章第2.1款规定的标准对投标文件进行初步评审。有一项不符合评审标准的，评标委员会应当否决其投标。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3.1.2 投标人有以下情形之一的，</w:t>
      </w:r>
      <w:r>
        <w:rPr>
          <w:rFonts w:hint="eastAsia" w:ascii="Times New Roman" w:hAnsi="Times New Roman" w:cs="Times New Roman"/>
          <w:kern w:val="0"/>
          <w:sz w:val="24"/>
          <w:szCs w:val="24"/>
          <w:highlight w:val="none"/>
          <w:lang w:val="en-US" w:eastAsia="zh-CN"/>
        </w:rPr>
        <w:t>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第二章“投标人须知”第1.4.2项、第1.4.3项规定的任何一种情形的；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3.1.3投标报价有算术错误</w:t>
      </w:r>
      <w:r>
        <w:rPr>
          <w:rFonts w:hint="eastAsia" w:ascii="Times New Roman" w:hAnsi="Times New Roman" w:cs="Times New Roman"/>
          <w:kern w:val="0"/>
          <w:sz w:val="24"/>
          <w:szCs w:val="24"/>
          <w:highlight w:val="none"/>
          <w:lang w:val="en-US" w:eastAsia="zh-CN"/>
        </w:rPr>
        <w:t>的，</w:t>
      </w:r>
      <w:r>
        <w:rPr>
          <w:rFonts w:hint="default" w:ascii="Times New Roman" w:hAnsi="Times New Roman" w:cs="Times New Roman" w:eastAsiaTheme="minorEastAsia"/>
          <w:kern w:val="0"/>
          <w:sz w:val="24"/>
          <w:szCs w:val="24"/>
          <w:highlight w:val="none"/>
        </w:rPr>
        <w:t>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3.2 详细评审</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3.2.1 评标委员会</w:t>
      </w:r>
      <w:r>
        <w:rPr>
          <w:rFonts w:hint="eastAsia" w:ascii="Times New Roman" w:hAnsi="Times New Roman" w:cs="Times New Roman"/>
          <w:kern w:val="0"/>
          <w:sz w:val="24"/>
          <w:szCs w:val="24"/>
          <w:highlight w:val="none"/>
          <w:lang w:val="en-US" w:eastAsia="zh-CN"/>
        </w:rPr>
        <w:t>按本章第2.2.款规定的量化因素和标准进行价格折算，计算出评标价，并编制价格比较一览表。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3.2.2 评标委员会发现投标人的报价明显低于其他投标报价，或者在设有标底时明显低于标底，使得其投标报价可能低于其成本的，应当要求该投标人作出书面说明并提供相应的证明材料。投标人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投标文件的澄清和补正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所提交的投标文件中不明确的内容进行书面澄清或说明，或者对细微偏差进行补正。评标委员会不接受投标人主动提出的澄清、说明或补正。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3.4 特殊情况处理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（一）房屋建筑（装饰装修）、水利、交通工程项目：所有有效投标报价低于招标控制价的95%；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（二）市政公用工程、市政道路工程、相关配套工程、土地整理工程、农业综合开发工程项目：所有有效投标报价低于招标控制价的 90%；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（三）绿化工程项目：所有有效投标报价低于招标控制价的 85%。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（四）其他项目：所有有效投标报价低于招标控制价，且竞标人报价没有明显高于市场价或采购人预期。</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3.4.2 投标截止时间前递交投标文件的投标人数量少于三个或者所有投标被否决的，招标人应当依法重新招标。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rPr>
        <w:t xml:space="preserve">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本招标文件的规定推荐中标候选人。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3.5.2 评标委员会完成评标后，应当向招标人提交书面评标报告。</w:t>
      </w:r>
    </w:p>
    <w:p>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bookmarkEnd w:id="371"/>
    <w:bookmarkEnd w:id="372"/>
    <w:bookmarkEnd w:id="373"/>
    <w:bookmarkEnd w:id="374"/>
    <w:bookmarkEnd w:id="375"/>
    <w:bookmarkEnd w:id="376"/>
    <w:bookmarkEnd w:id="377"/>
    <w:bookmarkEnd w:id="378"/>
    <w:p>
      <w:pPr>
        <w:wordWrap w:val="0"/>
        <w:spacing w:line="440" w:lineRule="exact"/>
        <w:outlineLvl w:val="9"/>
        <w:rPr>
          <w:rFonts w:hint="eastAsia" w:asciiTheme="majorEastAsia" w:hAnsiTheme="majorEastAsia" w:eastAsiaTheme="majorEastAsia" w:cstheme="majorEastAsia"/>
          <w:b/>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6"/>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亳州通惠房地产开发有限公司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根据每月工程实际完成进度支付，按照每月已完成工程量支付相应</w:t>
            </w:r>
            <w:r>
              <w:rPr>
                <w:rFonts w:hint="default" w:ascii="Times New Roman" w:hAnsi="Times New Roman" w:cs="Times New Roman"/>
                <w:kern w:val="0"/>
                <w:sz w:val="24"/>
                <w:szCs w:val="24"/>
                <w:highlight w:val="none"/>
                <w:shd w:val="clear" w:color="auto" w:fill="auto"/>
                <w:vertAlign w:val="baseline"/>
                <w:lang w:val="en-US" w:eastAsia="zh-CN"/>
              </w:rPr>
              <w:t>监理费的</w:t>
            </w:r>
            <w:r>
              <w:rPr>
                <w:rFonts w:hint="eastAsia" w:ascii="Times New Roman" w:hAnsi="Times New Roman" w:cs="Times New Roman"/>
                <w:kern w:val="0"/>
                <w:sz w:val="24"/>
                <w:szCs w:val="24"/>
                <w:highlight w:val="none"/>
                <w:shd w:val="clear" w:color="auto" w:fill="auto"/>
                <w:vertAlign w:val="baseline"/>
                <w:lang w:val="en-US" w:eastAsia="zh-CN"/>
              </w:rPr>
              <w:t>6</w:t>
            </w:r>
            <w:r>
              <w:rPr>
                <w:rFonts w:hint="default" w:ascii="Times New Roman" w:hAnsi="Times New Roman" w:cs="Times New Roman"/>
                <w:kern w:val="0"/>
                <w:sz w:val="24"/>
                <w:szCs w:val="24"/>
                <w:highlight w:val="none"/>
                <w:shd w:val="clear" w:color="auto" w:fill="auto"/>
                <w:vertAlign w:val="baseline"/>
                <w:lang w:val="en-US" w:eastAsia="zh-CN"/>
              </w:rPr>
              <w:t>0%</w:t>
            </w:r>
            <w:r>
              <w:rPr>
                <w:rFonts w:hint="eastAsia" w:ascii="Times New Roman" w:hAnsi="Times New Roman" w:cs="Times New Roman"/>
                <w:kern w:val="0"/>
                <w:sz w:val="24"/>
                <w:szCs w:val="24"/>
                <w:highlight w:val="none"/>
                <w:shd w:val="clear" w:color="auto" w:fill="auto"/>
                <w:vertAlign w:val="baseline"/>
                <w:lang w:val="en-US" w:eastAsia="zh-CN"/>
              </w:rPr>
              <w:t xml:space="preserve"> ；</w:t>
            </w:r>
            <w:r>
              <w:rPr>
                <w:rFonts w:hint="default" w:ascii="Times New Roman" w:hAnsi="Times New Roman" w:cs="Times New Roman"/>
                <w:kern w:val="0"/>
                <w:sz w:val="24"/>
                <w:szCs w:val="24"/>
                <w:highlight w:val="none"/>
                <w:shd w:val="clear" w:color="auto" w:fill="auto"/>
                <w:vertAlign w:val="baseline"/>
                <w:lang w:val="en-US" w:eastAsia="zh-CN"/>
              </w:rPr>
              <w:t>工程经</w:t>
            </w:r>
            <w:r>
              <w:rPr>
                <w:rFonts w:hint="eastAsia" w:ascii="Times New Roman" w:hAnsi="Times New Roman" w:cs="Times New Roman"/>
                <w:kern w:val="0"/>
                <w:sz w:val="24"/>
                <w:szCs w:val="24"/>
                <w:highlight w:val="none"/>
                <w:shd w:val="clear" w:color="auto" w:fill="auto"/>
                <w:vertAlign w:val="baseline"/>
                <w:lang w:val="en-US" w:eastAsia="zh-CN"/>
              </w:rPr>
              <w:t>专项验收（如有）和</w:t>
            </w:r>
            <w:r>
              <w:rPr>
                <w:rFonts w:hint="default" w:ascii="Times New Roman" w:hAnsi="Times New Roman" w:cs="Times New Roman"/>
                <w:kern w:val="0"/>
                <w:sz w:val="24"/>
                <w:szCs w:val="24"/>
                <w:highlight w:val="none"/>
                <w:shd w:val="clear" w:color="auto" w:fill="auto"/>
                <w:vertAlign w:val="baseline"/>
                <w:lang w:val="en-US" w:eastAsia="zh-CN"/>
              </w:rPr>
              <w:t>竣工验收合格，达到施工合同约定的质量标准付至</w:t>
            </w:r>
            <w:r>
              <w:rPr>
                <w:rFonts w:hint="eastAsia" w:ascii="Times New Roman" w:hAnsi="Times New Roman" w:cs="Times New Roman"/>
                <w:kern w:val="0"/>
                <w:sz w:val="24"/>
                <w:szCs w:val="24"/>
                <w:highlight w:val="none"/>
                <w:shd w:val="clear" w:color="auto" w:fill="auto"/>
                <w:vertAlign w:val="baseline"/>
                <w:lang w:val="en-US" w:eastAsia="zh-CN"/>
              </w:rPr>
              <w:t>监理费</w:t>
            </w:r>
            <w:r>
              <w:rPr>
                <w:rFonts w:hint="default" w:ascii="Times New Roman" w:hAnsi="Times New Roman" w:cs="Times New Roman"/>
                <w:kern w:val="0"/>
                <w:sz w:val="24"/>
                <w:szCs w:val="24"/>
                <w:highlight w:val="none"/>
                <w:shd w:val="clear" w:color="auto" w:fill="auto"/>
                <w:vertAlign w:val="baseline"/>
                <w:lang w:val="en-US" w:eastAsia="zh-CN"/>
              </w:rPr>
              <w:t>的 85%；工程竣工</w:t>
            </w:r>
            <w:r>
              <w:rPr>
                <w:rFonts w:hint="eastAsia" w:ascii="Times New Roman" w:hAnsi="Times New Roman" w:cs="Times New Roman"/>
                <w:kern w:val="0"/>
                <w:sz w:val="24"/>
                <w:szCs w:val="24"/>
                <w:highlight w:val="none"/>
                <w:shd w:val="clear" w:color="auto" w:fill="auto"/>
                <w:vertAlign w:val="baseline"/>
                <w:lang w:val="en-US" w:eastAsia="zh-CN"/>
              </w:rPr>
              <w:t>结算审核</w:t>
            </w:r>
            <w:r>
              <w:rPr>
                <w:rFonts w:hint="default" w:ascii="Times New Roman" w:hAnsi="Times New Roman" w:cs="Times New Roman"/>
                <w:kern w:val="0"/>
                <w:sz w:val="24"/>
                <w:szCs w:val="24"/>
                <w:highlight w:val="none"/>
                <w:shd w:val="clear" w:color="auto" w:fill="auto"/>
                <w:vertAlign w:val="baseline"/>
                <w:lang w:val="en-US" w:eastAsia="zh-CN"/>
              </w:rPr>
              <w:t>完成时后付至</w:t>
            </w:r>
            <w:r>
              <w:rPr>
                <w:rFonts w:hint="eastAsia" w:ascii="Times New Roman" w:hAnsi="Times New Roman" w:cs="Times New Roman"/>
                <w:kern w:val="0"/>
                <w:sz w:val="24"/>
                <w:szCs w:val="24"/>
                <w:highlight w:val="none"/>
                <w:shd w:val="clear" w:color="auto" w:fill="auto"/>
                <w:vertAlign w:val="baseline"/>
                <w:lang w:val="en-US" w:eastAsia="zh-CN"/>
              </w:rPr>
              <w:t>监理费</w:t>
            </w:r>
            <w:r>
              <w:rPr>
                <w:rFonts w:hint="default" w:ascii="Times New Roman" w:hAnsi="Times New Roman" w:cs="Times New Roman"/>
                <w:kern w:val="0"/>
                <w:sz w:val="24"/>
                <w:szCs w:val="24"/>
                <w:highlight w:val="none"/>
                <w:shd w:val="clear" w:color="auto" w:fill="auto"/>
                <w:vertAlign w:val="baseline"/>
                <w:lang w:val="en-US" w:eastAsia="zh-CN"/>
              </w:rPr>
              <w:t>的97%。余款</w:t>
            </w:r>
            <w:r>
              <w:rPr>
                <w:rFonts w:hint="eastAsia" w:ascii="Times New Roman" w:hAnsi="Times New Roman" w:cs="Times New Roman"/>
                <w:kern w:val="0"/>
                <w:sz w:val="24"/>
                <w:szCs w:val="24"/>
                <w:highlight w:val="none"/>
                <w:shd w:val="clear" w:color="auto" w:fill="auto"/>
                <w:vertAlign w:val="baseline"/>
                <w:lang w:val="en-US" w:eastAsia="zh-CN"/>
              </w:rPr>
              <w:t>3%</w:t>
            </w:r>
            <w:r>
              <w:rPr>
                <w:rFonts w:hint="default" w:ascii="Times New Roman" w:hAnsi="Times New Roman" w:cs="Times New Roman"/>
                <w:kern w:val="0"/>
                <w:sz w:val="24"/>
                <w:szCs w:val="24"/>
                <w:highlight w:val="none"/>
                <w:shd w:val="clear" w:color="auto" w:fill="auto"/>
                <w:vertAlign w:val="baseline"/>
                <w:lang w:val="en-US" w:eastAsia="zh-CN"/>
              </w:rPr>
              <w:t>作为质量保证金，工程质保期满</w:t>
            </w:r>
            <w:r>
              <w:rPr>
                <w:rFonts w:hint="eastAsia" w:ascii="Times New Roman" w:hAnsi="Times New Roman" w:cs="Times New Roman"/>
                <w:kern w:val="0"/>
                <w:sz w:val="24"/>
                <w:szCs w:val="24"/>
                <w:highlight w:val="none"/>
                <w:shd w:val="clear" w:color="auto" w:fill="auto"/>
                <w:vertAlign w:val="baseline"/>
                <w:lang w:val="en-US" w:eastAsia="zh-CN"/>
              </w:rPr>
              <w:t>，且未发生质量问题或工程质量问题已解决</w:t>
            </w:r>
            <w:r>
              <w:rPr>
                <w:rFonts w:hint="default" w:ascii="Times New Roman" w:hAnsi="Times New Roman" w:cs="Times New Roman"/>
                <w:kern w:val="0"/>
                <w:sz w:val="24"/>
                <w:szCs w:val="24"/>
                <w:highlight w:val="none"/>
                <w:shd w:val="clear" w:color="auto" w:fill="auto"/>
                <w:vertAlign w:val="baseline"/>
                <w:lang w:val="en-US" w:eastAsia="zh-CN"/>
              </w:rPr>
              <w:t>，按合同约定无息退</w:t>
            </w:r>
            <w:r>
              <w:rPr>
                <w:rFonts w:hint="eastAsia" w:ascii="Times New Roman" w:hAnsi="Times New Roman" w:cs="Times New Roman"/>
                <w:kern w:val="0"/>
                <w:sz w:val="24"/>
                <w:szCs w:val="24"/>
                <w:highlight w:val="none"/>
                <w:shd w:val="clear" w:color="auto" w:fill="auto"/>
                <w:vertAlign w:val="baseline"/>
                <w:lang w:val="en-US" w:eastAsia="zh-CN"/>
              </w:rPr>
              <w:t>还</w:t>
            </w:r>
            <w:r>
              <w:rPr>
                <w:rFonts w:hint="default" w:ascii="Times New Roman" w:hAnsi="Times New Roman" w:cs="Times New Roman"/>
                <w:kern w:val="0"/>
                <w:sz w:val="24"/>
                <w:szCs w:val="24"/>
                <w:highlight w:val="none"/>
                <w:shd w:val="clear" w:color="auto" w:fill="auto"/>
                <w:vertAlign w:val="baseli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，否则招标人有权暂停付款。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其他要求</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招标人项目最终不能实施，招标人有权不予以签订合同或解除合同，且不承担任何缔约过失责任。</w:t>
            </w:r>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中标单</w:t>
      </w:r>
      <w:r>
        <w:rPr>
          <w:rFonts w:hint="default" w:ascii="Times New Roman" w:hAnsi="Times New Roman" w:cs="Times New Roman"/>
          <w:kern w:val="0"/>
          <w:sz w:val="24"/>
          <w:szCs w:val="24"/>
          <w:highlight w:val="none"/>
          <w:shd w:val="clear" w:color="auto" w:fill="auto"/>
          <w:vertAlign w:val="baseline"/>
          <w:lang w:val="en-US" w:eastAsia="zh-CN"/>
        </w:rPr>
        <w:t>位在不违背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r>
        <w:rPr>
          <w:rFonts w:hint="eastAsia" w:ascii="Times New Roman" w:hAnsi="Times New Roman" w:cs="Times New Roman"/>
          <w:kern w:val="0"/>
          <w:sz w:val="24"/>
          <w:szCs w:val="24"/>
          <w:highlight w:val="none"/>
          <w:shd w:val="clear" w:color="auto" w:fill="auto"/>
          <w:vertAlign w:val="baseline"/>
          <w:lang w:val="en-US" w:eastAsia="zh-CN"/>
        </w:rPr>
        <w:t>按照《建设工程监理合同（示范文本）》（GF－2012－0202）执行。</w:t>
      </w:r>
    </w:p>
    <w:p>
      <w:pPr>
        <w:wordWrap w:val="0"/>
        <w:spacing w:line="440" w:lineRule="exact"/>
        <w:ind w:firstLine="643" w:firstLineChars="200"/>
        <w:outlineLvl w:val="9"/>
        <w:rPr>
          <w:rFonts w:hint="eastAsia" w:asciiTheme="majorEastAsia" w:hAnsiTheme="majorEastAsia" w:eastAsiaTheme="majorEastAsia" w:cstheme="majorEastAsia"/>
          <w:b/>
          <w:bCs/>
          <w:sz w:val="32"/>
          <w:szCs w:val="32"/>
          <w:lang w:val="en-US" w:eastAsia="zh-CN"/>
        </w:rPr>
      </w:pPr>
    </w:p>
    <w:p>
      <w:pPr>
        <w:wordWrap w:val="0"/>
        <w:spacing w:line="440" w:lineRule="exact"/>
        <w:ind w:firstLine="643" w:firstLineChars="200"/>
        <w:outlineLvl w:val="9"/>
        <w:rPr>
          <w:rFonts w:hint="eastAsia" w:asciiTheme="majorEastAsia" w:hAnsiTheme="majorEastAsia" w:eastAsiaTheme="majorEastAsia" w:cstheme="majorEastAsia"/>
          <w:b/>
          <w:bCs/>
          <w:sz w:val="32"/>
          <w:szCs w:val="32"/>
          <w:lang w:val="en-US" w:eastAsia="zh-CN"/>
        </w:rPr>
      </w:pPr>
    </w:p>
    <w:p>
      <w:pPr>
        <w:wordWrap w:val="0"/>
        <w:spacing w:line="440" w:lineRule="exact"/>
        <w:ind w:firstLine="643" w:firstLineChars="200"/>
        <w:outlineLvl w:val="9"/>
        <w:rPr>
          <w:rFonts w:hint="eastAsia" w:asciiTheme="majorEastAsia" w:hAnsiTheme="majorEastAsia" w:eastAsiaTheme="majorEastAsia" w:cstheme="majorEastAsia"/>
          <w:b/>
          <w:bCs/>
          <w:sz w:val="32"/>
          <w:szCs w:val="32"/>
          <w:lang w:val="en-US" w:eastAsia="zh-CN"/>
        </w:rPr>
      </w:pPr>
    </w:p>
    <w:p>
      <w:pPr>
        <w:wordWrap w:val="0"/>
        <w:spacing w:line="440" w:lineRule="exact"/>
        <w:ind w:firstLine="643" w:firstLineChars="200"/>
        <w:outlineLvl w:val="9"/>
        <w:rPr>
          <w:rFonts w:hint="eastAsia" w:asciiTheme="majorEastAsia" w:hAnsiTheme="majorEastAsia" w:eastAsiaTheme="majorEastAsia" w:cstheme="majorEastAsia"/>
          <w:b/>
          <w:bCs/>
          <w:sz w:val="32"/>
          <w:szCs w:val="32"/>
          <w:lang w:val="en-US" w:eastAsia="zh-CN"/>
        </w:rPr>
      </w:pPr>
    </w:p>
    <w:p>
      <w:pPr>
        <w:wordWrap w:val="0"/>
        <w:spacing w:line="440" w:lineRule="exact"/>
        <w:ind w:firstLine="643" w:firstLineChars="200"/>
        <w:outlineLvl w:val="9"/>
        <w:rPr>
          <w:rFonts w:hint="eastAsia" w:asciiTheme="majorEastAsia" w:hAnsiTheme="majorEastAsia" w:eastAsiaTheme="majorEastAsia" w:cstheme="majorEastAsia"/>
          <w:b/>
          <w:bCs/>
          <w:sz w:val="32"/>
          <w:szCs w:val="32"/>
          <w:lang w:val="en-US" w:eastAsia="zh-CN"/>
        </w:rPr>
      </w:pPr>
    </w:p>
    <w:p>
      <w:pPr>
        <w:wordWrap w:val="0"/>
        <w:spacing w:line="440" w:lineRule="exact"/>
        <w:ind w:firstLine="643" w:firstLineChars="200"/>
        <w:outlineLvl w:val="9"/>
        <w:rPr>
          <w:rFonts w:hint="eastAsia" w:asciiTheme="majorEastAsia" w:hAnsiTheme="majorEastAsia" w:eastAsiaTheme="majorEastAsia" w:cstheme="majorEastAsia"/>
          <w:b/>
          <w:bCs/>
          <w:sz w:val="32"/>
          <w:szCs w:val="32"/>
          <w:lang w:val="en-US" w:eastAsia="zh-CN"/>
        </w:rPr>
      </w:pPr>
    </w:p>
    <w:p>
      <w:pPr>
        <w:wordWrap w:val="0"/>
        <w:spacing w:line="440" w:lineRule="exact"/>
        <w:ind w:firstLine="643" w:firstLineChars="200"/>
        <w:outlineLvl w:val="9"/>
        <w:rPr>
          <w:rFonts w:hint="eastAsia" w:asciiTheme="majorEastAsia" w:hAnsiTheme="majorEastAsia" w:eastAsiaTheme="majorEastAsia" w:cstheme="majorEastAsia"/>
          <w:b/>
          <w:bCs/>
          <w:sz w:val="32"/>
          <w:szCs w:val="32"/>
          <w:lang w:val="en-US" w:eastAsia="zh-CN"/>
        </w:rPr>
      </w:pPr>
    </w:p>
    <w:p>
      <w:pPr>
        <w:wordWrap w:val="0"/>
        <w:spacing w:line="440" w:lineRule="exact"/>
        <w:ind w:firstLine="643" w:firstLineChars="200"/>
        <w:outlineLvl w:val="9"/>
        <w:rPr>
          <w:rFonts w:hint="eastAsia" w:asciiTheme="majorEastAsia" w:hAnsiTheme="majorEastAsia" w:eastAsiaTheme="majorEastAsia" w:cstheme="majorEastAsia"/>
          <w:b/>
          <w:bCs/>
          <w:sz w:val="32"/>
          <w:szCs w:val="32"/>
          <w:lang w:val="en-US" w:eastAsia="zh-CN"/>
        </w:rPr>
      </w:pPr>
    </w:p>
    <w:p>
      <w:pPr>
        <w:wordWrap w:val="0"/>
        <w:spacing w:line="440" w:lineRule="exact"/>
        <w:ind w:firstLine="643" w:firstLineChars="200"/>
        <w:outlineLvl w:val="9"/>
        <w:rPr>
          <w:rFonts w:hint="eastAsia" w:asciiTheme="majorEastAsia" w:hAnsiTheme="majorEastAsia" w:eastAsiaTheme="majorEastAsia" w:cstheme="majorEastAsia"/>
          <w:b/>
          <w:bCs/>
          <w:sz w:val="32"/>
          <w:szCs w:val="32"/>
          <w:lang w:val="en-US" w:eastAsia="zh-CN"/>
        </w:rPr>
      </w:pPr>
    </w:p>
    <w:p>
      <w:pPr>
        <w:wordWrap w:val="0"/>
        <w:spacing w:line="440" w:lineRule="exact"/>
        <w:ind w:firstLine="643" w:firstLineChars="200"/>
        <w:outlineLvl w:val="9"/>
        <w:rPr>
          <w:rFonts w:hint="eastAsia" w:asciiTheme="majorEastAsia" w:hAnsiTheme="majorEastAsia" w:eastAsiaTheme="majorEastAsia" w:cstheme="majorEastAsia"/>
          <w:b/>
          <w:bCs/>
          <w:sz w:val="32"/>
          <w:szCs w:val="32"/>
          <w:lang w:val="en-US" w:eastAsia="zh-CN"/>
        </w:rPr>
      </w:pPr>
    </w:p>
    <w:p>
      <w:pPr>
        <w:wordWrap w:val="0"/>
        <w:spacing w:line="440" w:lineRule="exact"/>
        <w:ind w:firstLine="643" w:firstLineChars="200"/>
        <w:outlineLvl w:val="9"/>
        <w:rPr>
          <w:rFonts w:hint="eastAsia" w:asciiTheme="majorEastAsia" w:hAnsiTheme="majorEastAsia" w:eastAsiaTheme="majorEastAsia" w:cstheme="majorEastAsia"/>
          <w:b/>
          <w:bCs/>
          <w:sz w:val="32"/>
          <w:szCs w:val="32"/>
          <w:lang w:val="en-US" w:eastAsia="zh-CN"/>
        </w:rPr>
      </w:pPr>
    </w:p>
    <w:p>
      <w:pPr>
        <w:wordWrap w:val="0"/>
        <w:spacing w:line="440" w:lineRule="exact"/>
        <w:ind w:firstLine="643" w:firstLineChars="200"/>
        <w:outlineLvl w:val="9"/>
        <w:rPr>
          <w:rFonts w:hint="eastAsia" w:asciiTheme="majorEastAsia" w:hAnsiTheme="majorEastAsia" w:eastAsiaTheme="majorEastAsia" w:cstheme="majorEastAsia"/>
          <w:b/>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发包人要求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ermStart w:id="83" w:edGrp="everyone"/>
      <w:r>
        <w:rPr>
          <w:rFonts w:hint="eastAsia" w:ascii="Times New Roman" w:hAnsi="Times New Roman" w:cs="Times New Roman"/>
          <w:kern w:val="0"/>
          <w:sz w:val="24"/>
          <w:szCs w:val="24"/>
          <w:highlight w:val="none"/>
          <w:lang w:val="en-US" w:eastAsia="zh-CN"/>
        </w:rPr>
        <w:t>1.项目概况：亳州高铁南站金融商务中心项目1#、2#楼装饰工程</w:t>
      </w: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其中1#楼装饰1-2层（共6层）</w:t>
      </w: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建筑面积约1300平方；2#楼装饰1-6层，建筑面积约17700平方</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2.服务范围及内容：主要包括但不限于1#、2#楼水电、暖通、消防改造，部分墙体拆除、结构加固、装饰装修工程；监理招标范围包括</w:t>
      </w:r>
      <w:r>
        <w:rPr>
          <w:rFonts w:hint="eastAsia" w:ascii="Times New Roman" w:hAnsi="Times New Roman" w:cs="Times New Roman"/>
          <w:kern w:val="0"/>
          <w:sz w:val="24"/>
          <w:szCs w:val="24"/>
          <w:highlight w:val="none"/>
          <w:lang w:val="zh-CN" w:eastAsia="zh-CN"/>
        </w:rPr>
        <w:t>工程施工准备阶段、施工阶段、竣工结算阶段、保修期阶段、施工图及设计变更等所有内容的全过程监理服务。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3.服务依据：满足国家法律、法规、行业标准、地方规定要求。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具体人员要求：最少配置人员总监理工程师1名，土建专业监理工程师1名，安装专业工程师1名，监理员1名（可兼任），并需要满足国家法律、法规、行业标准、地方规定对人员的要求，满足办理施工许可证人员需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5.发包人的其他要求：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5.1</w:t>
      </w:r>
      <w:r>
        <w:rPr>
          <w:rFonts w:hint="eastAsia" w:ascii="Times New Roman" w:hAnsi="Times New Roman" w:cs="Times New Roman"/>
          <w:kern w:val="0"/>
          <w:sz w:val="24"/>
          <w:szCs w:val="24"/>
          <w:highlight w:val="none"/>
          <w:shd w:val="clear" w:color="auto" w:fill="auto"/>
          <w:vertAlign w:val="baseline"/>
          <w:lang w:val="en-US" w:eastAsia="zh-CN"/>
        </w:rPr>
        <w:t>若招标人项目最终不能实施，招标人有权不予以签订合同或解除合同，且不承担任何缔约过失责任</w:t>
      </w:r>
      <w:r>
        <w:rPr>
          <w:rFonts w:hint="eastAsia" w:ascii="Times New Roman" w:hAnsi="Times New Roman" w:cs="Times New Roman"/>
          <w:color w:val="auto"/>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lang w:val="en-US" w:eastAsia="zh-CN"/>
        </w:rPr>
        <w:t>5.2</w:t>
      </w:r>
      <w:r>
        <w:rPr>
          <w:rFonts w:hint="eastAsia" w:ascii="Times New Roman" w:hAnsi="Times New Roman" w:cs="Times New Roman"/>
          <w:kern w:val="0"/>
          <w:sz w:val="24"/>
          <w:szCs w:val="24"/>
          <w:highlight w:val="none"/>
          <w:shd w:val="clear" w:color="auto" w:fill="auto"/>
          <w:vertAlign w:val="baseline"/>
          <w:lang w:val="en-US" w:eastAsia="zh-CN"/>
        </w:rPr>
        <w:t xml:space="preserve">投标文件中承诺的总监理工程师、专业监理工程师、监理员等人员原则上不予更换，以上管理人员确因身体健康等不可抗拒原因需要变更时，替换后的管理人员资格、业绩不得低于原管理人员，并完善变更手续，报送建设行政主管部门备案。未报送备案的，由建设行政主管部门记企业和项目经理不良记录档案一次。更换项目班子管理人员一人次视为违约一次，并按以下规定给予承包人进行处罚。 </w:t>
      </w:r>
    </w:p>
    <w:p>
      <w:pPr>
        <w:keepNext w:val="0"/>
        <w:keepLines w:val="0"/>
        <w:pageBreakBefore w:val="0"/>
        <w:widowControl w:val="0"/>
        <w:numPr>
          <w:ilvl w:val="0"/>
          <w:numId w:val="1"/>
        </w:numPr>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如更换总监理工程师，须向发包人支付违约金5万元/人次；</w:t>
      </w:r>
    </w:p>
    <w:p>
      <w:pPr>
        <w:keepNext w:val="0"/>
        <w:keepLines w:val="0"/>
        <w:pageBreakBefore w:val="0"/>
        <w:widowControl w:val="0"/>
        <w:numPr>
          <w:ilvl w:val="0"/>
          <w:numId w:val="1"/>
        </w:numPr>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如更换专业监理工程师，须向发包人支付人员违约保证金2万元/人次；</w:t>
      </w:r>
    </w:p>
    <w:p>
      <w:pPr>
        <w:keepNext w:val="0"/>
        <w:keepLines w:val="0"/>
        <w:pageBreakBefore w:val="0"/>
        <w:widowControl w:val="0"/>
        <w:numPr>
          <w:ilvl w:val="0"/>
          <w:numId w:val="1"/>
        </w:numPr>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 xml:space="preserve">监理员等其他管理人员1万元/人次； </w:t>
      </w:r>
    </w:p>
    <w:p>
      <w:pPr>
        <w:keepNext w:val="0"/>
        <w:keepLines w:val="0"/>
        <w:pageBreakBefore w:val="0"/>
        <w:widowControl w:val="0"/>
        <w:numPr>
          <w:ilvl w:val="0"/>
          <w:numId w:val="1"/>
        </w:numPr>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 xml:space="preserve">被替换的管理人员不得再参与其它项目的投标和管理，若发现须再次向发包人支付违约金，违约金金额等同于替换金额； </w:t>
      </w:r>
    </w:p>
    <w:p>
      <w:pPr>
        <w:keepNext w:val="0"/>
        <w:keepLines w:val="0"/>
        <w:pageBreakBefore w:val="0"/>
        <w:widowControl w:val="0"/>
        <w:numPr>
          <w:ilvl w:val="0"/>
          <w:numId w:val="1"/>
        </w:numPr>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 xml:space="preserve">以上管理人员在监理期间不能满足工程的需要，建设单位有权要求更换，监理人应在收到书面更换通知后7天内进行更换，并视中标人为违约一次，并按照上述(1)至(3) 约定进行违约处理；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承担本工程施工监理的监理机构必须进驻现场，总监理工程师必须常驻现场，所有监理人员(含总监)接受委托人管理考勤，总监理工程师及专业监理工程师的月到位天数不得少22天，实际到位天数每少一天，总监理工程师按1000元/人每天扣除监理费用，专业监理工程师、监理员按300元/人每天扣除监理费用；</w:t>
      </w:r>
    </w:p>
    <w:p>
      <w:pPr>
        <w:keepNext w:val="0"/>
        <w:keepLines w:val="0"/>
        <w:pageBreakBefore w:val="0"/>
        <w:widowControl w:val="0"/>
        <w:numPr>
          <w:ilvl w:val="0"/>
          <w:numId w:val="1"/>
        </w:numPr>
        <w:kinsoku/>
        <w:wordWrap w:val="0"/>
        <w:overflowPunct/>
        <w:topLinePunct w:val="0"/>
        <w:autoSpaceDE/>
        <w:autoSpaceDN/>
        <w:bidi w:val="0"/>
        <w:adjustRightInd/>
        <w:snapToGrid/>
        <w:spacing w:line="440" w:lineRule="exact"/>
        <w:ind w:left="0" w:leftChars="0"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总监理工程师未经批准，擅自离开施工现场的违约责任：每天缴纳违约金5000元/人天；</w:t>
      </w:r>
    </w:p>
    <w:p>
      <w:pPr>
        <w:keepNext w:val="0"/>
        <w:keepLines w:val="0"/>
        <w:pageBreakBefore w:val="0"/>
        <w:widowControl w:val="0"/>
        <w:numPr>
          <w:ilvl w:val="0"/>
          <w:numId w:val="1"/>
        </w:numPr>
        <w:kinsoku/>
        <w:wordWrap w:val="0"/>
        <w:overflowPunct/>
        <w:topLinePunct w:val="0"/>
        <w:autoSpaceDE/>
        <w:autoSpaceDN/>
        <w:bidi w:val="0"/>
        <w:adjustRightInd/>
        <w:snapToGrid/>
        <w:spacing w:line="440" w:lineRule="exact"/>
        <w:ind w:left="0" w:leftChars="0"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监理人未经发包人同意，擅自更换总监的，监理人需向发包人支付10万元/人/次的违约金，且发包人有权单方面解除合同，并可追究由此造成的损失；擅自更换专业监理工程师的，监理人需向发包人支付4万元/人/次的违约金；擅自更换监理员的，监理人需向发包人支付1万元/人/次的违约金；</w:t>
      </w:r>
    </w:p>
    <w:p>
      <w:pPr>
        <w:keepNext w:val="0"/>
        <w:keepLines w:val="0"/>
        <w:pageBreakBefore w:val="0"/>
        <w:widowControl w:val="0"/>
        <w:numPr>
          <w:ilvl w:val="0"/>
          <w:numId w:val="1"/>
        </w:numPr>
        <w:kinsoku/>
        <w:wordWrap w:val="0"/>
        <w:overflowPunct/>
        <w:topLinePunct w:val="0"/>
        <w:autoSpaceDE/>
        <w:autoSpaceDN/>
        <w:bidi w:val="0"/>
        <w:adjustRightInd/>
        <w:snapToGrid/>
        <w:spacing w:line="440" w:lineRule="exact"/>
        <w:ind w:left="0" w:leftChars="0"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监理人无正当理由拒绝更换总监的，监理人需向发包人支付10万元/人/ 次的违约金，且发包人有权单方面解除合同，并可追究由此造成的损失；无正当理由拒绝更换专业监理工程师的，监理人需向发包人支付4万元/人/次的违约金；无正当理由拒绝更换监理员的，监理人需向发包人支付1万元/人/次的违约金；</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承担本工程施工监理的监理机构必须按人员进场计划进驻现场，总监理工程师必须常驻现场，所有监理人员(含总监) 接受委托人管理考勤，总监理工程师、专业监理工程师及监理员的月到岗天数不得少22天，实际到位天数每少一天，总监理工程师按1000元/人/天向发包人支付违约金，专业监理工程师、监理员按 300 元/人/天向发包人支付违约金。项目同时实施的情况下，每个项目监理人员数量必须满足项目实际需求，且不低于2名监理人员，可根据现场实际情况和建设单位要求进行调整，调整前须征求建设单位意见。</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 xml:space="preserve"> 5.3 发包人其他要求：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ab/>
      </w:r>
      <w:r>
        <w:rPr>
          <w:rFonts w:hint="eastAsia" w:ascii="Times New Roman" w:hAnsi="Times New Roman" w:cs="Times New Roman"/>
          <w:kern w:val="0"/>
          <w:sz w:val="24"/>
          <w:szCs w:val="24"/>
          <w:highlight w:val="none"/>
          <w:shd w:val="clear" w:color="auto" w:fill="auto"/>
          <w:vertAlign w:val="baseline"/>
          <w:lang w:val="en-US" w:eastAsia="zh-CN"/>
        </w:rPr>
        <w:t xml:space="preserve">(1) 签订监理合同后 7 日内，监理组成人员必须按投标承诺人员进场计划到岗。总监未按时到岗的，发包人有权要求监理人支付5000元/天的违约金，其他人员未到岗的，发包人有权要求监理人支付2000元/天/人的违约金。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ab/>
      </w:r>
      <w:r>
        <w:rPr>
          <w:rFonts w:hint="eastAsia" w:ascii="Times New Roman" w:hAnsi="Times New Roman" w:cs="Times New Roman"/>
          <w:kern w:val="0"/>
          <w:sz w:val="24"/>
          <w:szCs w:val="24"/>
          <w:highlight w:val="none"/>
          <w:shd w:val="clear" w:color="auto" w:fill="auto"/>
          <w:vertAlign w:val="baseline"/>
          <w:lang w:val="en-US" w:eastAsia="zh-CN"/>
        </w:rPr>
        <w:t xml:space="preserve">(2) 监理人应在合同签订后 14 日内提交办理安全报监、质量报监、施工许可证的相关资料，并按要求及时报送监理规划、监理实施细则等或其他发包人要求提供的相关资料，每延期一天，发包人有权要求承包人支付违约金10000元/项，延期超过3天的发函通报至监理人公司；延期超过5天的约谈监理人企业负责人；延期14天，则发包人有权单方面解除合同，并有权追究由此造成的损失。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ab/>
      </w:r>
      <w:r>
        <w:rPr>
          <w:rFonts w:hint="eastAsia" w:ascii="Times New Roman" w:hAnsi="Times New Roman" w:cs="Times New Roman"/>
          <w:kern w:val="0"/>
          <w:sz w:val="24"/>
          <w:szCs w:val="24"/>
          <w:highlight w:val="none"/>
          <w:shd w:val="clear" w:color="auto" w:fill="auto"/>
          <w:vertAlign w:val="baseline"/>
          <w:lang w:val="en-US" w:eastAsia="zh-CN"/>
        </w:rPr>
        <w:t>(3)因发包人原因造成未能在计划开工日期前发出开工通知的或部分工程未能按计划开工日期开工的， 按实际开工日期顺延竣工日期， 价格不予调整，费用不予补偿。因监理人原因造成未能在计划开工日期前发出开工通知的，每延期一天，发包人有权要求监理人支付违约金10000元，延期7天的，则发包人有权单方面解除合同，并有权追究由此造成的损失。</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ab/>
      </w:r>
      <w:r>
        <w:rPr>
          <w:rFonts w:hint="eastAsia" w:ascii="Times New Roman" w:hAnsi="Times New Roman" w:cs="Times New Roman"/>
          <w:kern w:val="0"/>
          <w:sz w:val="24"/>
          <w:szCs w:val="24"/>
          <w:highlight w:val="none"/>
          <w:shd w:val="clear" w:color="auto" w:fill="auto"/>
          <w:vertAlign w:val="baseline"/>
          <w:lang w:val="en-US" w:eastAsia="zh-CN"/>
        </w:rPr>
        <w:t xml:space="preserve">(4)监理人应安排专职造价人员负责本工程的造价管理工作。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ab/>
      </w:r>
      <w:r>
        <w:rPr>
          <w:rFonts w:hint="eastAsia" w:ascii="Times New Roman" w:hAnsi="Times New Roman" w:cs="Times New Roman"/>
          <w:kern w:val="0"/>
          <w:sz w:val="24"/>
          <w:szCs w:val="24"/>
          <w:highlight w:val="none"/>
          <w:shd w:val="clear" w:color="auto" w:fill="auto"/>
          <w:vertAlign w:val="baseline"/>
          <w:lang w:val="en-US" w:eastAsia="zh-CN"/>
        </w:rPr>
        <w:t xml:space="preserve">(5)在监理工作范围内，监理人应对其工作人员进行安全教育并实行人身意外事故保险。监理人员的任何损害与委托人无关。监理人员在责任期内的人身保险和人身伤害由监理人承担，发包人概不负责。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ab/>
      </w:r>
      <w:r>
        <w:rPr>
          <w:rFonts w:hint="eastAsia" w:ascii="Times New Roman" w:hAnsi="Times New Roman" w:cs="Times New Roman"/>
          <w:kern w:val="0"/>
          <w:sz w:val="24"/>
          <w:szCs w:val="24"/>
          <w:highlight w:val="none"/>
          <w:shd w:val="clear" w:color="auto" w:fill="auto"/>
          <w:vertAlign w:val="baseline"/>
          <w:lang w:val="en-US" w:eastAsia="zh-CN"/>
        </w:rPr>
        <w:t xml:space="preserve">(6)监理人必须服从发包人的调度，做好检查配合工作及其他有关的协调配合工作，若监理人拒不执行的，发包人有权要求承包人支付2000元/次的违约金。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ab/>
      </w:r>
      <w:r>
        <w:rPr>
          <w:rFonts w:hint="eastAsia" w:ascii="Times New Roman" w:hAnsi="Times New Roman" w:cs="Times New Roman"/>
          <w:kern w:val="0"/>
          <w:sz w:val="24"/>
          <w:szCs w:val="24"/>
          <w:highlight w:val="none"/>
          <w:shd w:val="clear" w:color="auto" w:fill="auto"/>
          <w:vertAlign w:val="baseline"/>
          <w:lang w:val="en-US" w:eastAsia="zh-CN"/>
        </w:rPr>
        <w:t xml:space="preserve">(7)监理人员人员必须按要求参加发包人组织的工程会议，确有特殊情况必须提前向发包人请假并经发包人同意，否则，发包人有权要求承包人支付2000元/次/人的违约金。经会议决议后统一布置的任务，监理人必须认真实施，对完成事项执行不力或未有效落实的，发包人有权要求监理人支付2000元/次的违约金。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ab/>
      </w:r>
      <w:r>
        <w:rPr>
          <w:rFonts w:hint="eastAsia" w:ascii="Times New Roman" w:hAnsi="Times New Roman" w:cs="Times New Roman"/>
          <w:kern w:val="0"/>
          <w:sz w:val="24"/>
          <w:szCs w:val="24"/>
          <w:highlight w:val="none"/>
          <w:shd w:val="clear" w:color="auto" w:fill="auto"/>
          <w:vertAlign w:val="baseline"/>
          <w:lang w:val="en-US" w:eastAsia="zh-CN"/>
        </w:rPr>
        <w:t xml:space="preserve">(8)如监理人在质量、安全、进度等方面无法满足招标文件要求和投标文件承诺，发包人有权约谈监理人单位或承包人上级主管单位法定代表人或主要负责人，如被约谈的该法 定代表人或主要负责人未在约定时间到场约谈，发包人有权要求监理人支付10000元/次的违约金。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ab/>
      </w:r>
      <w:r>
        <w:rPr>
          <w:rFonts w:hint="eastAsia" w:ascii="Times New Roman" w:hAnsi="Times New Roman" w:cs="Times New Roman"/>
          <w:kern w:val="0"/>
          <w:sz w:val="24"/>
          <w:szCs w:val="24"/>
          <w:highlight w:val="none"/>
          <w:shd w:val="clear" w:color="auto" w:fill="auto"/>
          <w:vertAlign w:val="baseline"/>
          <w:lang w:val="en-US" w:eastAsia="zh-CN"/>
        </w:rPr>
        <w:t xml:space="preserve">(9) 发包人有权要求监理人企业分管负责人每1 月自到施工现场巡查一次，并将巡查结果报发包人备案，否则，发包人有权要求监理人支付5000元/次的违约金。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ab/>
      </w:r>
      <w:r>
        <w:rPr>
          <w:rFonts w:hint="eastAsia" w:ascii="Times New Roman" w:hAnsi="Times New Roman" w:cs="Times New Roman"/>
          <w:kern w:val="0"/>
          <w:sz w:val="24"/>
          <w:szCs w:val="24"/>
          <w:highlight w:val="none"/>
          <w:shd w:val="clear" w:color="auto" w:fill="auto"/>
          <w:vertAlign w:val="baseline"/>
          <w:lang w:val="en-US" w:eastAsia="zh-CN"/>
        </w:rPr>
        <w:t xml:space="preserve">(10) 严禁挂靠、转包或违法分包，若发现监理人挂靠、转包，发包人有权要求监理人支付违约金20000元/次，且发包人有权单方面解除合同，并有权追究由此造成的损失。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ab/>
      </w:r>
      <w:r>
        <w:rPr>
          <w:rFonts w:hint="eastAsia" w:ascii="Times New Roman" w:hAnsi="Times New Roman" w:cs="Times New Roman"/>
          <w:kern w:val="0"/>
          <w:sz w:val="24"/>
          <w:szCs w:val="24"/>
          <w:highlight w:val="none"/>
          <w:shd w:val="clear" w:color="auto" w:fill="auto"/>
          <w:vertAlign w:val="baseline"/>
          <w:lang w:val="en-US" w:eastAsia="zh-CN"/>
        </w:rPr>
        <w:t xml:space="preserve">(11) 发包人有权增加或减少合同中的任何工作，或追加额外工作，监理人必须无条件立即执行，否则视为违约，监理人应承担由此造成的一切损失，且发包人有权要求监理人支付违约金20000元/次，且发包人有权单方面解除合同，并有权追究由此造成的损失。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ab/>
      </w:r>
      <w:r>
        <w:rPr>
          <w:rFonts w:hint="eastAsia" w:ascii="Times New Roman" w:hAnsi="Times New Roman" w:cs="Times New Roman"/>
          <w:kern w:val="0"/>
          <w:sz w:val="24"/>
          <w:szCs w:val="24"/>
          <w:highlight w:val="none"/>
          <w:shd w:val="clear" w:color="auto" w:fill="auto"/>
          <w:vertAlign w:val="baseline"/>
          <w:lang w:val="en-US" w:eastAsia="zh-CN"/>
        </w:rPr>
        <w:t xml:space="preserve">(12)监理人必须在每月25日下午时前向发包人提供一份监理月报，否则，包人有权要求监理人支付违约金1000元/次。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ab/>
      </w:r>
      <w:r>
        <w:rPr>
          <w:rFonts w:hint="eastAsia" w:ascii="Times New Roman" w:hAnsi="Times New Roman" w:cs="Times New Roman"/>
          <w:kern w:val="0"/>
          <w:sz w:val="24"/>
          <w:szCs w:val="24"/>
          <w:highlight w:val="none"/>
          <w:shd w:val="clear" w:color="auto" w:fill="auto"/>
          <w:vertAlign w:val="baseline"/>
          <w:lang w:val="en-US" w:eastAsia="zh-CN"/>
        </w:rPr>
        <w:t xml:space="preserve">(13) 如发现监理人质量、安全管理等内业资料不完善、不按要求编制、与工程进度不同步、弄虚作假或因监理人原因使施工单位内业资料整理不到位的，发包人有权要求监理人支付违约金2000元/次/项，并承担由此造成的一切损失。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ab/>
      </w:r>
      <w:r>
        <w:rPr>
          <w:rFonts w:hint="eastAsia" w:ascii="Times New Roman" w:hAnsi="Times New Roman" w:cs="Times New Roman"/>
          <w:kern w:val="0"/>
          <w:sz w:val="24"/>
          <w:szCs w:val="24"/>
          <w:highlight w:val="none"/>
          <w:shd w:val="clear" w:color="auto" w:fill="auto"/>
          <w:vertAlign w:val="baseline"/>
          <w:lang w:val="en-US" w:eastAsia="zh-CN"/>
        </w:rPr>
        <w:t xml:space="preserve">(14) 监理人不按规定或未采取有效措施督促施工单位对材料进行进场验收、送检、见证取样或按要求进行实体检测、留取试块、试件等，发包人有权要求监理人支付2000元/次/处的违约金。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ab/>
      </w:r>
      <w:r>
        <w:rPr>
          <w:rFonts w:hint="eastAsia" w:ascii="Times New Roman" w:hAnsi="Times New Roman" w:cs="Times New Roman"/>
          <w:kern w:val="0"/>
          <w:sz w:val="24"/>
          <w:szCs w:val="24"/>
          <w:highlight w:val="none"/>
          <w:shd w:val="clear" w:color="auto" w:fill="auto"/>
          <w:vertAlign w:val="baseline"/>
          <w:lang w:val="en-US" w:eastAsia="zh-CN"/>
        </w:rPr>
        <w:t xml:space="preserve">(15) 如在检查中发现现场存在质量、安全文明施工不符合规范要求，而监理人未及时发现或发现了未及时采取有效措施督促施工单位进行整改，则发包人有权要求监理人支付1000元/次/处的违约金。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ab/>
      </w:r>
      <w:r>
        <w:rPr>
          <w:rFonts w:hint="eastAsia" w:ascii="Times New Roman" w:hAnsi="Times New Roman" w:cs="Times New Roman"/>
          <w:kern w:val="0"/>
          <w:sz w:val="24"/>
          <w:szCs w:val="24"/>
          <w:highlight w:val="none"/>
          <w:shd w:val="clear" w:color="auto" w:fill="auto"/>
          <w:vertAlign w:val="baseline"/>
          <w:lang w:val="en-US" w:eastAsia="zh-CN"/>
        </w:rPr>
        <w:t xml:space="preserve">(16)监理人不按照规范要求进行旁站(到场15分钟内没有见到监理旁站人员，视同监理没有旁站)，除承担该部位质量问题的监理责任外，发包人有权要求监理人支付1000元/次/处的违约金。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ab/>
      </w:r>
      <w:r>
        <w:rPr>
          <w:rFonts w:hint="eastAsia" w:ascii="Times New Roman" w:hAnsi="Times New Roman" w:cs="Times New Roman"/>
          <w:kern w:val="0"/>
          <w:sz w:val="24"/>
          <w:szCs w:val="24"/>
          <w:highlight w:val="none"/>
          <w:shd w:val="clear" w:color="auto" w:fill="auto"/>
          <w:vertAlign w:val="baseline"/>
          <w:lang w:val="en-US" w:eastAsia="zh-CN"/>
        </w:rPr>
        <w:t xml:space="preserve">(17)监理人应对由于施工单位原因造成的进度滞后问题采取有效、迅速的处理措施，否则，发包人有权要求监理人支付1000元/次的违约金(以月为周期)。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ab/>
      </w:r>
      <w:r>
        <w:rPr>
          <w:rFonts w:hint="eastAsia" w:ascii="Times New Roman" w:hAnsi="Times New Roman" w:cs="Times New Roman"/>
          <w:kern w:val="0"/>
          <w:sz w:val="24"/>
          <w:szCs w:val="24"/>
          <w:highlight w:val="none"/>
          <w:shd w:val="clear" w:color="auto" w:fill="auto"/>
          <w:vertAlign w:val="baseline"/>
          <w:lang w:val="en-US" w:eastAsia="zh-CN"/>
        </w:rPr>
        <w:t xml:space="preserve">(18) 因监理人工作未尽职责或存在明显错误的，影响工程进展或造成损失的，发包人有权要求监理人支付10000元/次的违约金，并承担由此造成的一切损失。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ab/>
      </w:r>
      <w:r>
        <w:rPr>
          <w:rFonts w:hint="eastAsia" w:ascii="Times New Roman" w:hAnsi="Times New Roman" w:cs="Times New Roman"/>
          <w:kern w:val="0"/>
          <w:sz w:val="24"/>
          <w:szCs w:val="24"/>
          <w:highlight w:val="none"/>
          <w:shd w:val="clear" w:color="auto" w:fill="auto"/>
          <w:vertAlign w:val="baseline"/>
          <w:lang w:val="en-US" w:eastAsia="zh-CN"/>
        </w:rPr>
        <w:t xml:space="preserve">(19) 如被发包人组织的第三方安全、质量等检查时通报批评，监理人未尽职履责，发包人有权要求监理人支付5000元/次的违约金；三次及三次以上被通报批评，发包人有权约谈监理人企业负责人，且可视为该总监等监理人员不能胜任本职工作，发包人有权要求监理人按规定程序更换总监等人员，并按人员变更违约处理。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ab/>
      </w:r>
      <w:r>
        <w:rPr>
          <w:rFonts w:hint="eastAsia" w:ascii="Times New Roman" w:hAnsi="Times New Roman" w:cs="Times New Roman"/>
          <w:kern w:val="0"/>
          <w:sz w:val="24"/>
          <w:szCs w:val="24"/>
          <w:highlight w:val="none"/>
          <w:shd w:val="clear" w:color="auto" w:fill="auto"/>
          <w:vertAlign w:val="baseline"/>
          <w:lang w:val="en-US" w:eastAsia="zh-CN"/>
        </w:rPr>
        <w:t xml:space="preserve">(20) 如被主管部门通报批评或被媒体曝光，监理人未尽职履责，包人有权要求监理人支付10000元/次的违约金，且发包人有权约谈监理人企业负责人，且可视为该总监等管理人员不能胜任本职工作，发包人有权要求监理人按规定程序更换总监等人员，并按人员变更违约处理。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ab/>
      </w:r>
      <w:r>
        <w:rPr>
          <w:rFonts w:hint="eastAsia" w:ascii="Times New Roman" w:hAnsi="Times New Roman" w:cs="Times New Roman"/>
          <w:kern w:val="0"/>
          <w:sz w:val="24"/>
          <w:szCs w:val="24"/>
          <w:highlight w:val="none"/>
          <w:shd w:val="clear" w:color="auto" w:fill="auto"/>
          <w:vertAlign w:val="baseline"/>
          <w:lang w:val="en-US" w:eastAsia="zh-CN"/>
        </w:rPr>
        <w:t xml:space="preserve">(21) 如监理人未尽职履责，工程每发生一起安全事故，监理人除接受政府相关部门处罚外，包人有权要求承监理人支付一定违约金，并承担由事故引发的一切后果。发生特别重 大事故，包人有权要求监理人支付违约金20万元/次；发生重大事故，包人有权要求监理人支付违约金10万元/次；发生较大事故，包人有权要求监理人支付违约金5万元/次；发生一般事故，包人有权要求监理人支付违约金2万元/次。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ab/>
      </w:r>
      <w:r>
        <w:rPr>
          <w:rFonts w:hint="eastAsia" w:ascii="Times New Roman" w:hAnsi="Times New Roman" w:cs="Times New Roman"/>
          <w:kern w:val="0"/>
          <w:sz w:val="24"/>
          <w:szCs w:val="24"/>
          <w:highlight w:val="none"/>
          <w:shd w:val="clear" w:color="auto" w:fill="auto"/>
          <w:vertAlign w:val="baseline"/>
          <w:lang w:val="en-US" w:eastAsia="zh-CN"/>
        </w:rPr>
        <w:t xml:space="preserve">(22) 监理人要履行监督职责，对施工现场的农民工实名制管理、劳动合同签订、劳动 用工考勤、按月发放农民工工资等进行监督管理，在项目部设立农民工工资投诉接待室，监理人要安排专人值班；在元旦、春节、中秋节等重大节日前，认真督促、审核施工单位排查农民工工资拖欠情况，制定维稳值班制度，并上报发包人备案。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ab/>
      </w:r>
      <w:r>
        <w:rPr>
          <w:rFonts w:hint="eastAsia" w:ascii="Times New Roman" w:hAnsi="Times New Roman" w:cs="Times New Roman"/>
          <w:kern w:val="0"/>
          <w:sz w:val="24"/>
          <w:szCs w:val="24"/>
          <w:highlight w:val="none"/>
          <w:shd w:val="clear" w:color="auto" w:fill="auto"/>
          <w:vertAlign w:val="baseline"/>
          <w:lang w:val="en-US" w:eastAsia="zh-CN"/>
        </w:rPr>
        <w:t xml:space="preserve">(23) 在检查中，如发现施工单位未按照要求落实农民工工资管理相关措施的，而监理人未及时发现或发现了未及时采取有效措施督促施工单位进行整改，视为违约。第一次发现 的，发包人有权要求监理人支付2000元违约金，且有权约谈监理人企业相关人员；第二次发现的，发包人进行通报批评，发包人有权要求监理人支付5000元违约金，且有权约谈监理人企业相关人员；第三次发现的，函告监理人企业总部，发包人有权要求监理人支付10000元违约金，且有权约谈监理人企业法定代表人或其授权委托代理人(公司副总以上级别)；第四次发现的，上报至市、区建设行政主管部门及人力资源社会保障行政部门处理，且发包人有权要求监理人支付20000元违约金。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ab/>
      </w:r>
      <w:r>
        <w:rPr>
          <w:rFonts w:hint="eastAsia" w:ascii="Times New Roman" w:hAnsi="Times New Roman" w:cs="Times New Roman"/>
          <w:kern w:val="0"/>
          <w:sz w:val="24"/>
          <w:szCs w:val="24"/>
          <w:highlight w:val="none"/>
          <w:shd w:val="clear" w:color="auto" w:fill="auto"/>
          <w:vertAlign w:val="baseline"/>
          <w:lang w:val="en-US" w:eastAsia="zh-CN"/>
        </w:rPr>
        <w:t>(24) 在项目实施过程中，尤其在元旦、春节、 中秋节等特殊时段，发生农民工上访的，而监理人失职失责，视为违约，发生10人(不含10人) 以下上访的，发包人有权要求监理人支付5000元/次违约金，且有权约谈监理人企业相关人员；发生10人(含10人)以上上访的，发包人有权要求监理人支付10000元/次违约金，且有权约谈监理人企业法定代表人或其授权委托代理人(公司副总以上级别) ；发生30人(含30人) 以上上访的，或虽然人数较少，但上访事件不能及时妥善解决造成恶劣影响的，发包人有权要求监理人支付20000元/次违约金，并上报至市、区建设行政主管部门及人力资源社会保障行政部门处理。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ab/>
      </w:r>
      <w:r>
        <w:rPr>
          <w:rFonts w:hint="eastAsia" w:ascii="Times New Roman" w:hAnsi="Times New Roman" w:cs="Times New Roman"/>
          <w:kern w:val="0"/>
          <w:sz w:val="24"/>
          <w:szCs w:val="24"/>
          <w:highlight w:val="none"/>
          <w:shd w:val="clear" w:color="auto" w:fill="auto"/>
          <w:vertAlign w:val="baseline"/>
          <w:lang w:val="en-US" w:eastAsia="zh-CN"/>
        </w:rPr>
        <w:t xml:space="preserve">(25)若监理人与施工单位串通损害发包人利益，发包人有权要求监理人支付违约金 1-10万元/次。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ab/>
      </w:r>
      <w:r>
        <w:rPr>
          <w:rFonts w:hint="eastAsia" w:ascii="Times New Roman" w:hAnsi="Times New Roman" w:cs="Times New Roman"/>
          <w:kern w:val="0"/>
          <w:sz w:val="24"/>
          <w:szCs w:val="24"/>
          <w:highlight w:val="none"/>
          <w:shd w:val="clear" w:color="auto" w:fill="auto"/>
          <w:vertAlign w:val="baseline"/>
          <w:lang w:val="en-US" w:eastAsia="zh-CN"/>
        </w:rPr>
        <w:t xml:space="preserve">(26)若监理人需发包人支付的违约金额累计达到10万元时，发包人有权视情况解除本监理合同。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ab/>
      </w:r>
      <w:r>
        <w:rPr>
          <w:rFonts w:hint="eastAsia" w:ascii="Times New Roman" w:hAnsi="Times New Roman" w:cs="Times New Roman"/>
          <w:kern w:val="0"/>
          <w:sz w:val="24"/>
          <w:szCs w:val="24"/>
          <w:highlight w:val="none"/>
          <w:shd w:val="clear" w:color="auto" w:fill="auto"/>
          <w:vertAlign w:val="baseline"/>
          <w:lang w:val="en-US" w:eastAsia="zh-CN"/>
        </w:rPr>
        <w:t>(27) 因监理人原因出现下列情形的，发包人有权依法解除合同：总监及监理人员变更未经发包人同意擅自长期脱岗离岗不履行职务的(连续3个月考勤率不足50%的) ； 在检查中多次发现(3次及以上) 监理人未及时发现现场质量、安全文明施工问题或发现了未及时采取有效措施督促整改的；因监理人监管不力，导致拖欠劳务人员工资，引起群体性 事件的；监理人明确表示或者以其行为表明不履行合同主要义务的；有证据证明监理人无能力继续履行义务的；法律、法规规定或合同约定的其他情形。如因监理人违约造成的合同解除，发包人有权不支付剩余监理费，且履约保证金不予退还。</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（28）监理人员不作为，对现场明显问题未及时发现、轻慢敷衍了事者视情况轻重，扣除监理费</w:t>
      </w:r>
      <w:r>
        <w:rPr>
          <w:rFonts w:hint="default" w:ascii="Times New Roman" w:hAnsi="Times New Roman" w:cs="Times New Roman"/>
          <w:kern w:val="0"/>
          <w:sz w:val="24"/>
          <w:szCs w:val="24"/>
          <w:highlight w:val="none"/>
          <w:shd w:val="clear" w:color="auto" w:fill="auto"/>
          <w:vertAlign w:val="baseline"/>
          <w:lang w:val="en-US" w:eastAsia="zh-CN"/>
        </w:rPr>
        <w:t>500</w:t>
      </w:r>
      <w:r>
        <w:rPr>
          <w:rFonts w:hint="eastAsia" w:ascii="Times New Roman" w:hAnsi="Times New Roman" w:cs="Times New Roman"/>
          <w:kern w:val="0"/>
          <w:sz w:val="24"/>
          <w:szCs w:val="24"/>
          <w:highlight w:val="none"/>
          <w:shd w:val="clear" w:color="auto" w:fill="auto"/>
          <w:vertAlign w:val="baseline"/>
          <w:lang w:val="en-US" w:eastAsia="zh-CN"/>
        </w:rPr>
        <w:t>—</w:t>
      </w:r>
      <w:r>
        <w:rPr>
          <w:rFonts w:hint="default" w:ascii="Times New Roman" w:hAnsi="Times New Roman" w:cs="Times New Roman"/>
          <w:kern w:val="0"/>
          <w:sz w:val="24"/>
          <w:szCs w:val="24"/>
          <w:highlight w:val="none"/>
          <w:shd w:val="clear" w:color="auto" w:fill="auto"/>
          <w:vertAlign w:val="baseline"/>
          <w:lang w:val="en-US" w:eastAsia="zh-CN"/>
        </w:rPr>
        <w:t>1000</w:t>
      </w:r>
      <w:r>
        <w:rPr>
          <w:rFonts w:hint="eastAsia" w:ascii="Times New Roman" w:hAnsi="Times New Roman" w:cs="Times New Roman"/>
          <w:kern w:val="0"/>
          <w:sz w:val="24"/>
          <w:szCs w:val="24"/>
          <w:highlight w:val="none"/>
          <w:shd w:val="clear" w:color="auto" w:fill="auto"/>
          <w:vertAlign w:val="baseline"/>
          <w:lang w:val="en-US" w:eastAsia="zh-CN"/>
        </w:rPr>
        <w:t>元</w:t>
      </w:r>
      <w:r>
        <w:rPr>
          <w:rFonts w:hint="default" w:ascii="Times New Roman" w:hAnsi="Times New Roman" w:cs="Times New Roman"/>
          <w:kern w:val="0"/>
          <w:sz w:val="24"/>
          <w:szCs w:val="24"/>
          <w:highlight w:val="none"/>
          <w:shd w:val="clear" w:color="auto" w:fill="auto"/>
          <w:vertAlign w:val="baseline"/>
          <w:lang w:val="en-US" w:eastAsia="zh-CN"/>
        </w:rPr>
        <w:t>/</w:t>
      </w:r>
      <w:r>
        <w:rPr>
          <w:rFonts w:hint="eastAsia" w:ascii="Times New Roman" w:hAnsi="Times New Roman" w:cs="Times New Roman"/>
          <w:kern w:val="0"/>
          <w:sz w:val="24"/>
          <w:szCs w:val="24"/>
          <w:highlight w:val="none"/>
          <w:shd w:val="clear" w:color="auto" w:fill="auto"/>
          <w:vertAlign w:val="baseline"/>
          <w:lang w:val="en-US" w:eastAsia="zh-CN"/>
        </w:rPr>
        <w:t>次不等。</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 xml:space="preserve">(29) 本合同条款中所有违约金应在违约处理单发出后7日内缴纳，如不及时缴纳，发包人有权暂停监理费支付或从监理费中扣除。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（30）项目结算及项目变更，监理单位应认真审核，并按照发包人及其集团公司要求实施。</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（31）不论何种原因造成的工程施工工期延长，监理费均不予调整。</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 xml:space="preserve">（32）在工程施工期间，委托人将不定期地组织有关人员对工程质量进行抽查。如委托人抽查时发现已施工完成的工程中材料或质量未达到约定质量标准且未被监理人员发现并发出纠正指令，视为监理失误，视情节轻重，监理人承担 </w:t>
      </w:r>
      <w:r>
        <w:rPr>
          <w:rFonts w:hint="default" w:ascii="Times New Roman" w:hAnsi="Times New Roman" w:cs="Times New Roman"/>
          <w:kern w:val="0"/>
          <w:sz w:val="24"/>
          <w:szCs w:val="24"/>
          <w:highlight w:val="none"/>
          <w:shd w:val="clear" w:color="auto" w:fill="auto"/>
          <w:vertAlign w:val="baseline"/>
          <w:lang w:val="en-US" w:eastAsia="zh-CN"/>
        </w:rPr>
        <w:t xml:space="preserve">5000 </w:t>
      </w:r>
      <w:r>
        <w:rPr>
          <w:rFonts w:hint="eastAsia" w:ascii="Times New Roman" w:hAnsi="Times New Roman" w:cs="Times New Roman"/>
          <w:kern w:val="0"/>
          <w:sz w:val="24"/>
          <w:szCs w:val="24"/>
          <w:highlight w:val="none"/>
          <w:shd w:val="clear" w:color="auto" w:fill="auto"/>
          <w:vertAlign w:val="baseline"/>
          <w:lang w:val="en-US" w:eastAsia="zh-CN"/>
        </w:rPr>
        <w:t>元</w:t>
      </w:r>
      <w:r>
        <w:rPr>
          <w:rFonts w:hint="default" w:ascii="Times New Roman" w:hAnsi="Times New Roman" w:cs="Times New Roman"/>
          <w:kern w:val="0"/>
          <w:sz w:val="24"/>
          <w:szCs w:val="24"/>
          <w:highlight w:val="none"/>
          <w:shd w:val="clear" w:color="auto" w:fill="auto"/>
          <w:vertAlign w:val="baseline"/>
          <w:lang w:val="en-US" w:eastAsia="zh-CN"/>
        </w:rPr>
        <w:t>/</w:t>
      </w:r>
      <w:r>
        <w:rPr>
          <w:rFonts w:hint="eastAsia" w:ascii="Times New Roman" w:hAnsi="Times New Roman" w:cs="Times New Roman"/>
          <w:kern w:val="0"/>
          <w:sz w:val="24"/>
          <w:szCs w:val="24"/>
          <w:highlight w:val="none"/>
          <w:shd w:val="clear" w:color="auto" w:fill="auto"/>
          <w:vertAlign w:val="baseline"/>
          <w:lang w:val="en-US" w:eastAsia="zh-CN"/>
        </w:rPr>
        <w:t xml:space="preserve">次的违约金，若出现重大质量安全事故的除依据国家相关法律严肃处理外，报请有关部门给予不良记录或黑名单等处罚。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 xml:space="preserve">（33）安全文明施工管理及扬尘治理是监理日常工作，必须委派一人专门负责。若被上级有关部门通报批评，媒体曝光，监理人除承担相应处罚外，另向发包人支付 </w:t>
      </w:r>
      <w:r>
        <w:rPr>
          <w:rFonts w:hint="default" w:ascii="Times New Roman" w:hAnsi="Times New Roman" w:cs="Times New Roman"/>
          <w:kern w:val="0"/>
          <w:sz w:val="24"/>
          <w:szCs w:val="24"/>
          <w:highlight w:val="none"/>
          <w:shd w:val="clear" w:color="auto" w:fill="auto"/>
          <w:vertAlign w:val="baseline"/>
          <w:lang w:val="en-US" w:eastAsia="zh-CN"/>
        </w:rPr>
        <w:t xml:space="preserve">2000 </w:t>
      </w:r>
      <w:r>
        <w:rPr>
          <w:rFonts w:hint="eastAsia" w:ascii="Times New Roman" w:hAnsi="Times New Roman" w:cs="Times New Roman"/>
          <w:kern w:val="0"/>
          <w:sz w:val="24"/>
          <w:szCs w:val="24"/>
          <w:highlight w:val="none"/>
          <w:shd w:val="clear" w:color="auto" w:fill="auto"/>
          <w:vertAlign w:val="baseline"/>
          <w:lang w:val="en-US" w:eastAsia="zh-CN"/>
        </w:rPr>
        <w:t>元</w:t>
      </w:r>
      <w:r>
        <w:rPr>
          <w:rFonts w:hint="default" w:ascii="Times New Roman" w:hAnsi="Times New Roman" w:cs="Times New Roman"/>
          <w:kern w:val="0"/>
          <w:sz w:val="24"/>
          <w:szCs w:val="24"/>
          <w:highlight w:val="none"/>
          <w:shd w:val="clear" w:color="auto" w:fill="auto"/>
          <w:vertAlign w:val="baseline"/>
          <w:lang w:val="en-US" w:eastAsia="zh-CN"/>
        </w:rPr>
        <w:t>/</w:t>
      </w:r>
      <w:r>
        <w:rPr>
          <w:rFonts w:hint="eastAsia" w:ascii="Times New Roman" w:hAnsi="Times New Roman" w:cs="Times New Roman"/>
          <w:kern w:val="0"/>
          <w:sz w:val="24"/>
          <w:szCs w:val="24"/>
          <w:highlight w:val="none"/>
          <w:shd w:val="clear" w:color="auto" w:fill="auto"/>
          <w:vertAlign w:val="baseline"/>
          <w:lang w:val="en-US" w:eastAsia="zh-CN"/>
        </w:rPr>
        <w:t xml:space="preserve">次的违约金。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（34）内业资料不完善（包括不限于检验、检查、验收不及时、无签字、无记录），伪造资料报告或伪造检验结论的，每次处以人民币</w:t>
      </w:r>
      <w:r>
        <w:rPr>
          <w:rFonts w:hint="default" w:ascii="Times New Roman" w:hAnsi="Times New Roman" w:cs="Times New Roman"/>
          <w:kern w:val="0"/>
          <w:sz w:val="24"/>
          <w:szCs w:val="24"/>
          <w:highlight w:val="none"/>
          <w:shd w:val="clear" w:color="auto" w:fill="auto"/>
          <w:vertAlign w:val="baseline"/>
          <w:lang w:val="en-US" w:eastAsia="zh-CN"/>
        </w:rPr>
        <w:t xml:space="preserve">200--2000 </w:t>
      </w:r>
      <w:r>
        <w:rPr>
          <w:rFonts w:hint="eastAsia" w:ascii="Times New Roman" w:hAnsi="Times New Roman" w:cs="Times New Roman"/>
          <w:kern w:val="0"/>
          <w:sz w:val="24"/>
          <w:szCs w:val="24"/>
          <w:highlight w:val="none"/>
          <w:shd w:val="clear" w:color="auto" w:fill="auto"/>
          <w:vertAlign w:val="baseline"/>
          <w:lang w:val="en-US" w:eastAsia="zh-CN"/>
        </w:rPr>
        <w:t xml:space="preserve">元违约金，情节严重者，报建设主管部门处理。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（35）监理人必须对工程设计变更、签证、结算审计持严谨、负责的态度，针对现场签证、变更、暂估价对应的工程量、现场未按图纸施工部分做好现场详细实测、影像等记录，结算审计中若（</w:t>
      </w:r>
      <w:r>
        <w:rPr>
          <w:rFonts w:hint="default" w:ascii="Times New Roman" w:hAnsi="Times New Roman" w:cs="Times New Roman"/>
          <w:kern w:val="0"/>
          <w:sz w:val="24"/>
          <w:szCs w:val="24"/>
          <w:highlight w:val="none"/>
          <w:shd w:val="clear" w:color="auto" w:fill="auto"/>
          <w:vertAlign w:val="baseline"/>
          <w:lang w:val="en-US" w:eastAsia="zh-CN"/>
        </w:rPr>
        <w:t>A-B</w:t>
      </w:r>
      <w:r>
        <w:rPr>
          <w:rFonts w:hint="eastAsia" w:ascii="Times New Roman" w:hAnsi="Times New Roman" w:cs="Times New Roman"/>
          <w:kern w:val="0"/>
          <w:sz w:val="24"/>
          <w:szCs w:val="24"/>
          <w:highlight w:val="none"/>
          <w:shd w:val="clear" w:color="auto" w:fill="auto"/>
          <w:vertAlign w:val="baseline"/>
          <w:lang w:val="en-US" w:eastAsia="zh-CN"/>
        </w:rPr>
        <w:t>） ／</w:t>
      </w:r>
      <w:r>
        <w:rPr>
          <w:rFonts w:hint="default" w:ascii="Times New Roman" w:hAnsi="Times New Roman" w:cs="Times New Roman"/>
          <w:kern w:val="0"/>
          <w:sz w:val="24"/>
          <w:szCs w:val="24"/>
          <w:highlight w:val="none"/>
          <w:shd w:val="clear" w:color="auto" w:fill="auto"/>
          <w:vertAlign w:val="baseline"/>
          <w:lang w:val="en-US" w:eastAsia="zh-CN"/>
        </w:rPr>
        <w:t>B&gt;10</w:t>
      </w:r>
      <w:r>
        <w:rPr>
          <w:rFonts w:hint="eastAsia" w:ascii="Times New Roman" w:hAnsi="Times New Roman" w:cs="Times New Roman"/>
          <w:kern w:val="0"/>
          <w:sz w:val="24"/>
          <w:szCs w:val="24"/>
          <w:highlight w:val="none"/>
          <w:shd w:val="clear" w:color="auto" w:fill="auto"/>
          <w:vertAlign w:val="baseline"/>
          <w:lang w:val="en-US" w:eastAsia="zh-CN"/>
        </w:rPr>
        <w:t>％时（其中：</w:t>
      </w:r>
      <w:r>
        <w:rPr>
          <w:rFonts w:hint="default" w:ascii="Times New Roman" w:hAnsi="Times New Roman" w:cs="Times New Roman"/>
          <w:kern w:val="0"/>
          <w:sz w:val="24"/>
          <w:szCs w:val="24"/>
          <w:highlight w:val="none"/>
          <w:shd w:val="clear" w:color="auto" w:fill="auto"/>
          <w:vertAlign w:val="baseline"/>
          <w:lang w:val="en-US" w:eastAsia="zh-CN"/>
        </w:rPr>
        <w:t xml:space="preserve">A </w:t>
      </w:r>
      <w:r>
        <w:rPr>
          <w:rFonts w:hint="eastAsia" w:ascii="Times New Roman" w:hAnsi="Times New Roman" w:cs="Times New Roman"/>
          <w:kern w:val="0"/>
          <w:sz w:val="24"/>
          <w:szCs w:val="24"/>
          <w:highlight w:val="none"/>
          <w:shd w:val="clear" w:color="auto" w:fill="auto"/>
          <w:vertAlign w:val="baseline"/>
          <w:lang w:val="en-US" w:eastAsia="zh-CN"/>
        </w:rPr>
        <w:t>指监理人审定承包人送审的工程结算总造价，</w:t>
      </w:r>
      <w:r>
        <w:rPr>
          <w:rFonts w:hint="default" w:ascii="Times New Roman" w:hAnsi="Times New Roman" w:cs="Times New Roman"/>
          <w:kern w:val="0"/>
          <w:sz w:val="24"/>
          <w:szCs w:val="24"/>
          <w:highlight w:val="none"/>
          <w:shd w:val="clear" w:color="auto" w:fill="auto"/>
          <w:vertAlign w:val="baseline"/>
          <w:lang w:val="en-US" w:eastAsia="zh-CN"/>
        </w:rPr>
        <w:t xml:space="preserve">B </w:t>
      </w:r>
      <w:r>
        <w:rPr>
          <w:rFonts w:hint="eastAsia" w:ascii="Times New Roman" w:hAnsi="Times New Roman" w:cs="Times New Roman"/>
          <w:kern w:val="0"/>
          <w:sz w:val="24"/>
          <w:szCs w:val="24"/>
          <w:highlight w:val="none"/>
          <w:shd w:val="clear" w:color="auto" w:fill="auto"/>
          <w:vertAlign w:val="baseline"/>
          <w:lang w:val="en-US" w:eastAsia="zh-CN"/>
        </w:rPr>
        <w:t xml:space="preserve">指经审计机构审定后的工程结算总造价），处以自 </w:t>
      </w:r>
      <w:r>
        <w:rPr>
          <w:rFonts w:hint="default" w:ascii="Times New Roman" w:hAnsi="Times New Roman" w:cs="Times New Roman"/>
          <w:kern w:val="0"/>
          <w:sz w:val="24"/>
          <w:szCs w:val="24"/>
          <w:highlight w:val="none"/>
          <w:shd w:val="clear" w:color="auto" w:fill="auto"/>
          <w:vertAlign w:val="baseline"/>
          <w:lang w:val="en-US" w:eastAsia="zh-CN"/>
        </w:rPr>
        <w:t>10%</w:t>
      </w:r>
      <w:r>
        <w:rPr>
          <w:rFonts w:hint="eastAsia" w:ascii="Times New Roman" w:hAnsi="Times New Roman" w:cs="Times New Roman"/>
          <w:kern w:val="0"/>
          <w:sz w:val="24"/>
          <w:szCs w:val="24"/>
          <w:highlight w:val="none"/>
          <w:shd w:val="clear" w:color="auto" w:fill="auto"/>
          <w:vertAlign w:val="baseline"/>
          <w:lang w:val="en-US" w:eastAsia="zh-CN"/>
        </w:rPr>
        <w:t xml:space="preserve">超出部分乘以 </w:t>
      </w:r>
      <w:r>
        <w:rPr>
          <w:rFonts w:hint="default" w:ascii="Times New Roman" w:hAnsi="Times New Roman" w:cs="Times New Roman"/>
          <w:kern w:val="0"/>
          <w:sz w:val="24"/>
          <w:szCs w:val="24"/>
          <w:highlight w:val="none"/>
          <w:shd w:val="clear" w:color="auto" w:fill="auto"/>
          <w:vertAlign w:val="baseline"/>
          <w:lang w:val="en-US" w:eastAsia="zh-CN"/>
        </w:rPr>
        <w:t xml:space="preserve">2 </w:t>
      </w:r>
      <w:r>
        <w:rPr>
          <w:rFonts w:hint="eastAsia" w:ascii="Times New Roman" w:hAnsi="Times New Roman" w:cs="Times New Roman"/>
          <w:kern w:val="0"/>
          <w:sz w:val="24"/>
          <w:szCs w:val="24"/>
          <w:highlight w:val="none"/>
          <w:shd w:val="clear" w:color="auto" w:fill="auto"/>
          <w:vertAlign w:val="baseline"/>
          <w:lang w:val="en-US" w:eastAsia="zh-CN"/>
        </w:rPr>
        <w:t>倍监理费率的罚款（即（</w:t>
      </w:r>
      <w:r>
        <w:rPr>
          <w:rFonts w:hint="default" w:ascii="Times New Roman" w:hAnsi="Times New Roman" w:cs="Times New Roman"/>
          <w:kern w:val="0"/>
          <w:sz w:val="24"/>
          <w:szCs w:val="24"/>
          <w:highlight w:val="none"/>
          <w:shd w:val="clear" w:color="auto" w:fill="auto"/>
          <w:vertAlign w:val="baseline"/>
          <w:lang w:val="en-US" w:eastAsia="zh-CN"/>
        </w:rPr>
        <w:t>A-B*1.10</w:t>
      </w:r>
      <w:r>
        <w:rPr>
          <w:rFonts w:hint="eastAsia" w:ascii="Times New Roman" w:hAnsi="Times New Roman" w:cs="Times New Roman"/>
          <w:kern w:val="0"/>
          <w:sz w:val="24"/>
          <w:szCs w:val="24"/>
          <w:highlight w:val="none"/>
          <w:shd w:val="clear" w:color="auto" w:fill="auto"/>
          <w:vertAlign w:val="baseline"/>
          <w:lang w:val="en-US" w:eastAsia="zh-CN"/>
        </w:rPr>
        <w:t>）</w:t>
      </w:r>
      <w:r>
        <w:rPr>
          <w:rFonts w:hint="default" w:ascii="Times New Roman" w:hAnsi="Times New Roman" w:cs="Times New Roman"/>
          <w:kern w:val="0"/>
          <w:sz w:val="24"/>
          <w:szCs w:val="24"/>
          <w:highlight w:val="none"/>
          <w:shd w:val="clear" w:color="auto" w:fill="auto"/>
          <w:vertAlign w:val="baseline"/>
          <w:lang w:val="en-US" w:eastAsia="zh-CN"/>
        </w:rPr>
        <w:t>*2*</w:t>
      </w:r>
      <w:r>
        <w:rPr>
          <w:rFonts w:hint="eastAsia" w:ascii="Times New Roman" w:hAnsi="Times New Roman" w:cs="Times New Roman"/>
          <w:kern w:val="0"/>
          <w:sz w:val="24"/>
          <w:szCs w:val="24"/>
          <w:highlight w:val="none"/>
          <w:shd w:val="clear" w:color="auto" w:fill="auto"/>
          <w:vertAlign w:val="baseline"/>
          <w:lang w:val="en-US" w:eastAsia="zh-CN"/>
        </w:rPr>
        <w:t xml:space="preserve">监理中标费率）。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 xml:space="preserve">（36）监理人未完成委托人委托的监理业务，应酌情扣减监理费。若由于监理人的错误或过失，给委托人造成损失的，应根据错误或过失的性质和所造成损失的程度，承担赔偿责任。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37）监理人应按投标文件及合同中拟定的经委托人认可的人员名单派监理人员到位上岗。除非委托人另有要求或其它特殊原因，监理人不得以任何理由在人员进场过程中调换总监理工程师和专业监理工程师等主要监理人员。否则将被视为监理人违约。项目施工期间，监理人员均为本工程专有人员，包括总监理工程师</w:t>
      </w:r>
      <w:r>
        <w:rPr>
          <w:rFonts w:hint="default" w:ascii="Times New Roman" w:hAnsi="Times New Roman" w:cs="Times New Roman"/>
          <w:kern w:val="0"/>
          <w:sz w:val="24"/>
          <w:szCs w:val="24"/>
          <w:highlight w:val="none"/>
          <w:shd w:val="clear" w:color="auto" w:fill="auto"/>
          <w:vertAlign w:val="baseline"/>
          <w:lang w:val="en-US" w:eastAsia="zh-CN"/>
        </w:rPr>
        <w:t xml:space="preserve"> </w:t>
      </w:r>
      <w:r>
        <w:rPr>
          <w:rFonts w:hint="eastAsia" w:ascii="Times New Roman" w:hAnsi="Times New Roman" w:cs="Times New Roman"/>
          <w:kern w:val="0"/>
          <w:sz w:val="24"/>
          <w:szCs w:val="24"/>
          <w:highlight w:val="none"/>
          <w:shd w:val="clear" w:color="auto" w:fill="auto"/>
          <w:vertAlign w:val="baseline"/>
          <w:lang w:val="en-US" w:eastAsia="zh-CN"/>
        </w:rPr>
        <w:t>，专业监理工程师</w:t>
      </w:r>
      <w:r>
        <w:rPr>
          <w:rFonts w:hint="default" w:ascii="Times New Roman" w:hAnsi="Times New Roman" w:cs="Times New Roman"/>
          <w:kern w:val="0"/>
          <w:sz w:val="24"/>
          <w:szCs w:val="24"/>
          <w:highlight w:val="none"/>
          <w:shd w:val="clear" w:color="auto" w:fill="auto"/>
          <w:vertAlign w:val="baseline"/>
          <w:lang w:val="en-US" w:eastAsia="zh-CN"/>
        </w:rPr>
        <w:t xml:space="preserve"> </w:t>
      </w:r>
      <w:r>
        <w:rPr>
          <w:rFonts w:hint="eastAsia" w:ascii="Times New Roman" w:hAnsi="Times New Roman" w:cs="Times New Roman"/>
          <w:kern w:val="0"/>
          <w:sz w:val="24"/>
          <w:szCs w:val="24"/>
          <w:highlight w:val="none"/>
          <w:shd w:val="clear" w:color="auto" w:fill="auto"/>
          <w:vertAlign w:val="baseline"/>
          <w:lang w:val="en-US" w:eastAsia="zh-CN"/>
        </w:rPr>
        <w:t>。</w:t>
      </w:r>
      <w:r>
        <w:rPr>
          <w:rFonts w:hint="default" w:ascii="Times New Roman" w:hAnsi="Times New Roman" w:cs="Times New Roman"/>
          <w:kern w:val="0"/>
          <w:sz w:val="24"/>
          <w:szCs w:val="24"/>
          <w:highlight w:val="none"/>
          <w:shd w:val="clear" w:color="auto" w:fill="auto"/>
          <w:vertAlign w:val="baselin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 xml:space="preserve">（38）如监理人员的更换造成损失的应当全额赔偿，委托人可以单方面解除本监理合同。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39）监理人应配备相应专业的监理人员、数量满足项目监理工作的需要。各专业监理工程师不得随意更换，如确实需要调整，监理人应征得委托人的同意。监理机构的所有人员均不得与任何被监理单位产生或建立与监理工作无关的联系和关系，以确保监理工作的公正性，维护委托人和其它相关单位的合法权益。</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 xml:space="preserve">（40）委托人将不定期对总监理工程师、专业监理工程师等履行职责的情况进行检查，总监理工程师应能及时提供反映这些情况的概要的和全套的书面备查材料。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 xml:space="preserve">（41）监理单位应对工程变更的内容提出明确意见，并对施工单位申报的变更价款进行审核，出具审核结论，并对结论承担相应责任。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 xml:space="preserve">（42）监理单位须监督施工单位农民工工资发放情况，并配合委托人处理农民工工资纠纷事件。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 xml:space="preserve">（43）工程质量的报验工作由监理人督促承包人完成。遇有质量问题，必须按质量承包等级要求返工或停工处理，未履行监理责任而造成的损失由监理人承担。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 xml:space="preserve">（44）监理人工作亦包含工程竣工、验收、备案、决算审核与移交工作。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 xml:space="preserve">（45）监理人员在责任期内的人身保险和人身伤害由监理人承担，委托人概不负责。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（46）本项目拟派总监工程师任职资格须符合安徽省住房城乡建设厅建市【</w:t>
      </w:r>
      <w:r>
        <w:rPr>
          <w:rFonts w:hint="default" w:ascii="Times New Roman" w:hAnsi="Times New Roman" w:cs="Times New Roman"/>
          <w:kern w:val="0"/>
          <w:sz w:val="24"/>
          <w:szCs w:val="24"/>
          <w:highlight w:val="none"/>
          <w:shd w:val="clear" w:color="auto" w:fill="auto"/>
          <w:vertAlign w:val="baseline"/>
          <w:lang w:val="en-US" w:eastAsia="zh-CN"/>
        </w:rPr>
        <w:t>2014</w:t>
      </w:r>
      <w:r>
        <w:rPr>
          <w:rFonts w:hint="eastAsia" w:ascii="Times New Roman" w:hAnsi="Times New Roman" w:cs="Times New Roman"/>
          <w:kern w:val="0"/>
          <w:sz w:val="24"/>
          <w:szCs w:val="24"/>
          <w:highlight w:val="none"/>
          <w:shd w:val="clear" w:color="auto" w:fill="auto"/>
          <w:vertAlign w:val="baseline"/>
          <w:lang w:val="en-US" w:eastAsia="zh-CN"/>
        </w:rPr>
        <w:t>】</w:t>
      </w:r>
      <w:r>
        <w:rPr>
          <w:rFonts w:hint="default" w:ascii="Times New Roman" w:hAnsi="Times New Roman" w:cs="Times New Roman"/>
          <w:kern w:val="0"/>
          <w:sz w:val="24"/>
          <w:szCs w:val="24"/>
          <w:highlight w:val="none"/>
          <w:shd w:val="clear" w:color="auto" w:fill="auto"/>
          <w:vertAlign w:val="baseline"/>
          <w:lang w:val="en-US" w:eastAsia="zh-CN"/>
        </w:rPr>
        <w:t xml:space="preserve">186 </w:t>
      </w:r>
      <w:r>
        <w:rPr>
          <w:rFonts w:hint="eastAsia" w:ascii="Times New Roman" w:hAnsi="Times New Roman" w:cs="Times New Roman"/>
          <w:kern w:val="0"/>
          <w:sz w:val="24"/>
          <w:szCs w:val="24"/>
          <w:highlight w:val="none"/>
          <w:shd w:val="clear" w:color="auto" w:fill="auto"/>
          <w:vertAlign w:val="baseline"/>
          <w:lang w:val="en-US" w:eastAsia="zh-CN"/>
        </w:rPr>
        <w:t xml:space="preserve">号文，且满足办理施工许可证的条件。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 xml:space="preserve">（47）配合委托人完成各级部门和质检单位的检查。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（48）本合同条款中所有违约金应在费用直接从当次申报的监理费中扣除或按委托人要求进行缴纳，如不及时缴纳，发包人有权暂停监理费支付或从监理费中扣除。</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（49）本项目由于工期短，任务重，需抢工期，在隐蔽部位施工阶段需要计量时，需随叫随到，及时计量及记录隐蔽工程量，并留下纸质及影像资料存档。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（50）建设单位委托监理单位负责办理施工许可证、项目档案整理和移交，配合审计单位结算审计，配合协调项目主管部门和争议问题。</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（51）按照施工合同约定管理施工单位，办理好移交工作，若不能处理好移交每次处罚1000-5000元。</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5.4对监理人的授权范围：</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(1) 委托监理合同中赋予监理人的权利包括：完成监理任务后获得酬金的权利。</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(2)监理人执行监理业务可以行使的权利。 A 工程建设有关事项和工程设计的建议权，工程建设有关事项包括工程规模、设计标准、规划设计，生产工艺设计和使用功能要求。 B 实施项目的质量、安全、工期和费用的监督控制权。主要表现为：对承包商报的工程施工组织设计和技术方案，按照保质量、保工期和降低成本要求，自主进行审批和向承包商提出建议；征得委托人同意，发布开工令、停工令、复工令；对工程上使用的材料和施工质量进行检验；对施工进度进行检查、监督，未经监理工程师签字，建筑材料、建筑构配件和设备不得在工地上使用，施工单位不得进行下一道工序的施工；工程实施竣工日期提前或延误期限的鉴定；工程承包合同约定的工程范围内，工程款支付的审核和签认权，以及结算工程款的复核确认与否定权。未经监理人签字确认， 委托人不支付工程款，不进行竣工验收。 C 工程建设有关协作单位组织协调的主持权。 D 紧急情况下，为了工程和人身安全，尽管变更指令已超越了委托人授权而又不能事先得到批准时，也有权发布变更指令，但应尽快通知委托人。</w:t>
      </w:r>
    </w:p>
    <w:permEnd w:id="83"/>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shd w:val="clear" w:color="auto" w:fill="auto"/>
          <w:vertAlign w:val="baseline"/>
          <w:lang w:val="en-US" w:eastAsia="zh-CN"/>
        </w:rPr>
      </w:pPr>
    </w:p>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rPr>
      </w:pPr>
      <w:bookmarkStart w:id="379" w:name="_Toc144974856"/>
      <w:bookmarkStart w:id="380" w:name="_Toc247527827"/>
      <w:bookmarkStart w:id="381" w:name="_Toc152045787"/>
      <w:bookmarkStart w:id="382" w:name="_Toc300835209"/>
      <w:bookmarkStart w:id="383" w:name="_Toc247514246"/>
      <w:bookmarkStart w:id="384" w:name="_Toc152042576"/>
      <w:r>
        <w:rPr>
          <w:rFonts w:hint="default" w:ascii="Times New Roman" w:hAnsi="Times New Roman" w:cs="Times New Roman"/>
        </w:rPr>
        <w:t>目    录</w:t>
      </w:r>
      <w:bookmarkEnd w:id="379"/>
      <w:bookmarkEnd w:id="380"/>
      <w:bookmarkEnd w:id="381"/>
      <w:bookmarkEnd w:id="382"/>
      <w:bookmarkEnd w:id="383"/>
      <w:bookmarkEnd w:id="384"/>
    </w:p>
    <w:p>
      <w:pPr>
        <w:spacing w:line="540" w:lineRule="exact"/>
        <w:rPr>
          <w:rFonts w:hint="default" w:ascii="Times New Roman" w:hAnsi="Times New Roman" w:cs="Times New Roman"/>
        </w:rPr>
      </w:pP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一、投标函</w:t>
      </w:r>
      <w:r>
        <w:rPr>
          <w:rFonts w:hint="eastAsia" w:ascii="Times New Roman" w:hAnsi="Times New Roman" w:cs="Times New Roman"/>
          <w:highlight w:val="none"/>
          <w:lang w:val="en-US" w:eastAsia="zh-CN"/>
        </w:rPr>
        <w:t>及投标函附录</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二、法定代表人</w:t>
      </w:r>
      <w:r>
        <w:rPr>
          <w:rFonts w:hint="eastAsia" w:ascii="Times New Roman" w:hAnsi="Times New Roman" w:cs="Times New Roman"/>
          <w:highlight w:val="none"/>
          <w:lang w:val="en-US" w:eastAsia="zh-CN"/>
        </w:rPr>
        <w:t>身份证明（适用于无委托代理人的情况）</w:t>
      </w:r>
    </w:p>
    <w:p>
      <w:pPr>
        <w:spacing w:line="540" w:lineRule="exact"/>
        <w:rPr>
          <w:rFonts w:hint="eastAsia" w:ascii="Times New Roman" w:hAnsi="Times New Roman" w:cs="Times New Roman"/>
          <w:highlight w:val="none"/>
          <w:lang w:eastAsia="zh-CN"/>
        </w:rPr>
      </w:pPr>
      <w:r>
        <w:rPr>
          <w:rFonts w:hint="eastAsia" w:ascii="Times New Roman" w:hAnsi="Times New Roman" w:cs="Times New Roman"/>
          <w:highlight w:val="none"/>
          <w:lang w:val="en-US" w:eastAsia="zh-CN"/>
        </w:rPr>
        <w:t>二、</w:t>
      </w:r>
      <w:r>
        <w:rPr>
          <w:rFonts w:hint="default" w:ascii="Times New Roman" w:hAnsi="Times New Roman" w:cs="Times New Roman"/>
          <w:highlight w:val="none"/>
        </w:rPr>
        <w:t>授权委托书</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适用于有委托代理人的情况</w:t>
      </w:r>
      <w:r>
        <w:rPr>
          <w:rFonts w:hint="eastAsia" w:ascii="Times New Roman" w:hAnsi="Times New Roman" w:cs="Times New Roman"/>
          <w:highlight w:val="none"/>
          <w:lang w:eastAsia="zh-CN"/>
        </w:rPr>
        <w:t>）</w:t>
      </w:r>
    </w:p>
    <w:p>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四、服务费用清单</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五、资格审查资料</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六、服务方案</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3"/>
        <w:jc w:val="center"/>
        <w:rPr>
          <w:rFonts w:hint="default" w:ascii="Times New Roman" w:hAnsi="Times New Roman" w:eastAsia="黑体" w:cs="Times New Roman"/>
          <w:sz w:val="20"/>
          <w:szCs w:val="20"/>
        </w:rPr>
      </w:pPr>
      <w:bookmarkStart w:id="385" w:name="_Toc247514247"/>
      <w:bookmarkStart w:id="386" w:name="_Toc152045788"/>
      <w:bookmarkStart w:id="387" w:name="_Toc152042577"/>
      <w:bookmarkStart w:id="388" w:name="_Toc247527828"/>
      <w:bookmarkStart w:id="389" w:name="_Toc144974857"/>
      <w:bookmarkStart w:id="390" w:name="_Toc300835210"/>
      <w:r>
        <w:rPr>
          <w:rFonts w:hint="default" w:ascii="Times New Roman" w:hAnsi="Times New Roman" w:cs="Times New Roman"/>
        </w:rPr>
        <w:t>一、投标函及投标函附录</w:t>
      </w:r>
      <w:bookmarkEnd w:id="385"/>
      <w:bookmarkEnd w:id="386"/>
      <w:bookmarkEnd w:id="387"/>
      <w:bookmarkEnd w:id="388"/>
      <w:bookmarkEnd w:id="389"/>
      <w:bookmarkEnd w:id="390"/>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default" w:ascii="Times New Roman" w:hAnsi="Times New Roman" w:cs="Times New Roman" w:eastAsiaTheme="minorEastAsia"/>
          <w:sz w:val="20"/>
          <w:szCs w:val="20"/>
          <w:lang w:val="en-US" w:eastAsia="zh-CN"/>
        </w:rPr>
      </w:pPr>
      <w:bookmarkStart w:id="391" w:name="_Toc152045790"/>
      <w:bookmarkStart w:id="392" w:name="_Toc144974859"/>
      <w:bookmarkStart w:id="393" w:name="_Toc247527830"/>
      <w:bookmarkStart w:id="394" w:name="_Toc247514249"/>
      <w:bookmarkStart w:id="395" w:name="_Toc152042579"/>
      <w:bookmarkStart w:id="396" w:name="_Toc300835212"/>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一</w:t>
      </w: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投标函</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（招标人名称）：</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招标项目招标文件的全部内容，愿意以</w:t>
      </w:r>
      <w:permStart w:id="84"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的投标总报价（其中，增值税税率为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w:t>
      </w:r>
      <w:permEnd w:id="84"/>
      <w:r>
        <w:rPr>
          <w:rFonts w:hint="eastAsia" w:ascii="Times New Roman" w:hAnsi="Times New Roman" w:cs="Times New Roman"/>
          <w:szCs w:val="21"/>
          <w:lang w:val="en-US" w:eastAsia="zh-CN"/>
        </w:rPr>
        <w:t>，服务期限：</w:t>
      </w:r>
      <w:permStart w:id="85" w:edGrp="everyone"/>
      <w:r>
        <w:rPr>
          <w:rFonts w:hint="default" w:ascii="Times New Roman" w:hAnsi="Times New Roman" w:cs="Times New Roman"/>
          <w:szCs w:val="21"/>
          <w:u w:val="single"/>
        </w:rPr>
        <w:t xml:space="preserve">               </w:t>
      </w:r>
      <w:r>
        <w:rPr>
          <w:rFonts w:hint="eastAsia" w:ascii="Times New Roman" w:hAnsi="Times New Roman" w:cs="Times New Roman"/>
          <w:szCs w:val="21"/>
          <w:u w:val="none"/>
          <w:lang w:val="en-US" w:eastAsia="zh-CN"/>
        </w:rPr>
        <w:t>日历天</w:t>
      </w:r>
      <w:permEnd w:id="85"/>
      <w:r>
        <w:rPr>
          <w:rFonts w:hint="eastAsia" w:ascii="Times New Roman" w:hAnsi="Times New Roman" w:cs="Times New Roman"/>
          <w:szCs w:val="21"/>
          <w:u w:val="none"/>
          <w:lang w:val="en-US" w:eastAsia="zh-CN"/>
        </w:rPr>
        <w:t>，按合同约定完成本项全部工作。</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2.我方的投标文件包括下列内容：</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（1）投标函及投标函附录；（2）法定代表人身份证明或授权委托书；（3）联合体协议书（如有）；（4）投标保证金（如有）；（5）服务费用清单；（6）资格审查资料；（7）服务方案；（8）其他资料；.......</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3.我方承诺在招标文件规定的投标有效期内不撤销投标文件。</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4.如我方中标，我方承诺：</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eastAsia" w:ascii="Times New Roman" w:hAnsi="Times New Roman" w:cs="Times New Roman" w:eastAsiaTheme="minorEastAsia"/>
          <w:szCs w:val="21"/>
          <w:lang w:eastAsia="zh-CN"/>
        </w:rPr>
      </w:pPr>
      <w:r>
        <w:rPr>
          <w:rFonts w:hint="default" w:ascii="Times New Roman" w:hAnsi="Times New Roman" w:cs="Times New Roman"/>
          <w:szCs w:val="21"/>
        </w:rPr>
        <w:t>（1）在收到中标通知书后，在中标通知书规定的期限内与你方签订合同</w:t>
      </w:r>
      <w:r>
        <w:rPr>
          <w:rFonts w:hint="eastAsia" w:ascii="Times New Roman" w:hAnsi="Times New Roman" w:cs="Times New Roman"/>
          <w:szCs w:val="21"/>
          <w:lang w:eastAsia="zh-CN"/>
        </w:rPr>
        <w:t>；</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在签订合同时不向你方提出附加条件；</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（3）按照招标文件要求提交履约保证金；</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5.</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w:t>
      </w:r>
      <w:r>
        <w:rPr>
          <w:rFonts w:hint="default" w:ascii="Times New Roman" w:hAnsi="Times New Roman" w:cs="Times New Roman"/>
        </w:rPr>
        <w:t>我方在此声明，</w:t>
      </w:r>
      <w:r>
        <w:rPr>
          <w:rFonts w:hint="eastAsia" w:ascii="Times New Roman" w:hAnsi="Times New Roman" w:cs="Times New Roman"/>
          <w:lang w:val="en-US" w:eastAsia="zh-CN"/>
        </w:rPr>
        <w:t>若招标人项目最终不能实施，招标人有权不予以签订合同或解除合同，且我方不予以追究招标人任何缔约过失责任。</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rPr>
      </w:pP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4725" w:firstLineChars="2250"/>
        <w:textAlignment w:val="auto"/>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391"/>
    <w:bookmarkEnd w:id="392"/>
    <w:bookmarkEnd w:id="393"/>
    <w:bookmarkEnd w:id="394"/>
    <w:bookmarkEnd w:id="395"/>
    <w:bookmarkEnd w:id="396"/>
    <w:p>
      <w:pPr>
        <w:spacing w:line="440" w:lineRule="exact"/>
        <w:rPr>
          <w:rFonts w:hint="eastAsia" w:ascii="黑体" w:hAnsi="黑体" w:eastAsia="黑体" w:cs="黑体"/>
          <w:b w:val="0"/>
          <w:bCs w:val="0"/>
          <w:sz w:val="28"/>
          <w:szCs w:val="28"/>
          <w:lang w:eastAsia="zh-CN"/>
        </w:rPr>
      </w:pPr>
    </w:p>
    <w:p>
      <w:pPr>
        <w:rPr>
          <w:rFonts w:hint="eastAsia" w:ascii="黑体" w:hAnsi="黑体" w:eastAsia="黑体" w:cs="黑体"/>
          <w:b w:val="0"/>
          <w:bCs w:val="0"/>
          <w:sz w:val="28"/>
          <w:szCs w:val="28"/>
          <w:lang w:eastAsia="zh-CN"/>
        </w:rPr>
      </w:pPr>
      <w:r>
        <w:rPr>
          <w:rFonts w:hint="eastAsia" w:ascii="黑体" w:hAnsi="黑体" w:eastAsia="黑体" w:cs="黑体"/>
          <w:b w:val="0"/>
          <w:bCs w:val="0"/>
          <w:sz w:val="28"/>
          <w:szCs w:val="28"/>
          <w:lang w:eastAsia="zh-CN"/>
        </w:rPr>
        <w:br w:type="page"/>
      </w:r>
    </w:p>
    <w:p>
      <w:pPr>
        <w:spacing w:line="440" w:lineRule="exact"/>
        <w:rPr>
          <w:rFonts w:hint="default" w:ascii="黑体" w:hAnsi="黑体" w:eastAsia="黑体" w:cs="黑体"/>
          <w:b w:val="0"/>
          <w:bCs w:val="0"/>
          <w:sz w:val="28"/>
          <w:szCs w:val="28"/>
          <w:lang w:val="en-US" w:eastAsia="zh-CN"/>
        </w:rPr>
      </w:pP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二</w:t>
      </w: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投标函附录</w:t>
      </w:r>
    </w:p>
    <w:p>
      <w:pPr>
        <w:spacing w:line="440" w:lineRule="exact"/>
        <w:rPr>
          <w:rFonts w:hint="eastAsia" w:ascii="Times New Roman" w:hAnsi="Times New Roman" w:cs="Times New Roman" w:eastAsiaTheme="minorEastAsia"/>
          <w:sz w:val="20"/>
          <w:szCs w:val="20"/>
          <w:lang w:eastAsia="zh-CN"/>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
        <w:gridCol w:w="1984"/>
        <w:gridCol w:w="1984"/>
        <w:gridCol w:w="37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序号</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条款名称</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约定内容</w:t>
            </w:r>
          </w:p>
        </w:tc>
        <w:tc>
          <w:tcPr>
            <w:tcW w:w="3702"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1</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项目负责人</w:t>
            </w:r>
          </w:p>
        </w:tc>
        <w:tc>
          <w:tcPr>
            <w:tcW w:w="1984" w:type="dxa"/>
            <w:vAlign w:val="center"/>
          </w:tcPr>
          <w:p>
            <w:pPr>
              <w:spacing w:line="440" w:lineRule="exact"/>
              <w:jc w:val="both"/>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姓名：</w:t>
            </w:r>
          </w:p>
        </w:tc>
        <w:tc>
          <w:tcPr>
            <w:tcW w:w="3702"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2</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服务期限</w:t>
            </w:r>
          </w:p>
        </w:tc>
        <w:tc>
          <w:tcPr>
            <w:tcW w:w="1984" w:type="dxa"/>
            <w:vAlign w:val="center"/>
          </w:tcPr>
          <w:p>
            <w:pPr>
              <w:spacing w:line="440" w:lineRule="exact"/>
              <w:jc w:val="both"/>
              <w:rPr>
                <w:rFonts w:hint="default" w:ascii="Times New Roman" w:hAnsi="Times New Roman" w:cs="Times New Roman" w:eastAsiaTheme="minorEastAsia"/>
                <w:sz w:val="20"/>
                <w:szCs w:val="20"/>
                <w:u w:val="none"/>
                <w:vertAlign w:val="baseline"/>
                <w:lang w:val="en-US" w:eastAsia="zh-CN"/>
              </w:rPr>
            </w:pPr>
            <w:r>
              <w:rPr>
                <w:rFonts w:hint="eastAsia" w:ascii="Times New Roman" w:hAnsi="Times New Roman" w:cs="Times New Roman"/>
                <w:sz w:val="20"/>
                <w:szCs w:val="20"/>
                <w:u w:val="single"/>
                <w:vertAlign w:val="baseline"/>
                <w:lang w:val="en-US" w:eastAsia="zh-CN"/>
              </w:rPr>
              <w:t xml:space="preserve">      </w:t>
            </w:r>
            <w:r>
              <w:rPr>
                <w:rFonts w:hint="eastAsia" w:ascii="Times New Roman" w:hAnsi="Times New Roman" w:cs="Times New Roman"/>
                <w:sz w:val="20"/>
                <w:szCs w:val="20"/>
                <w:u w:val="none"/>
                <w:vertAlign w:val="baseline"/>
                <w:lang w:val="en-US" w:eastAsia="zh-CN"/>
              </w:rPr>
              <w:t>日历天</w:t>
            </w:r>
          </w:p>
        </w:tc>
        <w:tc>
          <w:tcPr>
            <w:tcW w:w="3702"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3</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质量标准</w:t>
            </w:r>
          </w:p>
        </w:tc>
        <w:tc>
          <w:tcPr>
            <w:tcW w:w="1984" w:type="dxa"/>
            <w:vAlign w:val="center"/>
          </w:tcPr>
          <w:p>
            <w:pPr>
              <w:spacing w:line="440" w:lineRule="exact"/>
              <w:jc w:val="both"/>
              <w:rPr>
                <w:rFonts w:hint="eastAsia" w:ascii="Times New Roman" w:hAnsi="Times New Roman" w:cs="Times New Roman" w:eastAsiaTheme="minorEastAsia"/>
                <w:sz w:val="20"/>
                <w:szCs w:val="20"/>
                <w:vertAlign w:val="baseline"/>
                <w:lang w:eastAsia="zh-CN"/>
              </w:rPr>
            </w:pPr>
            <w:r>
              <w:rPr>
                <w:rFonts w:hint="eastAsia" w:ascii="Times New Roman" w:hAnsi="Times New Roman" w:cs="Times New Roman" w:eastAsiaTheme="minorEastAsia"/>
                <w:sz w:val="20"/>
                <w:szCs w:val="20"/>
                <w:vertAlign w:val="baseline"/>
                <w:lang w:eastAsia="zh-CN"/>
              </w:rPr>
              <w:t>符合国家、地方、行业现行相关规范合格标准。</w:t>
            </w:r>
          </w:p>
        </w:tc>
        <w:tc>
          <w:tcPr>
            <w:tcW w:w="3702"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r>
              <w:rPr>
                <w:rFonts w:hint="eastAsia" w:ascii="Times New Roman" w:hAnsi="Times New Roman" w:cs="Times New Roman"/>
                <w:sz w:val="20"/>
                <w:szCs w:val="20"/>
                <w:vertAlign w:val="baseline"/>
                <w:lang w:val="en-US" w:eastAsia="zh-CN"/>
              </w:rPr>
              <w:t>......</w:t>
            </w:r>
          </w:p>
        </w:tc>
        <w:tc>
          <w:tcPr>
            <w:tcW w:w="3702"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r>
              <w:rPr>
                <w:rFonts w:hint="eastAsia" w:ascii="Times New Roman" w:hAnsi="Times New Roman" w:cs="Times New Roman"/>
                <w:sz w:val="20"/>
                <w:szCs w:val="20"/>
                <w:vertAlign w:val="baseline"/>
                <w:lang w:val="en-US" w:eastAsia="zh-CN"/>
              </w:rPr>
              <w:t>......</w:t>
            </w:r>
          </w:p>
        </w:tc>
        <w:tc>
          <w:tcPr>
            <w:tcW w:w="3702"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bl>
    <w:p>
      <w:pPr>
        <w:spacing w:line="440" w:lineRule="exact"/>
        <w:rPr>
          <w:rFonts w:hint="eastAsia" w:ascii="Times New Roman" w:hAnsi="Times New Roman" w:cs="Times New Roman" w:eastAsiaTheme="minorEastAsia"/>
          <w:sz w:val="20"/>
          <w:szCs w:val="20"/>
          <w:lang w:eastAsia="zh-CN"/>
        </w:rPr>
      </w:pPr>
    </w:p>
    <w:p>
      <w:pPr>
        <w:spacing w:line="440" w:lineRule="exact"/>
        <w:rPr>
          <w:rFonts w:hint="eastAsia" w:ascii="Times New Roman" w:hAnsi="Times New Roman" w:cs="Times New Roman" w:eastAsiaTheme="minorEastAsia"/>
          <w:sz w:val="20"/>
          <w:szCs w:val="20"/>
          <w:lang w:eastAsia="zh-CN"/>
        </w:rPr>
      </w:pP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40" w:lineRule="exact"/>
        <w:rPr>
          <w:rFonts w:hint="eastAsia" w:ascii="Times New Roman" w:hAnsi="Times New Roman" w:cs="Times New Roman" w:eastAsiaTheme="minorEastAsia"/>
          <w:sz w:val="20"/>
          <w:szCs w:val="20"/>
          <w:lang w:eastAsia="zh-CN"/>
        </w:rPr>
      </w:pPr>
    </w:p>
    <w:p>
      <w:pPr>
        <w:spacing w:line="440" w:lineRule="exact"/>
        <w:rPr>
          <w:rFonts w:hint="default" w:ascii="Times New Roman" w:hAnsi="Times New Roman" w:cs="Times New Roman"/>
          <w:szCs w:val="21"/>
        </w:rPr>
      </w:pPr>
    </w:p>
    <w:p>
      <w:pPr>
        <w:rPr>
          <w:rFonts w:hint="default" w:ascii="Times New Roman" w:hAnsi="Times New Roman" w:cs="Times New Roman"/>
        </w:rPr>
      </w:pPr>
      <w:bookmarkStart w:id="397" w:name="_Toc247527831"/>
      <w:bookmarkStart w:id="398" w:name="_Toc300835213"/>
      <w:bookmarkStart w:id="399" w:name="_Toc152042580"/>
      <w:bookmarkStart w:id="400" w:name="_Toc144974860"/>
      <w:bookmarkStart w:id="401" w:name="_Toc152045791"/>
      <w:bookmarkStart w:id="402" w:name="_Toc247514283"/>
      <w:r>
        <w:rPr>
          <w:rFonts w:hint="default" w:ascii="Times New Roman" w:hAnsi="Times New Roman" w:cs="Times New Roman"/>
        </w:rPr>
        <w:br w:type="page"/>
      </w:r>
    </w:p>
    <w:p>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397"/>
      <w:bookmarkEnd w:id="398"/>
      <w:bookmarkEnd w:id="399"/>
      <w:bookmarkEnd w:id="400"/>
      <w:bookmarkEnd w:id="401"/>
      <w:bookmarkEnd w:id="402"/>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pPr>
        <w:spacing w:line="440" w:lineRule="exact"/>
        <w:rPr>
          <w:rFonts w:hint="default" w:ascii="Times New Roman" w:hAnsi="Times New Roman" w:cs="Times New Roman"/>
          <w:szCs w:val="21"/>
        </w:rPr>
      </w:pPr>
    </w:p>
    <w:p>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注：本身份证明需由投标人加盖单位公章。</w:t>
      </w:r>
    </w:p>
    <w:p>
      <w:pPr>
        <w:spacing w:line="440" w:lineRule="exact"/>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lang w:val="en-US" w:eastAsia="zh-CN"/>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403" w:name="_Toc247527832"/>
      <w:bookmarkStart w:id="404" w:name="_Toc152042581"/>
      <w:bookmarkStart w:id="405" w:name="_Toc247514284"/>
      <w:bookmarkStart w:id="406" w:name="_Toc144974861"/>
      <w:bookmarkStart w:id="407" w:name="_Toc152045792"/>
      <w:bookmarkStart w:id="408" w:name="_Toc300835214"/>
      <w:r>
        <w:rPr>
          <w:rFonts w:hint="default" w:ascii="Times New Roman" w:hAnsi="Times New Roman" w:cs="Times New Roman"/>
        </w:rPr>
        <w:t>二、授权委托书</w:t>
      </w:r>
      <w:bookmarkEnd w:id="403"/>
      <w:bookmarkEnd w:id="404"/>
      <w:bookmarkEnd w:id="405"/>
      <w:bookmarkEnd w:id="406"/>
      <w:bookmarkEnd w:id="407"/>
      <w:bookmarkEnd w:id="408"/>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确认、递交、撤回、修改招标项目投标文件、签订合同和处理有关事宜，</w:t>
      </w:r>
      <w:r>
        <w:rPr>
          <w:rFonts w:hint="default" w:ascii="Times New Roman" w:hAnsi="Times New Roman" w:cs="Times New Roman"/>
          <w:szCs w:val="21"/>
        </w:rPr>
        <w:t>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default"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证复印件、委托代理人身份证复印件、委托代理人2023年6月起任意3个月及以上养老保险证明</w:t>
      </w:r>
    </w:p>
    <w:p>
      <w:pPr>
        <w:spacing w:line="440" w:lineRule="exact"/>
        <w:ind w:firstLine="420" w:firstLineChars="200"/>
        <w:rPr>
          <w:rFonts w:hint="eastAsia" w:ascii="Times New Roman" w:hAnsi="Times New Roman" w:cs="Times New Roman"/>
          <w:szCs w:val="21"/>
          <w:lang w:val="en-US" w:eastAsia="zh-CN"/>
        </w:rPr>
      </w:pP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注：本授权委托书需由投标人加盖单位公章并由其法定代表人和委托代理人签字。</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投</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标</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highlight w:val="none"/>
        </w:rPr>
      </w:pPr>
      <w:bookmarkStart w:id="409" w:name="_Toc247527834"/>
      <w:bookmarkStart w:id="410" w:name="_Toc144974862"/>
      <w:bookmarkStart w:id="411" w:name="_Toc152042583"/>
      <w:bookmarkStart w:id="412" w:name="_Toc152045794"/>
      <w:bookmarkStart w:id="413" w:name="_Toc247514286"/>
      <w:bookmarkStart w:id="414" w:name="_Toc300835216"/>
      <w:r>
        <w:rPr>
          <w:rFonts w:hint="default" w:ascii="Times New Roman" w:hAnsi="Times New Roman" w:cs="Times New Roman"/>
          <w:highlight w:val="none"/>
          <w:lang w:val="en-US" w:eastAsia="zh-CN"/>
        </w:rPr>
        <w:t>三</w:t>
      </w:r>
      <w:r>
        <w:rPr>
          <w:rFonts w:hint="default" w:ascii="Times New Roman" w:hAnsi="Times New Roman" w:cs="Times New Roman"/>
          <w:highlight w:val="none"/>
        </w:rPr>
        <w:t>、投标保证金</w:t>
      </w:r>
      <w:bookmarkEnd w:id="409"/>
      <w:bookmarkEnd w:id="410"/>
      <w:bookmarkEnd w:id="411"/>
      <w:bookmarkEnd w:id="412"/>
      <w:bookmarkEnd w:id="413"/>
      <w:bookmarkEnd w:id="414"/>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415"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415"/>
    <w:p>
      <w:pPr>
        <w:rPr>
          <w:rFonts w:hint="default" w:ascii="Times New Roman" w:hAnsi="Times New Roman" w:cs="Times New Roman"/>
        </w:rPr>
      </w:pPr>
      <w:bookmarkStart w:id="416" w:name="_Toc144974863"/>
      <w:bookmarkStart w:id="417" w:name="_Toc300835218"/>
      <w:bookmarkStart w:id="418" w:name="_Toc247514287"/>
      <w:bookmarkStart w:id="419" w:name="_Toc247527835"/>
      <w:bookmarkStart w:id="420" w:name="_Toc152042584"/>
      <w:bookmarkStart w:id="421" w:name="_Toc152045795"/>
      <w:r>
        <w:rPr>
          <w:rFonts w:hint="default" w:ascii="Times New Roman" w:hAnsi="Times New Roman" w:cs="Times New Roman"/>
        </w:rPr>
        <w:br w:type="page"/>
      </w:r>
    </w:p>
    <w:p>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四</w:t>
      </w:r>
      <w:r>
        <w:rPr>
          <w:rFonts w:hint="default" w:ascii="Times New Roman" w:hAnsi="Times New Roman" w:cs="Times New Roman"/>
        </w:rPr>
        <w:t>、</w:t>
      </w:r>
      <w:bookmarkEnd w:id="416"/>
      <w:bookmarkEnd w:id="417"/>
      <w:bookmarkEnd w:id="418"/>
      <w:bookmarkEnd w:id="419"/>
      <w:bookmarkEnd w:id="420"/>
      <w:bookmarkEnd w:id="421"/>
      <w:r>
        <w:rPr>
          <w:rFonts w:hint="eastAsia" w:ascii="Times New Roman" w:hAnsi="Times New Roman" w:cs="Times New Roman"/>
          <w:lang w:val="en-US" w:eastAsia="zh-CN"/>
        </w:rPr>
        <w:t>服务费用清单</w:t>
      </w:r>
    </w:p>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1.服务费用清单说明</w:t>
      </w:r>
    </w:p>
    <w:p>
      <w:pPr>
        <w:rPr>
          <w:rFonts w:hint="eastAsia" w:ascii="Times New Roman" w:hAnsi="Times New Roman" w:cs="Times New Roman"/>
          <w:lang w:val="en-US" w:eastAsia="zh-CN"/>
        </w:rPr>
      </w:pPr>
    </w:p>
    <w:p>
      <w:pPr>
        <w:ind w:firstLine="420" w:firstLineChars="200"/>
        <w:rPr>
          <w:rFonts w:hint="default" w:ascii="Times New Roman" w:hAnsi="Times New Roman" w:cs="Times New Roman"/>
          <w:lang w:val="en-US" w:eastAsia="zh-CN"/>
        </w:rPr>
      </w:pPr>
      <w:r>
        <w:rPr>
          <w:rFonts w:hint="eastAsia" w:ascii="Times New Roman" w:hAnsi="Times New Roman" w:cs="Times New Roman"/>
          <w:lang w:val="en-US" w:eastAsia="zh-CN"/>
        </w:rPr>
        <w:t>2.服务费用清单</w:t>
      </w:r>
    </w:p>
    <w:p>
      <w:pPr>
        <w:rPr>
          <w:rFonts w:hint="default" w:ascii="Times New Roman" w:hAnsi="Times New Roman" w:cs="Times New Roman"/>
          <w:lang w:val="en-US" w:eastAsia="zh-CN"/>
        </w:rPr>
      </w:pPr>
    </w:p>
    <w:p>
      <w:pPr>
        <w:jc w:val="right"/>
        <w:rPr>
          <w:rFonts w:hint="default" w:ascii="Times New Roman" w:hAnsi="Times New Roman" w:cs="Times New Roman"/>
          <w:lang w:val="en-US" w:eastAsia="zh-CN"/>
        </w:rPr>
      </w:pPr>
      <w:r>
        <w:rPr>
          <w:rFonts w:hint="eastAsia" w:ascii="Times New Roman" w:hAnsi="Times New Roman" w:cs="Times New Roman"/>
          <w:lang w:val="en-US" w:eastAsia="zh-CN"/>
        </w:rPr>
        <w:t>单位：人民币元</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268"/>
        <w:gridCol w:w="2268"/>
        <w:gridCol w:w="1134"/>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b/>
                <w:bCs/>
                <w:vertAlign w:val="baseline"/>
                <w:lang w:val="en-US" w:eastAsia="zh-CN"/>
              </w:rPr>
            </w:pPr>
            <w:bookmarkStart w:id="422" w:name="_Toc144974864"/>
            <w:bookmarkStart w:id="423" w:name="_Toc152042585"/>
            <w:bookmarkStart w:id="424" w:name="_Toc247514288"/>
            <w:bookmarkStart w:id="425" w:name="_Toc152045796"/>
            <w:bookmarkStart w:id="426" w:name="_Toc300835221"/>
            <w:bookmarkStart w:id="427" w:name="_Toc247527836"/>
            <w:r>
              <w:rPr>
                <w:rFonts w:hint="eastAsia" w:ascii="Times New Roman" w:hAnsi="Times New Roman" w:cs="Times New Roman"/>
                <w:b/>
                <w:bCs/>
                <w:vertAlign w:val="baseline"/>
                <w:lang w:val="en-US" w:eastAsia="zh-CN"/>
              </w:rPr>
              <w:t>序号</w:t>
            </w:r>
          </w:p>
        </w:tc>
        <w:tc>
          <w:tcPr>
            <w:tcW w:w="2268"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服务费用分项名称</w:t>
            </w:r>
          </w:p>
        </w:tc>
        <w:tc>
          <w:tcPr>
            <w:tcW w:w="2268"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计算依据、过程和公式</w:t>
            </w:r>
          </w:p>
        </w:tc>
        <w:tc>
          <w:tcPr>
            <w:tcW w:w="1134"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金额（元）</w:t>
            </w:r>
          </w:p>
        </w:tc>
        <w:tc>
          <w:tcPr>
            <w:tcW w:w="2001" w:type="dxa"/>
            <w:vAlign w:val="center"/>
          </w:tcPr>
          <w:p>
            <w:pPr>
              <w:jc w:val="center"/>
              <w:rPr>
                <w:rFonts w:hint="default" w:ascii="Times New Roman" w:hAnsi="Times New Roman" w:cs="Times New Roman"/>
                <w:b/>
                <w:bCs/>
                <w:vertAlign w:val="baseline"/>
                <w:lang w:val="en-US" w:eastAsia="zh-CN"/>
              </w:rPr>
            </w:pPr>
            <w:r>
              <w:rPr>
                <w:rFonts w:hint="eastAsia" w:ascii="Times New Roman" w:hAnsi="Times New Roman" w:cs="Times New Roman"/>
                <w:b/>
                <w:bCs/>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2268" w:type="dxa"/>
            <w:vAlign w:val="center"/>
          </w:tcPr>
          <w:p>
            <w:pPr>
              <w:jc w:val="center"/>
              <w:rPr>
                <w:rFonts w:hint="default" w:ascii="Times New Roman" w:hAnsi="Times New Roman" w:cs="Times New Roman"/>
                <w:vertAlign w:val="baseline"/>
              </w:rPr>
            </w:pPr>
          </w:p>
        </w:tc>
        <w:tc>
          <w:tcPr>
            <w:tcW w:w="2268"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2</w:t>
            </w:r>
          </w:p>
        </w:tc>
        <w:tc>
          <w:tcPr>
            <w:tcW w:w="2268" w:type="dxa"/>
            <w:vAlign w:val="center"/>
          </w:tcPr>
          <w:p>
            <w:pPr>
              <w:jc w:val="center"/>
              <w:rPr>
                <w:rFonts w:hint="default" w:ascii="Times New Roman" w:hAnsi="Times New Roman" w:cs="Times New Roman"/>
                <w:vertAlign w:val="baseline"/>
              </w:rPr>
            </w:pPr>
          </w:p>
        </w:tc>
        <w:tc>
          <w:tcPr>
            <w:tcW w:w="2268"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3</w:t>
            </w:r>
          </w:p>
        </w:tc>
        <w:tc>
          <w:tcPr>
            <w:tcW w:w="2268" w:type="dxa"/>
            <w:vAlign w:val="center"/>
          </w:tcPr>
          <w:p>
            <w:pPr>
              <w:jc w:val="center"/>
              <w:rPr>
                <w:rFonts w:hint="default" w:ascii="Times New Roman" w:hAnsi="Times New Roman" w:cs="Times New Roman"/>
                <w:vertAlign w:val="baseline"/>
              </w:rPr>
            </w:pPr>
          </w:p>
        </w:tc>
        <w:tc>
          <w:tcPr>
            <w:tcW w:w="2268"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4</w:t>
            </w:r>
          </w:p>
        </w:tc>
        <w:tc>
          <w:tcPr>
            <w:tcW w:w="2268" w:type="dxa"/>
            <w:vAlign w:val="center"/>
          </w:tcPr>
          <w:p>
            <w:pPr>
              <w:jc w:val="center"/>
              <w:rPr>
                <w:rFonts w:hint="default" w:ascii="Times New Roman" w:hAnsi="Times New Roman" w:cs="Times New Roman"/>
                <w:vertAlign w:val="baseline"/>
              </w:rPr>
            </w:pPr>
          </w:p>
        </w:tc>
        <w:tc>
          <w:tcPr>
            <w:tcW w:w="2268"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5</w:t>
            </w:r>
          </w:p>
        </w:tc>
        <w:tc>
          <w:tcPr>
            <w:tcW w:w="2268" w:type="dxa"/>
            <w:vAlign w:val="center"/>
          </w:tcPr>
          <w:p>
            <w:pPr>
              <w:jc w:val="center"/>
              <w:rPr>
                <w:rFonts w:hint="default" w:ascii="Times New Roman" w:hAnsi="Times New Roman" w:cs="Times New Roman"/>
                <w:vertAlign w:val="baseline"/>
              </w:rPr>
            </w:pPr>
          </w:p>
        </w:tc>
        <w:tc>
          <w:tcPr>
            <w:tcW w:w="2268"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w:t>
            </w:r>
          </w:p>
        </w:tc>
        <w:tc>
          <w:tcPr>
            <w:tcW w:w="2268" w:type="dxa"/>
            <w:vAlign w:val="center"/>
          </w:tcPr>
          <w:p>
            <w:pPr>
              <w:jc w:val="center"/>
              <w:rPr>
                <w:rFonts w:hint="default" w:ascii="Times New Roman" w:hAnsi="Times New Roman" w:cs="Times New Roman"/>
                <w:vertAlign w:val="baseline"/>
              </w:rPr>
            </w:pPr>
          </w:p>
        </w:tc>
        <w:tc>
          <w:tcPr>
            <w:tcW w:w="2268"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386" w:type="dxa"/>
            <w:gridSpan w:val="3"/>
            <w:vAlign w:val="center"/>
          </w:tcPr>
          <w:p>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b/>
                <w:bCs/>
                <w:vertAlign w:val="baseline"/>
                <w:lang w:val="en-US" w:eastAsia="zh-CN"/>
              </w:rPr>
              <w:t>合计报价</w:t>
            </w: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bl>
    <w:p>
      <w:pPr>
        <w:rPr>
          <w:rFonts w:hint="default" w:ascii="Times New Roman" w:hAnsi="Times New Roman" w:cs="Times New Roman"/>
        </w:rPr>
      </w:pPr>
    </w:p>
    <w:p>
      <w:pPr>
        <w:rPr>
          <w:rFonts w:hint="default" w:ascii="Times New Roman" w:hAnsi="Times New Roman" w:cs="Times New Roman"/>
        </w:rPr>
      </w:pPr>
      <w:r>
        <w:rPr>
          <w:rFonts w:hint="eastAsia" w:ascii="Times New Roman" w:hAnsi="Times New Roman" w:cs="Times New Roman"/>
          <w:lang w:val="en-US" w:eastAsia="zh-CN"/>
        </w:rPr>
        <w:t>注：投标人可根据行业具体情况及招标项目特点对上表格式进行调整。</w:t>
      </w:r>
      <w:r>
        <w:rPr>
          <w:rFonts w:hint="default" w:ascii="Times New Roman" w:hAnsi="Times New Roman" w:cs="Times New Roman"/>
        </w:rPr>
        <w:br w:type="page"/>
      </w:r>
    </w:p>
    <w:bookmarkEnd w:id="422"/>
    <w:bookmarkEnd w:id="423"/>
    <w:bookmarkEnd w:id="424"/>
    <w:bookmarkEnd w:id="425"/>
    <w:bookmarkEnd w:id="426"/>
    <w:bookmarkEnd w:id="427"/>
    <w:p>
      <w:pPr>
        <w:pStyle w:val="3"/>
        <w:jc w:val="center"/>
        <w:rPr>
          <w:rFonts w:hint="eastAsia"/>
          <w:highlight w:val="none"/>
        </w:rPr>
      </w:pPr>
      <w:bookmarkStart w:id="428" w:name="_Toc247514300"/>
      <w:bookmarkStart w:id="429" w:name="_Toc144974876"/>
      <w:bookmarkStart w:id="430" w:name="_Toc179632823"/>
      <w:bookmarkStart w:id="431" w:name="_Toc300835224"/>
      <w:bookmarkStart w:id="432" w:name="_Toc152042592"/>
      <w:bookmarkStart w:id="433" w:name="_Toc152045803"/>
      <w:bookmarkStart w:id="434" w:name="_Toc246996369"/>
      <w:bookmarkStart w:id="435" w:name="_Toc247527848"/>
      <w:bookmarkStart w:id="436" w:name="_Toc247085887"/>
      <w:bookmarkStart w:id="437" w:name="_Toc246997112"/>
      <w:bookmarkStart w:id="438" w:name="_Toc144974871"/>
      <w:bookmarkStart w:id="439" w:name="_Toc152042597"/>
      <w:bookmarkStart w:id="440" w:name="_Toc152045808"/>
      <w:bookmarkStart w:id="441" w:name="_Toc296602614"/>
      <w:r>
        <w:rPr>
          <w:rFonts w:hint="eastAsia"/>
          <w:highlight w:val="none"/>
          <w:lang w:val="en-US" w:eastAsia="zh-CN"/>
        </w:rPr>
        <w:t>五</w:t>
      </w:r>
      <w:r>
        <w:rPr>
          <w:highlight w:val="none"/>
        </w:rPr>
        <w:t>、资格审查资料</w:t>
      </w:r>
    </w:p>
    <w:p>
      <w:pPr>
        <w:pStyle w:val="4"/>
        <w:jc w:val="both"/>
        <w:rPr>
          <w:rFonts w:hint="eastAsia"/>
        </w:rPr>
      </w:pPr>
      <w:r>
        <w:t>（一）基本情况表</w:t>
      </w:r>
    </w:p>
    <w:tbl>
      <w:tblPr>
        <w:tblStyle w:val="15"/>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1"/>
        <w:gridCol w:w="1134"/>
        <w:gridCol w:w="1134"/>
        <w:gridCol w:w="1134"/>
        <w:gridCol w:w="567"/>
        <w:gridCol w:w="567"/>
        <w:gridCol w:w="1134"/>
        <w:gridCol w:w="115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投标人名称</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注册地址</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邮政编码</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联系人</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  话</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传  真</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网  址</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eastAsiaTheme="minorEastAsia"/>
                <w:szCs w:val="21"/>
                <w:lang w:val="en-US" w:eastAsia="zh-CN"/>
              </w:rPr>
            </w:pPr>
            <w:r>
              <w:rPr>
                <w:rFonts w:hint="eastAsia"/>
                <w:szCs w:val="21"/>
                <w:lang w:val="en-US" w:eastAsia="zh-CN"/>
              </w:rPr>
              <w:t>法定代表人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eastAsiaTheme="minorEastAsia"/>
                <w:szCs w:val="21"/>
                <w:lang w:val="en-US" w:eastAsia="zh-CN"/>
              </w:rPr>
            </w:pPr>
            <w:r>
              <w:rPr>
                <w:rFonts w:hint="eastAsia"/>
                <w:szCs w:val="21"/>
                <w:lang w:val="en-US" w:eastAsia="zh-CN"/>
              </w:rPr>
              <w:t>姓名</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技术职称</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电话</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姓名</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技术职称</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电话</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企业资质证书</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default"/>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质量管理体系证书（如有）</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eastAsia"/>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营业执照号</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3419"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left"/>
              <w:textAlignment w:val="auto"/>
              <w:rPr>
                <w:rFonts w:hint="default"/>
                <w:szCs w:val="21"/>
                <w:lang w:val="en-US" w:eastAsia="zh-CN"/>
              </w:rPr>
            </w:pPr>
            <w:r>
              <w:rPr>
                <w:rFonts w:hint="eastAsia"/>
                <w:szCs w:val="21"/>
                <w:lang w:val="en-US" w:eastAsia="zh-CN"/>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注册资本</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其中</w:t>
            </w: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高级职称人员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成立日期</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中级职称人员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r>
              <w:rPr>
                <w:rFonts w:hint="eastAsia"/>
                <w:szCs w:val="21"/>
                <w:lang w:val="en-US" w:eastAsia="zh-CN"/>
              </w:rPr>
              <w:t>基本账户</w:t>
            </w:r>
          </w:p>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开户银行</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技术人员数量</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r>
              <w:rPr>
                <w:rFonts w:hint="eastAsia"/>
                <w:szCs w:val="21"/>
                <w:lang w:val="en-US" w:eastAsia="zh-CN"/>
              </w:rPr>
              <w:t>基本账户</w:t>
            </w:r>
          </w:p>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银行账户</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各类注册人员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经营范围</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投标人关联企业情况（包括但不限于与投标人法定代表人为同一人或者存在控股、管理关系的不同单位）</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备注</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bl>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imes New Roman" w:hAnsi="Times New Roman" w:cs="Times New Roman"/>
          <w:lang w:val="en-US" w:eastAsia="zh-CN"/>
        </w:rPr>
      </w:pPr>
      <w:r>
        <w:rPr>
          <w:rFonts w:hint="eastAsia" w:ascii="Times New Roman" w:hAnsi="Times New Roman" w:cs="Times New Roman"/>
          <w:lang w:val="en-US" w:eastAsia="zh-CN"/>
        </w:rPr>
        <w:t>注：</w:t>
      </w:r>
      <w:r>
        <w:rPr>
          <w:rFonts w:hint="default" w:ascii="Times New Roman" w:hAnsi="Times New Roman" w:cs="Times New Roman"/>
          <w:lang w:val="en-US" w:eastAsia="zh-CN"/>
        </w:rPr>
        <w:t>投标人应根据投标人须知</w:t>
      </w:r>
      <w:r>
        <w:rPr>
          <w:rFonts w:hint="default" w:ascii="Times New Roman" w:hAnsi="Times New Roman" w:cs="Times New Roman"/>
          <w:highlight w:val="none"/>
          <w:lang w:val="en-US" w:eastAsia="zh-CN"/>
        </w:rPr>
        <w:t>第3.5.1项的要求在</w:t>
      </w:r>
      <w:r>
        <w:rPr>
          <w:rFonts w:hint="default" w:ascii="Times New Roman" w:hAnsi="Times New Roman" w:cs="Times New Roman"/>
          <w:lang w:val="en-US" w:eastAsia="zh-CN"/>
        </w:rPr>
        <w:t>本表后附相关证明材料</w:t>
      </w:r>
      <w:r>
        <w:rPr>
          <w:rFonts w:hint="eastAsia" w:ascii="Times New Roman" w:hAnsi="Times New Roman" w:cs="Times New Roman"/>
          <w:lang w:val="en-US" w:eastAsia="zh-CN"/>
        </w:rPr>
        <w:t>。</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附：3.5.1 “投标人基本情况表”应附投标人营业执照和组织机构代码证的复印件（按照“三证合一”或“五证合一”登记制度进行登记的，可仅提供营业执照复印件）、投标人资质证书副本（如有）等材料的复印件。</w:t>
      </w:r>
    </w:p>
    <w:p>
      <w:pPr>
        <w:rPr>
          <w:rFonts w:hint="eastAsia"/>
        </w:rPr>
      </w:pPr>
      <w:r>
        <w:rPr>
          <w:rFonts w:hint="eastAsia"/>
        </w:rPr>
        <w:br w:type="page"/>
      </w:r>
    </w:p>
    <w:p>
      <w:pPr>
        <w:pStyle w:val="4"/>
        <w:jc w:val="both"/>
        <w:rPr>
          <w:rFonts w:hint="default" w:eastAsiaTheme="minorEastAsia"/>
          <w:lang w:val="en-US" w:eastAsia="zh-CN"/>
        </w:rPr>
      </w:pPr>
      <w:r>
        <w:t>（</w:t>
      </w:r>
      <w:r>
        <w:rPr>
          <w:rFonts w:hint="eastAsia"/>
          <w:lang w:val="en-US" w:eastAsia="zh-CN"/>
        </w:rPr>
        <w:t>二</w:t>
      </w:r>
      <w:r>
        <w:t>）</w:t>
      </w:r>
      <w:r>
        <w:rPr>
          <w:rFonts w:hint="eastAsia"/>
          <w:lang w:val="en-US" w:eastAsia="zh-CN"/>
        </w:rPr>
        <w:t>近年财务状况表</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投标人应根据投标人须知第3.5.2项的要求在本表后附相关证明材料。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highlight w:val="none"/>
        </w:rPr>
      </w:pPr>
      <w:r>
        <w:rPr>
          <w:rFonts w:hint="eastAsia" w:ascii="Times New Roman" w:hAnsi="Times New Roman" w:cs="Times New Roman"/>
          <w:color w:val="auto"/>
          <w:highlight w:val="none"/>
          <w:lang w:val="en-US" w:eastAsia="zh-CN"/>
        </w:rPr>
        <w:t>附：3.5.2 “近年财务状况表”应附经会计师事务所或审计机构审计的财务会计报表，包括资产负债表、现金流量表、利润表和财务情况说明书的复印件，具体年份要求见投标人须知前附表。投标人的成立时间少于投标人须知前附表规定年份的，应提供成立以来的财务状况表。</w:t>
      </w:r>
    </w:p>
    <w:p>
      <w:pPr>
        <w:rPr>
          <w:rFonts w:hint="eastAsia"/>
        </w:rPr>
      </w:pPr>
      <w:r>
        <w:rPr>
          <w:rFonts w:hint="eastAsia"/>
        </w:rPr>
        <w:br w:type="page"/>
      </w:r>
    </w:p>
    <w:p>
      <w:pPr>
        <w:pStyle w:val="4"/>
        <w:rPr>
          <w:rFonts w:hint="default" w:ascii="Times New Roman" w:hAnsi="Times New Roman" w:cs="Times New Roman"/>
        </w:rPr>
      </w:pPr>
      <w:r>
        <w:rPr>
          <w:rFonts w:hint="default" w:ascii="Times New Roman" w:hAnsi="Times New Roman" w:cs="Times New Roman"/>
        </w:rPr>
        <w:t>（三）近年完成的类似项目情况表</w:t>
      </w:r>
    </w:p>
    <w:p>
      <w:pPr>
        <w:spacing w:line="440" w:lineRule="exact"/>
        <w:jc w:val="center"/>
        <w:rPr>
          <w:rFonts w:hint="default" w:ascii="Times New Roman" w:hAnsi="Times New Roman" w:eastAsia="黑体" w:cs="Times New Roman"/>
          <w:sz w:val="23"/>
          <w:szCs w:val="23"/>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项目所在地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发包人名称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发包人地址</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发包人电话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服务期限</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服务内容</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项目负责人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注：投标人应根据投标人须知第3.5.3项的要求在本表后附相关证明材料；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附：3.5.3 “近年完成的类似项目情况表”应附合同协议书复印件；具体时间要求见投标人须知前附表，每张表格只填写一个项目，并标明序号。</w:t>
      </w:r>
    </w:p>
    <w:p>
      <w:pPr>
        <w:rPr>
          <w:rFonts w:hint="eastAsia"/>
        </w:rPr>
      </w:pPr>
      <w:r>
        <w:rPr>
          <w:rFonts w:hint="eastAsia"/>
        </w:rPr>
        <w:br w:type="page"/>
      </w:r>
    </w:p>
    <w:p>
      <w:pPr>
        <w:pStyle w:val="4"/>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cs="Times New Roman"/>
          <w:lang w:val="en-US" w:eastAsia="zh-CN"/>
        </w:rPr>
        <w:t>（四）拟委任的主要人员汇总表</w:t>
      </w:r>
    </w:p>
    <w:tbl>
      <w:tblPr>
        <w:tblStyle w:val="16"/>
        <w:tblW w:w="499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3"/>
        <w:gridCol w:w="1614"/>
        <w:gridCol w:w="794"/>
        <w:gridCol w:w="794"/>
        <w:gridCol w:w="794"/>
        <w:gridCol w:w="1341"/>
        <w:gridCol w:w="794"/>
        <w:gridCol w:w="804"/>
        <w:gridCol w:w="7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序号</w:t>
            </w:r>
          </w:p>
        </w:tc>
        <w:tc>
          <w:tcPr>
            <w:tcW w:w="948"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本项目任职</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姓名</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职称</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专业</w:t>
            </w:r>
          </w:p>
        </w:tc>
        <w:tc>
          <w:tcPr>
            <w:tcW w:w="1725" w:type="pct"/>
            <w:gridSpan w:val="3"/>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执业或职业资格证明</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证明名称</w:t>
            </w: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级别</w:t>
            </w: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证号</w:t>
            </w: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bl>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rPr>
          <w:rFonts w:hint="eastAsia"/>
          <w:i/>
          <w:iCs/>
          <w:color w:val="FF0000"/>
          <w:u w:val="single"/>
          <w:lang w:val="en-US" w:eastAsia="zh-CN"/>
        </w:rPr>
      </w:pPr>
    </w:p>
    <w:p>
      <w:pPr>
        <w:pStyle w:val="4"/>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cs="Times New Roman"/>
          <w:lang w:val="en-US" w:eastAsia="zh-CN"/>
        </w:rPr>
        <w:t>（五）主要人员简历表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4"/>
        <w:gridCol w:w="1134"/>
        <w:gridCol w:w="1134"/>
        <w:gridCol w:w="1134"/>
        <w:gridCol w:w="1701"/>
        <w:gridCol w:w="22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姓名</w:t>
            </w:r>
          </w:p>
        </w:tc>
        <w:tc>
          <w:tcPr>
            <w:tcW w:w="1134" w:type="dxa"/>
            <w:vAlign w:val="center"/>
          </w:tcPr>
          <w:p>
            <w:pPr>
              <w:jc w:val="center"/>
              <w:rPr>
                <w:rFonts w:hint="eastAsia"/>
                <w:i w:val="0"/>
                <w:iCs w:val="0"/>
                <w:color w:val="auto"/>
                <w:u w:val="none"/>
                <w:vertAlign w:val="baseline"/>
                <w:lang w:val="en-US" w:eastAsia="zh-CN"/>
              </w:rPr>
            </w:pPr>
          </w:p>
        </w:tc>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年龄</w:t>
            </w:r>
          </w:p>
        </w:tc>
        <w:tc>
          <w:tcPr>
            <w:tcW w:w="1134" w:type="dxa"/>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执业资格证书（或上岗证书）名称</w:t>
            </w: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职称</w:t>
            </w:r>
          </w:p>
        </w:tc>
        <w:tc>
          <w:tcPr>
            <w:tcW w:w="1134" w:type="dxa"/>
            <w:vAlign w:val="center"/>
          </w:tcPr>
          <w:p>
            <w:pPr>
              <w:jc w:val="center"/>
              <w:rPr>
                <w:rFonts w:hint="eastAsia"/>
                <w:i w:val="0"/>
                <w:iCs w:val="0"/>
                <w:color w:val="auto"/>
                <w:u w:val="none"/>
                <w:vertAlign w:val="baseline"/>
                <w:lang w:val="en-US" w:eastAsia="zh-CN"/>
              </w:rPr>
            </w:pPr>
          </w:p>
        </w:tc>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学历</w:t>
            </w:r>
          </w:p>
        </w:tc>
        <w:tc>
          <w:tcPr>
            <w:tcW w:w="1134" w:type="dxa"/>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拟在本项目任职</w:t>
            </w: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工作年限</w:t>
            </w: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从事本项目服务工作年限</w:t>
            </w: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毕业学校</w:t>
            </w:r>
          </w:p>
        </w:tc>
        <w:tc>
          <w:tcPr>
            <w:tcW w:w="7388" w:type="dxa"/>
            <w:gridSpan w:val="5"/>
            <w:vAlign w:val="center"/>
          </w:tcPr>
          <w:p>
            <w:pPr>
              <w:jc w:val="both"/>
              <w:rPr>
                <w:rFonts w:hint="default"/>
                <w:i w:val="0"/>
                <w:iCs w:val="0"/>
                <w:color w:val="auto"/>
                <w:u w:val="none"/>
                <w:vertAlign w:val="baseline"/>
                <w:lang w:val="en-US" w:eastAsia="zh-CN"/>
              </w:rPr>
            </w:pP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年毕业于</w:t>
            </w: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学校</w:t>
            </w: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6"/>
            <w:vAlign w:val="center"/>
          </w:tcPr>
          <w:p>
            <w:pPr>
              <w:jc w:val="both"/>
              <w:rPr>
                <w:rFonts w:hint="eastAsia"/>
                <w:i w:val="0"/>
                <w:iCs w:val="0"/>
                <w:color w:val="auto"/>
                <w:u w:val="none"/>
                <w:vertAlign w:val="baseline"/>
                <w:lang w:val="en-US" w:eastAsia="zh-CN"/>
              </w:rPr>
            </w:pPr>
            <w:r>
              <w:rPr>
                <w:rFonts w:hint="eastAsia"/>
                <w:i w:val="0"/>
                <w:iCs w:val="0"/>
                <w:color w:val="auto"/>
                <w:u w:val="none"/>
                <w:vertAlign w:val="baseline"/>
                <w:lang w:val="en-US" w:eastAsia="zh-CN"/>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时间</w:t>
            </w:r>
          </w:p>
        </w:tc>
        <w:tc>
          <w:tcPr>
            <w:tcW w:w="3402" w:type="dxa"/>
            <w:gridSpan w:val="3"/>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参加过的类似项目</w:t>
            </w: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担任职称</w:t>
            </w:r>
          </w:p>
        </w:tc>
        <w:tc>
          <w:tcPr>
            <w:tcW w:w="2285"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color w:val="auto"/>
          <w:u w:val="none"/>
          <w:lang w:val="en-US" w:eastAsia="zh-CN"/>
        </w:rPr>
      </w:pPr>
      <w:r>
        <w:rPr>
          <w:rFonts w:hint="default" w:ascii="Times New Roman" w:hAnsi="Times New Roman" w:eastAsia="宋体" w:cs="Times New Roman"/>
          <w:i w:val="0"/>
          <w:iCs w:val="0"/>
          <w:color w:val="auto"/>
          <w:u w:val="none"/>
          <w:lang w:val="en-US" w:eastAsia="zh-CN"/>
        </w:rPr>
        <w:t>注：投标人应根据投标人须知第3.5.6项的要求在本表后附相关证明材料。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color w:val="auto"/>
          <w:u w:val="none"/>
          <w:lang w:val="en-US" w:eastAsia="zh-CN"/>
        </w:rPr>
      </w:pPr>
      <w:r>
        <w:rPr>
          <w:rFonts w:hint="eastAsia" w:ascii="Times New Roman" w:hAnsi="Times New Roman" w:eastAsia="宋体" w:cs="Times New Roman"/>
          <w:i w:val="0"/>
          <w:iCs w:val="0"/>
          <w:color w:val="auto"/>
          <w:u w:val="none"/>
          <w:lang w:val="en-US" w:eastAsia="zh-CN"/>
        </w:rPr>
        <w:t>附：3.5.6 “拟委任的主要人员汇总表”应填报满足第二章投标人须知第1.4.1项规定的项目负责人和其他主要人员的相关信息。</w:t>
      </w:r>
    </w:p>
    <w:p>
      <w:pPr>
        <w:rPr>
          <w:rFonts w:hint="eastAsia"/>
          <w:i/>
          <w:iCs/>
          <w:color w:val="FF0000"/>
          <w:u w:val="single"/>
          <w:lang w:val="en-US" w:eastAsia="zh-CN"/>
        </w:rPr>
      </w:pPr>
      <w:r>
        <w:rPr>
          <w:rFonts w:hint="eastAsia"/>
          <w:i/>
          <w:iCs/>
          <w:color w:val="FF0000"/>
          <w:u w:val="single"/>
          <w:lang w:val="en-US" w:eastAsia="zh-CN"/>
        </w:rPr>
        <w:br w:type="page"/>
      </w:r>
    </w:p>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p>
      <w:pPr>
        <w:pStyle w:val="3"/>
        <w:jc w:val="center"/>
        <w:rPr>
          <w:rFonts w:hint="default" w:eastAsia="黑体"/>
          <w:highlight w:val="none"/>
          <w:lang w:val="en-US" w:eastAsia="zh-CN"/>
        </w:rPr>
      </w:pPr>
      <w:r>
        <w:rPr>
          <w:rFonts w:hint="eastAsia"/>
          <w:highlight w:val="none"/>
          <w:lang w:val="en-US" w:eastAsia="zh-CN"/>
        </w:rPr>
        <w:t>六</w:t>
      </w:r>
      <w:r>
        <w:rPr>
          <w:highlight w:val="none"/>
        </w:rPr>
        <w:t>、</w:t>
      </w:r>
      <w:r>
        <w:rPr>
          <w:rFonts w:hint="eastAsia"/>
          <w:highlight w:val="none"/>
          <w:lang w:val="en-US" w:eastAsia="zh-CN"/>
        </w:rPr>
        <w:t>服务方案</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服务方案应包括（但不限于）下列内容：</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一、项目概况；</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二、服务范围、服务内容；</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三、工作依据、工作目标；</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四、机构设置（框图）、岗位职责；</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五、服务说明和服务方案；</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六、拟投入的主要人员；</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七、质量、进度、保密等保证措施；</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八、安全保证措施；</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九、工作重点、难点分析</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十、对本项目的合理化建议。</w:t>
      </w:r>
    </w:p>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ascii="Times New Roman" w:hAnsi="Times New Roman" w:cs="Times New Roman"/>
        </w:rPr>
      </w:pPr>
      <w:bookmarkStart w:id="442" w:name="_Toc271821942"/>
      <w:bookmarkStart w:id="443" w:name="_Toc300835233"/>
      <w:r>
        <w:rPr>
          <w:rFonts w:hint="eastAsia" w:ascii="Times New Roman" w:hAnsi="Times New Roman" w:cs="Times New Roman"/>
          <w:lang w:val="en-US" w:eastAsia="zh-CN"/>
        </w:rPr>
        <w:t>七</w:t>
      </w:r>
      <w:r>
        <w:rPr>
          <w:rFonts w:hint="default" w:ascii="Times New Roman" w:hAnsi="Times New Roman" w:cs="Times New Roman"/>
        </w:rPr>
        <w:t>、其他资料</w:t>
      </w:r>
      <w:bookmarkEnd w:id="442"/>
      <w:bookmarkEnd w:id="443"/>
    </w:p>
    <w:p>
      <w:pPr>
        <w:ind w:firstLine="420" w:firstLineChars="200"/>
        <w:rPr>
          <w:rFonts w:hint="eastAsia" w:ascii="Times New Roman" w:hAnsi="Times New Roman" w:eastAsiaTheme="minorEastAsia"/>
          <w:lang w:eastAsia="zh-CN"/>
        </w:rPr>
      </w:pPr>
      <w:permStart w:id="86" w:edGrp="everyone"/>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ermEnd w:id="86"/>
    <w:p>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253290D0-4AC3-47BC-942C-80AEE0FBE606}"/>
  </w:font>
  <w:font w:name="Arial">
    <w:panose1 w:val="020B0604020202020204"/>
    <w:charset w:val="01"/>
    <w:family w:val="swiss"/>
    <w:pitch w:val="default"/>
    <w:sig w:usb0="E0002EFF" w:usb1="C000785B" w:usb2="00000009" w:usb3="00000000" w:csb0="400001FF" w:csb1="FFFF0000"/>
    <w:embedRegular r:id="rId2" w:fontKey="{6B6062FE-11DB-41CF-AAB4-8533F43654B8}"/>
  </w:font>
  <w:font w:name="黑体">
    <w:panose1 w:val="02010609060101010101"/>
    <w:charset w:val="86"/>
    <w:family w:val="auto"/>
    <w:pitch w:val="default"/>
    <w:sig w:usb0="800002BF" w:usb1="38CF7CFA" w:usb2="00000016" w:usb3="00000000" w:csb0="00040001" w:csb1="00000000"/>
    <w:embedRegular r:id="rId3" w:fontKey="{280F514B-D874-4137-A57E-A7B73914803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4" w:fontKey="{0F16F6DD-1100-46AC-AD16-E9A8ACCD43EE}"/>
  </w:font>
  <w:font w:name="方正小标宋简体">
    <w:panose1 w:val="03000509000000000000"/>
    <w:charset w:val="86"/>
    <w:family w:val="auto"/>
    <w:pitch w:val="default"/>
    <w:sig w:usb0="00000001" w:usb1="080E0000" w:usb2="00000000" w:usb3="00000000" w:csb0="00040000" w:csb1="00000000"/>
    <w:embedRegular r:id="rId5" w:fontKey="{3DDB2DA5-0FBB-41B1-BC50-13C039010208}"/>
  </w:font>
  <w:font w:name="楷体">
    <w:panose1 w:val="02010609060101010101"/>
    <w:charset w:val="86"/>
    <w:family w:val="auto"/>
    <w:pitch w:val="default"/>
    <w:sig w:usb0="800002BF" w:usb1="38CF7CFA" w:usb2="00000016" w:usb3="00000000" w:csb0="00040001" w:csb1="00000000"/>
    <w:embedRegular r:id="rId6" w:fontKey="{5A2A08C4-BF9F-4B08-B535-F03755731F50}"/>
  </w:font>
  <w:font w:name="Wingdings 2">
    <w:panose1 w:val="05020102010507070707"/>
    <w:charset w:val="00"/>
    <w:family w:val="auto"/>
    <w:pitch w:val="default"/>
    <w:sig w:usb0="00000000" w:usb1="00000000" w:usb2="00000000" w:usb3="00000000" w:csb0="80000000" w:csb1="00000000"/>
    <w:embedRegular r:id="rId7" w:fontKey="{B6860E38-7857-4FD2-9201-5997F1D68AE6}"/>
  </w:font>
  <w:font w:name="楷体_GB2312">
    <w:panose1 w:val="02010609030101010101"/>
    <w:charset w:val="86"/>
    <w:family w:val="modern"/>
    <w:pitch w:val="default"/>
    <w:sig w:usb0="00000001" w:usb1="080E0000" w:usb2="00000000" w:usb3="00000000" w:csb0="00040000" w:csb1="00000000"/>
    <w:embedRegular r:id="rId8" w:fontKey="{4AA0077B-76D5-46AE-B948-87900CAB4E9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- 38 -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1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- 38 -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E47EDD2"/>
    <w:multiLevelType w:val="singleLevel"/>
    <w:tmpl w:val="BE47EDD2"/>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ExZjUxNWE0NWJhMGEyZGI3ZWI3YTYxOTBiYmQ5M2YifQ=="/>
  </w:docVars>
  <w:rsids>
    <w:rsidRoot w:val="00000000"/>
    <w:rsid w:val="000A4B92"/>
    <w:rsid w:val="002609D3"/>
    <w:rsid w:val="002C069E"/>
    <w:rsid w:val="0040224D"/>
    <w:rsid w:val="006E7015"/>
    <w:rsid w:val="00733B0B"/>
    <w:rsid w:val="00764376"/>
    <w:rsid w:val="00796B76"/>
    <w:rsid w:val="00850CC0"/>
    <w:rsid w:val="009E5347"/>
    <w:rsid w:val="00B00F2F"/>
    <w:rsid w:val="00DF3BEE"/>
    <w:rsid w:val="00ED0522"/>
    <w:rsid w:val="00FF308E"/>
    <w:rsid w:val="011E6004"/>
    <w:rsid w:val="0127533C"/>
    <w:rsid w:val="0145105E"/>
    <w:rsid w:val="01712F37"/>
    <w:rsid w:val="019846E3"/>
    <w:rsid w:val="01BC366C"/>
    <w:rsid w:val="01C62387"/>
    <w:rsid w:val="01CB0CDF"/>
    <w:rsid w:val="01CD2334"/>
    <w:rsid w:val="01CF3E6B"/>
    <w:rsid w:val="01E140D3"/>
    <w:rsid w:val="01E21A3A"/>
    <w:rsid w:val="01EE4D0C"/>
    <w:rsid w:val="01F16263"/>
    <w:rsid w:val="02016132"/>
    <w:rsid w:val="0212370C"/>
    <w:rsid w:val="021D348F"/>
    <w:rsid w:val="026E5FAB"/>
    <w:rsid w:val="02983D41"/>
    <w:rsid w:val="029F2BC9"/>
    <w:rsid w:val="02A31129"/>
    <w:rsid w:val="02A46690"/>
    <w:rsid w:val="02AC508C"/>
    <w:rsid w:val="02BE075F"/>
    <w:rsid w:val="02C12E53"/>
    <w:rsid w:val="02D23086"/>
    <w:rsid w:val="02F4317E"/>
    <w:rsid w:val="0324584F"/>
    <w:rsid w:val="032652C7"/>
    <w:rsid w:val="033964DC"/>
    <w:rsid w:val="034877EC"/>
    <w:rsid w:val="035021B2"/>
    <w:rsid w:val="03696450"/>
    <w:rsid w:val="038E65F9"/>
    <w:rsid w:val="03AD7315"/>
    <w:rsid w:val="03C10800"/>
    <w:rsid w:val="03C96DCC"/>
    <w:rsid w:val="03FB71CD"/>
    <w:rsid w:val="03FD05D6"/>
    <w:rsid w:val="04127BBC"/>
    <w:rsid w:val="041515CF"/>
    <w:rsid w:val="04210376"/>
    <w:rsid w:val="04212D24"/>
    <w:rsid w:val="042C575E"/>
    <w:rsid w:val="04382327"/>
    <w:rsid w:val="043A6EF6"/>
    <w:rsid w:val="043F5557"/>
    <w:rsid w:val="044363A4"/>
    <w:rsid w:val="045A0087"/>
    <w:rsid w:val="04885B47"/>
    <w:rsid w:val="04A52387"/>
    <w:rsid w:val="04A70542"/>
    <w:rsid w:val="04B54547"/>
    <w:rsid w:val="04BD6EDC"/>
    <w:rsid w:val="04CD15E8"/>
    <w:rsid w:val="04CF4810"/>
    <w:rsid w:val="04D63FDF"/>
    <w:rsid w:val="04EB08D2"/>
    <w:rsid w:val="04EC7DA2"/>
    <w:rsid w:val="050252F6"/>
    <w:rsid w:val="05107E95"/>
    <w:rsid w:val="055625ED"/>
    <w:rsid w:val="0572490A"/>
    <w:rsid w:val="057E3D65"/>
    <w:rsid w:val="058253F2"/>
    <w:rsid w:val="05872EB9"/>
    <w:rsid w:val="05933026"/>
    <w:rsid w:val="05BA17C0"/>
    <w:rsid w:val="05D9116E"/>
    <w:rsid w:val="061F0438"/>
    <w:rsid w:val="06292F58"/>
    <w:rsid w:val="063F4D83"/>
    <w:rsid w:val="064B59D4"/>
    <w:rsid w:val="06501BB5"/>
    <w:rsid w:val="06624967"/>
    <w:rsid w:val="06626753"/>
    <w:rsid w:val="066761DB"/>
    <w:rsid w:val="06714440"/>
    <w:rsid w:val="067240CC"/>
    <w:rsid w:val="06866D3C"/>
    <w:rsid w:val="06972E4E"/>
    <w:rsid w:val="06A31B6E"/>
    <w:rsid w:val="06A848F7"/>
    <w:rsid w:val="06B86823"/>
    <w:rsid w:val="06BF2153"/>
    <w:rsid w:val="06D375E0"/>
    <w:rsid w:val="06D9502E"/>
    <w:rsid w:val="06E329B2"/>
    <w:rsid w:val="06EB4F76"/>
    <w:rsid w:val="06ED1728"/>
    <w:rsid w:val="06F727B0"/>
    <w:rsid w:val="06F81D74"/>
    <w:rsid w:val="073D5541"/>
    <w:rsid w:val="074267A8"/>
    <w:rsid w:val="074A7C93"/>
    <w:rsid w:val="07666E00"/>
    <w:rsid w:val="07723470"/>
    <w:rsid w:val="077965A7"/>
    <w:rsid w:val="07832BA1"/>
    <w:rsid w:val="07972327"/>
    <w:rsid w:val="07A85930"/>
    <w:rsid w:val="07C84A57"/>
    <w:rsid w:val="07EE56D8"/>
    <w:rsid w:val="083726B7"/>
    <w:rsid w:val="08554A0D"/>
    <w:rsid w:val="08563EE1"/>
    <w:rsid w:val="086D3DA1"/>
    <w:rsid w:val="08774BE1"/>
    <w:rsid w:val="088F5820"/>
    <w:rsid w:val="08903F11"/>
    <w:rsid w:val="08932D8F"/>
    <w:rsid w:val="08D35DAA"/>
    <w:rsid w:val="08ED571D"/>
    <w:rsid w:val="08F53A28"/>
    <w:rsid w:val="0922447E"/>
    <w:rsid w:val="0926237D"/>
    <w:rsid w:val="092D0C4C"/>
    <w:rsid w:val="094F10C7"/>
    <w:rsid w:val="096213E6"/>
    <w:rsid w:val="09641BD1"/>
    <w:rsid w:val="0967298A"/>
    <w:rsid w:val="098F4C8F"/>
    <w:rsid w:val="099948FD"/>
    <w:rsid w:val="09A23C28"/>
    <w:rsid w:val="09A71C3D"/>
    <w:rsid w:val="09AF2C22"/>
    <w:rsid w:val="09B32D8C"/>
    <w:rsid w:val="09C37FE6"/>
    <w:rsid w:val="09CA0F24"/>
    <w:rsid w:val="09D236A1"/>
    <w:rsid w:val="09DB25D9"/>
    <w:rsid w:val="09DF226A"/>
    <w:rsid w:val="09EC69D2"/>
    <w:rsid w:val="09FB55B8"/>
    <w:rsid w:val="0A074254"/>
    <w:rsid w:val="0A3B332D"/>
    <w:rsid w:val="0A466107"/>
    <w:rsid w:val="0A500304"/>
    <w:rsid w:val="0A5234C1"/>
    <w:rsid w:val="0A623268"/>
    <w:rsid w:val="0A704DEE"/>
    <w:rsid w:val="0A8B5261"/>
    <w:rsid w:val="0A8E5075"/>
    <w:rsid w:val="0AA913FB"/>
    <w:rsid w:val="0AAE6B76"/>
    <w:rsid w:val="0AB37F43"/>
    <w:rsid w:val="0AB930A2"/>
    <w:rsid w:val="0ADD0DF0"/>
    <w:rsid w:val="0AEB40E8"/>
    <w:rsid w:val="0B0E131B"/>
    <w:rsid w:val="0B1D2930"/>
    <w:rsid w:val="0B416906"/>
    <w:rsid w:val="0B5D1C2A"/>
    <w:rsid w:val="0B685C3C"/>
    <w:rsid w:val="0B7202E7"/>
    <w:rsid w:val="0B991D46"/>
    <w:rsid w:val="0B9F686D"/>
    <w:rsid w:val="0BDE31B0"/>
    <w:rsid w:val="0BFE1B0E"/>
    <w:rsid w:val="0C0A2A54"/>
    <w:rsid w:val="0C110CA2"/>
    <w:rsid w:val="0C773477"/>
    <w:rsid w:val="0C9F113B"/>
    <w:rsid w:val="0CC46BE1"/>
    <w:rsid w:val="0CD3448B"/>
    <w:rsid w:val="0CF072F3"/>
    <w:rsid w:val="0D2466BD"/>
    <w:rsid w:val="0D2A1D10"/>
    <w:rsid w:val="0D3A1668"/>
    <w:rsid w:val="0D5C2246"/>
    <w:rsid w:val="0D6A3C45"/>
    <w:rsid w:val="0D7F3B4D"/>
    <w:rsid w:val="0D84383E"/>
    <w:rsid w:val="0DA13B17"/>
    <w:rsid w:val="0DA277FF"/>
    <w:rsid w:val="0DB02216"/>
    <w:rsid w:val="0DB22432"/>
    <w:rsid w:val="0DB8057F"/>
    <w:rsid w:val="0DC57869"/>
    <w:rsid w:val="0DC7702A"/>
    <w:rsid w:val="0DD331D8"/>
    <w:rsid w:val="0DDB677F"/>
    <w:rsid w:val="0E093A81"/>
    <w:rsid w:val="0E1201C4"/>
    <w:rsid w:val="0E35096D"/>
    <w:rsid w:val="0E3C08A3"/>
    <w:rsid w:val="0E596DA0"/>
    <w:rsid w:val="0E626142"/>
    <w:rsid w:val="0E6D3EE4"/>
    <w:rsid w:val="0E8168AC"/>
    <w:rsid w:val="0E9601D9"/>
    <w:rsid w:val="0EC71F0D"/>
    <w:rsid w:val="0EDF4D5E"/>
    <w:rsid w:val="0EF860F0"/>
    <w:rsid w:val="0F024085"/>
    <w:rsid w:val="0F0C5B71"/>
    <w:rsid w:val="0F1438EF"/>
    <w:rsid w:val="0F463825"/>
    <w:rsid w:val="0F4B0F6A"/>
    <w:rsid w:val="0F5662C3"/>
    <w:rsid w:val="0F575798"/>
    <w:rsid w:val="0F5F5CB1"/>
    <w:rsid w:val="0F6D192D"/>
    <w:rsid w:val="0F6E4AA0"/>
    <w:rsid w:val="0F886069"/>
    <w:rsid w:val="0FA819A2"/>
    <w:rsid w:val="0FCA08C0"/>
    <w:rsid w:val="0FCA14B6"/>
    <w:rsid w:val="0FE42DE8"/>
    <w:rsid w:val="0FFA6EBC"/>
    <w:rsid w:val="101038A7"/>
    <w:rsid w:val="101E2D38"/>
    <w:rsid w:val="10446D2F"/>
    <w:rsid w:val="104957CA"/>
    <w:rsid w:val="104B773B"/>
    <w:rsid w:val="104D6EF3"/>
    <w:rsid w:val="105C0433"/>
    <w:rsid w:val="1069417C"/>
    <w:rsid w:val="106C1E4B"/>
    <w:rsid w:val="108A23D3"/>
    <w:rsid w:val="1095135B"/>
    <w:rsid w:val="10D35E97"/>
    <w:rsid w:val="1102722C"/>
    <w:rsid w:val="11114551"/>
    <w:rsid w:val="112269D1"/>
    <w:rsid w:val="11231BA9"/>
    <w:rsid w:val="11356135"/>
    <w:rsid w:val="11484C65"/>
    <w:rsid w:val="116E2B13"/>
    <w:rsid w:val="11800917"/>
    <w:rsid w:val="11802A9D"/>
    <w:rsid w:val="118955AD"/>
    <w:rsid w:val="118C0FA3"/>
    <w:rsid w:val="11970BCB"/>
    <w:rsid w:val="1197226B"/>
    <w:rsid w:val="11AA0839"/>
    <w:rsid w:val="11C02214"/>
    <w:rsid w:val="11C42470"/>
    <w:rsid w:val="11C71895"/>
    <w:rsid w:val="11CD444A"/>
    <w:rsid w:val="11E2334D"/>
    <w:rsid w:val="11F058CE"/>
    <w:rsid w:val="11FC3F3B"/>
    <w:rsid w:val="124D3BAD"/>
    <w:rsid w:val="125A52C4"/>
    <w:rsid w:val="125C6A0F"/>
    <w:rsid w:val="12655D96"/>
    <w:rsid w:val="128E3C38"/>
    <w:rsid w:val="12BF2922"/>
    <w:rsid w:val="12C942C8"/>
    <w:rsid w:val="12DC5F5E"/>
    <w:rsid w:val="12DC7F8C"/>
    <w:rsid w:val="12E82A0B"/>
    <w:rsid w:val="131873D2"/>
    <w:rsid w:val="13274F9C"/>
    <w:rsid w:val="13417410"/>
    <w:rsid w:val="134A448A"/>
    <w:rsid w:val="134F7EA7"/>
    <w:rsid w:val="135107A8"/>
    <w:rsid w:val="136066CF"/>
    <w:rsid w:val="13657E31"/>
    <w:rsid w:val="136C3340"/>
    <w:rsid w:val="1387094F"/>
    <w:rsid w:val="139C08EB"/>
    <w:rsid w:val="13AA0FA0"/>
    <w:rsid w:val="13D35238"/>
    <w:rsid w:val="13D81B1F"/>
    <w:rsid w:val="14061B66"/>
    <w:rsid w:val="142B5FE2"/>
    <w:rsid w:val="14542872"/>
    <w:rsid w:val="147E2423"/>
    <w:rsid w:val="1487273A"/>
    <w:rsid w:val="148C0203"/>
    <w:rsid w:val="148C28CB"/>
    <w:rsid w:val="14944440"/>
    <w:rsid w:val="14A059A0"/>
    <w:rsid w:val="14B97B05"/>
    <w:rsid w:val="14CD31B9"/>
    <w:rsid w:val="14DA6BBE"/>
    <w:rsid w:val="14E67563"/>
    <w:rsid w:val="14F926F4"/>
    <w:rsid w:val="15021B62"/>
    <w:rsid w:val="150A21BA"/>
    <w:rsid w:val="151779D1"/>
    <w:rsid w:val="1522437E"/>
    <w:rsid w:val="15283931"/>
    <w:rsid w:val="15382F40"/>
    <w:rsid w:val="157A67C8"/>
    <w:rsid w:val="158374C1"/>
    <w:rsid w:val="15A62ECC"/>
    <w:rsid w:val="15AF67AC"/>
    <w:rsid w:val="15B14179"/>
    <w:rsid w:val="15C516BD"/>
    <w:rsid w:val="15E839EB"/>
    <w:rsid w:val="1602382A"/>
    <w:rsid w:val="164F240A"/>
    <w:rsid w:val="166266B1"/>
    <w:rsid w:val="169528F0"/>
    <w:rsid w:val="16C724D4"/>
    <w:rsid w:val="16D411E7"/>
    <w:rsid w:val="16ED0036"/>
    <w:rsid w:val="170756D4"/>
    <w:rsid w:val="170F4587"/>
    <w:rsid w:val="174C1201"/>
    <w:rsid w:val="176115DC"/>
    <w:rsid w:val="176D7525"/>
    <w:rsid w:val="17824660"/>
    <w:rsid w:val="178F2FF8"/>
    <w:rsid w:val="179121FE"/>
    <w:rsid w:val="17915931"/>
    <w:rsid w:val="17C41ABF"/>
    <w:rsid w:val="18067406"/>
    <w:rsid w:val="18175D56"/>
    <w:rsid w:val="18276B10"/>
    <w:rsid w:val="188E09E6"/>
    <w:rsid w:val="18930C59"/>
    <w:rsid w:val="189B5F22"/>
    <w:rsid w:val="18A70256"/>
    <w:rsid w:val="18A944F8"/>
    <w:rsid w:val="18B73074"/>
    <w:rsid w:val="18DA76F1"/>
    <w:rsid w:val="19034C2D"/>
    <w:rsid w:val="1904644A"/>
    <w:rsid w:val="1916127C"/>
    <w:rsid w:val="193D465D"/>
    <w:rsid w:val="193D4E12"/>
    <w:rsid w:val="195F03FF"/>
    <w:rsid w:val="1968609A"/>
    <w:rsid w:val="196C6238"/>
    <w:rsid w:val="19713A5D"/>
    <w:rsid w:val="198A59D6"/>
    <w:rsid w:val="19A73D74"/>
    <w:rsid w:val="19AA5416"/>
    <w:rsid w:val="19CE7FF6"/>
    <w:rsid w:val="19D70C6D"/>
    <w:rsid w:val="19E2271F"/>
    <w:rsid w:val="1A075570"/>
    <w:rsid w:val="1A1C623A"/>
    <w:rsid w:val="1A270D5F"/>
    <w:rsid w:val="1A4D4CED"/>
    <w:rsid w:val="1A797469"/>
    <w:rsid w:val="1A8850B8"/>
    <w:rsid w:val="1A9B5FFB"/>
    <w:rsid w:val="1A9E764E"/>
    <w:rsid w:val="1AA066C8"/>
    <w:rsid w:val="1ADB0B95"/>
    <w:rsid w:val="1AF80851"/>
    <w:rsid w:val="1B0361BC"/>
    <w:rsid w:val="1B116412"/>
    <w:rsid w:val="1B262D26"/>
    <w:rsid w:val="1B2670F4"/>
    <w:rsid w:val="1B2D1E19"/>
    <w:rsid w:val="1B2D7FD6"/>
    <w:rsid w:val="1B3A5220"/>
    <w:rsid w:val="1B3B258E"/>
    <w:rsid w:val="1B4B639F"/>
    <w:rsid w:val="1B652C95"/>
    <w:rsid w:val="1B70155F"/>
    <w:rsid w:val="1B723039"/>
    <w:rsid w:val="1B7700FA"/>
    <w:rsid w:val="1B894EBC"/>
    <w:rsid w:val="1B8C1172"/>
    <w:rsid w:val="1B9269B7"/>
    <w:rsid w:val="1BB12BB2"/>
    <w:rsid w:val="1BCE49E9"/>
    <w:rsid w:val="1BD12722"/>
    <w:rsid w:val="1BD15865"/>
    <w:rsid w:val="1BE93F50"/>
    <w:rsid w:val="1BFE7E24"/>
    <w:rsid w:val="1C053F8F"/>
    <w:rsid w:val="1C100B6A"/>
    <w:rsid w:val="1C2075D6"/>
    <w:rsid w:val="1C2B6CB4"/>
    <w:rsid w:val="1C3774BA"/>
    <w:rsid w:val="1C4E114E"/>
    <w:rsid w:val="1C5D5F8B"/>
    <w:rsid w:val="1C6E241C"/>
    <w:rsid w:val="1C9E0F30"/>
    <w:rsid w:val="1CB07DF9"/>
    <w:rsid w:val="1CC3681B"/>
    <w:rsid w:val="1CC7132A"/>
    <w:rsid w:val="1CF251D3"/>
    <w:rsid w:val="1CFF3217"/>
    <w:rsid w:val="1D0C3E62"/>
    <w:rsid w:val="1D1D0D81"/>
    <w:rsid w:val="1D5835F0"/>
    <w:rsid w:val="1D594678"/>
    <w:rsid w:val="1D6A70DF"/>
    <w:rsid w:val="1D8C5045"/>
    <w:rsid w:val="1D9244F8"/>
    <w:rsid w:val="1D931CEA"/>
    <w:rsid w:val="1DC177D9"/>
    <w:rsid w:val="1E1A236E"/>
    <w:rsid w:val="1E225BB3"/>
    <w:rsid w:val="1E2A6113"/>
    <w:rsid w:val="1E2D212B"/>
    <w:rsid w:val="1E2E6E13"/>
    <w:rsid w:val="1E32182A"/>
    <w:rsid w:val="1E366995"/>
    <w:rsid w:val="1E5A61EE"/>
    <w:rsid w:val="1E713E2F"/>
    <w:rsid w:val="1E980FE4"/>
    <w:rsid w:val="1EA573D8"/>
    <w:rsid w:val="1EA77665"/>
    <w:rsid w:val="1EB0513B"/>
    <w:rsid w:val="1EB72F76"/>
    <w:rsid w:val="1EC10726"/>
    <w:rsid w:val="1EE36B2C"/>
    <w:rsid w:val="1EF342CB"/>
    <w:rsid w:val="1F020A44"/>
    <w:rsid w:val="1F041BC7"/>
    <w:rsid w:val="1F127B09"/>
    <w:rsid w:val="1F2354C8"/>
    <w:rsid w:val="1F36160E"/>
    <w:rsid w:val="1F3F33F9"/>
    <w:rsid w:val="1F5D00BF"/>
    <w:rsid w:val="1F640255"/>
    <w:rsid w:val="1F671677"/>
    <w:rsid w:val="1F722047"/>
    <w:rsid w:val="1F904945"/>
    <w:rsid w:val="1FAA6A2E"/>
    <w:rsid w:val="1FC11059"/>
    <w:rsid w:val="1FDC7161"/>
    <w:rsid w:val="1FE570E2"/>
    <w:rsid w:val="1FE7673E"/>
    <w:rsid w:val="200E38F2"/>
    <w:rsid w:val="201E585F"/>
    <w:rsid w:val="2049266D"/>
    <w:rsid w:val="20534B67"/>
    <w:rsid w:val="20557DC5"/>
    <w:rsid w:val="205A5C16"/>
    <w:rsid w:val="205B7D6A"/>
    <w:rsid w:val="207C33EE"/>
    <w:rsid w:val="2081342E"/>
    <w:rsid w:val="209740BF"/>
    <w:rsid w:val="2099242E"/>
    <w:rsid w:val="20B0411F"/>
    <w:rsid w:val="20B73D6C"/>
    <w:rsid w:val="20D658C9"/>
    <w:rsid w:val="20D95B5B"/>
    <w:rsid w:val="20DC2416"/>
    <w:rsid w:val="20F22231"/>
    <w:rsid w:val="21015C26"/>
    <w:rsid w:val="21121083"/>
    <w:rsid w:val="211518DD"/>
    <w:rsid w:val="21224C68"/>
    <w:rsid w:val="212B2F31"/>
    <w:rsid w:val="21327DB2"/>
    <w:rsid w:val="213D6756"/>
    <w:rsid w:val="213D7BD8"/>
    <w:rsid w:val="214C4EC5"/>
    <w:rsid w:val="2153567F"/>
    <w:rsid w:val="21592826"/>
    <w:rsid w:val="217422B6"/>
    <w:rsid w:val="2188758A"/>
    <w:rsid w:val="21A61686"/>
    <w:rsid w:val="21B70496"/>
    <w:rsid w:val="21C13A32"/>
    <w:rsid w:val="22270787"/>
    <w:rsid w:val="224D73DD"/>
    <w:rsid w:val="22592601"/>
    <w:rsid w:val="22603DB2"/>
    <w:rsid w:val="226D7B83"/>
    <w:rsid w:val="2293123C"/>
    <w:rsid w:val="22A570EC"/>
    <w:rsid w:val="22BC604C"/>
    <w:rsid w:val="22DD405B"/>
    <w:rsid w:val="23005595"/>
    <w:rsid w:val="232E56FD"/>
    <w:rsid w:val="233F5F96"/>
    <w:rsid w:val="235F4D23"/>
    <w:rsid w:val="23601777"/>
    <w:rsid w:val="236D4028"/>
    <w:rsid w:val="238A4DFC"/>
    <w:rsid w:val="23B04942"/>
    <w:rsid w:val="24226CC5"/>
    <w:rsid w:val="2426052F"/>
    <w:rsid w:val="24312A4A"/>
    <w:rsid w:val="244A5E9A"/>
    <w:rsid w:val="244C4BB8"/>
    <w:rsid w:val="24691193"/>
    <w:rsid w:val="246C3A46"/>
    <w:rsid w:val="247152E7"/>
    <w:rsid w:val="24BB4C9A"/>
    <w:rsid w:val="24FF7718"/>
    <w:rsid w:val="251A7612"/>
    <w:rsid w:val="25237A22"/>
    <w:rsid w:val="2528584A"/>
    <w:rsid w:val="252E0774"/>
    <w:rsid w:val="25363E8C"/>
    <w:rsid w:val="25481BCE"/>
    <w:rsid w:val="256E1E26"/>
    <w:rsid w:val="25812F8D"/>
    <w:rsid w:val="25814DB7"/>
    <w:rsid w:val="25824959"/>
    <w:rsid w:val="25987A23"/>
    <w:rsid w:val="25BC46FF"/>
    <w:rsid w:val="25C517A2"/>
    <w:rsid w:val="25EF41EA"/>
    <w:rsid w:val="25F5789E"/>
    <w:rsid w:val="25FD6A72"/>
    <w:rsid w:val="2608561B"/>
    <w:rsid w:val="26196938"/>
    <w:rsid w:val="26261861"/>
    <w:rsid w:val="26382AAC"/>
    <w:rsid w:val="26506FAD"/>
    <w:rsid w:val="26656277"/>
    <w:rsid w:val="26663117"/>
    <w:rsid w:val="267771CA"/>
    <w:rsid w:val="26807144"/>
    <w:rsid w:val="26851ABB"/>
    <w:rsid w:val="268A362E"/>
    <w:rsid w:val="269560EE"/>
    <w:rsid w:val="26AF686C"/>
    <w:rsid w:val="26CA60FC"/>
    <w:rsid w:val="26D16018"/>
    <w:rsid w:val="26DB3228"/>
    <w:rsid w:val="26DF6074"/>
    <w:rsid w:val="26E05716"/>
    <w:rsid w:val="26FE679C"/>
    <w:rsid w:val="27196C26"/>
    <w:rsid w:val="27301EDB"/>
    <w:rsid w:val="27453115"/>
    <w:rsid w:val="276C029F"/>
    <w:rsid w:val="27867E0A"/>
    <w:rsid w:val="27982DD4"/>
    <w:rsid w:val="27C2106B"/>
    <w:rsid w:val="27DD09CE"/>
    <w:rsid w:val="27EC553C"/>
    <w:rsid w:val="280C4BFC"/>
    <w:rsid w:val="2813394B"/>
    <w:rsid w:val="28164F13"/>
    <w:rsid w:val="281C1F63"/>
    <w:rsid w:val="281C54D8"/>
    <w:rsid w:val="283610D5"/>
    <w:rsid w:val="285F5293"/>
    <w:rsid w:val="28622D71"/>
    <w:rsid w:val="286E69FD"/>
    <w:rsid w:val="28773F8E"/>
    <w:rsid w:val="28A10C81"/>
    <w:rsid w:val="28C56178"/>
    <w:rsid w:val="28FA546B"/>
    <w:rsid w:val="28FE025E"/>
    <w:rsid w:val="29245F1A"/>
    <w:rsid w:val="29366359"/>
    <w:rsid w:val="29586D7A"/>
    <w:rsid w:val="296E036D"/>
    <w:rsid w:val="29772B51"/>
    <w:rsid w:val="29791894"/>
    <w:rsid w:val="2984235F"/>
    <w:rsid w:val="29967FD2"/>
    <w:rsid w:val="29A52D8F"/>
    <w:rsid w:val="29C56C3A"/>
    <w:rsid w:val="29D85278"/>
    <w:rsid w:val="29E1380C"/>
    <w:rsid w:val="29E85046"/>
    <w:rsid w:val="2A017BFD"/>
    <w:rsid w:val="2A0A71F8"/>
    <w:rsid w:val="2A3A76D6"/>
    <w:rsid w:val="2A4913A2"/>
    <w:rsid w:val="2A9154D8"/>
    <w:rsid w:val="2AA04C57"/>
    <w:rsid w:val="2AD750C3"/>
    <w:rsid w:val="2AE77D08"/>
    <w:rsid w:val="2AE81C65"/>
    <w:rsid w:val="2AEA3011"/>
    <w:rsid w:val="2B252D72"/>
    <w:rsid w:val="2B3E0375"/>
    <w:rsid w:val="2B492499"/>
    <w:rsid w:val="2B652A8D"/>
    <w:rsid w:val="2B6C55DB"/>
    <w:rsid w:val="2B7C46C7"/>
    <w:rsid w:val="2B8D5640"/>
    <w:rsid w:val="2BAE3DE1"/>
    <w:rsid w:val="2BF4029C"/>
    <w:rsid w:val="2C1C6937"/>
    <w:rsid w:val="2C202757"/>
    <w:rsid w:val="2C270D43"/>
    <w:rsid w:val="2C2E0A7D"/>
    <w:rsid w:val="2C3D6F12"/>
    <w:rsid w:val="2C3F4C92"/>
    <w:rsid w:val="2C6436A6"/>
    <w:rsid w:val="2C7A2A8F"/>
    <w:rsid w:val="2C9023A5"/>
    <w:rsid w:val="2C937549"/>
    <w:rsid w:val="2C9D6A04"/>
    <w:rsid w:val="2CA62D0A"/>
    <w:rsid w:val="2CA861CA"/>
    <w:rsid w:val="2CB62598"/>
    <w:rsid w:val="2CBC136A"/>
    <w:rsid w:val="2CD47877"/>
    <w:rsid w:val="2CDE15E0"/>
    <w:rsid w:val="2CFE607B"/>
    <w:rsid w:val="2D095409"/>
    <w:rsid w:val="2D3A3199"/>
    <w:rsid w:val="2D4B38E7"/>
    <w:rsid w:val="2D5470D9"/>
    <w:rsid w:val="2D551303"/>
    <w:rsid w:val="2D5C550F"/>
    <w:rsid w:val="2D772574"/>
    <w:rsid w:val="2D8D31B7"/>
    <w:rsid w:val="2D8D5835"/>
    <w:rsid w:val="2DAB1C25"/>
    <w:rsid w:val="2DCC12FC"/>
    <w:rsid w:val="2DD66E3A"/>
    <w:rsid w:val="2DF17D73"/>
    <w:rsid w:val="2E086531"/>
    <w:rsid w:val="2E652B8E"/>
    <w:rsid w:val="2E66167A"/>
    <w:rsid w:val="2E6C7EF1"/>
    <w:rsid w:val="2E6D69DB"/>
    <w:rsid w:val="2E6F6584"/>
    <w:rsid w:val="2E7823B0"/>
    <w:rsid w:val="2E933BCE"/>
    <w:rsid w:val="2E9C6490"/>
    <w:rsid w:val="2EA40069"/>
    <w:rsid w:val="2EAA33F6"/>
    <w:rsid w:val="2EAA3B87"/>
    <w:rsid w:val="2EB66E96"/>
    <w:rsid w:val="2EBC23A0"/>
    <w:rsid w:val="2EFA0191"/>
    <w:rsid w:val="2F436846"/>
    <w:rsid w:val="2F4556CE"/>
    <w:rsid w:val="2F6F3C93"/>
    <w:rsid w:val="2F706297"/>
    <w:rsid w:val="2F754A27"/>
    <w:rsid w:val="2F8847E0"/>
    <w:rsid w:val="2FB1448A"/>
    <w:rsid w:val="2FC802AE"/>
    <w:rsid w:val="2FD52F8A"/>
    <w:rsid w:val="30093CDB"/>
    <w:rsid w:val="300D5130"/>
    <w:rsid w:val="301C41BF"/>
    <w:rsid w:val="302369A0"/>
    <w:rsid w:val="302F2AE9"/>
    <w:rsid w:val="303474C0"/>
    <w:rsid w:val="305C41A9"/>
    <w:rsid w:val="307C26FF"/>
    <w:rsid w:val="30820205"/>
    <w:rsid w:val="308E41B5"/>
    <w:rsid w:val="30952C59"/>
    <w:rsid w:val="30AC4667"/>
    <w:rsid w:val="30FF4D69"/>
    <w:rsid w:val="310B6BF3"/>
    <w:rsid w:val="310E5321"/>
    <w:rsid w:val="3113559B"/>
    <w:rsid w:val="311978DB"/>
    <w:rsid w:val="31216E03"/>
    <w:rsid w:val="312421F6"/>
    <w:rsid w:val="3127420C"/>
    <w:rsid w:val="31477BEB"/>
    <w:rsid w:val="314E0D97"/>
    <w:rsid w:val="315523B1"/>
    <w:rsid w:val="31707DDD"/>
    <w:rsid w:val="3198056E"/>
    <w:rsid w:val="31CD31BF"/>
    <w:rsid w:val="31E10F55"/>
    <w:rsid w:val="320B7F80"/>
    <w:rsid w:val="3219008D"/>
    <w:rsid w:val="32215B79"/>
    <w:rsid w:val="322241F2"/>
    <w:rsid w:val="3229379D"/>
    <w:rsid w:val="32294133"/>
    <w:rsid w:val="322D5AFA"/>
    <w:rsid w:val="32330C9C"/>
    <w:rsid w:val="324262A0"/>
    <w:rsid w:val="32514C44"/>
    <w:rsid w:val="32875432"/>
    <w:rsid w:val="328916BE"/>
    <w:rsid w:val="328F6AEB"/>
    <w:rsid w:val="32974C7A"/>
    <w:rsid w:val="32BB4ABE"/>
    <w:rsid w:val="32C8549C"/>
    <w:rsid w:val="32CA16D9"/>
    <w:rsid w:val="32E83928"/>
    <w:rsid w:val="32F45590"/>
    <w:rsid w:val="331C19F3"/>
    <w:rsid w:val="33380434"/>
    <w:rsid w:val="33773188"/>
    <w:rsid w:val="337E77C9"/>
    <w:rsid w:val="338F53C2"/>
    <w:rsid w:val="33925662"/>
    <w:rsid w:val="339B7AA1"/>
    <w:rsid w:val="33B7637D"/>
    <w:rsid w:val="33D4661F"/>
    <w:rsid w:val="33ED39C2"/>
    <w:rsid w:val="340F56DE"/>
    <w:rsid w:val="3425597D"/>
    <w:rsid w:val="342A5DF5"/>
    <w:rsid w:val="343A2A1C"/>
    <w:rsid w:val="344851FD"/>
    <w:rsid w:val="346F257B"/>
    <w:rsid w:val="349B5E0E"/>
    <w:rsid w:val="349E076A"/>
    <w:rsid w:val="34A432B6"/>
    <w:rsid w:val="34AA020B"/>
    <w:rsid w:val="34BC17DA"/>
    <w:rsid w:val="34D015E3"/>
    <w:rsid w:val="34E40873"/>
    <w:rsid w:val="34F85DA8"/>
    <w:rsid w:val="3509398E"/>
    <w:rsid w:val="3547266B"/>
    <w:rsid w:val="3554479E"/>
    <w:rsid w:val="357D63E5"/>
    <w:rsid w:val="357F00D0"/>
    <w:rsid w:val="35894506"/>
    <w:rsid w:val="35A377DB"/>
    <w:rsid w:val="35C24685"/>
    <w:rsid w:val="35E7387F"/>
    <w:rsid w:val="35E81F7A"/>
    <w:rsid w:val="35EF4AF5"/>
    <w:rsid w:val="35F52BF3"/>
    <w:rsid w:val="360530D8"/>
    <w:rsid w:val="3605698A"/>
    <w:rsid w:val="36162F1C"/>
    <w:rsid w:val="363277D2"/>
    <w:rsid w:val="365612FD"/>
    <w:rsid w:val="366244D5"/>
    <w:rsid w:val="36A82C1D"/>
    <w:rsid w:val="36B34449"/>
    <w:rsid w:val="36C342D9"/>
    <w:rsid w:val="370F2E93"/>
    <w:rsid w:val="370F32ED"/>
    <w:rsid w:val="374E35E0"/>
    <w:rsid w:val="37560CC6"/>
    <w:rsid w:val="37863776"/>
    <w:rsid w:val="378D0CEB"/>
    <w:rsid w:val="379A026D"/>
    <w:rsid w:val="37A2207E"/>
    <w:rsid w:val="37A2434F"/>
    <w:rsid w:val="37B26974"/>
    <w:rsid w:val="37BA3F9B"/>
    <w:rsid w:val="37ED6D6E"/>
    <w:rsid w:val="380C3B20"/>
    <w:rsid w:val="381039F4"/>
    <w:rsid w:val="381B27FE"/>
    <w:rsid w:val="38404012"/>
    <w:rsid w:val="38422CE2"/>
    <w:rsid w:val="38464281"/>
    <w:rsid w:val="386E21B0"/>
    <w:rsid w:val="38A01F72"/>
    <w:rsid w:val="38AE496C"/>
    <w:rsid w:val="38B54D45"/>
    <w:rsid w:val="38CA32FD"/>
    <w:rsid w:val="38D242CD"/>
    <w:rsid w:val="38FB3C9C"/>
    <w:rsid w:val="392B2595"/>
    <w:rsid w:val="393E0C7A"/>
    <w:rsid w:val="39470BCD"/>
    <w:rsid w:val="39821F75"/>
    <w:rsid w:val="398B5520"/>
    <w:rsid w:val="398C3DB7"/>
    <w:rsid w:val="39A178F4"/>
    <w:rsid w:val="39AB6275"/>
    <w:rsid w:val="39B0743E"/>
    <w:rsid w:val="39E17621"/>
    <w:rsid w:val="39F227B1"/>
    <w:rsid w:val="3A151290"/>
    <w:rsid w:val="3A201663"/>
    <w:rsid w:val="3A257964"/>
    <w:rsid w:val="3A292038"/>
    <w:rsid w:val="3A4A1178"/>
    <w:rsid w:val="3A524E6B"/>
    <w:rsid w:val="3A762A49"/>
    <w:rsid w:val="3A826354"/>
    <w:rsid w:val="3A9D28F5"/>
    <w:rsid w:val="3AA64A0C"/>
    <w:rsid w:val="3ACD43C9"/>
    <w:rsid w:val="3AFA7F85"/>
    <w:rsid w:val="3AFF2C64"/>
    <w:rsid w:val="3B135A0E"/>
    <w:rsid w:val="3B2F69DB"/>
    <w:rsid w:val="3B79226F"/>
    <w:rsid w:val="3B8F1138"/>
    <w:rsid w:val="3B904834"/>
    <w:rsid w:val="3B932344"/>
    <w:rsid w:val="3B9C1EA7"/>
    <w:rsid w:val="3B9D20F5"/>
    <w:rsid w:val="3BB33F88"/>
    <w:rsid w:val="3BC15D34"/>
    <w:rsid w:val="3BD93153"/>
    <w:rsid w:val="3BDA6996"/>
    <w:rsid w:val="3C0A3047"/>
    <w:rsid w:val="3C2E50FB"/>
    <w:rsid w:val="3C37637A"/>
    <w:rsid w:val="3C4A12AD"/>
    <w:rsid w:val="3C5125FC"/>
    <w:rsid w:val="3C690ECB"/>
    <w:rsid w:val="3C860AC6"/>
    <w:rsid w:val="3C8967A4"/>
    <w:rsid w:val="3C960BC8"/>
    <w:rsid w:val="3C9848A1"/>
    <w:rsid w:val="3CA509B7"/>
    <w:rsid w:val="3CA509D1"/>
    <w:rsid w:val="3CD537E6"/>
    <w:rsid w:val="3CD93879"/>
    <w:rsid w:val="3D2571D3"/>
    <w:rsid w:val="3D7A2818"/>
    <w:rsid w:val="3D8106EA"/>
    <w:rsid w:val="3D834DF8"/>
    <w:rsid w:val="3DA352B1"/>
    <w:rsid w:val="3DBA61E7"/>
    <w:rsid w:val="3DC14624"/>
    <w:rsid w:val="3DD55956"/>
    <w:rsid w:val="3E100FFC"/>
    <w:rsid w:val="3E1A3557"/>
    <w:rsid w:val="3E201534"/>
    <w:rsid w:val="3E651EE9"/>
    <w:rsid w:val="3E746D7E"/>
    <w:rsid w:val="3E784A78"/>
    <w:rsid w:val="3E846C23"/>
    <w:rsid w:val="3E8554F5"/>
    <w:rsid w:val="3EB65E71"/>
    <w:rsid w:val="3EC33032"/>
    <w:rsid w:val="3EC61DB3"/>
    <w:rsid w:val="3EF62661"/>
    <w:rsid w:val="3F3C595E"/>
    <w:rsid w:val="3F59346C"/>
    <w:rsid w:val="3F657308"/>
    <w:rsid w:val="3F7856B5"/>
    <w:rsid w:val="3F7970EE"/>
    <w:rsid w:val="3F8003ED"/>
    <w:rsid w:val="3F8B5F41"/>
    <w:rsid w:val="3F970B8C"/>
    <w:rsid w:val="3FC519F7"/>
    <w:rsid w:val="3FD0326B"/>
    <w:rsid w:val="3FD34D1A"/>
    <w:rsid w:val="3FED63B1"/>
    <w:rsid w:val="3FF6120F"/>
    <w:rsid w:val="40031733"/>
    <w:rsid w:val="40076D3D"/>
    <w:rsid w:val="401F65F0"/>
    <w:rsid w:val="404470DB"/>
    <w:rsid w:val="404C2292"/>
    <w:rsid w:val="40506476"/>
    <w:rsid w:val="405D572D"/>
    <w:rsid w:val="408D1EA0"/>
    <w:rsid w:val="408E2DBF"/>
    <w:rsid w:val="409D2A1A"/>
    <w:rsid w:val="40A752D1"/>
    <w:rsid w:val="40B21FB5"/>
    <w:rsid w:val="40B95E2E"/>
    <w:rsid w:val="40C17F9E"/>
    <w:rsid w:val="40C43B66"/>
    <w:rsid w:val="40C96B6F"/>
    <w:rsid w:val="40E247F7"/>
    <w:rsid w:val="40EE5966"/>
    <w:rsid w:val="40EF22F9"/>
    <w:rsid w:val="410F1967"/>
    <w:rsid w:val="41335FC7"/>
    <w:rsid w:val="415978C8"/>
    <w:rsid w:val="415C1B4D"/>
    <w:rsid w:val="417843F2"/>
    <w:rsid w:val="41807B75"/>
    <w:rsid w:val="418A1799"/>
    <w:rsid w:val="41A61C3F"/>
    <w:rsid w:val="41B17185"/>
    <w:rsid w:val="41B7073E"/>
    <w:rsid w:val="41F05895"/>
    <w:rsid w:val="420C70DA"/>
    <w:rsid w:val="4226611D"/>
    <w:rsid w:val="425402BB"/>
    <w:rsid w:val="42564ADA"/>
    <w:rsid w:val="42747A95"/>
    <w:rsid w:val="427E52C8"/>
    <w:rsid w:val="429D02B3"/>
    <w:rsid w:val="42FA6BD0"/>
    <w:rsid w:val="42FB4E01"/>
    <w:rsid w:val="4301585B"/>
    <w:rsid w:val="431B31A4"/>
    <w:rsid w:val="43207507"/>
    <w:rsid w:val="43325808"/>
    <w:rsid w:val="433E1CAF"/>
    <w:rsid w:val="43412297"/>
    <w:rsid w:val="43413ED4"/>
    <w:rsid w:val="43594499"/>
    <w:rsid w:val="43636C3F"/>
    <w:rsid w:val="436E5353"/>
    <w:rsid w:val="438073DF"/>
    <w:rsid w:val="439D6340"/>
    <w:rsid w:val="43A818C3"/>
    <w:rsid w:val="43FD7280"/>
    <w:rsid w:val="441532B2"/>
    <w:rsid w:val="441C5686"/>
    <w:rsid w:val="441E55BD"/>
    <w:rsid w:val="442C59F4"/>
    <w:rsid w:val="442C5CE7"/>
    <w:rsid w:val="443F7EE3"/>
    <w:rsid w:val="44477A7A"/>
    <w:rsid w:val="445A5900"/>
    <w:rsid w:val="44831552"/>
    <w:rsid w:val="44A72CB4"/>
    <w:rsid w:val="44DC0CFE"/>
    <w:rsid w:val="44DC4FCA"/>
    <w:rsid w:val="44FD1C6D"/>
    <w:rsid w:val="453F1E1B"/>
    <w:rsid w:val="453F207E"/>
    <w:rsid w:val="454276A8"/>
    <w:rsid w:val="45465AD9"/>
    <w:rsid w:val="457C4AF8"/>
    <w:rsid w:val="45A100BA"/>
    <w:rsid w:val="45A31600"/>
    <w:rsid w:val="45AD6B81"/>
    <w:rsid w:val="45E526C2"/>
    <w:rsid w:val="45EF5694"/>
    <w:rsid w:val="45F32D75"/>
    <w:rsid w:val="45F468CD"/>
    <w:rsid w:val="45FD79E7"/>
    <w:rsid w:val="45FE4441"/>
    <w:rsid w:val="460934CE"/>
    <w:rsid w:val="461F685B"/>
    <w:rsid w:val="463A35BA"/>
    <w:rsid w:val="464478D6"/>
    <w:rsid w:val="46594972"/>
    <w:rsid w:val="46763AFA"/>
    <w:rsid w:val="46A86AC5"/>
    <w:rsid w:val="46AF0ACC"/>
    <w:rsid w:val="46BA58D0"/>
    <w:rsid w:val="46BF1272"/>
    <w:rsid w:val="46CD2EA3"/>
    <w:rsid w:val="46E33C2A"/>
    <w:rsid w:val="46EB5C2E"/>
    <w:rsid w:val="47191F43"/>
    <w:rsid w:val="471B210D"/>
    <w:rsid w:val="47330BB1"/>
    <w:rsid w:val="474340E1"/>
    <w:rsid w:val="4754737E"/>
    <w:rsid w:val="47582F03"/>
    <w:rsid w:val="476E5DEA"/>
    <w:rsid w:val="478D50EB"/>
    <w:rsid w:val="47914A33"/>
    <w:rsid w:val="479B0044"/>
    <w:rsid w:val="479C10BC"/>
    <w:rsid w:val="47A4380D"/>
    <w:rsid w:val="47A6297A"/>
    <w:rsid w:val="47B35BF8"/>
    <w:rsid w:val="47C01A50"/>
    <w:rsid w:val="47C041C7"/>
    <w:rsid w:val="47CB4E60"/>
    <w:rsid w:val="47CD1E0C"/>
    <w:rsid w:val="47D964DB"/>
    <w:rsid w:val="47FC33A5"/>
    <w:rsid w:val="48012A31"/>
    <w:rsid w:val="481D4366"/>
    <w:rsid w:val="485803F1"/>
    <w:rsid w:val="485E2C28"/>
    <w:rsid w:val="4865215C"/>
    <w:rsid w:val="486942C4"/>
    <w:rsid w:val="487B552A"/>
    <w:rsid w:val="48842F37"/>
    <w:rsid w:val="48A34F21"/>
    <w:rsid w:val="48B05292"/>
    <w:rsid w:val="48B971DC"/>
    <w:rsid w:val="48F556EA"/>
    <w:rsid w:val="491946D3"/>
    <w:rsid w:val="4924047E"/>
    <w:rsid w:val="49276380"/>
    <w:rsid w:val="49441489"/>
    <w:rsid w:val="4948117F"/>
    <w:rsid w:val="494B0B0D"/>
    <w:rsid w:val="497E20AD"/>
    <w:rsid w:val="49820EB7"/>
    <w:rsid w:val="499416E9"/>
    <w:rsid w:val="49A63EAD"/>
    <w:rsid w:val="49A92347"/>
    <w:rsid w:val="49B4166E"/>
    <w:rsid w:val="49BA2C9E"/>
    <w:rsid w:val="49BC3715"/>
    <w:rsid w:val="49C56A6D"/>
    <w:rsid w:val="49EC7B9B"/>
    <w:rsid w:val="49F72310"/>
    <w:rsid w:val="49FD2EE4"/>
    <w:rsid w:val="4A0B4FDE"/>
    <w:rsid w:val="4A0B78D0"/>
    <w:rsid w:val="4A343D11"/>
    <w:rsid w:val="4A497D35"/>
    <w:rsid w:val="4A8A37D8"/>
    <w:rsid w:val="4A8B4AB2"/>
    <w:rsid w:val="4AD77AF3"/>
    <w:rsid w:val="4AD9595B"/>
    <w:rsid w:val="4AE40168"/>
    <w:rsid w:val="4AE96CA4"/>
    <w:rsid w:val="4AF93EAE"/>
    <w:rsid w:val="4AFC3A3A"/>
    <w:rsid w:val="4B311212"/>
    <w:rsid w:val="4B3E6720"/>
    <w:rsid w:val="4B43535A"/>
    <w:rsid w:val="4B476348"/>
    <w:rsid w:val="4B625BF7"/>
    <w:rsid w:val="4BB21AF4"/>
    <w:rsid w:val="4BB54107"/>
    <w:rsid w:val="4BB67EEE"/>
    <w:rsid w:val="4BBF201F"/>
    <w:rsid w:val="4BD17814"/>
    <w:rsid w:val="4BDC5109"/>
    <w:rsid w:val="4BE84FA7"/>
    <w:rsid w:val="4BF70C92"/>
    <w:rsid w:val="4BF76C86"/>
    <w:rsid w:val="4BFD0513"/>
    <w:rsid w:val="4BFD5FA7"/>
    <w:rsid w:val="4C005E77"/>
    <w:rsid w:val="4C1A02C6"/>
    <w:rsid w:val="4C2B76C1"/>
    <w:rsid w:val="4C5419A1"/>
    <w:rsid w:val="4C5429A3"/>
    <w:rsid w:val="4C645A11"/>
    <w:rsid w:val="4C87254B"/>
    <w:rsid w:val="4CDE4416"/>
    <w:rsid w:val="4D004DF6"/>
    <w:rsid w:val="4D1C2C8C"/>
    <w:rsid w:val="4D1E77BE"/>
    <w:rsid w:val="4D245FC5"/>
    <w:rsid w:val="4D2B3B2C"/>
    <w:rsid w:val="4D436B3B"/>
    <w:rsid w:val="4D4C0193"/>
    <w:rsid w:val="4D6C59A2"/>
    <w:rsid w:val="4DA943B0"/>
    <w:rsid w:val="4DC515BB"/>
    <w:rsid w:val="4DCB5984"/>
    <w:rsid w:val="4DD64458"/>
    <w:rsid w:val="4DDD4E1A"/>
    <w:rsid w:val="4E131ACC"/>
    <w:rsid w:val="4E135BFA"/>
    <w:rsid w:val="4E1B2DDB"/>
    <w:rsid w:val="4E250E8C"/>
    <w:rsid w:val="4E355E12"/>
    <w:rsid w:val="4E3A5F5A"/>
    <w:rsid w:val="4E5D7C3A"/>
    <w:rsid w:val="4E68429F"/>
    <w:rsid w:val="4E8D762E"/>
    <w:rsid w:val="4E9B1112"/>
    <w:rsid w:val="4EA06365"/>
    <w:rsid w:val="4EBD3915"/>
    <w:rsid w:val="4ECD54B1"/>
    <w:rsid w:val="4ED4046B"/>
    <w:rsid w:val="4EDF4B15"/>
    <w:rsid w:val="4EE71234"/>
    <w:rsid w:val="4EF43B16"/>
    <w:rsid w:val="4F0E1E8F"/>
    <w:rsid w:val="4F2B6C13"/>
    <w:rsid w:val="4F3153D3"/>
    <w:rsid w:val="4F5F3ED1"/>
    <w:rsid w:val="4F804E7C"/>
    <w:rsid w:val="4F85516A"/>
    <w:rsid w:val="4F944D8F"/>
    <w:rsid w:val="4FCA5221"/>
    <w:rsid w:val="4FED0FB9"/>
    <w:rsid w:val="507410D2"/>
    <w:rsid w:val="50A4392E"/>
    <w:rsid w:val="50A97681"/>
    <w:rsid w:val="50AE3B94"/>
    <w:rsid w:val="50AF7418"/>
    <w:rsid w:val="50E93575"/>
    <w:rsid w:val="50EE4AFC"/>
    <w:rsid w:val="50F04D4E"/>
    <w:rsid w:val="50F57385"/>
    <w:rsid w:val="50F6016F"/>
    <w:rsid w:val="50F9524E"/>
    <w:rsid w:val="50FB1FB9"/>
    <w:rsid w:val="5100038B"/>
    <w:rsid w:val="510D4856"/>
    <w:rsid w:val="51132FF4"/>
    <w:rsid w:val="51151213"/>
    <w:rsid w:val="513225F9"/>
    <w:rsid w:val="513F5114"/>
    <w:rsid w:val="51440384"/>
    <w:rsid w:val="515E6A1B"/>
    <w:rsid w:val="516B705C"/>
    <w:rsid w:val="5177537A"/>
    <w:rsid w:val="518806E3"/>
    <w:rsid w:val="51A1217B"/>
    <w:rsid w:val="51A47CAD"/>
    <w:rsid w:val="51BC2004"/>
    <w:rsid w:val="51C462A1"/>
    <w:rsid w:val="51CB0C5C"/>
    <w:rsid w:val="51CB74F6"/>
    <w:rsid w:val="51D07D5D"/>
    <w:rsid w:val="51D13948"/>
    <w:rsid w:val="51EB5979"/>
    <w:rsid w:val="521A0101"/>
    <w:rsid w:val="52241967"/>
    <w:rsid w:val="52263E21"/>
    <w:rsid w:val="522D1CB6"/>
    <w:rsid w:val="523A073B"/>
    <w:rsid w:val="52444C58"/>
    <w:rsid w:val="5248023B"/>
    <w:rsid w:val="5263075C"/>
    <w:rsid w:val="52660A26"/>
    <w:rsid w:val="52717995"/>
    <w:rsid w:val="528315FB"/>
    <w:rsid w:val="52910142"/>
    <w:rsid w:val="52990759"/>
    <w:rsid w:val="52992845"/>
    <w:rsid w:val="529E42FF"/>
    <w:rsid w:val="52B87033"/>
    <w:rsid w:val="52BE5917"/>
    <w:rsid w:val="52ED3633"/>
    <w:rsid w:val="531B72EC"/>
    <w:rsid w:val="531E35FC"/>
    <w:rsid w:val="531E3DBA"/>
    <w:rsid w:val="532B1547"/>
    <w:rsid w:val="532C2C22"/>
    <w:rsid w:val="533E6E17"/>
    <w:rsid w:val="5340253A"/>
    <w:rsid w:val="5343182D"/>
    <w:rsid w:val="53552E21"/>
    <w:rsid w:val="535D3886"/>
    <w:rsid w:val="536C4A63"/>
    <w:rsid w:val="539B26A9"/>
    <w:rsid w:val="53A201DA"/>
    <w:rsid w:val="53B22D34"/>
    <w:rsid w:val="53B6236C"/>
    <w:rsid w:val="53BD6F30"/>
    <w:rsid w:val="53BE23EE"/>
    <w:rsid w:val="540540F5"/>
    <w:rsid w:val="54251D09"/>
    <w:rsid w:val="542913B3"/>
    <w:rsid w:val="543F18BA"/>
    <w:rsid w:val="547A4AE2"/>
    <w:rsid w:val="54883400"/>
    <w:rsid w:val="54932F58"/>
    <w:rsid w:val="54A3540A"/>
    <w:rsid w:val="54A81CB5"/>
    <w:rsid w:val="54C31DFB"/>
    <w:rsid w:val="54C41B11"/>
    <w:rsid w:val="54F14BBA"/>
    <w:rsid w:val="550E49C6"/>
    <w:rsid w:val="55A47D96"/>
    <w:rsid w:val="55C94049"/>
    <w:rsid w:val="55CB554A"/>
    <w:rsid w:val="55CC1183"/>
    <w:rsid w:val="55DA287E"/>
    <w:rsid w:val="55DD1819"/>
    <w:rsid w:val="55EE6DAD"/>
    <w:rsid w:val="56073162"/>
    <w:rsid w:val="560761F8"/>
    <w:rsid w:val="5609127C"/>
    <w:rsid w:val="56243B92"/>
    <w:rsid w:val="563D619D"/>
    <w:rsid w:val="56413F2B"/>
    <w:rsid w:val="56537C47"/>
    <w:rsid w:val="567D1A39"/>
    <w:rsid w:val="56A010C0"/>
    <w:rsid w:val="56B96B8E"/>
    <w:rsid w:val="56C2378A"/>
    <w:rsid w:val="56C747B5"/>
    <w:rsid w:val="56D42684"/>
    <w:rsid w:val="56DD2471"/>
    <w:rsid w:val="5709163B"/>
    <w:rsid w:val="57210A6D"/>
    <w:rsid w:val="57325016"/>
    <w:rsid w:val="5744214A"/>
    <w:rsid w:val="574B480A"/>
    <w:rsid w:val="57543081"/>
    <w:rsid w:val="5789649C"/>
    <w:rsid w:val="57A373F0"/>
    <w:rsid w:val="57BD6FD6"/>
    <w:rsid w:val="57C83C57"/>
    <w:rsid w:val="57FB2FB4"/>
    <w:rsid w:val="582028C2"/>
    <w:rsid w:val="582908A2"/>
    <w:rsid w:val="583964D9"/>
    <w:rsid w:val="583D07DD"/>
    <w:rsid w:val="585F1862"/>
    <w:rsid w:val="58620D26"/>
    <w:rsid w:val="58706FB1"/>
    <w:rsid w:val="587C5983"/>
    <w:rsid w:val="58C3595B"/>
    <w:rsid w:val="58DD0FB2"/>
    <w:rsid w:val="58DE1A02"/>
    <w:rsid w:val="58E8415E"/>
    <w:rsid w:val="58ED1995"/>
    <w:rsid w:val="58FF1A45"/>
    <w:rsid w:val="59030A18"/>
    <w:rsid w:val="591578E8"/>
    <w:rsid w:val="591C580B"/>
    <w:rsid w:val="5926497A"/>
    <w:rsid w:val="59282111"/>
    <w:rsid w:val="592A1893"/>
    <w:rsid w:val="595D3E12"/>
    <w:rsid w:val="59961EFB"/>
    <w:rsid w:val="59A11353"/>
    <w:rsid w:val="59A55F73"/>
    <w:rsid w:val="59B40569"/>
    <w:rsid w:val="59B71A84"/>
    <w:rsid w:val="59C67EE4"/>
    <w:rsid w:val="59EC3BA2"/>
    <w:rsid w:val="5A0336C4"/>
    <w:rsid w:val="5A1D0D82"/>
    <w:rsid w:val="5A20315B"/>
    <w:rsid w:val="5A4C2893"/>
    <w:rsid w:val="5A5654C0"/>
    <w:rsid w:val="5A5827FE"/>
    <w:rsid w:val="5A70211C"/>
    <w:rsid w:val="5AAB2A29"/>
    <w:rsid w:val="5AAB3211"/>
    <w:rsid w:val="5AAC7307"/>
    <w:rsid w:val="5AB86388"/>
    <w:rsid w:val="5ABF41C0"/>
    <w:rsid w:val="5ACA577B"/>
    <w:rsid w:val="5AD07CB2"/>
    <w:rsid w:val="5AE37CAA"/>
    <w:rsid w:val="5AE66844"/>
    <w:rsid w:val="5AEF1DC1"/>
    <w:rsid w:val="5B353486"/>
    <w:rsid w:val="5B3A7E78"/>
    <w:rsid w:val="5B3D442E"/>
    <w:rsid w:val="5B412C22"/>
    <w:rsid w:val="5B4B2EB1"/>
    <w:rsid w:val="5B510D60"/>
    <w:rsid w:val="5B570332"/>
    <w:rsid w:val="5B5F0395"/>
    <w:rsid w:val="5B6300A3"/>
    <w:rsid w:val="5B6C0ED6"/>
    <w:rsid w:val="5B790B4E"/>
    <w:rsid w:val="5B7A2400"/>
    <w:rsid w:val="5B8F37CB"/>
    <w:rsid w:val="5B9B626D"/>
    <w:rsid w:val="5BA762EC"/>
    <w:rsid w:val="5BD32897"/>
    <w:rsid w:val="5BF50A44"/>
    <w:rsid w:val="5C145701"/>
    <w:rsid w:val="5C295CCC"/>
    <w:rsid w:val="5C381A3A"/>
    <w:rsid w:val="5C495107"/>
    <w:rsid w:val="5C5C135C"/>
    <w:rsid w:val="5C872DAA"/>
    <w:rsid w:val="5C974816"/>
    <w:rsid w:val="5CA97228"/>
    <w:rsid w:val="5CBA57BD"/>
    <w:rsid w:val="5CC5471C"/>
    <w:rsid w:val="5CDC5386"/>
    <w:rsid w:val="5CEE7B85"/>
    <w:rsid w:val="5CF07506"/>
    <w:rsid w:val="5CF73D69"/>
    <w:rsid w:val="5D090142"/>
    <w:rsid w:val="5D202057"/>
    <w:rsid w:val="5D4700C2"/>
    <w:rsid w:val="5D6C4615"/>
    <w:rsid w:val="5D7C5A81"/>
    <w:rsid w:val="5DC1585C"/>
    <w:rsid w:val="5DD31E8F"/>
    <w:rsid w:val="5DDF2196"/>
    <w:rsid w:val="5DF704AE"/>
    <w:rsid w:val="5DF954B7"/>
    <w:rsid w:val="5DFF05CD"/>
    <w:rsid w:val="5E1672C2"/>
    <w:rsid w:val="5E1B6033"/>
    <w:rsid w:val="5E2612F9"/>
    <w:rsid w:val="5E534129"/>
    <w:rsid w:val="5E6E3C24"/>
    <w:rsid w:val="5E7255BD"/>
    <w:rsid w:val="5E937CCC"/>
    <w:rsid w:val="5EF83794"/>
    <w:rsid w:val="5F0173CC"/>
    <w:rsid w:val="5F1A1A93"/>
    <w:rsid w:val="5F287F7E"/>
    <w:rsid w:val="5F475677"/>
    <w:rsid w:val="5F484198"/>
    <w:rsid w:val="5F567498"/>
    <w:rsid w:val="5F7D71F9"/>
    <w:rsid w:val="5F8420E2"/>
    <w:rsid w:val="5F887220"/>
    <w:rsid w:val="5F9022AB"/>
    <w:rsid w:val="5FB81E56"/>
    <w:rsid w:val="5FD85FDC"/>
    <w:rsid w:val="5FEB78D3"/>
    <w:rsid w:val="5FEC00EE"/>
    <w:rsid w:val="600951D4"/>
    <w:rsid w:val="6010358A"/>
    <w:rsid w:val="60156960"/>
    <w:rsid w:val="601A25EF"/>
    <w:rsid w:val="60250EC1"/>
    <w:rsid w:val="602C433E"/>
    <w:rsid w:val="603E7832"/>
    <w:rsid w:val="6044067F"/>
    <w:rsid w:val="60793AF7"/>
    <w:rsid w:val="6099592B"/>
    <w:rsid w:val="60A13AB9"/>
    <w:rsid w:val="60A7744C"/>
    <w:rsid w:val="60CF04AB"/>
    <w:rsid w:val="60DB5486"/>
    <w:rsid w:val="60E50CEA"/>
    <w:rsid w:val="60E82C1A"/>
    <w:rsid w:val="60EC0541"/>
    <w:rsid w:val="60FD245E"/>
    <w:rsid w:val="61033EA8"/>
    <w:rsid w:val="610A1613"/>
    <w:rsid w:val="610C2FE8"/>
    <w:rsid w:val="61251167"/>
    <w:rsid w:val="61432D9E"/>
    <w:rsid w:val="61683AEB"/>
    <w:rsid w:val="618A70BC"/>
    <w:rsid w:val="6194258A"/>
    <w:rsid w:val="61963F6D"/>
    <w:rsid w:val="61B2122D"/>
    <w:rsid w:val="61BD1F9D"/>
    <w:rsid w:val="61EA093B"/>
    <w:rsid w:val="61F47A98"/>
    <w:rsid w:val="62024DB4"/>
    <w:rsid w:val="62117D72"/>
    <w:rsid w:val="62134AE6"/>
    <w:rsid w:val="62140656"/>
    <w:rsid w:val="62210A89"/>
    <w:rsid w:val="62285DB7"/>
    <w:rsid w:val="623703CD"/>
    <w:rsid w:val="626857C6"/>
    <w:rsid w:val="626C17E1"/>
    <w:rsid w:val="626F711E"/>
    <w:rsid w:val="62923991"/>
    <w:rsid w:val="62966DA1"/>
    <w:rsid w:val="62B570F7"/>
    <w:rsid w:val="62F20D03"/>
    <w:rsid w:val="62F26EC0"/>
    <w:rsid w:val="62F75B83"/>
    <w:rsid w:val="63095375"/>
    <w:rsid w:val="6312135F"/>
    <w:rsid w:val="6329551F"/>
    <w:rsid w:val="632A3D0D"/>
    <w:rsid w:val="633443AB"/>
    <w:rsid w:val="634E3CB8"/>
    <w:rsid w:val="6353750E"/>
    <w:rsid w:val="638857E1"/>
    <w:rsid w:val="63AB78F4"/>
    <w:rsid w:val="63C642C7"/>
    <w:rsid w:val="63C85688"/>
    <w:rsid w:val="63CD5666"/>
    <w:rsid w:val="63D01EF3"/>
    <w:rsid w:val="63D2038C"/>
    <w:rsid w:val="63DF2082"/>
    <w:rsid w:val="63E15DFA"/>
    <w:rsid w:val="63E631E1"/>
    <w:rsid w:val="63F66CE6"/>
    <w:rsid w:val="640E7E19"/>
    <w:rsid w:val="641F6922"/>
    <w:rsid w:val="647527CB"/>
    <w:rsid w:val="647749B0"/>
    <w:rsid w:val="648A0F84"/>
    <w:rsid w:val="648E4974"/>
    <w:rsid w:val="648F4377"/>
    <w:rsid w:val="64944DD6"/>
    <w:rsid w:val="64994927"/>
    <w:rsid w:val="649E65A7"/>
    <w:rsid w:val="64B70C4D"/>
    <w:rsid w:val="64D14920"/>
    <w:rsid w:val="64DC3A26"/>
    <w:rsid w:val="64EA382F"/>
    <w:rsid w:val="64ED3306"/>
    <w:rsid w:val="65112EA3"/>
    <w:rsid w:val="6511603A"/>
    <w:rsid w:val="652763A9"/>
    <w:rsid w:val="65384C25"/>
    <w:rsid w:val="653B0F51"/>
    <w:rsid w:val="65434194"/>
    <w:rsid w:val="65477730"/>
    <w:rsid w:val="654912E0"/>
    <w:rsid w:val="655717D1"/>
    <w:rsid w:val="656A4332"/>
    <w:rsid w:val="65733372"/>
    <w:rsid w:val="65744876"/>
    <w:rsid w:val="657845AE"/>
    <w:rsid w:val="65991D3E"/>
    <w:rsid w:val="659E280B"/>
    <w:rsid w:val="65B74A52"/>
    <w:rsid w:val="65BD55BD"/>
    <w:rsid w:val="65C53449"/>
    <w:rsid w:val="65F27286"/>
    <w:rsid w:val="65FE1159"/>
    <w:rsid w:val="6602655A"/>
    <w:rsid w:val="66037BA1"/>
    <w:rsid w:val="660D45C7"/>
    <w:rsid w:val="66280ABB"/>
    <w:rsid w:val="666717B3"/>
    <w:rsid w:val="6668032B"/>
    <w:rsid w:val="66735715"/>
    <w:rsid w:val="667C4290"/>
    <w:rsid w:val="66AB481F"/>
    <w:rsid w:val="66B62A9B"/>
    <w:rsid w:val="66C95898"/>
    <w:rsid w:val="66F8201A"/>
    <w:rsid w:val="671C5A04"/>
    <w:rsid w:val="673F01D2"/>
    <w:rsid w:val="676777C3"/>
    <w:rsid w:val="677D4B8A"/>
    <w:rsid w:val="67802ACE"/>
    <w:rsid w:val="67804B33"/>
    <w:rsid w:val="678F63F0"/>
    <w:rsid w:val="67C40A09"/>
    <w:rsid w:val="67D020A7"/>
    <w:rsid w:val="67D600B8"/>
    <w:rsid w:val="67E4087E"/>
    <w:rsid w:val="67EB1BDE"/>
    <w:rsid w:val="67EC2FBF"/>
    <w:rsid w:val="6821192D"/>
    <w:rsid w:val="68337E89"/>
    <w:rsid w:val="68337EE8"/>
    <w:rsid w:val="683A6C76"/>
    <w:rsid w:val="684626D0"/>
    <w:rsid w:val="685C5B46"/>
    <w:rsid w:val="686F1486"/>
    <w:rsid w:val="68827B81"/>
    <w:rsid w:val="688C0656"/>
    <w:rsid w:val="68AE1735"/>
    <w:rsid w:val="68B72950"/>
    <w:rsid w:val="68D60630"/>
    <w:rsid w:val="68D72AD0"/>
    <w:rsid w:val="68F00432"/>
    <w:rsid w:val="68F44821"/>
    <w:rsid w:val="68F8555D"/>
    <w:rsid w:val="691D712E"/>
    <w:rsid w:val="697E7396"/>
    <w:rsid w:val="69945B39"/>
    <w:rsid w:val="69A009FE"/>
    <w:rsid w:val="69A729C5"/>
    <w:rsid w:val="69BE2739"/>
    <w:rsid w:val="69BF206E"/>
    <w:rsid w:val="69E46DF1"/>
    <w:rsid w:val="69E8174D"/>
    <w:rsid w:val="69EB7655"/>
    <w:rsid w:val="69F66247"/>
    <w:rsid w:val="69F820EF"/>
    <w:rsid w:val="69F86AAF"/>
    <w:rsid w:val="6A1F6154"/>
    <w:rsid w:val="6A224F35"/>
    <w:rsid w:val="6A2746CC"/>
    <w:rsid w:val="6A4F7CF0"/>
    <w:rsid w:val="6A5517EC"/>
    <w:rsid w:val="6A694BA1"/>
    <w:rsid w:val="6A734205"/>
    <w:rsid w:val="6A995680"/>
    <w:rsid w:val="6ABC3292"/>
    <w:rsid w:val="6AC04F0B"/>
    <w:rsid w:val="6AD34458"/>
    <w:rsid w:val="6ADC4801"/>
    <w:rsid w:val="6ADF25FC"/>
    <w:rsid w:val="6B020CD0"/>
    <w:rsid w:val="6B1148AC"/>
    <w:rsid w:val="6B3E0351"/>
    <w:rsid w:val="6B405AFC"/>
    <w:rsid w:val="6B42449D"/>
    <w:rsid w:val="6B4A5562"/>
    <w:rsid w:val="6B565807"/>
    <w:rsid w:val="6B7A369F"/>
    <w:rsid w:val="6BAC2823"/>
    <w:rsid w:val="6BB26865"/>
    <w:rsid w:val="6BBD5024"/>
    <w:rsid w:val="6BF37DF1"/>
    <w:rsid w:val="6BF931A9"/>
    <w:rsid w:val="6C145B1E"/>
    <w:rsid w:val="6C474208"/>
    <w:rsid w:val="6C630CE9"/>
    <w:rsid w:val="6C914CAA"/>
    <w:rsid w:val="6CB57E24"/>
    <w:rsid w:val="6CCC3665"/>
    <w:rsid w:val="6CEC0F34"/>
    <w:rsid w:val="6CF73CA4"/>
    <w:rsid w:val="6D005FF7"/>
    <w:rsid w:val="6D021C57"/>
    <w:rsid w:val="6D05105B"/>
    <w:rsid w:val="6D207FCD"/>
    <w:rsid w:val="6D280C36"/>
    <w:rsid w:val="6D286C4C"/>
    <w:rsid w:val="6D2B5B01"/>
    <w:rsid w:val="6D36363D"/>
    <w:rsid w:val="6D381497"/>
    <w:rsid w:val="6D6A2DB3"/>
    <w:rsid w:val="6D6A69AA"/>
    <w:rsid w:val="6D79127B"/>
    <w:rsid w:val="6D832281"/>
    <w:rsid w:val="6DC237AE"/>
    <w:rsid w:val="6DDB7D5E"/>
    <w:rsid w:val="6DF21694"/>
    <w:rsid w:val="6DF91502"/>
    <w:rsid w:val="6DFB21AE"/>
    <w:rsid w:val="6E01482E"/>
    <w:rsid w:val="6E0D1941"/>
    <w:rsid w:val="6E18292B"/>
    <w:rsid w:val="6E402C35"/>
    <w:rsid w:val="6E403BCF"/>
    <w:rsid w:val="6E424CF7"/>
    <w:rsid w:val="6E96703D"/>
    <w:rsid w:val="6E984122"/>
    <w:rsid w:val="6EBE3702"/>
    <w:rsid w:val="6EC4761A"/>
    <w:rsid w:val="6ED26905"/>
    <w:rsid w:val="6ED924EF"/>
    <w:rsid w:val="6EE20566"/>
    <w:rsid w:val="6EEB6DD8"/>
    <w:rsid w:val="6EEF5F38"/>
    <w:rsid w:val="6EF513F6"/>
    <w:rsid w:val="6F1F0771"/>
    <w:rsid w:val="6F3669E2"/>
    <w:rsid w:val="6F3A0437"/>
    <w:rsid w:val="6F3C409E"/>
    <w:rsid w:val="6F452492"/>
    <w:rsid w:val="6F4E1ABB"/>
    <w:rsid w:val="6F65489B"/>
    <w:rsid w:val="6F86274A"/>
    <w:rsid w:val="6F8A6B50"/>
    <w:rsid w:val="6F9E4E98"/>
    <w:rsid w:val="6FB536E7"/>
    <w:rsid w:val="6FC169C6"/>
    <w:rsid w:val="6FD20CED"/>
    <w:rsid w:val="6FF57413"/>
    <w:rsid w:val="700148B1"/>
    <w:rsid w:val="700708F2"/>
    <w:rsid w:val="70262445"/>
    <w:rsid w:val="70796EB7"/>
    <w:rsid w:val="70846EFD"/>
    <w:rsid w:val="70891E2B"/>
    <w:rsid w:val="709304FC"/>
    <w:rsid w:val="70B21D55"/>
    <w:rsid w:val="70BA4068"/>
    <w:rsid w:val="70F06D61"/>
    <w:rsid w:val="70F36F46"/>
    <w:rsid w:val="710870BC"/>
    <w:rsid w:val="71231B23"/>
    <w:rsid w:val="713B214A"/>
    <w:rsid w:val="714633CE"/>
    <w:rsid w:val="714A76D4"/>
    <w:rsid w:val="71550056"/>
    <w:rsid w:val="718621EE"/>
    <w:rsid w:val="71894FD2"/>
    <w:rsid w:val="719C1F1C"/>
    <w:rsid w:val="71A3311F"/>
    <w:rsid w:val="71AA4E1C"/>
    <w:rsid w:val="71B6178D"/>
    <w:rsid w:val="71C05A5D"/>
    <w:rsid w:val="72005730"/>
    <w:rsid w:val="72280301"/>
    <w:rsid w:val="7231753D"/>
    <w:rsid w:val="72386C6E"/>
    <w:rsid w:val="723A3057"/>
    <w:rsid w:val="72400885"/>
    <w:rsid w:val="724B6026"/>
    <w:rsid w:val="725273EA"/>
    <w:rsid w:val="725B1897"/>
    <w:rsid w:val="72603689"/>
    <w:rsid w:val="726C47BC"/>
    <w:rsid w:val="728E7595"/>
    <w:rsid w:val="72CD2240"/>
    <w:rsid w:val="72DC19E2"/>
    <w:rsid w:val="72EC4E12"/>
    <w:rsid w:val="72F336D6"/>
    <w:rsid w:val="73005EB5"/>
    <w:rsid w:val="7336792C"/>
    <w:rsid w:val="73373DED"/>
    <w:rsid w:val="73391B68"/>
    <w:rsid w:val="733F7A24"/>
    <w:rsid w:val="735C44F0"/>
    <w:rsid w:val="736A01CD"/>
    <w:rsid w:val="736B4D35"/>
    <w:rsid w:val="73741988"/>
    <w:rsid w:val="73814929"/>
    <w:rsid w:val="7393399F"/>
    <w:rsid w:val="73984022"/>
    <w:rsid w:val="73C11347"/>
    <w:rsid w:val="73C179F6"/>
    <w:rsid w:val="73CF47A1"/>
    <w:rsid w:val="73DA2984"/>
    <w:rsid w:val="73DE7CB7"/>
    <w:rsid w:val="73E2421D"/>
    <w:rsid w:val="74000D97"/>
    <w:rsid w:val="74185CCF"/>
    <w:rsid w:val="741D2E7E"/>
    <w:rsid w:val="741E6BF6"/>
    <w:rsid w:val="74671D07"/>
    <w:rsid w:val="74694C3B"/>
    <w:rsid w:val="746A6AAD"/>
    <w:rsid w:val="747A4FBC"/>
    <w:rsid w:val="748443A7"/>
    <w:rsid w:val="748B466B"/>
    <w:rsid w:val="749018A2"/>
    <w:rsid w:val="74D94903"/>
    <w:rsid w:val="74DC7834"/>
    <w:rsid w:val="74E271F1"/>
    <w:rsid w:val="75287D2D"/>
    <w:rsid w:val="75326EC3"/>
    <w:rsid w:val="75474A77"/>
    <w:rsid w:val="7551327B"/>
    <w:rsid w:val="755F3E02"/>
    <w:rsid w:val="755F782E"/>
    <w:rsid w:val="75806453"/>
    <w:rsid w:val="75A16A9F"/>
    <w:rsid w:val="75BC6CCF"/>
    <w:rsid w:val="75E27D49"/>
    <w:rsid w:val="761867BE"/>
    <w:rsid w:val="762F50EB"/>
    <w:rsid w:val="76365AD0"/>
    <w:rsid w:val="76481D09"/>
    <w:rsid w:val="765D57EA"/>
    <w:rsid w:val="7688585F"/>
    <w:rsid w:val="76CC0092"/>
    <w:rsid w:val="76E97048"/>
    <w:rsid w:val="76F54CF0"/>
    <w:rsid w:val="76FD5906"/>
    <w:rsid w:val="77072866"/>
    <w:rsid w:val="770B684E"/>
    <w:rsid w:val="771D50F3"/>
    <w:rsid w:val="77204CB1"/>
    <w:rsid w:val="777C1603"/>
    <w:rsid w:val="77A14CDE"/>
    <w:rsid w:val="77A86B72"/>
    <w:rsid w:val="77AA2F7D"/>
    <w:rsid w:val="77C96BD3"/>
    <w:rsid w:val="78266CE5"/>
    <w:rsid w:val="7827421F"/>
    <w:rsid w:val="782B4A23"/>
    <w:rsid w:val="78302F8F"/>
    <w:rsid w:val="784117AB"/>
    <w:rsid w:val="78510397"/>
    <w:rsid w:val="78552936"/>
    <w:rsid w:val="78731F0E"/>
    <w:rsid w:val="78754CBA"/>
    <w:rsid w:val="78962FA5"/>
    <w:rsid w:val="78C148AC"/>
    <w:rsid w:val="78CA1FEE"/>
    <w:rsid w:val="78CB3FEB"/>
    <w:rsid w:val="793760DD"/>
    <w:rsid w:val="793B3DA7"/>
    <w:rsid w:val="793B5CE2"/>
    <w:rsid w:val="795766F4"/>
    <w:rsid w:val="795C411F"/>
    <w:rsid w:val="796834B3"/>
    <w:rsid w:val="797B3C8A"/>
    <w:rsid w:val="797F45FC"/>
    <w:rsid w:val="79970647"/>
    <w:rsid w:val="79D9682C"/>
    <w:rsid w:val="79DB75C0"/>
    <w:rsid w:val="79E37881"/>
    <w:rsid w:val="79E4486C"/>
    <w:rsid w:val="79EA2E0E"/>
    <w:rsid w:val="79ED08FA"/>
    <w:rsid w:val="7A067AFA"/>
    <w:rsid w:val="7A0C585A"/>
    <w:rsid w:val="7A2C7450"/>
    <w:rsid w:val="7A326B5A"/>
    <w:rsid w:val="7A553725"/>
    <w:rsid w:val="7A616D0A"/>
    <w:rsid w:val="7A7F2C76"/>
    <w:rsid w:val="7AAC462A"/>
    <w:rsid w:val="7AB21E46"/>
    <w:rsid w:val="7AC60E22"/>
    <w:rsid w:val="7AF84FA0"/>
    <w:rsid w:val="7AF909C6"/>
    <w:rsid w:val="7B6273C9"/>
    <w:rsid w:val="7B6F1BD0"/>
    <w:rsid w:val="7B732126"/>
    <w:rsid w:val="7B755C15"/>
    <w:rsid w:val="7B7B20CE"/>
    <w:rsid w:val="7B8E1216"/>
    <w:rsid w:val="7B9A1345"/>
    <w:rsid w:val="7BCA6C86"/>
    <w:rsid w:val="7C003703"/>
    <w:rsid w:val="7C044DA1"/>
    <w:rsid w:val="7C365DE1"/>
    <w:rsid w:val="7CA33449"/>
    <w:rsid w:val="7CCE4D69"/>
    <w:rsid w:val="7CFE75C5"/>
    <w:rsid w:val="7D0A0BA4"/>
    <w:rsid w:val="7D107AF3"/>
    <w:rsid w:val="7D4253C7"/>
    <w:rsid w:val="7D4C5341"/>
    <w:rsid w:val="7D4E5EE6"/>
    <w:rsid w:val="7D8901AD"/>
    <w:rsid w:val="7D8E577D"/>
    <w:rsid w:val="7D9A426A"/>
    <w:rsid w:val="7DCA7075"/>
    <w:rsid w:val="7E006F08"/>
    <w:rsid w:val="7E01736D"/>
    <w:rsid w:val="7E333E03"/>
    <w:rsid w:val="7E391FE6"/>
    <w:rsid w:val="7E916762"/>
    <w:rsid w:val="7EA916FD"/>
    <w:rsid w:val="7EAB552B"/>
    <w:rsid w:val="7EE53C64"/>
    <w:rsid w:val="7F36010F"/>
    <w:rsid w:val="7F541580"/>
    <w:rsid w:val="7F590594"/>
    <w:rsid w:val="7F667225"/>
    <w:rsid w:val="7F7B2EF8"/>
    <w:rsid w:val="7F844A6E"/>
    <w:rsid w:val="7FAA1C29"/>
    <w:rsid w:val="7FAC2C53"/>
    <w:rsid w:val="7FAC4830"/>
    <w:rsid w:val="7FB659E5"/>
    <w:rsid w:val="7FB7407D"/>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4">
    <w:name w:val="Body Text First Indent"/>
    <w:basedOn w:val="7"/>
    <w:qFormat/>
    <w:uiPriority w:val="0"/>
    <w:pPr>
      <w:ind w:firstLine="420" w:firstLineChars="100"/>
    </w:p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paragraph" w:customStyle="1" w:styleId="19">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0">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1">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2">
    <w:name w:val="列出段落1"/>
    <w:basedOn w:val="1"/>
    <w:qFormat/>
    <w:uiPriority w:val="34"/>
    <w:pPr>
      <w:ind w:firstLine="420" w:firstLineChars="200"/>
    </w:pPr>
  </w:style>
  <w:style w:type="character" w:customStyle="1" w:styleId="23">
    <w:name w:val="font11"/>
    <w:basedOn w:val="17"/>
    <w:qFormat/>
    <w:uiPriority w:val="0"/>
    <w:rPr>
      <w:rFonts w:ascii="Calibri" w:hAnsi="Calibri" w:cs="Calibri"/>
      <w:color w:val="000000"/>
      <w:sz w:val="21"/>
      <w:szCs w:val="21"/>
      <w:u w:val="none"/>
    </w:rPr>
  </w:style>
  <w:style w:type="character" w:customStyle="1" w:styleId="24">
    <w:name w:val="font21"/>
    <w:basedOn w:val="17"/>
    <w:qFormat/>
    <w:uiPriority w:val="0"/>
    <w:rPr>
      <w:rFonts w:hint="eastAsia" w:ascii="宋体" w:hAnsi="宋体" w:eastAsia="宋体" w:cs="宋体"/>
      <w:color w:val="000000"/>
      <w:sz w:val="21"/>
      <w:szCs w:val="21"/>
      <w:u w:val="none"/>
    </w:rPr>
  </w:style>
  <w:style w:type="character" w:customStyle="1" w:styleId="25">
    <w:name w:val="font01"/>
    <w:basedOn w:val="17"/>
    <w:qFormat/>
    <w:uiPriority w:val="0"/>
    <w:rPr>
      <w:rFonts w:ascii="Calibri" w:hAnsi="Calibri" w:cs="Calibri"/>
      <w:color w:val="000000"/>
      <w:sz w:val="21"/>
      <w:szCs w:val="21"/>
      <w:u w:val="none"/>
    </w:rPr>
  </w:style>
  <w:style w:type="character" w:customStyle="1" w:styleId="26">
    <w:name w:val="font31"/>
    <w:basedOn w:val="17"/>
    <w:qFormat/>
    <w:uiPriority w:val="0"/>
    <w:rPr>
      <w:rFonts w:hint="default" w:ascii="Calibri" w:hAnsi="Calibri" w:cs="Calibri"/>
      <w:color w:val="000000"/>
      <w:sz w:val="21"/>
      <w:szCs w:val="21"/>
      <w:u w:val="none"/>
    </w:rPr>
  </w:style>
  <w:style w:type="paragraph" w:customStyle="1" w:styleId="27">
    <w:name w:val="Table Paragraph"/>
    <w:basedOn w:val="1"/>
    <w:qFormat/>
    <w:uiPriority w:val="1"/>
    <w:rPr>
      <w:rFonts w:ascii="宋体" w:hAnsi="宋体" w:eastAsia="宋体" w:cs="宋体"/>
    </w:rPr>
  </w:style>
  <w:style w:type="paragraph" w:customStyle="1" w:styleId="28">
    <w:name w:val="Table Text"/>
    <w:basedOn w:val="1"/>
    <w:semiHidden/>
    <w:qFormat/>
    <w:uiPriority w:val="0"/>
    <w:rPr>
      <w:rFonts w:ascii="宋体" w:hAnsi="宋体" w:eastAsia="宋体" w:cs="宋体"/>
      <w:sz w:val="21"/>
      <w:szCs w:val="21"/>
      <w:lang w:val="en-US" w:eastAsia="en-US" w:bidi="ar-SA"/>
    </w:rPr>
  </w:style>
  <w:style w:type="table" w:customStyle="1" w:styleId="29">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34</Pages>
  <Words>10030</Words>
  <Characters>11141</Characters>
  <Lines>0</Lines>
  <Paragraphs>0</Paragraphs>
  <TotalTime>63</TotalTime>
  <ScaleCrop>false</ScaleCrop>
  <LinksUpToDate>false</LinksUpToDate>
  <CharactersWithSpaces>12927</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张迪</cp:lastModifiedBy>
  <cp:lastPrinted>2021-01-22T03:33:00Z</cp:lastPrinted>
  <dcterms:modified xsi:type="dcterms:W3CDTF">2024-03-26T07:17:16Z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3DC1C1C5EC6741F69426F536341F9981</vt:lpwstr>
  </property>
</Properties>
</file>