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bidi w:val="0"/>
        <w:rPr>
          <w:rFonts w:hint="default"/>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6"/>
          <w:szCs w:val="36"/>
          <w:highlight w:val="none"/>
          <w:shd w:val="clear" w:color="auto" w:fill="auto"/>
          <w:lang w:val="en-US" w:eastAsia="zh-CN"/>
        </w:rPr>
      </w:pPr>
      <w:r>
        <w:rPr>
          <w:rFonts w:hint="eastAsia" w:ascii="Times New Roman" w:hAnsi="Times New Roman" w:eastAsia="黑体" w:cs="Times New Roman"/>
          <w:kern w:val="0"/>
          <w:sz w:val="36"/>
          <w:szCs w:val="36"/>
          <w:highlight w:val="none"/>
          <w:shd w:val="clear" w:color="auto" w:fill="auto"/>
          <w:lang w:val="en-US" w:eastAsia="zh-CN"/>
        </w:rPr>
        <w:t>亳州机场充电桩高低压配电施工安装项目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44"/>
          <w:szCs w:val="4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ACJT</w:t>
      </w:r>
      <w:r>
        <w:rPr>
          <w:rFonts w:hint="default" w:ascii="Times New Roman" w:hAnsi="Times New Roman" w:eastAsia="楷体" w:cs="Times New Roman"/>
          <w:kern w:val="0"/>
          <w:sz w:val="28"/>
          <w:szCs w:val="28"/>
          <w:highlight w:val="none"/>
          <w:shd w:val="clear" w:color="auto" w:fill="auto"/>
          <w:lang w:val="en-US" w:eastAsia="zh-CN"/>
        </w:rPr>
        <w:t>-20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005</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eastAsia" w:ascii="Times New Roman" w:hAnsi="Times New Roman" w:cs="Times New Roman"/>
          <w:highlight w:val="none"/>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5"/>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三、分项报价表（格式附后）；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四、资格审查资料（格式附后）；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五、其他资料。</w:t>
      </w:r>
      <w:r>
        <w:rPr>
          <w:rFonts w:hint="default" w:ascii="Times New Roman" w:hAnsi="Times New Roman" w:cs="Times New Roman"/>
          <w:highlight w:val="none"/>
          <w:lang w:val="en-US" w:eastAsia="zh-CN"/>
        </w:rPr>
        <w:br w:type="page"/>
      </w:r>
    </w:p>
    <w:p>
      <w:pPr>
        <w:pStyle w:val="5"/>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w:t>
            </w:r>
            <w:r>
              <w:rPr>
                <w:rFonts w:hint="eastAsia" w:ascii="Times New Roman" w:hAnsi="Times New Roman" w:cs="Times New Roman"/>
                <w:szCs w:val="21"/>
                <w:highlight w:val="none"/>
                <w:lang w:val="en-US" w:eastAsia="zh-CN"/>
              </w:rPr>
              <w:t>或法人盖章</w:t>
            </w:r>
            <w:r>
              <w:rPr>
                <w:rFonts w:hint="default" w:ascii="Times New Roman" w:hAnsi="Times New Roman" w:cs="Times New Roman"/>
                <w:szCs w:val="21"/>
                <w:highlight w:val="none"/>
              </w:rPr>
              <w:t>，否则其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采购人名称：安徽省安车交通运输集团有限公司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地址：亳州市高新区银杏路与宋汤河路交叉口</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亳州机场充电桩高低压配电施工安装项目</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项目编号：ACJT-2024- 005号</w:t>
            </w:r>
            <w:bookmarkStart w:id="6" w:name="_GoBack"/>
            <w:bookmarkEnd w:id="6"/>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在2024年  4  月  1 日 10时00分前不得开启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代表应持有效身份证件参加</w:t>
            </w:r>
            <w:r>
              <w:rPr>
                <w:rFonts w:hint="eastAsia" w:ascii="Times New Roman" w:hAnsi="Times New Roman" w:cs="Times New Roman"/>
                <w:szCs w:val="21"/>
                <w:highlight w:val="none"/>
                <w:lang w:val="en-US" w:eastAsia="zh-CN"/>
              </w:rPr>
              <w:t>磋商</w:t>
            </w:r>
            <w:r>
              <w:rPr>
                <w:rFonts w:hint="default" w:ascii="Times New Roman" w:hAnsi="Times New Roman" w:cs="Times New Roman"/>
                <w:szCs w:val="21"/>
                <w:highlight w:val="none"/>
              </w:rPr>
              <w:t>会议，有效身份证件是指中华人民共和国第二代居民身份证，其他证明无效。</w:t>
            </w:r>
          </w:p>
        </w:tc>
      </w:tr>
    </w:tbl>
    <w:p>
      <w:pPr>
        <w:spacing w:line="540" w:lineRule="exact"/>
        <w:rPr>
          <w:rFonts w:hint="eastAsia" w:ascii="Times New Roman" w:hAnsi="Times New Roman" w:cs="Times New Roman"/>
          <w:highlight w:val="none"/>
          <w:lang w:val="en-US" w:eastAsia="zh-CN"/>
        </w:rPr>
      </w:pP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247527834"/>
      <w:bookmarkStart w:id="1" w:name="_Toc152045794"/>
      <w:bookmarkStart w:id="2" w:name="_Toc247514286"/>
      <w:bookmarkStart w:id="3" w:name="_Toc144974862"/>
      <w:bookmarkStart w:id="4" w:name="_Toc152042583"/>
      <w:bookmarkStart w:id="5" w:name="_Toc300835216"/>
      <w:r>
        <w:rPr>
          <w:rFonts w:hint="eastAsia" w:ascii="黑体" w:hAnsi="黑体" w:eastAsia="黑体" w:cs="黑体"/>
          <w:b w:val="0"/>
          <w:bCs w:val="0"/>
          <w:color w:val="000000"/>
          <w:sz w:val="32"/>
          <w:szCs w:val="32"/>
          <w:lang w:val="en-US" w:eastAsia="zh-CN"/>
        </w:rPr>
        <w:t>一、报价函</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eastAsiaTheme="minorEastAsia"/>
          <w:sz w:val="20"/>
          <w:szCs w:val="20"/>
          <w:highlight w:val="none"/>
          <w:lang w:val="en-US" w:eastAsia="zh-CN"/>
        </w:rPr>
      </w:pPr>
    </w:p>
    <w:p>
      <w:pPr>
        <w:spacing w:line="440" w:lineRule="exact"/>
        <w:rPr>
          <w:rFonts w:hint="default" w:ascii="Times New Roman" w:hAnsi="Times New Roman" w:cs="Times New Roman"/>
          <w:szCs w:val="21"/>
          <w:lang w:val="en-US" w:eastAsia="zh-CN"/>
        </w:rPr>
      </w:pPr>
      <w:permStart w:id="0" w:edGrp="everyone"/>
      <w:r>
        <w:rPr>
          <w:rFonts w:hint="eastAsia" w:ascii="Times New Roman" w:hAnsi="Times New Roman" w:cs="Times New Roman"/>
          <w:szCs w:val="21"/>
          <w:u w:val="single"/>
          <w:lang w:val="en-US" w:eastAsia="zh-CN"/>
        </w:rPr>
        <w:t xml:space="preserve">                      </w:t>
      </w:r>
      <w:permEnd w:id="0"/>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eastAsia" w:ascii="Times New Roman" w:hAnsi="Times New Roman" w:cs="Times New Roman"/>
          <w:szCs w:val="21"/>
          <w:u w:val="single"/>
          <w:lang w:val="en-US" w:eastAsia="zh-CN"/>
        </w:rPr>
        <w:t>（项目名称）</w:t>
      </w:r>
      <w:r>
        <w:rPr>
          <w:rFonts w:hint="default" w:ascii="Times New Roman" w:hAnsi="Times New Roman" w:cs="Times New Roman"/>
          <w:szCs w:val="21"/>
          <w:u w:val="single"/>
          <w:lang w:val="en-US" w:eastAsia="zh-CN"/>
        </w:rPr>
        <w:t>（项目编号：）</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eastAsia" w:ascii="Times New Roman" w:hAnsi="Times New Roman" w:cs="Times New Roman"/>
          <w:szCs w:val="21"/>
          <w:u w:val="single"/>
          <w:lang w:val="en-US" w:eastAsia="zh-CN"/>
        </w:rPr>
        <w:t>（项目名称）</w:t>
      </w:r>
      <w:r>
        <w:rPr>
          <w:rFonts w:hint="default" w:ascii="Times New Roman" w:hAnsi="Times New Roman" w:cs="Times New Roman"/>
          <w:szCs w:val="21"/>
          <w:u w:val="single"/>
          <w:lang w:val="en-US" w:eastAsia="zh-CN"/>
        </w:rPr>
        <w:t>（项目编号：）</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3" w:edGrp="everyone"/>
      <w:r>
        <w:rPr>
          <w:rFonts w:hint="eastAsia" w:ascii="Times New Roman" w:hAnsi="Times New Roman" w:cs="Times New Roman"/>
          <w:szCs w:val="21"/>
          <w:lang w:val="en-US" w:eastAsia="zh-CN"/>
        </w:rPr>
        <w:t>人民币（大写）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，（小写）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（其中，增值税税率为</w:t>
      </w:r>
      <w:r>
        <w:rPr>
          <w:rFonts w:hint="eastAsia" w:ascii="Times New Roman" w:hAnsi="Times New Roman" w:cs="Times New Roman"/>
          <w:szCs w:val="21"/>
          <w:u w:val="single"/>
          <w:lang w:val="en-US" w:eastAsia="zh-CN"/>
        </w:rPr>
        <w:t xml:space="preserve">       专票</w:t>
      </w:r>
      <w:r>
        <w:rPr>
          <w:rFonts w:hint="eastAsia" w:ascii="Times New Roman" w:hAnsi="Times New Roman" w:cs="Times New Roman"/>
          <w:szCs w:val="21"/>
          <w:u w:val="none"/>
          <w:lang w:val="en-US" w:eastAsia="zh-CN"/>
        </w:rPr>
        <w:t>）的总报价</w:t>
      </w:r>
      <w:r>
        <w:rPr>
          <w:rFonts w:hint="eastAsia" w:ascii="Times New Roman" w:hAnsi="Times New Roman" w:cs="Times New Roman"/>
          <w:szCs w:val="21"/>
          <w:lang w:val="en-US" w:eastAsia="zh-CN"/>
        </w:rPr>
        <w:t>，服务期限：自合同签订之日起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日历天，质量标准：符合国家、地方、行业现行相关规范合格标准。</w:t>
      </w:r>
      <w:permEnd w:id="3"/>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（一）报价函；（二）法定代表人（单位负责人）身份证明；（二）授权委托书；三、分项报价表；（四）资格审查资料；（五）其他资料。</w:t>
      </w:r>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（一）在收到《成交通知书》后，在通知书规定的期限内与你方签订合同；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rPr>
      </w:pP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pPr>
        <w:spacing w:line="440" w:lineRule="exact"/>
        <w:rPr>
          <w:rFonts w:hint="eastAsia" w:ascii="Times New Roman" w:hAnsi="Times New Roman" w:cs="Times New Roman" w:eastAsiaTheme="minorEastAsia"/>
          <w:szCs w:val="21"/>
          <w:lang w:val="en-US" w:eastAsia="zh-CN"/>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三</w:t>
      </w:r>
      <w:r>
        <w:rPr>
          <w:rFonts w:hint="default" w:ascii="黑体" w:hAnsi="黑体" w:eastAsia="黑体" w:cs="黑体"/>
          <w:b w:val="0"/>
          <w:bCs w:val="0"/>
          <w:color w:val="000000"/>
          <w:sz w:val="32"/>
          <w:szCs w:val="32"/>
          <w:lang w:val="en-US" w:eastAsia="zh-CN"/>
        </w:rPr>
        <w:t>、</w:t>
      </w:r>
      <w:r>
        <w:rPr>
          <w:rFonts w:hint="eastAsia" w:ascii="黑体" w:hAnsi="黑体" w:eastAsia="黑体" w:cs="黑体"/>
          <w:b w:val="0"/>
          <w:bCs w:val="0"/>
          <w:color w:val="000000"/>
          <w:sz w:val="32"/>
          <w:szCs w:val="32"/>
          <w:lang w:val="en-US" w:eastAsia="zh-CN"/>
        </w:rPr>
        <w:t>分项报价表</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pPr>
        <w:ind w:firstLine="420" w:firstLineChars="200"/>
        <w:rPr>
          <w:rFonts w:hint="eastAsia" w:ascii="Times New Roman" w:hAnsi="Times New Roman" w:cs="Times New Roman"/>
          <w:lang w:val="en-US" w:eastAsia="zh-CN"/>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134"/>
        <w:gridCol w:w="1134"/>
        <w:gridCol w:w="1134"/>
        <w:gridCol w:w="1134"/>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分项名称</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单位</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数量</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单价（元）</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总价（元）</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pPr>
              <w:jc w:val="both"/>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充电桩基础</w:t>
            </w:r>
          </w:p>
        </w:tc>
        <w:tc>
          <w:tcPr>
            <w:tcW w:w="1134" w:type="dxa"/>
            <w:vAlign w:val="center"/>
          </w:tcPr>
          <w:p>
            <w:pPr>
              <w:ind w:firstLine="420" w:firstLineChars="200"/>
              <w:jc w:val="center"/>
              <w:rPr>
                <w:rFonts w:hint="eastAsia" w:ascii="Times New Roman" w:hAnsi="Times New Roman" w:cs="Times New Roman" w:eastAsiaTheme="minorEastAsia"/>
                <w:vertAlign w:val="baseline"/>
                <w:lang w:eastAsia="zh-CN"/>
              </w:rPr>
            </w:pPr>
            <w:r>
              <w:rPr>
                <w:rFonts w:hint="eastAsia" w:ascii="Times New Roman" w:hAnsi="Times New Roman" w:cs="Times New Roman"/>
                <w:vertAlign w:val="baseline"/>
                <w:lang w:eastAsia="zh-CN"/>
              </w:rPr>
              <w:t>个</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10</w:t>
            </w:r>
          </w:p>
        </w:tc>
        <w:tc>
          <w:tcPr>
            <w:tcW w:w="1134" w:type="dxa"/>
            <w:vAlign w:val="center"/>
          </w:tcPr>
          <w:p>
            <w:pPr>
              <w:jc w:val="center"/>
              <w:rPr>
                <w:rFonts w:hint="default" w:ascii="Times New Roman" w:hAnsi="Times New Roman" w:cs="Times New Roman" w:eastAsiaTheme="minorEastAsia"/>
                <w:vertAlign w:val="baseline"/>
                <w:lang w:val="en-US" w:eastAsia="zh-CN"/>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2</w:t>
            </w:r>
          </w:p>
        </w:tc>
        <w:tc>
          <w:tcPr>
            <w:tcW w:w="1134" w:type="dxa"/>
            <w:vAlign w:val="center"/>
          </w:tcPr>
          <w:p>
            <w:pPr>
              <w:jc w:val="center"/>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电缆铺设及导线架空</w:t>
            </w:r>
          </w:p>
        </w:tc>
        <w:tc>
          <w:tcPr>
            <w:tcW w:w="1134" w:type="dxa"/>
            <w:vAlign w:val="center"/>
          </w:tcPr>
          <w:p>
            <w:pPr>
              <w:jc w:val="center"/>
              <w:rPr>
                <w:rFonts w:hint="eastAsia" w:ascii="Times New Roman" w:hAnsi="Times New Roman" w:cs="Times New Roman" w:eastAsiaTheme="minorEastAsia"/>
                <w:vertAlign w:val="baseline"/>
                <w:lang w:eastAsia="zh-CN"/>
              </w:rPr>
            </w:pPr>
            <w:r>
              <w:rPr>
                <w:rFonts w:hint="eastAsia" w:ascii="Times New Roman" w:hAnsi="Times New Roman" w:cs="Times New Roman"/>
                <w:vertAlign w:val="baseline"/>
                <w:lang w:eastAsia="zh-CN"/>
              </w:rPr>
              <w:t>项</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3</w:t>
            </w:r>
          </w:p>
        </w:tc>
        <w:tc>
          <w:tcPr>
            <w:tcW w:w="1134" w:type="dxa"/>
            <w:vAlign w:val="center"/>
          </w:tcPr>
          <w:p>
            <w:pPr>
              <w:jc w:val="center"/>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电线杆及杆上设备</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项</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15</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4</w:t>
            </w:r>
          </w:p>
        </w:tc>
        <w:tc>
          <w:tcPr>
            <w:tcW w:w="1134" w:type="dxa"/>
            <w:vAlign w:val="center"/>
          </w:tcPr>
          <w:p>
            <w:pPr>
              <w:jc w:val="both"/>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低压顶管</w:t>
            </w:r>
          </w:p>
        </w:tc>
        <w:tc>
          <w:tcPr>
            <w:tcW w:w="1134" w:type="dxa"/>
            <w:vAlign w:val="center"/>
          </w:tcPr>
          <w:p>
            <w:pPr>
              <w:jc w:val="center"/>
              <w:rPr>
                <w:rFonts w:hint="eastAsia" w:ascii="Times New Roman" w:hAnsi="Times New Roman" w:cs="Times New Roman" w:eastAsiaTheme="minorEastAsia"/>
                <w:vertAlign w:val="baseline"/>
                <w:lang w:eastAsia="zh-CN"/>
              </w:rPr>
            </w:pPr>
            <w:r>
              <w:rPr>
                <w:rFonts w:hint="eastAsia" w:ascii="Times New Roman" w:hAnsi="Times New Roman" w:cs="Times New Roman"/>
                <w:vertAlign w:val="baseline"/>
                <w:lang w:eastAsia="zh-CN"/>
              </w:rPr>
              <w:t>项</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1134" w:type="dxa"/>
            <w:vAlign w:val="center"/>
          </w:tcPr>
          <w:p>
            <w:pPr>
              <w:jc w:val="both"/>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充电桩安装</w:t>
            </w:r>
          </w:p>
        </w:tc>
        <w:tc>
          <w:tcPr>
            <w:tcW w:w="1134" w:type="dxa"/>
            <w:vAlign w:val="center"/>
          </w:tcPr>
          <w:p>
            <w:pPr>
              <w:jc w:val="center"/>
              <w:rPr>
                <w:rFonts w:hint="eastAsia" w:ascii="Times New Roman" w:hAnsi="Times New Roman" w:cs="Times New Roman"/>
                <w:vertAlign w:val="baseline"/>
                <w:lang w:eastAsia="zh-CN"/>
              </w:rPr>
            </w:pPr>
            <w:r>
              <w:rPr>
                <w:rFonts w:hint="eastAsia" w:ascii="Times New Roman" w:hAnsi="Times New Roman" w:cs="Times New Roman"/>
                <w:vertAlign w:val="baseline"/>
                <w:lang w:eastAsia="zh-CN"/>
              </w:rPr>
              <w:t>台</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10</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6</w:t>
            </w:r>
          </w:p>
        </w:tc>
        <w:tc>
          <w:tcPr>
            <w:tcW w:w="1134" w:type="dxa"/>
            <w:vAlign w:val="center"/>
          </w:tcPr>
          <w:p>
            <w:pPr>
              <w:jc w:val="both"/>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电缆井</w:t>
            </w:r>
          </w:p>
        </w:tc>
        <w:tc>
          <w:tcPr>
            <w:tcW w:w="1134" w:type="dxa"/>
            <w:vAlign w:val="center"/>
          </w:tcPr>
          <w:p>
            <w:pPr>
              <w:jc w:val="center"/>
              <w:rPr>
                <w:rFonts w:hint="eastAsia" w:ascii="Times New Roman" w:hAnsi="Times New Roman" w:cs="Times New Roman"/>
                <w:vertAlign w:val="baseline"/>
                <w:lang w:eastAsia="zh-CN"/>
              </w:rPr>
            </w:pPr>
            <w:r>
              <w:rPr>
                <w:rFonts w:hint="eastAsia" w:ascii="Times New Roman" w:hAnsi="Times New Roman" w:cs="Times New Roman"/>
                <w:vertAlign w:val="baseline"/>
                <w:lang w:eastAsia="zh-CN"/>
              </w:rPr>
              <w:t>座</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4</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7</w:t>
            </w:r>
          </w:p>
        </w:tc>
        <w:tc>
          <w:tcPr>
            <w:tcW w:w="1134" w:type="dxa"/>
            <w:vAlign w:val="center"/>
          </w:tcPr>
          <w:p>
            <w:pPr>
              <w:jc w:val="both"/>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电缆接头制作</w:t>
            </w:r>
          </w:p>
        </w:tc>
        <w:tc>
          <w:tcPr>
            <w:tcW w:w="1134" w:type="dxa"/>
            <w:vAlign w:val="center"/>
          </w:tcPr>
          <w:p>
            <w:pPr>
              <w:jc w:val="center"/>
              <w:rPr>
                <w:rFonts w:hint="eastAsia" w:ascii="Times New Roman" w:hAnsi="Times New Roman" w:cs="Times New Roman"/>
                <w:vertAlign w:val="baseline"/>
                <w:lang w:eastAsia="zh-CN"/>
              </w:rPr>
            </w:pPr>
            <w:r>
              <w:rPr>
                <w:rFonts w:hint="eastAsia" w:ascii="Times New Roman" w:hAnsi="Times New Roman" w:cs="Times New Roman"/>
                <w:vertAlign w:val="baseline"/>
                <w:lang w:eastAsia="zh-CN"/>
              </w:rPr>
              <w:t>套</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24</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8</w:t>
            </w:r>
          </w:p>
        </w:tc>
        <w:tc>
          <w:tcPr>
            <w:tcW w:w="1134" w:type="dxa"/>
            <w:vAlign w:val="center"/>
          </w:tcPr>
          <w:p>
            <w:pPr>
              <w:jc w:val="both"/>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断路器</w:t>
            </w:r>
          </w:p>
        </w:tc>
        <w:tc>
          <w:tcPr>
            <w:tcW w:w="1134" w:type="dxa"/>
            <w:vAlign w:val="center"/>
          </w:tcPr>
          <w:p>
            <w:pPr>
              <w:jc w:val="center"/>
              <w:rPr>
                <w:rFonts w:hint="eastAsia" w:ascii="Times New Roman" w:hAnsi="Times New Roman" w:cs="Times New Roman"/>
                <w:vertAlign w:val="baseline"/>
                <w:lang w:eastAsia="zh-CN"/>
              </w:rPr>
            </w:pPr>
            <w:r>
              <w:rPr>
                <w:rFonts w:hint="eastAsia" w:ascii="Times New Roman" w:hAnsi="Times New Roman" w:cs="Times New Roman"/>
                <w:vertAlign w:val="baseline"/>
                <w:lang w:eastAsia="zh-CN"/>
              </w:rPr>
              <w:t>套</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9</w:t>
            </w:r>
          </w:p>
        </w:tc>
        <w:tc>
          <w:tcPr>
            <w:tcW w:w="1134" w:type="dxa"/>
            <w:vAlign w:val="center"/>
          </w:tcPr>
          <w:p>
            <w:pPr>
              <w:jc w:val="both"/>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箱变基础</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个</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10</w:t>
            </w:r>
          </w:p>
        </w:tc>
        <w:tc>
          <w:tcPr>
            <w:tcW w:w="1134" w:type="dxa"/>
            <w:vAlign w:val="center"/>
          </w:tcPr>
          <w:p>
            <w:pPr>
              <w:jc w:val="both"/>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箱变围栏</w:t>
            </w:r>
          </w:p>
        </w:tc>
        <w:tc>
          <w:tcPr>
            <w:tcW w:w="1134" w:type="dxa"/>
            <w:vAlign w:val="center"/>
          </w:tcPr>
          <w:p>
            <w:pPr>
              <w:jc w:val="center"/>
              <w:rPr>
                <w:rFonts w:hint="eastAsia" w:ascii="Times New Roman" w:hAnsi="Times New Roman" w:cs="Times New Roman"/>
                <w:vertAlign w:val="baseline"/>
                <w:lang w:eastAsia="zh-CN"/>
              </w:rPr>
            </w:pPr>
            <w:r>
              <w:rPr>
                <w:rFonts w:hint="eastAsia" w:ascii="Times New Roman" w:hAnsi="Times New Roman" w:cs="Times New Roman"/>
                <w:vertAlign w:val="baseline"/>
                <w:lang w:eastAsia="zh-CN"/>
              </w:rPr>
              <w:t>个</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11</w:t>
            </w:r>
          </w:p>
        </w:tc>
        <w:tc>
          <w:tcPr>
            <w:tcW w:w="1134" w:type="dxa"/>
            <w:vAlign w:val="center"/>
          </w:tcPr>
          <w:p>
            <w:pPr>
              <w:jc w:val="both"/>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高压顶管</w:t>
            </w:r>
          </w:p>
        </w:tc>
        <w:tc>
          <w:tcPr>
            <w:tcW w:w="1134" w:type="dxa"/>
            <w:vAlign w:val="center"/>
          </w:tcPr>
          <w:p>
            <w:pPr>
              <w:jc w:val="center"/>
              <w:rPr>
                <w:rFonts w:hint="eastAsia" w:ascii="Times New Roman" w:hAnsi="Times New Roman" w:cs="Times New Roman"/>
                <w:vertAlign w:val="baseline"/>
                <w:lang w:eastAsia="zh-CN"/>
              </w:rPr>
            </w:pPr>
            <w:r>
              <w:rPr>
                <w:rFonts w:hint="eastAsia" w:ascii="Times New Roman" w:hAnsi="Times New Roman" w:cs="Times New Roman"/>
                <w:vertAlign w:val="baseline"/>
                <w:lang w:eastAsia="zh-CN"/>
              </w:rPr>
              <w:t>项</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12</w:t>
            </w:r>
          </w:p>
        </w:tc>
        <w:tc>
          <w:tcPr>
            <w:tcW w:w="1134" w:type="dxa"/>
            <w:vAlign w:val="center"/>
          </w:tcPr>
          <w:p>
            <w:pPr>
              <w:jc w:val="both"/>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Yjv4*10+1*6</w:t>
            </w:r>
          </w:p>
        </w:tc>
        <w:tc>
          <w:tcPr>
            <w:tcW w:w="1134" w:type="dxa"/>
            <w:vAlign w:val="center"/>
          </w:tcPr>
          <w:p>
            <w:pPr>
              <w:jc w:val="center"/>
              <w:rPr>
                <w:rFonts w:hint="eastAsia" w:ascii="Times New Roman" w:hAnsi="Times New Roman" w:cs="Times New Roman"/>
                <w:vertAlign w:val="baseline"/>
                <w:lang w:eastAsia="zh-CN"/>
              </w:rPr>
            </w:pPr>
            <w:r>
              <w:rPr>
                <w:rFonts w:hint="eastAsia" w:ascii="Times New Roman" w:hAnsi="Times New Roman" w:cs="Times New Roman"/>
                <w:vertAlign w:val="baseline"/>
                <w:lang w:eastAsia="zh-CN"/>
              </w:rPr>
              <w:t>米</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450</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13</w:t>
            </w:r>
          </w:p>
        </w:tc>
        <w:tc>
          <w:tcPr>
            <w:tcW w:w="1134" w:type="dxa"/>
            <w:vAlign w:val="center"/>
          </w:tcPr>
          <w:p>
            <w:pPr>
              <w:jc w:val="both"/>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立杆场地费</w:t>
            </w:r>
          </w:p>
        </w:tc>
        <w:tc>
          <w:tcPr>
            <w:tcW w:w="1134" w:type="dxa"/>
            <w:vAlign w:val="center"/>
          </w:tcPr>
          <w:p>
            <w:pPr>
              <w:jc w:val="center"/>
              <w:rPr>
                <w:rFonts w:hint="eastAsia" w:ascii="Times New Roman" w:hAnsi="Times New Roman" w:cs="Times New Roman"/>
                <w:vertAlign w:val="baseline"/>
                <w:lang w:eastAsia="zh-CN"/>
              </w:rPr>
            </w:pPr>
            <w:r>
              <w:rPr>
                <w:rFonts w:hint="eastAsia" w:ascii="Times New Roman" w:hAnsi="Times New Roman" w:cs="Times New Roman"/>
                <w:vertAlign w:val="baseline"/>
                <w:lang w:eastAsia="zh-CN"/>
              </w:rPr>
              <w:t>项</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14</w:t>
            </w:r>
          </w:p>
        </w:tc>
        <w:tc>
          <w:tcPr>
            <w:tcW w:w="1134" w:type="dxa"/>
            <w:vAlign w:val="center"/>
          </w:tcPr>
          <w:p>
            <w:pPr>
              <w:jc w:val="both"/>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摄像头</w:t>
            </w:r>
          </w:p>
        </w:tc>
        <w:tc>
          <w:tcPr>
            <w:tcW w:w="1134" w:type="dxa"/>
            <w:vAlign w:val="center"/>
          </w:tcPr>
          <w:p>
            <w:pPr>
              <w:jc w:val="center"/>
              <w:rPr>
                <w:rFonts w:hint="eastAsia" w:ascii="Times New Roman" w:hAnsi="Times New Roman" w:cs="Times New Roman"/>
                <w:vertAlign w:val="baseline"/>
                <w:lang w:eastAsia="zh-CN"/>
              </w:rPr>
            </w:pPr>
            <w:r>
              <w:rPr>
                <w:rFonts w:hint="eastAsia" w:ascii="Times New Roman" w:hAnsi="Times New Roman" w:cs="Times New Roman"/>
                <w:vertAlign w:val="baseline"/>
                <w:lang w:eastAsia="zh-CN"/>
              </w:rPr>
              <w:t>个</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eastAsia" w:ascii="Times New Roman" w:hAnsi="Times New Roman" w:cs="Times New Roman" w:eastAsiaTheme="minorEastAsia"/>
                <w:vertAlign w:val="baseline"/>
                <w:lang w:eastAsia="zh-CN"/>
              </w:rPr>
            </w:pPr>
            <w:r>
              <w:rPr>
                <w:rFonts w:hint="eastAsia" w:ascii="Times New Roman" w:hAnsi="Times New Roman" w:cs="Times New Roman"/>
                <w:vertAlign w:val="baseline"/>
                <w:lang w:eastAsia="zh-CN"/>
              </w:rPr>
              <w:t>含三年流量费用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15</w:t>
            </w:r>
          </w:p>
        </w:tc>
        <w:tc>
          <w:tcPr>
            <w:tcW w:w="1134" w:type="dxa"/>
            <w:vAlign w:val="center"/>
          </w:tcPr>
          <w:p>
            <w:pPr>
              <w:jc w:val="both"/>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阻车器</w:t>
            </w:r>
          </w:p>
        </w:tc>
        <w:tc>
          <w:tcPr>
            <w:tcW w:w="1134" w:type="dxa"/>
            <w:vAlign w:val="center"/>
          </w:tcPr>
          <w:p>
            <w:pPr>
              <w:jc w:val="center"/>
              <w:rPr>
                <w:rFonts w:hint="eastAsia" w:ascii="Times New Roman" w:hAnsi="Times New Roman" w:cs="Times New Roman"/>
                <w:vertAlign w:val="baseline"/>
                <w:lang w:eastAsia="zh-CN"/>
              </w:rPr>
            </w:pPr>
            <w:r>
              <w:rPr>
                <w:rFonts w:hint="eastAsia" w:ascii="Times New Roman" w:hAnsi="Times New Roman" w:cs="Times New Roman"/>
                <w:vertAlign w:val="baseline"/>
                <w:lang w:eastAsia="zh-CN"/>
              </w:rPr>
              <w:t>个</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15</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16</w:t>
            </w:r>
          </w:p>
        </w:tc>
        <w:tc>
          <w:tcPr>
            <w:tcW w:w="1134" w:type="dxa"/>
            <w:vAlign w:val="center"/>
          </w:tcPr>
          <w:p>
            <w:pPr>
              <w:jc w:val="both"/>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充电指示牌</w:t>
            </w:r>
          </w:p>
        </w:tc>
        <w:tc>
          <w:tcPr>
            <w:tcW w:w="1134" w:type="dxa"/>
            <w:vAlign w:val="center"/>
          </w:tcPr>
          <w:p>
            <w:pPr>
              <w:jc w:val="center"/>
              <w:rPr>
                <w:rFonts w:hint="eastAsia" w:ascii="Times New Roman" w:hAnsi="Times New Roman" w:cs="Times New Roman"/>
                <w:vertAlign w:val="baseline"/>
                <w:lang w:eastAsia="zh-CN"/>
              </w:rPr>
            </w:pPr>
            <w:r>
              <w:rPr>
                <w:rFonts w:hint="eastAsia" w:ascii="Times New Roman" w:hAnsi="Times New Roman" w:cs="Times New Roman"/>
                <w:vertAlign w:val="baseline"/>
                <w:lang w:eastAsia="zh-CN"/>
              </w:rPr>
              <w:t>个</w:t>
            </w:r>
          </w:p>
        </w:tc>
        <w:tc>
          <w:tcPr>
            <w:tcW w:w="1134"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17</w:t>
            </w:r>
          </w:p>
        </w:tc>
        <w:tc>
          <w:tcPr>
            <w:tcW w:w="1134" w:type="dxa"/>
            <w:vAlign w:val="center"/>
          </w:tcPr>
          <w:p>
            <w:pPr>
              <w:jc w:val="both"/>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接地线</w:t>
            </w:r>
          </w:p>
        </w:tc>
        <w:tc>
          <w:tcPr>
            <w:tcW w:w="1134" w:type="dxa"/>
            <w:vAlign w:val="center"/>
          </w:tcPr>
          <w:p>
            <w:pPr>
              <w:jc w:val="center"/>
              <w:rPr>
                <w:rFonts w:hint="eastAsia" w:ascii="Times New Roman" w:hAnsi="Times New Roman" w:cs="Times New Roman"/>
                <w:vertAlign w:val="baseline"/>
                <w:lang w:eastAsia="zh-CN"/>
              </w:rPr>
            </w:pPr>
            <w:r>
              <w:rPr>
                <w:rFonts w:hint="eastAsia" w:ascii="Times New Roman" w:hAnsi="Times New Roman" w:cs="Times New Roman"/>
                <w:vertAlign w:val="baseline"/>
                <w:lang w:eastAsia="zh-CN"/>
              </w:rPr>
              <w:t>项</w:t>
            </w:r>
          </w:p>
        </w:tc>
        <w:tc>
          <w:tcPr>
            <w:tcW w:w="1134"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18</w:t>
            </w:r>
          </w:p>
        </w:tc>
        <w:tc>
          <w:tcPr>
            <w:tcW w:w="1134" w:type="dxa"/>
            <w:vAlign w:val="center"/>
          </w:tcPr>
          <w:p>
            <w:pPr>
              <w:jc w:val="both"/>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高低压线管</w:t>
            </w:r>
          </w:p>
        </w:tc>
        <w:tc>
          <w:tcPr>
            <w:tcW w:w="1134" w:type="dxa"/>
            <w:vAlign w:val="center"/>
          </w:tcPr>
          <w:p>
            <w:pPr>
              <w:jc w:val="center"/>
              <w:rPr>
                <w:rFonts w:hint="eastAsia" w:ascii="Times New Roman" w:hAnsi="Times New Roman" w:cs="Times New Roman"/>
                <w:vertAlign w:val="baseline"/>
                <w:lang w:eastAsia="zh-CN"/>
              </w:rPr>
            </w:pPr>
            <w:r>
              <w:rPr>
                <w:rFonts w:hint="eastAsia" w:ascii="Times New Roman" w:hAnsi="Times New Roman" w:cs="Times New Roman"/>
                <w:vertAlign w:val="baseline"/>
                <w:lang w:eastAsia="zh-CN"/>
              </w:rPr>
              <w:t>项</w:t>
            </w:r>
          </w:p>
        </w:tc>
        <w:tc>
          <w:tcPr>
            <w:tcW w:w="1134"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19</w:t>
            </w:r>
          </w:p>
        </w:tc>
        <w:tc>
          <w:tcPr>
            <w:tcW w:w="1134" w:type="dxa"/>
            <w:vAlign w:val="center"/>
          </w:tcPr>
          <w:p>
            <w:pPr>
              <w:jc w:val="both"/>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设备存放及运输</w:t>
            </w:r>
          </w:p>
        </w:tc>
        <w:tc>
          <w:tcPr>
            <w:tcW w:w="1134" w:type="dxa"/>
            <w:vAlign w:val="center"/>
          </w:tcPr>
          <w:p>
            <w:pPr>
              <w:jc w:val="center"/>
              <w:rPr>
                <w:rFonts w:hint="eastAsia" w:ascii="Times New Roman" w:hAnsi="Times New Roman" w:cs="Times New Roman"/>
                <w:vertAlign w:val="baseline"/>
                <w:lang w:eastAsia="zh-CN"/>
              </w:rPr>
            </w:pPr>
            <w:r>
              <w:rPr>
                <w:rFonts w:hint="eastAsia" w:ascii="Times New Roman" w:hAnsi="Times New Roman" w:cs="Times New Roman"/>
                <w:vertAlign w:val="baseline"/>
                <w:lang w:eastAsia="zh-CN"/>
              </w:rPr>
              <w:t>项</w:t>
            </w:r>
          </w:p>
        </w:tc>
        <w:tc>
          <w:tcPr>
            <w:tcW w:w="1134"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5"/>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合计报价（含 9% 税）</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Times New Roman" w:hAnsi="Times New Roman" w:cs="Times New Roman"/>
          <w:lang w:val="en-US" w:eastAsia="zh-CN"/>
        </w:rPr>
        <w:t>注：供应商可根据行业具体情况及采购项目特点对上表格式进行调整。</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方正仿宋_GBK" w:cs="Times New Roman"/>
          <w:i w:val="0"/>
          <w:iCs w:val="0"/>
          <w:caps w:val="0"/>
          <w:color w:val="auto"/>
          <w:spacing w:val="0"/>
          <w:sz w:val="32"/>
          <w:szCs w:val="32"/>
        </w:rPr>
      </w:pPr>
      <w:r>
        <w:rPr>
          <w:rFonts w:hint="eastAsia" w:ascii="黑体" w:hAnsi="黑体" w:eastAsia="黑体" w:cs="黑体"/>
          <w:b w:val="0"/>
          <w:bCs w:val="0"/>
          <w:color w:val="000000"/>
          <w:sz w:val="32"/>
          <w:szCs w:val="32"/>
          <w:lang w:val="en-US" w:eastAsia="zh-CN"/>
        </w:rPr>
        <w:t>四、资格审查料</w:t>
      </w:r>
      <w:permStart w:id="4" w:edGrp="everyone"/>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topLinePunct/>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注：</w:t>
      </w:r>
      <w:r>
        <w:rPr>
          <w:rFonts w:hint="default" w:ascii="Times New Roman" w:hAnsi="Times New Roman" w:cs="Times New Roman"/>
          <w:szCs w:val="21"/>
          <w:lang w:val="en-US" w:eastAsia="zh-CN"/>
        </w:rPr>
        <w:t>1.法人授权委托书原件一份（附法人代表和授权代理人身份证复印件，并加盖单位公章）；</w:t>
      </w:r>
    </w:p>
    <w:permEnd w:id="4"/>
    <w:p>
      <w:pPr>
        <w:topLinePunct/>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2.营业执照副本（复印件加盖公章）；</w:t>
      </w:r>
    </w:p>
    <w:p>
      <w:pPr>
        <w:topLinePunct/>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3.投标报价材料</w:t>
      </w:r>
      <w:r>
        <w:rPr>
          <w:rFonts w:hint="eastAsia" w:ascii="Times New Roman" w:hAnsi="Times New Roman" w:cs="Times New Roman"/>
          <w:szCs w:val="21"/>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jc w:val="both"/>
        <w:textAlignment w:val="auto"/>
        <w:rPr>
          <w:rFonts w:hint="eastAsia" w:ascii="Times New Roman" w:hAnsi="Times New Roman" w:cs="Times New Roman"/>
          <w:szCs w:val="21"/>
          <w:lang w:val="en-US" w:eastAsia="zh-CN"/>
        </w:rPr>
      </w:pPr>
      <w:r>
        <w:rPr>
          <w:rFonts w:hint="default" w:ascii="Times New Roman" w:hAnsi="Times New Roman" w:cs="Times New Roman"/>
          <w:szCs w:val="21"/>
          <w:lang w:val="en-US" w:eastAsia="zh-CN"/>
        </w:rPr>
        <w:t>4.具备电力工程施工总承包三级及以上资质或输变电工程专业承包三级及以上资质，</w:t>
      </w:r>
      <w:r>
        <w:rPr>
          <w:rFonts w:hint="eastAsia" w:ascii="Times New Roman" w:hAnsi="Times New Roman" w:cs="Times New Roman"/>
          <w:szCs w:val="21"/>
          <w:lang w:val="en-US" w:eastAsia="zh-CN"/>
        </w:rPr>
        <w:t>且具备在</w:t>
      </w:r>
      <w:r>
        <w:rPr>
          <w:rFonts w:hint="default" w:ascii="Times New Roman" w:hAnsi="Times New Roman" w:cs="Times New Roman"/>
          <w:szCs w:val="21"/>
          <w:lang w:val="en-US" w:eastAsia="zh-CN"/>
        </w:rPr>
        <w:t>有效期内的安全生产许可证。</w:t>
      </w:r>
      <w:r>
        <w:rPr>
          <w:rFonts w:hint="eastAsia" w:ascii="Times New Roman" w:hAnsi="Times New Roman" w:cs="Times New Roman"/>
          <w:szCs w:val="21"/>
          <w:lang w:val="en-US" w:eastAsia="zh-CN"/>
        </w:rPr>
        <w:t>；同时具备承装（修、试）电力设施许可证，承装类五级及以上、承修类五级及以上、承试类五级及以上资质;</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jc w:val="both"/>
        <w:textAlignment w:val="auto"/>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w:t>
      </w:r>
      <w:r>
        <w:rPr>
          <w:rFonts w:hint="default" w:ascii="Times New Roman" w:hAnsi="Times New Roman" w:cs="Times New Roman"/>
          <w:szCs w:val="21"/>
          <w:lang w:val="en-US" w:eastAsia="zh-CN"/>
        </w:rPr>
        <w:t>投标人自2019年</w:t>
      </w:r>
      <w:r>
        <w:rPr>
          <w:rFonts w:hint="eastAsia" w:ascii="Times New Roman" w:hAnsi="Times New Roman" w:cs="Times New Roman"/>
          <w:szCs w:val="21"/>
          <w:lang w:val="en-US" w:eastAsia="zh-CN"/>
        </w:rPr>
        <w:t>9</w:t>
      </w:r>
      <w:r>
        <w:rPr>
          <w:rFonts w:hint="default" w:ascii="Times New Roman" w:hAnsi="Times New Roman" w:cs="Times New Roman"/>
          <w:szCs w:val="21"/>
          <w:lang w:val="en-US" w:eastAsia="zh-CN"/>
        </w:rPr>
        <w:t>月至202</w:t>
      </w:r>
      <w:r>
        <w:rPr>
          <w:rFonts w:hint="eastAsia" w:ascii="Times New Roman" w:hAnsi="Times New Roman" w:cs="Times New Roman"/>
          <w:szCs w:val="21"/>
          <w:lang w:val="en-US" w:eastAsia="zh-CN"/>
        </w:rPr>
        <w:t>4</w:t>
      </w:r>
      <w:r>
        <w:rPr>
          <w:rFonts w:hint="default" w:ascii="Times New Roman" w:hAnsi="Times New Roman" w:cs="Times New Roman"/>
          <w:szCs w:val="21"/>
          <w:lang w:val="en-US" w:eastAsia="zh-CN"/>
        </w:rPr>
        <w:t>年</w:t>
      </w:r>
      <w:r>
        <w:rPr>
          <w:rFonts w:hint="eastAsia" w:ascii="Times New Roman" w:hAnsi="Times New Roman" w:cs="Times New Roman"/>
          <w:szCs w:val="21"/>
          <w:lang w:val="en-US" w:eastAsia="zh-CN"/>
        </w:rPr>
        <w:t>3</w:t>
      </w:r>
      <w:r>
        <w:rPr>
          <w:rFonts w:hint="default" w:ascii="Times New Roman" w:hAnsi="Times New Roman" w:cs="Times New Roman"/>
          <w:szCs w:val="21"/>
          <w:lang w:val="en-US" w:eastAsia="zh-CN"/>
        </w:rPr>
        <w:t>月止，投标人至少承担过</w:t>
      </w:r>
      <w:r>
        <w:rPr>
          <w:rFonts w:hint="eastAsia" w:ascii="Times New Roman" w:hAnsi="Times New Roman" w:cs="Times New Roman"/>
          <w:szCs w:val="21"/>
          <w:lang w:val="en-US" w:eastAsia="zh-CN"/>
        </w:rPr>
        <w:t>1</w:t>
      </w:r>
      <w:r>
        <w:rPr>
          <w:rFonts w:hint="default" w:ascii="Times New Roman" w:hAnsi="Times New Roman" w:cs="Times New Roman"/>
          <w:szCs w:val="21"/>
          <w:lang w:val="en-US" w:eastAsia="zh-CN"/>
        </w:rPr>
        <w:t>个单项合同金额</w:t>
      </w:r>
      <w:r>
        <w:rPr>
          <w:rFonts w:hint="eastAsia" w:ascii="Times New Roman" w:hAnsi="Times New Roman" w:cs="Times New Roman"/>
          <w:szCs w:val="21"/>
          <w:lang w:val="en-US" w:eastAsia="zh-CN"/>
        </w:rPr>
        <w:t>20</w:t>
      </w:r>
      <w:r>
        <w:rPr>
          <w:rFonts w:hint="default" w:ascii="Times New Roman" w:hAnsi="Times New Roman" w:cs="Times New Roman"/>
          <w:szCs w:val="21"/>
          <w:lang w:val="en-US" w:eastAsia="zh-CN"/>
        </w:rPr>
        <w:t>万元及以上的电力工程类似业绩【类似工程业绩：提供合同原件扫描件</w:t>
      </w:r>
      <w:r>
        <w:rPr>
          <w:rFonts w:hint="eastAsia" w:ascii="Times New Roman" w:hAnsi="Times New Roman" w:cs="Times New Roman"/>
          <w:szCs w:val="21"/>
          <w:lang w:val="en-US" w:eastAsia="zh-CN"/>
        </w:rPr>
        <w:t>，</w:t>
      </w:r>
      <w:r>
        <w:rPr>
          <w:rFonts w:hint="default" w:ascii="Times New Roman" w:hAnsi="Times New Roman" w:cs="Times New Roman"/>
          <w:szCs w:val="21"/>
          <w:lang w:val="en-US" w:eastAsia="zh-CN"/>
        </w:rPr>
        <w:t>以合同签订时间为准】</w:t>
      </w:r>
      <w:r>
        <w:rPr>
          <w:rFonts w:hint="eastAsia" w:ascii="Times New Roman" w:hAnsi="Times New Roman" w:cs="Times New Roman"/>
          <w:szCs w:val="21"/>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textAlignment w:val="auto"/>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6.信誉证明材料（“信用中国”（www.creditchina.gov.cn）发布的为准，有限制期限的按规定期限执行（以现场查询为准）。</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textAlignment w:val="auto"/>
        <w:rPr>
          <w:rFonts w:hint="default" w:ascii="Times New Roman" w:hAnsi="Times New Roman" w:cs="Times New Roman"/>
          <w:szCs w:val="21"/>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jc w:val="both"/>
        <w:textAlignment w:val="auto"/>
        <w:rPr>
          <w:rFonts w:hint="default" w:ascii="Times New Roman" w:hAnsi="Times New Roman" w:cs="Times New Roman"/>
          <w:szCs w:val="21"/>
          <w:lang w:val="en-US" w:eastAsia="zh-CN"/>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lang w:val="en-US" w:eastAsia="zh-CN" w:bidi="ar"/>
        </w:rPr>
      </w:pPr>
    </w:p>
    <w:p>
      <w:pPr>
        <w:topLinePunct/>
        <w:spacing w:line="440" w:lineRule="exact"/>
        <w:ind w:firstLine="420" w:firstLineChars="200"/>
        <w:rPr>
          <w:rFonts w:hint="default" w:ascii="Times New Roman" w:hAnsi="Times New Roman" w:cs="Times New Roman"/>
          <w:szCs w:val="21"/>
          <w:lang w:val="en-US" w:eastAsia="zh-CN"/>
        </w:rPr>
      </w:pPr>
    </w:p>
    <w:p>
      <w:pPr>
        <w:topLinePunct/>
        <w:spacing w:line="440" w:lineRule="exact"/>
        <w:ind w:firstLine="420" w:firstLineChars="200"/>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五、其他资料</w:t>
      </w:r>
    </w:p>
    <w:p>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5"/>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xMjQzY2U0N2M3ZGNjOWMxYzBjZWM4ODk3NGUzOTEifQ=="/>
    <w:docVar w:name="KSO_WPS_MARK_KEY" w:val="4828ba38-6898-4915-a788-e8420bc9e2b4"/>
  </w:docVars>
  <w:rsids>
    <w:rsidRoot w:val="00000000"/>
    <w:rsid w:val="00096BD7"/>
    <w:rsid w:val="000A4B92"/>
    <w:rsid w:val="002609D3"/>
    <w:rsid w:val="002C069E"/>
    <w:rsid w:val="0040224D"/>
    <w:rsid w:val="004E2611"/>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3D458E"/>
    <w:rsid w:val="035021B2"/>
    <w:rsid w:val="03696450"/>
    <w:rsid w:val="038E65F9"/>
    <w:rsid w:val="03BC76B9"/>
    <w:rsid w:val="03BD28F2"/>
    <w:rsid w:val="03C10800"/>
    <w:rsid w:val="03C96DCC"/>
    <w:rsid w:val="03F661CB"/>
    <w:rsid w:val="03FB71CD"/>
    <w:rsid w:val="040774B5"/>
    <w:rsid w:val="0408153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C51EAD"/>
    <w:rsid w:val="0CD3448B"/>
    <w:rsid w:val="0CF072F3"/>
    <w:rsid w:val="0D0F3633"/>
    <w:rsid w:val="0D2466BD"/>
    <w:rsid w:val="0D3A1668"/>
    <w:rsid w:val="0D422F5F"/>
    <w:rsid w:val="0D4965D9"/>
    <w:rsid w:val="0D4A67B7"/>
    <w:rsid w:val="0D5C2246"/>
    <w:rsid w:val="0D662D48"/>
    <w:rsid w:val="0D6A3C45"/>
    <w:rsid w:val="0D6B611E"/>
    <w:rsid w:val="0D755681"/>
    <w:rsid w:val="0D7E1788"/>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463825"/>
    <w:rsid w:val="0F4B0F6A"/>
    <w:rsid w:val="0F575798"/>
    <w:rsid w:val="0F5F0514"/>
    <w:rsid w:val="0F5F5CB1"/>
    <w:rsid w:val="0F64775C"/>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87094F"/>
    <w:rsid w:val="139C08EB"/>
    <w:rsid w:val="13A41DAE"/>
    <w:rsid w:val="13AF7657"/>
    <w:rsid w:val="13C25262"/>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EF57FF"/>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EB40AC"/>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485FA1"/>
    <w:rsid w:val="1D576A44"/>
    <w:rsid w:val="1D5835F0"/>
    <w:rsid w:val="1D5D4990"/>
    <w:rsid w:val="1D6539B3"/>
    <w:rsid w:val="1D8C5045"/>
    <w:rsid w:val="1D9244F8"/>
    <w:rsid w:val="1D931CEA"/>
    <w:rsid w:val="1DA0794B"/>
    <w:rsid w:val="1DB82722"/>
    <w:rsid w:val="1DBC6F05"/>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A75E1"/>
    <w:rsid w:val="238A4DFC"/>
    <w:rsid w:val="23A43526"/>
    <w:rsid w:val="23B04AEE"/>
    <w:rsid w:val="23CA7A4D"/>
    <w:rsid w:val="23DD21F3"/>
    <w:rsid w:val="23DF7B34"/>
    <w:rsid w:val="23EA35AC"/>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166B5"/>
    <w:rsid w:val="2C1C6937"/>
    <w:rsid w:val="2C202757"/>
    <w:rsid w:val="2C270D43"/>
    <w:rsid w:val="2C4463D0"/>
    <w:rsid w:val="2C521871"/>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6A1341"/>
    <w:rsid w:val="30820205"/>
    <w:rsid w:val="308665CC"/>
    <w:rsid w:val="308E41B5"/>
    <w:rsid w:val="30952C59"/>
    <w:rsid w:val="30975EA4"/>
    <w:rsid w:val="30B34C1F"/>
    <w:rsid w:val="30EE0209"/>
    <w:rsid w:val="30F002EF"/>
    <w:rsid w:val="30FF4D69"/>
    <w:rsid w:val="31012C04"/>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04EE"/>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BC4452"/>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84267C"/>
    <w:rsid w:val="4DA943B0"/>
    <w:rsid w:val="4DB75561"/>
    <w:rsid w:val="4DC515BB"/>
    <w:rsid w:val="4DCB5984"/>
    <w:rsid w:val="4DD64458"/>
    <w:rsid w:val="4DDD243C"/>
    <w:rsid w:val="4DF7551A"/>
    <w:rsid w:val="4E135BFA"/>
    <w:rsid w:val="4E1B2DDB"/>
    <w:rsid w:val="4E1F235E"/>
    <w:rsid w:val="4E213391"/>
    <w:rsid w:val="4E250E8C"/>
    <w:rsid w:val="4E2A48DA"/>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4E4F33"/>
    <w:rsid w:val="4F517E1F"/>
    <w:rsid w:val="4F5F3ED1"/>
    <w:rsid w:val="4F804E7C"/>
    <w:rsid w:val="4F85516A"/>
    <w:rsid w:val="4F892872"/>
    <w:rsid w:val="4F944D8F"/>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4B691C"/>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7C381D"/>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3D1F"/>
    <w:rsid w:val="65477730"/>
    <w:rsid w:val="654912E0"/>
    <w:rsid w:val="655007CD"/>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457E2"/>
    <w:rsid w:val="6A4F7CF0"/>
    <w:rsid w:val="6A5517EC"/>
    <w:rsid w:val="6A694BA1"/>
    <w:rsid w:val="6A734205"/>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8292B"/>
    <w:rsid w:val="6E2013CD"/>
    <w:rsid w:val="6E22598D"/>
    <w:rsid w:val="6E402C35"/>
    <w:rsid w:val="6E403BCF"/>
    <w:rsid w:val="6E424CF7"/>
    <w:rsid w:val="6E4E2BD3"/>
    <w:rsid w:val="6E506EB6"/>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3B00EC"/>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83DCD"/>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B135F"/>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407D3A"/>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14A8D"/>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C30A92"/>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qFormat/>
    <w:uiPriority w:val="0"/>
    <w:pPr>
      <w:spacing w:after="120"/>
    </w:pPr>
  </w:style>
  <w:style w:type="paragraph" w:styleId="7">
    <w:name w:val="annotation text"/>
    <w:basedOn w:val="1"/>
    <w:qFormat/>
    <w:uiPriority w:val="0"/>
    <w:pPr>
      <w:jc w:val="left"/>
    </w:pPr>
    <w:rPr>
      <w:rFonts w:eastAsia="宋体"/>
      <w:kern w:val="2"/>
      <w:sz w:val="21"/>
      <w:szCs w:val="24"/>
      <w:lang w:val="en-US" w:eastAsia="zh-CN" w:bidi="ar-SA"/>
    </w:rPr>
  </w:style>
  <w:style w:type="paragraph" w:styleId="8">
    <w:name w:val="Body Text 3"/>
    <w:basedOn w:val="1"/>
    <w:qFormat/>
    <w:uiPriority w:val="0"/>
    <w:rPr>
      <w:rFonts w:ascii="宋体"/>
      <w:sz w:val="24"/>
      <w:szCs w:val="20"/>
    </w:r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Body Text Indent 2"/>
    <w:basedOn w:val="1"/>
    <w:qFormat/>
    <w:uiPriority w:val="0"/>
    <w:pPr>
      <w:spacing w:after="120" w:afterLines="0" w:afterAutospacing="0" w:line="480" w:lineRule="auto"/>
      <w:ind w:left="420" w:leftChars="200"/>
    </w:p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5"/>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6"/>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1920</Words>
  <Characters>2010</Characters>
  <Lines>0</Lines>
  <Paragraphs>0</Paragraphs>
  <TotalTime>34</TotalTime>
  <ScaleCrop>false</ScaleCrop>
  <LinksUpToDate>false</LinksUpToDate>
  <CharactersWithSpaces>2809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脸大的人</cp:lastModifiedBy>
  <cp:lastPrinted>2024-03-25T02:52:46Z</cp:lastPrinted>
  <dcterms:modified xsi:type="dcterms:W3CDTF">2024-03-25T02:52:50Z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6F91E10C15BD46BC9C823ACA516713E4_13</vt:lpwstr>
  </property>
</Properties>
</file>