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亳州交控智能零碳光储直柔停车场涂料工程材料采购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：AHTKJS-2024-16号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亳州交控智能零碳光储直柔停车场涂料工程材料采购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年3月4 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2583"/>
      <w:bookmarkStart w:id="2" w:name="_Toc152045794"/>
      <w:bookmarkStart w:id="3" w:name="_Toc247514286"/>
      <w:bookmarkStart w:id="4" w:name="_Toc144974862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亳州交控智能零碳光储直柔停车场涂料工程材料采购（项目编号：AHTKJS-2024-16号）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亳州交控智能零碳光储直柔停车场涂料工程材料采购（项目编号：AHTKJS-2024-16号）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两个月（暂定）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5"/>
        <w:tblW w:w="96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313"/>
        <w:gridCol w:w="792"/>
        <w:gridCol w:w="1173"/>
        <w:gridCol w:w="1927"/>
        <w:gridCol w:w="1738"/>
        <w:gridCol w:w="10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亳州交控智能零碳光储直柔能源站项目</w:t>
            </w: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涂料工程量清单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材料用量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含税单价，（元）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（税率：13%）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含税合价（元）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（税率：13%）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耐水腻子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3707.147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土建乳胶漆（墙面、天棚）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防裂腻子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3707.147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内墙乳胶漆底漆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197.656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乳胶漆面漆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1009.761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外墙腻子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942.195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土建真  石漆    （墙面）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保护面清漆二遍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157.033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封闭底漆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94.22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石英漆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2498.01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封底层环氧底漆（一遍）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233.412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土建环氧地坪  （地面）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环氧耐磨层面漆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23.176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环氧清漆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1753.154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自流平环氧砂浆（二遍）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135.191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自流平环氧砂浆（四遍）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1547.805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环氧稀胶泥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2594.416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封闭底漆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174.68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围墙  （墙面）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弹性乳胶漆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709.171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注：提供供应商营业执照的复印件或扫描件，加盖供应商单位公章；提供招标人指定的业绩证明复印件或扫描件，加盖供应商单位公章。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注：提供供应商信用中国查询证明复印件或扫描件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，加盖供应商单位公章。</w:t>
      </w:r>
      <w:permEnd w:id="4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D76D5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20CC5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2024-02-26T00:57:46Z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E2CB090A92CA4F34AC5824E49CC36B1F</vt:lpwstr>
  </property>
</Properties>
</file>