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wordWrap w:val="0"/>
        <w:spacing w:line="480" w:lineRule="exact"/>
        <w:jc w:val="center"/>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安徽省安车交通运输集团有限公司新能源充电桩三年期设备供应商采购项目</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BZJK-2024-011号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 </w:t>
      </w:r>
      <w:r>
        <w:rPr>
          <w:rFonts w:hint="eastAsia" w:ascii="Times New Roman" w:hAnsi="Times New Roman" w:eastAsia="楷体" w:cs="Times New Roman"/>
          <w:kern w:val="0"/>
          <w:sz w:val="32"/>
          <w:szCs w:val="32"/>
        </w:rPr>
        <w:t>安徽省安车交通运输集团</w:t>
      </w:r>
      <w:r>
        <w:rPr>
          <w:rFonts w:hint="eastAsia" w:ascii="Times New Roman" w:hAnsi="Times New Roman" w:eastAsia="楷体" w:cs="Times New Roman"/>
          <w:kern w:val="0"/>
          <w:sz w:val="32"/>
          <w:szCs w:val="32"/>
          <w:lang w:eastAsia="zh-CN"/>
        </w:rPr>
        <w:t>有限</w:t>
      </w:r>
      <w:r>
        <w:rPr>
          <w:rFonts w:hint="eastAsia" w:ascii="Times New Roman" w:hAnsi="Times New Roman" w:eastAsia="楷体" w:cs="Times New Roman"/>
          <w:kern w:val="0"/>
          <w:sz w:val="32"/>
          <w:szCs w:val="32"/>
        </w:rPr>
        <w:t>公司</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2024 年2 </w:t>
      </w:r>
      <w:r>
        <w:rPr>
          <w:rFonts w:hint="eastAsia" w:ascii="Times New Roman" w:hAnsi="Times New Roman" w:eastAsia="楷体" w:cs="Times New Roman"/>
          <w:kern w:val="0"/>
          <w:sz w:val="32"/>
          <w:szCs w:val="32"/>
          <w:highlight w:val="none"/>
          <w:u w:val="none"/>
          <w:shd w:val="clear" w:color="auto" w:fill="auto"/>
          <w:lang w:val="en-US" w:eastAsia="zh-CN"/>
        </w:rPr>
        <w:t>月7日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79</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wordWrap w:val="0"/>
        <w:spacing w:line="480" w:lineRule="exact"/>
        <w:jc w:val="center"/>
        <w:rPr>
          <w:rFonts w:hint="eastAsia" w:ascii="Times New Roman" w:hAnsi="Times New Roman" w:eastAsia="黑体" w:cs="Times New Roman"/>
          <w:sz w:val="28"/>
          <w:szCs w:val="28"/>
          <w:lang w:val="en-US" w:eastAsia="zh-CN"/>
        </w:rPr>
      </w:pPr>
      <w:permStart w:id="4" w:edGrp="everyone"/>
      <w:r>
        <w:rPr>
          <w:rFonts w:hint="eastAsia" w:ascii="Times New Roman" w:hAnsi="Times New Roman" w:eastAsia="黑体" w:cs="Times New Roman"/>
          <w:sz w:val="28"/>
          <w:szCs w:val="28"/>
          <w:lang w:val="en-US" w:eastAsia="zh-CN"/>
        </w:rPr>
        <w:t>安徽省安车交通运输集团有限公司新能源充电桩三年期设备</w:t>
      </w:r>
    </w:p>
    <w:p>
      <w:pPr>
        <w:wordWrap w:val="0"/>
        <w:spacing w:line="480" w:lineRule="exact"/>
        <w:jc w:val="center"/>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lang w:val="en-US" w:eastAsia="zh-CN"/>
        </w:rPr>
        <w:t>供应商</w:t>
      </w:r>
      <w:permEnd w:id="4"/>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152045519"/>
      <w:bookmarkStart w:id="2" w:name="_Toc246996166"/>
      <w:bookmarkStart w:id="3" w:name="_Toc296602410"/>
      <w:bookmarkStart w:id="4" w:name="_Toc152042295"/>
      <w:bookmarkStart w:id="5" w:name="_Toc246996909"/>
      <w:bookmarkStart w:id="6" w:name="_Toc144974487"/>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u w:val="single"/>
          <w:lang w:eastAsia="zh-CN"/>
        </w:rPr>
      </w:pPr>
      <w:bookmarkStart w:id="8" w:name="_Toc246996910"/>
      <w:bookmarkStart w:id="9" w:name="_Toc246996167"/>
      <w:bookmarkStart w:id="10" w:name="_Toc152045520"/>
      <w:bookmarkStart w:id="11" w:name="_Toc296602411"/>
      <w:bookmarkStart w:id="12" w:name="_Toc247085681"/>
      <w:bookmarkStart w:id="13" w:name="_Toc152042296"/>
      <w:bookmarkStart w:id="14" w:name="_Toc179632537"/>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u w:val="single"/>
          <w:lang w:eastAsia="zh-CN"/>
        </w:rPr>
        <w:t>安徽省安车交通运输集团新能源充电桩三年期设备供应商采购项目</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kern w:val="0"/>
          <w:sz w:val="28"/>
          <w:szCs w:val="28"/>
          <w:highlight w:val="none"/>
          <w:shd w:val="clear" w:color="auto" w:fill="auto"/>
          <w:lang w:val="en-US" w:eastAsia="zh-CN"/>
        </w:rPr>
        <w:t>BZJK-2024-011号</w:t>
      </w:r>
      <w:r>
        <w:rPr>
          <w:rFonts w:hint="eastAsia" w:asciiTheme="minorEastAsia" w:hAnsiTheme="minorEastAsia" w:eastAsiaTheme="minorEastAsia" w:cstheme="minorEastAsia"/>
          <w:sz w:val="28"/>
          <w:szCs w:val="28"/>
          <w:highlight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u w:val="single"/>
        </w:rPr>
        <w:t>业主自筹</w:t>
      </w:r>
      <w:r>
        <w:rPr>
          <w:rFonts w:hint="eastAsia" w:asciiTheme="minorEastAsia" w:hAnsiTheme="minorEastAsia" w:eastAsiaTheme="minorEastAsia" w:cstheme="minorEastAsia"/>
          <w:sz w:val="28"/>
          <w:szCs w:val="28"/>
          <w:highlight w:val="none"/>
          <w:lang w:val="en-US" w:eastAsia="zh-CN"/>
        </w:rPr>
        <w:t xml:space="preserve"> </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安徽省安车交通运输集团有限公司</w:t>
      </w:r>
      <w:r>
        <w:rPr>
          <w:rFonts w:hint="eastAsia" w:asciiTheme="minorEastAsia" w:hAnsiTheme="minorEastAsia" w:eastAsiaTheme="minorEastAsia" w:cstheme="minorEastAsia"/>
          <w:sz w:val="28"/>
          <w:szCs w:val="28"/>
          <w:highlight w:val="none"/>
          <w:lang w:val="en-US" w:eastAsia="zh-CN"/>
        </w:rPr>
        <w:t xml:space="preserve"> </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spacing w:line="480" w:lineRule="exact"/>
        <w:ind w:firstLine="560" w:firstLineChars="200"/>
        <w:rPr>
          <w:rFonts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cstheme="minorEastAsia"/>
          <w:sz w:val="28"/>
          <w:szCs w:val="28"/>
        </w:rPr>
        <w:t>亳州市城区建设充电桩场站项目位于亳州市城区，为保证场站充电桩满足日常使用需要，拟在三年内采购一</w:t>
      </w:r>
      <w:r>
        <w:rPr>
          <w:rFonts w:hint="eastAsia" w:asciiTheme="minorEastAsia" w:hAnsiTheme="minorEastAsia" w:cstheme="minorEastAsia"/>
          <w:sz w:val="28"/>
          <w:szCs w:val="28"/>
          <w:lang w:eastAsia="zh-CN"/>
        </w:rPr>
        <w:t>批</w:t>
      </w:r>
      <w:r>
        <w:rPr>
          <w:rFonts w:hint="eastAsia" w:asciiTheme="minorEastAsia" w:hAnsiTheme="minorEastAsia" w:cstheme="minorEastAsia"/>
          <w:sz w:val="28"/>
          <w:szCs w:val="28"/>
        </w:rPr>
        <w:t>充电桩，具体采购数量、采购时间不定。</w:t>
      </w:r>
    </w:p>
    <w:p>
      <w:pPr>
        <w:spacing w:line="480" w:lineRule="exact"/>
        <w:ind w:firstLine="560" w:firstLineChars="200"/>
        <w:rPr>
          <w:rFonts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color w:val="000000" w:themeColor="text1"/>
          <w:sz w:val="28"/>
          <w:szCs w:val="28"/>
          <w14:textFill>
            <w14:solidFill>
              <w14:schemeClr w14:val="tx1"/>
            </w14:solidFill>
          </w14:textFill>
        </w:rPr>
        <w:t>本次拟采购内容（暂定）为</w:t>
      </w:r>
      <w:r>
        <w:rPr>
          <w:rFonts w:hint="eastAsia" w:asciiTheme="minorEastAsia" w:hAnsi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color w:val="000000" w:themeColor="text1"/>
          <w:sz w:val="28"/>
          <w:szCs w:val="28"/>
          <w:u w:val="single"/>
          <w:lang w:val="en-US" w:eastAsia="zh-CN"/>
          <w14:textFill>
            <w14:solidFill>
              <w14:schemeClr w14:val="tx1"/>
            </w14:solidFill>
          </w14:textFill>
        </w:rPr>
        <w:t>30</w:t>
      </w:r>
      <w:r>
        <w:rPr>
          <w:rFonts w:hint="eastAsia" w:asciiTheme="minorEastAsia" w:hAnsiTheme="minorEastAsia" w:cstheme="minorEastAsia"/>
          <w:color w:val="000000" w:themeColor="text1"/>
          <w:sz w:val="28"/>
          <w:szCs w:val="28"/>
          <w14:textFill>
            <w14:solidFill>
              <w14:schemeClr w14:val="tx1"/>
            </w14:solidFill>
          </w14:textFill>
        </w:rPr>
        <w:t>台120KW双枪充电桩、</w:t>
      </w:r>
      <w:r>
        <w:rPr>
          <w:rFonts w:hint="eastAsia" w:asciiTheme="minorEastAsia" w:hAnsi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color w:val="000000" w:themeColor="text1"/>
          <w:sz w:val="28"/>
          <w:szCs w:val="28"/>
          <w:u w:val="single"/>
          <w:lang w:val="en-US" w:eastAsia="zh-CN"/>
          <w14:textFill>
            <w14:solidFill>
              <w14:schemeClr w14:val="tx1"/>
            </w14:solidFill>
          </w14:textFill>
        </w:rPr>
        <w:t>30</w:t>
      </w:r>
      <w:r>
        <w:rPr>
          <w:rFonts w:hint="eastAsia" w:asciiTheme="minorEastAsia" w:hAnsi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color w:val="000000" w:themeColor="text1"/>
          <w:sz w:val="28"/>
          <w:szCs w:val="28"/>
          <w14:textFill>
            <w14:solidFill>
              <w14:schemeClr w14:val="tx1"/>
            </w14:solidFill>
          </w14:textFill>
        </w:rPr>
        <w:t>台160KW双枪充电桩、</w:t>
      </w:r>
      <w:r>
        <w:rPr>
          <w:rFonts w:hint="eastAsia" w:asciiTheme="minorEastAsia" w:hAnsiTheme="minorEastAsia" w:cstheme="minorEastAsia"/>
          <w:color w:val="000000" w:themeColor="text1"/>
          <w:sz w:val="28"/>
          <w:szCs w:val="28"/>
          <w:u w:val="single"/>
          <w14:textFill>
            <w14:solidFill>
              <w14:schemeClr w14:val="tx1"/>
            </w14:solidFill>
          </w14:textFill>
        </w:rPr>
        <w:t xml:space="preserve"> </w:t>
      </w:r>
      <w:r>
        <w:rPr>
          <w:rFonts w:hint="eastAsia" w:asciiTheme="minorEastAsia" w:hAnsiTheme="minorEastAsia" w:cstheme="minorEastAsia"/>
          <w:color w:val="000000" w:themeColor="text1"/>
          <w:sz w:val="28"/>
          <w:szCs w:val="28"/>
          <w:u w:val="single"/>
          <w:lang w:val="en-US" w:eastAsia="zh-CN"/>
          <w14:textFill>
            <w14:solidFill>
              <w14:schemeClr w14:val="tx1"/>
            </w14:solidFill>
          </w14:textFill>
        </w:rPr>
        <w:t>7台</w:t>
      </w:r>
      <w:r>
        <w:rPr>
          <w:rFonts w:hint="eastAsia" w:asciiTheme="minorEastAsia" w:hAnsiTheme="minorEastAsia" w:cstheme="minorEastAsia"/>
          <w:color w:val="000000" w:themeColor="text1"/>
          <w:sz w:val="28"/>
          <w:szCs w:val="28"/>
          <w:u w:val="none"/>
          <w:lang w:val="en-US" w:eastAsia="zh-CN"/>
          <w14:textFill>
            <w14:solidFill>
              <w14:schemeClr w14:val="tx1"/>
            </w14:solidFill>
          </w14:textFill>
        </w:rPr>
        <w:t>180</w:t>
      </w:r>
      <w:r>
        <w:rPr>
          <w:rFonts w:hint="eastAsia" w:asciiTheme="minorEastAsia" w:hAnsiTheme="minorEastAsia" w:cstheme="minorEastAsia"/>
          <w:color w:val="000000" w:themeColor="text1"/>
          <w:sz w:val="28"/>
          <w:szCs w:val="28"/>
          <w14:textFill>
            <w14:solidFill>
              <w14:schemeClr w14:val="tx1"/>
            </w14:solidFill>
          </w14:textFill>
        </w:rPr>
        <w:t>KW双枪充电桩</w:t>
      </w:r>
      <w:r>
        <w:rPr>
          <w:rFonts w:hint="eastAsia" w:asciiTheme="minorEastAsia" w:hAnsi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cstheme="minorEastAsia"/>
          <w:color w:val="000000" w:themeColor="text1"/>
          <w:sz w:val="28"/>
          <w:szCs w:val="28"/>
          <w:u w:val="single"/>
          <w:lang w:val="en-US" w:eastAsia="zh-CN"/>
          <w14:textFill>
            <w14:solidFill>
              <w14:schemeClr w14:val="tx1"/>
            </w14:solidFill>
          </w14:textFill>
        </w:rPr>
        <w:t>2</w:t>
      </w:r>
      <w:r>
        <w:rPr>
          <w:rFonts w:hint="eastAsia" w:asciiTheme="minorEastAsia" w:hAnsiTheme="minorEastAsia" w:cstheme="minorEastAsia"/>
          <w:color w:val="000000" w:themeColor="text1"/>
          <w:sz w:val="28"/>
          <w:szCs w:val="28"/>
          <w:u w:val="single"/>
          <w14:textFill>
            <w14:solidFill>
              <w14:schemeClr w14:val="tx1"/>
            </w14:solidFill>
          </w14:textFill>
        </w:rPr>
        <w:t>台</w:t>
      </w:r>
      <w:r>
        <w:rPr>
          <w:rFonts w:hint="eastAsia" w:asciiTheme="minorEastAsia" w:hAnsiTheme="minorEastAsia" w:cstheme="minorEastAsia"/>
          <w:color w:val="000000" w:themeColor="text1"/>
          <w:sz w:val="28"/>
          <w:szCs w:val="28"/>
          <w14:textFill>
            <w14:solidFill>
              <w14:schemeClr w14:val="tx1"/>
            </w14:solidFill>
          </w14:textFill>
        </w:rPr>
        <w:t>480KW拖8</w:t>
      </w:r>
      <w:r>
        <w:rPr>
          <w:rFonts w:hint="eastAsia" w:asciiTheme="minorEastAsia" w:hAnsiTheme="minorEastAsia" w:cstheme="minorEastAsia"/>
          <w:color w:val="000000" w:themeColor="text1"/>
          <w:sz w:val="28"/>
          <w:szCs w:val="28"/>
          <w:lang w:val="en-US" w:eastAsia="zh-CN"/>
          <w14:textFill>
            <w14:solidFill>
              <w14:schemeClr w14:val="tx1"/>
            </w14:solidFill>
          </w14:textFill>
        </w:rPr>
        <w:t>充电桩</w:t>
      </w:r>
      <w:r>
        <w:rPr>
          <w:rFonts w:hint="eastAsia" w:asciiTheme="minorEastAsia" w:hAnsiTheme="minorEastAsia" w:cstheme="minorEastAsia"/>
          <w:color w:val="000000" w:themeColor="text1"/>
          <w:sz w:val="28"/>
          <w:szCs w:val="28"/>
          <w:lang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4台30KW充电桩</w:t>
      </w:r>
      <w:r>
        <w:rPr>
          <w:rFonts w:hint="eastAsia" w:asciiTheme="minorEastAsia" w:hAnsiTheme="minorEastAsia" w:cstheme="minorEastAsia"/>
          <w:color w:val="000000" w:themeColor="text1"/>
          <w:sz w:val="28"/>
          <w:szCs w:val="28"/>
          <w:u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u w:val="single"/>
          <w:lang w:val="en-US" w:eastAsia="zh-CN"/>
          <w14:textFill>
            <w14:solidFill>
              <w14:schemeClr w14:val="tx1"/>
            </w14:solidFill>
          </w14:textFill>
        </w:rPr>
        <w:t xml:space="preserve">50 </w:t>
      </w:r>
      <w:r>
        <w:rPr>
          <w:rFonts w:hint="eastAsia" w:asciiTheme="minorEastAsia" w:hAnsiTheme="minorEastAsia" w:cstheme="minorEastAsia"/>
          <w:color w:val="000000" w:themeColor="text1"/>
          <w:sz w:val="28"/>
          <w:szCs w:val="28"/>
          <w:u w:val="none"/>
          <w:lang w:val="en-US" w:eastAsia="zh-CN"/>
          <w14:textFill>
            <w14:solidFill>
              <w14:schemeClr w14:val="tx1"/>
            </w14:solidFill>
          </w14:textFill>
        </w:rPr>
        <w:t>台7</w:t>
      </w:r>
      <w:r>
        <w:rPr>
          <w:rFonts w:hint="eastAsia" w:asciiTheme="minorEastAsia" w:hAnsiTheme="minorEastAsia" w:cstheme="minorEastAsia"/>
          <w:color w:val="000000" w:themeColor="text1"/>
          <w:sz w:val="28"/>
          <w:szCs w:val="28"/>
          <w14:textFill>
            <w14:solidFill>
              <w14:schemeClr w14:val="tx1"/>
            </w14:solidFill>
          </w14:textFill>
        </w:rPr>
        <w:t>KW</w:t>
      </w:r>
      <w:r>
        <w:rPr>
          <w:rFonts w:hint="eastAsia" w:asciiTheme="minorEastAsia" w:hAnsiTheme="minorEastAsia" w:cstheme="minorEastAsia"/>
          <w:color w:val="000000" w:themeColor="text1"/>
          <w:sz w:val="28"/>
          <w:szCs w:val="28"/>
          <w:u w:val="none"/>
          <w:lang w:val="en-US" w:eastAsia="zh-CN"/>
          <w14:textFill>
            <w14:solidFill>
              <w14:schemeClr w14:val="tx1"/>
            </w14:solidFill>
          </w14:textFill>
        </w:rPr>
        <w:t>交流充电桩</w:t>
      </w:r>
      <w:r>
        <w:rPr>
          <w:rFonts w:hint="eastAsia" w:asciiTheme="minorEastAsia" w:hAnsiTheme="minorEastAsia" w:cstheme="minorEastAsia"/>
          <w:color w:val="000000" w:themeColor="text1"/>
          <w:sz w:val="28"/>
          <w:szCs w:val="28"/>
          <w14:textFill>
            <w14:solidFill>
              <w14:schemeClr w14:val="tx1"/>
            </w14:solidFill>
          </w14:textFill>
        </w:rPr>
        <w:t>。设备参数</w:t>
      </w:r>
      <w:r>
        <w:rPr>
          <w:rFonts w:hint="eastAsia" w:asciiTheme="minorEastAsia" w:hAnsiTheme="minorEastAsia" w:cstheme="minorEastAsia"/>
          <w:sz w:val="28"/>
          <w:szCs w:val="28"/>
        </w:rPr>
        <w:t>、规格及要求详见招标文件第五章</w:t>
      </w:r>
      <w:r>
        <w:rPr>
          <w:rFonts w:hint="eastAsia" w:asciiTheme="minorEastAsia" w:hAnsiTheme="minorEastAsia" w:cstheme="minorEastAsia"/>
          <w:sz w:val="28"/>
          <w:szCs w:val="28"/>
          <w:lang w:val="en-US" w:eastAsia="zh-CN"/>
        </w:rPr>
        <w:t>供货要求</w:t>
      </w:r>
      <w:r>
        <w:rPr>
          <w:rFonts w:hint="eastAsia" w:asciiTheme="minorEastAsia" w:hAnsiTheme="minorEastAsia" w:cstheme="minorEastAsia"/>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0" w:edGrp="everyone"/>
      <w:r>
        <w:rPr>
          <w:rFonts w:hint="eastAsia" w:asciiTheme="minorEastAsia" w:hAnsiTheme="minorEastAsia" w:eastAsiaTheme="minorEastAsia" w:cstheme="minorEastAsia"/>
          <w:sz w:val="28"/>
          <w:szCs w:val="28"/>
          <w:highlight w:val="none"/>
          <w:lang w:val="en-US" w:eastAsia="zh-CN"/>
        </w:rPr>
        <w:t>招标人指定地点或亳州市内。</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三</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交</w:t>
      </w:r>
      <w:r>
        <w:rPr>
          <w:rFonts w:hint="eastAsia" w:asciiTheme="minorEastAsia" w:hAnsiTheme="minorEastAsia" w:eastAsiaTheme="minorEastAsia" w:cstheme="minorEastAsia"/>
          <w:sz w:val="28"/>
          <w:szCs w:val="28"/>
          <w:highlight w:val="none"/>
          <w:u w:val="none"/>
          <w:lang w:val="en-US" w:eastAsia="zh-CN"/>
        </w:rPr>
        <w:t>货期：自招标人下达供货通知之日起</w:t>
      </w:r>
      <w:r>
        <w:rPr>
          <w:rFonts w:hint="eastAsia" w:asciiTheme="minorEastAsia" w:hAnsiTheme="minorEastAsia" w:cstheme="minorEastAsia"/>
          <w:sz w:val="28"/>
          <w:szCs w:val="28"/>
          <w:highlight w:val="none"/>
          <w:u w:val="none"/>
          <w:lang w:val="en-US" w:eastAsia="zh-CN"/>
        </w:rPr>
        <w:t>15个工作</w:t>
      </w:r>
      <w:r>
        <w:rPr>
          <w:rFonts w:hint="eastAsia" w:asciiTheme="minorEastAsia" w:hAnsiTheme="minorEastAsia" w:eastAsiaTheme="minorEastAsia" w:cstheme="minorEastAsia"/>
          <w:sz w:val="28"/>
          <w:szCs w:val="28"/>
          <w:highlight w:val="none"/>
          <w:u w:val="none"/>
          <w:lang w:val="en-US" w:eastAsia="zh-CN"/>
        </w:rPr>
        <w:t>日内完成供货。</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w:t>
      </w:r>
      <w:r>
        <w:rPr>
          <w:rFonts w:hint="eastAsia" w:asciiTheme="minorEastAsia" w:hAnsiTheme="minorEastAsia" w:cstheme="minorEastAsia"/>
          <w:sz w:val="28"/>
          <w:szCs w:val="28"/>
        </w:rPr>
        <w:t>最高投标限价（含税）：</w:t>
      </w:r>
      <w:r>
        <w:rPr>
          <w:rFonts w:hint="eastAsia" w:asciiTheme="minorEastAsia" w:hAnsiTheme="minorEastAsia" w:cstheme="minorEastAsia"/>
          <w:color w:val="auto"/>
          <w:sz w:val="28"/>
          <w:szCs w:val="28"/>
          <w:u w:val="none"/>
        </w:rPr>
        <w:t xml:space="preserve"> </w:t>
      </w:r>
      <w:r>
        <w:rPr>
          <w:rFonts w:hint="eastAsia" w:asciiTheme="minorEastAsia" w:hAnsiTheme="minorEastAsia" w:cstheme="minorEastAsia"/>
          <w:color w:val="auto"/>
          <w:sz w:val="28"/>
          <w:szCs w:val="28"/>
          <w:u w:val="none"/>
          <w:lang w:val="en-US" w:eastAsia="zh-CN"/>
        </w:rPr>
        <w:t>495</w:t>
      </w:r>
      <w:r>
        <w:rPr>
          <w:rFonts w:hint="eastAsia" w:asciiTheme="minorEastAsia" w:hAnsiTheme="minorEastAsia" w:cstheme="minorEastAsia"/>
          <w:sz w:val="28"/>
          <w:szCs w:val="28"/>
        </w:rPr>
        <w:t>万</w:t>
      </w:r>
      <w:r>
        <w:rPr>
          <w:rFonts w:hint="eastAsia" w:asciiTheme="minorEastAsia" w:hAnsiTheme="minorEastAsia" w:cstheme="minorEastAsia"/>
          <w:sz w:val="28"/>
          <w:szCs w:val="28"/>
          <w:lang w:val="en-US" w:eastAsia="zh-CN"/>
        </w:rPr>
        <w:t>元</w:t>
      </w:r>
      <w:r>
        <w:rPr>
          <w:rFonts w:hint="eastAsia" w:asciiTheme="minorEastAsia" w:hAnsiTheme="minorEastAsia" w:cstheme="minorEastAsia"/>
          <w:sz w:val="28"/>
          <w:szCs w:val="28"/>
        </w:rPr>
        <w:t>。投标人按</w:t>
      </w:r>
      <w:r>
        <w:rPr>
          <w:rFonts w:hint="eastAsia" w:asciiTheme="minorEastAsia" w:hAnsiTheme="minorEastAsia" w:cstheme="minorEastAsia"/>
          <w:sz w:val="28"/>
          <w:szCs w:val="28"/>
          <w:u w:val="single"/>
        </w:rPr>
        <w:t>固定</w:t>
      </w:r>
      <w:r>
        <w:rPr>
          <w:rFonts w:hint="eastAsia" w:asciiTheme="minorEastAsia" w:hAnsiTheme="minorEastAsia" w:cstheme="minorEastAsia"/>
          <w:sz w:val="28"/>
          <w:szCs w:val="28"/>
          <w:u w:val="single"/>
          <w:lang w:val="en-US" w:eastAsia="zh-CN"/>
        </w:rPr>
        <w:t>单</w:t>
      </w:r>
      <w:r>
        <w:rPr>
          <w:rFonts w:hint="eastAsia" w:asciiTheme="minorEastAsia" w:hAnsiTheme="minorEastAsia" w:cstheme="minorEastAsia"/>
          <w:sz w:val="28"/>
          <w:szCs w:val="28"/>
          <w:u w:val="single"/>
          <w:lang w:eastAsia="zh-CN"/>
        </w:rPr>
        <w:t>价</w:t>
      </w:r>
      <w:r>
        <w:rPr>
          <w:rFonts w:hint="eastAsia" w:asciiTheme="minorEastAsia" w:hAnsiTheme="minorEastAsia" w:cstheme="minorEastAsia"/>
          <w:sz w:val="28"/>
          <w:szCs w:val="28"/>
        </w:rPr>
        <w:t>投标报价，120KW充电桩不超过</w:t>
      </w:r>
      <w:r>
        <w:rPr>
          <w:rFonts w:hint="eastAsia" w:asciiTheme="minorEastAsia" w:hAnsiTheme="minorEastAsia" w:cstheme="minorEastAsia"/>
          <w:color w:val="auto"/>
          <w:sz w:val="28"/>
          <w:szCs w:val="28"/>
          <w:u w:val="none"/>
        </w:rPr>
        <w:t>58000元/台</w:t>
      </w:r>
      <w:r>
        <w:rPr>
          <w:rFonts w:hint="eastAsia" w:asciiTheme="minorEastAsia" w:hAnsiTheme="minorEastAsia" w:cstheme="minorEastAsia"/>
          <w:sz w:val="28"/>
          <w:szCs w:val="28"/>
        </w:rPr>
        <w:t>。160KW充电桩不超过</w:t>
      </w:r>
      <w:r>
        <w:rPr>
          <w:rFonts w:hint="eastAsia" w:asciiTheme="minorEastAsia" w:hAnsiTheme="minorEastAsia" w:cstheme="minorEastAsia"/>
          <w:color w:val="auto"/>
          <w:sz w:val="28"/>
          <w:szCs w:val="28"/>
          <w:u w:val="none"/>
        </w:rPr>
        <w:t>68000元/台</w:t>
      </w:r>
      <w:r>
        <w:rPr>
          <w:rFonts w:hint="eastAsia" w:asciiTheme="minorEastAsia" w:hAnsiTheme="minorEastAsia" w:cstheme="minorEastAsia"/>
          <w:sz w:val="28"/>
          <w:szCs w:val="28"/>
        </w:rPr>
        <w:t>。1</w:t>
      </w:r>
      <w:r>
        <w:rPr>
          <w:rFonts w:hint="eastAsia" w:asciiTheme="minorEastAsia" w:hAnsiTheme="minorEastAsia" w:cstheme="minorEastAsia"/>
          <w:sz w:val="28"/>
          <w:szCs w:val="28"/>
          <w:lang w:val="en-US" w:eastAsia="zh-CN"/>
        </w:rPr>
        <w:t>8</w:t>
      </w:r>
      <w:r>
        <w:rPr>
          <w:rFonts w:hint="eastAsia" w:asciiTheme="minorEastAsia" w:hAnsiTheme="minorEastAsia" w:cstheme="minorEastAsia"/>
          <w:sz w:val="28"/>
          <w:szCs w:val="28"/>
        </w:rPr>
        <w:t>0KW充电桩不超过</w:t>
      </w:r>
      <w:r>
        <w:rPr>
          <w:rFonts w:hint="eastAsia" w:asciiTheme="minorEastAsia" w:hAnsiTheme="minorEastAsia" w:cstheme="minorEastAsia"/>
          <w:color w:val="auto"/>
          <w:sz w:val="28"/>
          <w:szCs w:val="28"/>
          <w:highlight w:val="none"/>
          <w:u w:val="none"/>
          <w:lang w:val="en-US" w:eastAsia="zh-CN"/>
        </w:rPr>
        <w:t>78000</w:t>
      </w:r>
      <w:r>
        <w:rPr>
          <w:rFonts w:hint="eastAsia" w:asciiTheme="minorEastAsia" w:hAnsiTheme="minorEastAsia" w:cstheme="minorEastAsia"/>
          <w:color w:val="auto"/>
          <w:sz w:val="28"/>
          <w:szCs w:val="28"/>
          <w:u w:val="none"/>
        </w:rPr>
        <w:t>元/台</w:t>
      </w:r>
      <w:r>
        <w:rPr>
          <w:rFonts w:hint="eastAsia" w:asciiTheme="minorEastAsia" w:hAnsiTheme="minorEastAsia" w:cstheme="minorEastAsia"/>
          <w:sz w:val="28"/>
          <w:szCs w:val="28"/>
        </w:rPr>
        <w:t>。480KW拖8</w:t>
      </w:r>
      <w:r>
        <w:rPr>
          <w:rFonts w:hint="eastAsia" w:asciiTheme="minorEastAsia" w:hAnsiTheme="minorEastAsia" w:cstheme="minorEastAsia"/>
          <w:sz w:val="28"/>
          <w:szCs w:val="28"/>
          <w:lang w:val="en-US" w:eastAsia="zh-CN"/>
        </w:rPr>
        <w:t>充电桩</w:t>
      </w:r>
      <w:r>
        <w:rPr>
          <w:rFonts w:hint="eastAsia" w:asciiTheme="minorEastAsia" w:hAnsiTheme="minorEastAsia" w:cstheme="minorEastAsia"/>
          <w:sz w:val="28"/>
          <w:szCs w:val="28"/>
        </w:rPr>
        <w:t>不超过</w:t>
      </w:r>
      <w:r>
        <w:rPr>
          <w:rFonts w:hint="eastAsia" w:asciiTheme="minorEastAsia" w:hAnsiTheme="minorEastAsia" w:cstheme="minorEastAsia"/>
          <w:color w:val="auto"/>
          <w:sz w:val="28"/>
          <w:szCs w:val="28"/>
          <w:u w:val="none"/>
        </w:rPr>
        <w:t>220000元/台</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30</w:t>
      </w:r>
      <w:r>
        <w:rPr>
          <w:rFonts w:hint="eastAsia" w:asciiTheme="minorEastAsia" w:hAnsiTheme="minorEastAsia" w:cstheme="minorEastAsia"/>
          <w:sz w:val="28"/>
          <w:szCs w:val="28"/>
        </w:rPr>
        <w:t>KW充电桩不超过</w:t>
      </w:r>
      <w:r>
        <w:rPr>
          <w:rFonts w:hint="eastAsia" w:asciiTheme="minorEastAsia" w:hAnsiTheme="minorEastAsia" w:cstheme="minorEastAsia"/>
          <w:color w:val="auto"/>
          <w:sz w:val="28"/>
          <w:szCs w:val="28"/>
          <w:u w:val="none"/>
          <w:lang w:val="en-US" w:eastAsia="zh-CN"/>
        </w:rPr>
        <w:t>21000</w:t>
      </w:r>
      <w:r>
        <w:rPr>
          <w:rFonts w:hint="eastAsia" w:asciiTheme="minorEastAsia" w:hAnsiTheme="minorEastAsia" w:cstheme="minorEastAsia"/>
          <w:color w:val="auto"/>
          <w:sz w:val="28"/>
          <w:szCs w:val="28"/>
          <w:u w:val="none"/>
        </w:rPr>
        <w:t>元/台</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7KW交流充电桩不超过</w:t>
      </w:r>
      <w:r>
        <w:rPr>
          <w:rFonts w:hint="eastAsia" w:asciiTheme="minorEastAsia" w:hAnsiTheme="minorEastAsia" w:cstheme="minorEastAsia"/>
          <w:color w:val="auto"/>
          <w:sz w:val="28"/>
          <w:szCs w:val="28"/>
          <w:u w:val="none"/>
          <w:lang w:val="en-US" w:eastAsia="zh-CN"/>
        </w:rPr>
        <w:t>2000元/台，</w:t>
      </w:r>
      <w:r>
        <w:rPr>
          <w:rFonts w:hint="eastAsia" w:asciiTheme="minorEastAsia" w:hAnsiTheme="minorEastAsia" w:cstheme="minorEastAsia"/>
          <w:sz w:val="28"/>
          <w:szCs w:val="28"/>
        </w:rPr>
        <w:t>按照</w:t>
      </w:r>
      <w:r>
        <w:rPr>
          <w:rFonts w:hint="eastAsia" w:asciiTheme="minorEastAsia" w:hAnsiTheme="minorEastAsia" w:cstheme="minorEastAsia"/>
          <w:sz w:val="28"/>
          <w:szCs w:val="28"/>
          <w:lang w:val="en-US" w:eastAsia="zh-CN"/>
        </w:rPr>
        <w:t>招标人</w:t>
      </w:r>
      <w:r>
        <w:rPr>
          <w:rFonts w:hint="eastAsia" w:asciiTheme="minorEastAsia" w:hAnsiTheme="minorEastAsia" w:cstheme="minorEastAsia"/>
          <w:sz w:val="28"/>
          <w:szCs w:val="28"/>
        </w:rPr>
        <w:t>订单通知要求供货。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2"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2"/>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ermStart w:id="13" w:edGrp="everyone"/>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二</w:t>
      </w:r>
      <w:r>
        <w:rPr>
          <w:rFonts w:hint="eastAsia" w:asciiTheme="minorEastAsia" w:hAnsiTheme="minorEastAsia" w:cstheme="minorEastAsia"/>
          <w:sz w:val="28"/>
          <w:szCs w:val="28"/>
        </w:rPr>
        <w:t>）投标人须提供至少1个类似项目业绩，类似项目业绩是指投标人自</w:t>
      </w:r>
      <w:r>
        <w:rPr>
          <w:rFonts w:hint="eastAsia" w:asciiTheme="minorEastAsia" w:hAnsiTheme="minorEastAsia" w:cstheme="minorEastAsia"/>
          <w:color w:val="auto"/>
          <w:sz w:val="28"/>
          <w:szCs w:val="28"/>
          <w:u w:val="none"/>
        </w:rPr>
        <w:t>202</w:t>
      </w:r>
      <w:r>
        <w:rPr>
          <w:rFonts w:hint="eastAsia" w:asciiTheme="minorEastAsia" w:hAnsiTheme="minorEastAsia" w:cstheme="minorEastAsia"/>
          <w:color w:val="auto"/>
          <w:sz w:val="28"/>
          <w:szCs w:val="28"/>
          <w:u w:val="none"/>
          <w:lang w:val="en-US" w:eastAsia="zh-CN"/>
        </w:rPr>
        <w:t>1</w:t>
      </w:r>
      <w:r>
        <w:rPr>
          <w:rFonts w:hint="eastAsia" w:asciiTheme="minorEastAsia" w:hAnsiTheme="minorEastAsia" w:cstheme="minorEastAsia"/>
          <w:sz w:val="28"/>
          <w:szCs w:val="28"/>
        </w:rPr>
        <w:t>年1月以来承接的单项合同金额不低于</w:t>
      </w:r>
      <w:r>
        <w:rPr>
          <w:rFonts w:hint="eastAsia" w:asciiTheme="minorEastAsia" w:hAnsiTheme="minorEastAsia" w:cstheme="minorEastAsia"/>
          <w:sz w:val="28"/>
          <w:szCs w:val="28"/>
          <w:lang w:val="en-US" w:eastAsia="zh-CN"/>
        </w:rPr>
        <w:t>500</w:t>
      </w:r>
      <w:r>
        <w:rPr>
          <w:rFonts w:hint="eastAsia" w:asciiTheme="minorEastAsia" w:hAnsiTheme="minorEastAsia" w:cstheme="minorEastAsia"/>
          <w:sz w:val="28"/>
          <w:szCs w:val="28"/>
        </w:rPr>
        <w:t>万元的充电桩设备供货业绩，业绩时间以合同签订时间为准。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4"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14"/>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ermStart w:id="17" w:edGrp="everyone"/>
      <w:r>
        <w:rPr>
          <w:rFonts w:hint="eastAsia" w:asciiTheme="minorEastAsia" w:hAnsiTheme="minorEastAsia" w:eastAsiaTheme="minorEastAsia" w:cstheme="minorEastAsia"/>
          <w:color w:val="FF0000"/>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七</w:t>
      </w:r>
      <w:r>
        <w:rPr>
          <w:rFonts w:hint="eastAsia" w:asciiTheme="minorEastAsia" w:hAnsiTheme="minorEastAsia" w:eastAsiaTheme="minorEastAsia" w:cstheme="minorEastAsia"/>
          <w:color w:val="FF0000"/>
          <w:sz w:val="28"/>
          <w:szCs w:val="28"/>
          <w:highlight w:val="none"/>
          <w:lang w:val="en-US" w:eastAsia="zh-CN"/>
        </w:rPr>
        <w:t>）一个制造商对同一品牌同一型号的设备或材料，仅能委托一个代理商参加投标。</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cstheme="minorEastAsia"/>
          <w:color w:val="FF0000"/>
          <w:sz w:val="28"/>
          <w:szCs w:val="28"/>
          <w:highlight w:val="none"/>
          <w:lang w:val="en-US" w:eastAsia="zh-CN"/>
        </w:rPr>
        <w:t>不允许</w:t>
      </w:r>
      <w:permEnd w:id="19"/>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0" w:edGrp="everyone"/>
      <w:r>
        <w:rPr>
          <w:rFonts w:hint="eastAsia" w:asciiTheme="minorEastAsia" w:hAnsiTheme="minorEastAsia" w:cstheme="minorEastAsia"/>
          <w:sz w:val="28"/>
          <w:szCs w:val="28"/>
          <w:highlight w:val="none"/>
          <w:u w:val="single"/>
          <w:lang w:val="en-US" w:eastAsia="zh-CN"/>
        </w:rPr>
        <w:t xml:space="preserve"> 90000元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 标 人：安徽省安车交通运输集团有限公司</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址：亳州市高新区银杏路与宋汤河路交叉口</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w:t>
      </w:r>
      <w:r>
        <w:rPr>
          <w:rFonts w:hint="eastAsia" w:asciiTheme="minorEastAsia" w:hAnsiTheme="minorEastAsia" w:cstheme="minorEastAsia"/>
          <w:sz w:val="28"/>
          <w:szCs w:val="28"/>
          <w:lang w:eastAsia="zh-CN"/>
        </w:rPr>
        <w:t>李工</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lang w:val="en-US" w:eastAsia="zh-CN"/>
        </w:rPr>
        <w:t>15256393990</w:t>
      </w:r>
    </w:p>
    <w:p>
      <w:pPr>
        <w:wordWrap w:val="0"/>
        <w:spacing w:line="480" w:lineRule="exact"/>
        <w:ind w:firstLine="560" w:firstLineChars="200"/>
        <w:rPr>
          <w:rFonts w:hint="eastAsia" w:asciiTheme="minorEastAsia" w:hAnsiTheme="minorEastAsia" w:cstheme="minorEastAsia"/>
          <w:sz w:val="28"/>
          <w:szCs w:val="28"/>
          <w:lang w:val="en-US" w:eastAsia="zh-CN"/>
        </w:rPr>
      </w:pPr>
    </w:p>
    <w:p>
      <w:pPr>
        <w:wordWrap w:val="0"/>
        <w:spacing w:line="480" w:lineRule="exact"/>
        <w:ind w:firstLine="560" w:firstLineChars="200"/>
        <w:rPr>
          <w:rFonts w:hint="eastAsia" w:asciiTheme="minorEastAsia" w:hAnsiTheme="minorEastAsia" w:cstheme="minorEastAsia"/>
          <w:sz w:val="28"/>
          <w:szCs w:val="28"/>
          <w:lang w:val="en-US" w:eastAsia="zh-CN"/>
        </w:rPr>
      </w:pPr>
    </w:p>
    <w:p>
      <w:pPr>
        <w:wordWrap w:val="0"/>
        <w:spacing w:line="48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
    <w:p>
      <w:pPr>
        <w:spacing w:line="480" w:lineRule="exact"/>
        <w:jc w:val="right"/>
        <w:rPr>
          <w:rFonts w:asciiTheme="minorEastAsia" w:hAnsiTheme="minorEastAsia" w:cstheme="minorEastAsia"/>
          <w:sz w:val="28"/>
          <w:szCs w:val="28"/>
        </w:rPr>
      </w:pPr>
      <w:r>
        <w:rPr>
          <w:rFonts w:hint="eastAsia" w:asciiTheme="minorEastAsia" w:hAnsiTheme="minorEastAsia" w:cstheme="minorEastAsia"/>
          <w:sz w:val="28"/>
          <w:szCs w:val="28"/>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rPr>
        <w:t>202</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1" w:edGrp="everyone"/>
            <w:r>
              <w:rPr>
                <w:rFonts w:hint="default" w:ascii="Times New Roman" w:hAnsi="Times New Roman" w:cs="Times New Roman"/>
                <w:szCs w:val="21"/>
                <w:highlight w:val="none"/>
              </w:rPr>
              <w:t>详见第一章招标公告。</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2"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2"/>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3" w:edGrp="everyone"/>
            <w:r>
              <w:rPr>
                <w:rFonts w:hint="eastAsia" w:hAnsi="宋体"/>
                <w:sz w:val="21"/>
                <w:szCs w:val="21"/>
                <w:lang w:val="en-US" w:eastAsia="zh-CN"/>
              </w:rPr>
              <w:t xml:space="preserve">  </w:t>
            </w:r>
            <w:r>
              <w:rPr>
                <w:rFonts w:hint="default" w:ascii="Times New Roman" w:hAnsi="Times New Roman" w:cs="Times New Roman"/>
                <w:szCs w:val="21"/>
                <w:highlight w:val="none"/>
              </w:rPr>
              <w:t>详见第一章招标公告</w:t>
            </w:r>
            <w:r>
              <w:rPr>
                <w:rFonts w:hint="eastAsia" w:hAnsi="宋体"/>
                <w:sz w:val="21"/>
                <w:szCs w:val="21"/>
                <w:lang w:val="en-US" w:eastAsia="zh-CN"/>
              </w:rPr>
              <w:t xml:space="preserve">  </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 xml:space="preserve">  </w:t>
            </w:r>
            <w:r>
              <w:rPr>
                <w:rFonts w:hint="eastAsia" w:ascii="Times New Roman" w:hAnsi="Times New Roman" w:cs="Times New Roman"/>
                <w:color w:val="FF0000"/>
                <w:sz w:val="21"/>
                <w:szCs w:val="21"/>
                <w:highlight w:val="none"/>
                <w:lang w:val="en-US" w:eastAsia="zh-CN"/>
              </w:rPr>
              <w:t xml:space="preserve">接受  </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5" w:edGrp="everyone"/>
            <w:r>
              <w:rPr>
                <w:rFonts w:hint="eastAsia" w:hAnsi="宋体"/>
                <w:sz w:val="21"/>
                <w:szCs w:val="21"/>
                <w:lang w:val="en-US" w:eastAsia="zh-CN"/>
              </w:rPr>
              <w:t xml:space="preserve"> 增加：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19</w:t>
            </w:r>
            <w:r>
              <w:rPr>
                <w:rFonts w:hint="eastAsia" w:ascii="Times New Roman" w:hAnsi="Times New Roman" w:cs="Times New Roman"/>
                <w:szCs w:val="21"/>
                <w:lang w:eastAsia="zh-CN"/>
              </w:rPr>
              <w:t>）</w:t>
            </w:r>
            <w:r>
              <w:rPr>
                <w:rFonts w:hint="eastAsia" w:ascii="Times New Roman" w:hAnsi="Times New Roman" w:cs="Times New Roman"/>
                <w:szCs w:val="21"/>
              </w:rPr>
              <w:t>在以往承接亳州交通投资控股集团有限公司及其子公司项目过程中，列入不受欢迎的供应商名单的，不得参加本次招标投标活动。</w:t>
            </w:r>
            <w:r>
              <w:rPr>
                <w:rFonts w:hint="eastAsia" w:hAnsi="宋体"/>
                <w:sz w:val="21"/>
                <w:szCs w:val="21"/>
                <w:lang w:val="en-US" w:eastAsia="zh-CN"/>
              </w:rPr>
              <w:t xml:space="preserve"> </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8" w:edGrp="everyone"/>
            <w:r>
              <w:rPr>
                <w:rFonts w:hint="eastAsia" w:hAnsi="宋体"/>
                <w:sz w:val="21"/>
                <w:szCs w:val="21"/>
                <w:lang w:val="en-US" w:eastAsia="zh-CN"/>
              </w:rPr>
              <w:t xml:space="preserve">   </w:t>
            </w:r>
            <w:r>
              <w:rPr>
                <w:rFonts w:hint="eastAsia" w:ascii="Times New Roman" w:hAnsi="Times New Roman" w:cs="Times New Roman"/>
                <w:szCs w:val="21"/>
              </w:rPr>
              <w:t>详见第四章合同条款及格式、第五章供货要求</w:t>
            </w:r>
            <w:r>
              <w:rPr>
                <w:rFonts w:hint="eastAsia" w:hAnsi="宋体"/>
                <w:sz w:val="21"/>
                <w:szCs w:val="21"/>
                <w:lang w:val="en-US" w:eastAsia="zh-CN"/>
              </w:rPr>
              <w:t xml:space="preserve">   </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9" w:edGrp="everyone"/>
            <w:r>
              <w:rPr>
                <w:rFonts w:hint="eastAsia" w:hAnsi="宋体"/>
                <w:sz w:val="21"/>
                <w:szCs w:val="21"/>
                <w:lang w:val="en-US" w:eastAsia="zh-CN"/>
              </w:rPr>
              <w:t xml:space="preserve">   </w:t>
            </w:r>
            <w:r>
              <w:rPr>
                <w:rFonts w:hint="eastAsia" w:ascii="Times New Roman" w:hAnsi="Times New Roman" w:cs="Times New Roman"/>
                <w:szCs w:val="21"/>
              </w:rPr>
              <w:t>技术支持资料以制造商公开发布的印刷资料，或检测机构出具的检测报告为准，其他形式的技术支持资料视为无效。</w:t>
            </w:r>
            <w:r>
              <w:rPr>
                <w:rFonts w:hint="eastAsia" w:hAnsi="宋体"/>
                <w:sz w:val="21"/>
                <w:szCs w:val="21"/>
                <w:lang w:val="en-US" w:eastAsia="zh-CN"/>
              </w:rPr>
              <w:t xml:space="preserve">  </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30" w:edGrp="everyone"/>
            <w:r>
              <w:rPr>
                <w:rFonts w:hint="eastAsia" w:ascii="Times New Roman" w:hAnsi="Times New Roman" w:cs="Times New Roman"/>
                <w:szCs w:val="21"/>
                <w:highlight w:val="none"/>
                <w:u w:val="single"/>
                <w:lang w:val="en-US" w:eastAsia="zh-CN"/>
              </w:rPr>
              <w:t xml:space="preserve"> </w:t>
            </w:r>
            <w:r>
              <w:rPr>
                <w:rFonts w:ascii="Times New Roman" w:hAnsi="Times New Roman" w:cs="Times New Roman"/>
                <w:szCs w:val="21"/>
              </w:rPr>
              <w:t>详见第一章招标公告</w:t>
            </w:r>
            <w:r>
              <w:rPr>
                <w:rFonts w:hint="eastAsia" w:ascii="Times New Roman" w:hAnsi="Times New Roman" w:cs="Times New Roman"/>
                <w:szCs w:val="21"/>
                <w:highlight w:val="none"/>
                <w:u w:val="single"/>
                <w:lang w:val="en-US" w:eastAsia="zh-CN"/>
              </w:rPr>
              <w:t xml:space="preserve">  </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2" w:edGrp="everyone"/>
            <w:r>
              <w:rPr>
                <w:rFonts w:hint="eastAsia" w:ascii="Times New Roman" w:hAnsi="Times New Roman" w:cs="Times New Roman"/>
                <w:color w:val="auto"/>
                <w:szCs w:val="21"/>
                <w:highlight w:val="none"/>
                <w:u w:val="single"/>
                <w:lang w:val="en-US" w:eastAsia="zh-CN"/>
              </w:rPr>
              <w:t xml:space="preserve"> 90000元</w:t>
            </w:r>
            <w:permEnd w:id="3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color w:val="FF0000"/>
                <w:szCs w:val="21"/>
                <w:highlight w:val="none"/>
                <w:lang w:val="en-US" w:eastAsia="zh-CN"/>
              </w:rPr>
              <w:t>BZJK-2024-011号保证金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37"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eastAsiaTheme="minorEastAsia"/>
                <w:sz w:val="21"/>
                <w:szCs w:val="21"/>
                <w:lang w:val="en-US" w:eastAsia="zh-CN"/>
              </w:rPr>
            </w:pPr>
            <w:permStart w:id="39"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eastAsiaTheme="minorEastAsia"/>
                <w:i w:val="0"/>
                <w:iCs w:val="0"/>
                <w:sz w:val="21"/>
                <w:szCs w:val="21"/>
                <w:u w:val="none"/>
                <w:lang w:val="en-US" w:eastAsia="zh-CN"/>
              </w:rPr>
              <w:t>亳州交通投资控股集团有限公司</w:t>
            </w:r>
            <w:r>
              <w:rPr>
                <w:rFonts w:hint="eastAsia" w:ascii="Times New Roman" w:hAnsi="Times New Roman" w:cs="Times New Roman"/>
                <w:i w:val="0"/>
                <w:iCs w:val="0"/>
                <w:sz w:val="21"/>
                <w:szCs w:val="21"/>
                <w:u w:val="none"/>
                <w:lang w:val="en-US" w:eastAsia="zh-CN"/>
              </w:rPr>
              <w:t>15</w:t>
            </w:r>
            <w:r>
              <w:rPr>
                <w:rFonts w:hint="eastAsia" w:ascii="Times New Roman" w:hAnsi="Times New Roman" w:cs="Times New Roman" w:eastAsiaTheme="minorEastAsia"/>
                <w:i w:val="0"/>
                <w:iCs w:val="0"/>
                <w:sz w:val="21"/>
                <w:szCs w:val="21"/>
                <w:u w:val="none"/>
                <w:lang w:val="en-US" w:eastAsia="zh-CN"/>
              </w:rPr>
              <w:t>楼</w:t>
            </w:r>
            <w:r>
              <w:rPr>
                <w:rFonts w:hint="eastAsia" w:ascii="Times New Roman" w:hAnsi="Times New Roman" w:cs="Times New Roman"/>
                <w:i w:val="0"/>
                <w:iCs w:val="0"/>
                <w:sz w:val="21"/>
                <w:szCs w:val="21"/>
                <w:u w:val="none"/>
                <w:lang w:val="en-US" w:eastAsia="zh-CN"/>
              </w:rPr>
              <w:t>开标</w:t>
            </w:r>
            <w:r>
              <w:rPr>
                <w:rFonts w:hint="eastAsia" w:ascii="Times New Roman" w:hAnsi="Times New Roman" w:cs="Times New Roman" w:eastAsiaTheme="minorEastAsia"/>
                <w:i w:val="0"/>
                <w:iCs w:val="0"/>
                <w:sz w:val="21"/>
                <w:szCs w:val="21"/>
                <w:u w:val="none"/>
                <w:lang w:val="en-US" w:eastAsia="zh-CN"/>
              </w:rPr>
              <w:t>室（药都大道与希夷大道交叉口东北角</w:t>
            </w:r>
            <w:r>
              <w:rPr>
                <w:rFonts w:hint="eastAsia" w:ascii="Times New Roman" w:hAnsi="Times New Roman" w:cs="Times New Roman"/>
                <w:i w:val="0"/>
                <w:iCs w:val="0"/>
                <w:sz w:val="21"/>
                <w:szCs w:val="21"/>
                <w:u w:val="none"/>
                <w:lang w:val="en-US" w:eastAsia="zh-CN"/>
              </w:rPr>
              <w:t>15</w:t>
            </w:r>
            <w:r>
              <w:rPr>
                <w:rFonts w:hint="eastAsia" w:ascii="Times New Roman" w:hAnsi="Times New Roman" w:cs="Times New Roman" w:eastAsiaTheme="minorEastAsia"/>
                <w:i w:val="0"/>
                <w:iCs w:val="0"/>
                <w:sz w:val="21"/>
                <w:szCs w:val="21"/>
                <w:u w:val="none"/>
                <w:lang w:val="en-US" w:eastAsia="zh-CN"/>
              </w:rPr>
              <w:t>楼）</w:t>
            </w:r>
            <w:r>
              <w:rPr>
                <w:rFonts w:hint="eastAsia" w:ascii="Times New Roman" w:hAnsi="Times New Roman" w:cs="Times New Roman"/>
                <w:i w:val="0"/>
                <w:iCs w:val="0"/>
                <w:sz w:val="21"/>
                <w:szCs w:val="21"/>
                <w:lang w:val="en-US" w:eastAsia="zh-CN"/>
              </w:rPr>
              <w:t>；</w:t>
            </w:r>
          </w:p>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szCs w:val="21"/>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w:t>
            </w:r>
            <w:r>
              <w:rPr>
                <w:rFonts w:hint="eastAsia" w:asciiTheme="minorEastAsia" w:hAnsiTheme="minorEastAsia" w:cstheme="minorEastAsia"/>
                <w:sz w:val="21"/>
                <w:szCs w:val="21"/>
                <w:u w:val="single"/>
                <w:lang w:eastAsia="zh-CN"/>
              </w:rPr>
              <w:t>安徽省安车交通运输集团新能源充电桩三年期设备供应商采购项目</w:t>
            </w:r>
            <w:r>
              <w:rPr>
                <w:rFonts w:hint="eastAsia" w:ascii="Times New Roman" w:hAnsi="Times New Roman" w:cs="Times New Roman"/>
                <w:szCs w:val="21"/>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项目编号：BZJK-2024-011号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2024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2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27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2" w:edGrp="everyone"/>
            <w:r>
              <w:rPr>
                <w:rFonts w:hint="eastAsia" w:ascii="Times New Roman" w:hAnsi="Times New Roman" w:cs="Times New Roman"/>
                <w:szCs w:val="21"/>
                <w:highlight w:val="none"/>
                <w:lang w:val="en-US" w:eastAsia="zh-CN"/>
              </w:rPr>
              <w:t>90000元</w:t>
            </w:r>
            <w:r>
              <w:rPr>
                <w:rFonts w:hint="eastAsia" w:ascii="Times New Roman" w:hAnsi="Times New Roman" w:cs="Times New Roman"/>
                <w:b/>
                <w:bCs/>
                <w:color w:val="FF0000"/>
                <w:szCs w:val="21"/>
                <w:highlight w:val="none"/>
                <w:lang w:val="en-US" w:eastAsia="zh-CN"/>
              </w:rPr>
              <w:t xml:space="preserve"> </w:t>
            </w:r>
            <w:permEnd w:id="4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r>
              <w:rPr>
                <w:rFonts w:hint="eastAsia" w:ascii="Times New Roman" w:hAnsi="Times New Roman" w:cs="Times New Roman"/>
                <w:szCs w:val="21"/>
              </w:rPr>
              <w:t>无违约行为发生或违约行为已处理的情况下，</w:t>
            </w:r>
            <w:r>
              <w:rPr>
                <w:rFonts w:hint="eastAsia" w:ascii="Times New Roman" w:hAnsi="Times New Roman" w:cs="Times New Roman"/>
                <w:szCs w:val="21"/>
                <w:lang w:val="en-US" w:eastAsia="zh-CN"/>
              </w:rPr>
              <w:t>服务期满</w:t>
            </w:r>
            <w:r>
              <w:rPr>
                <w:rFonts w:hint="eastAsia" w:ascii="Times New Roman" w:hAnsi="Times New Roman" w:cs="Times New Roman"/>
                <w:szCs w:val="21"/>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296602420"/>
      <w:bookmarkStart w:id="17" w:name="_Toc179632546"/>
      <w:bookmarkStart w:id="18" w:name="_Toc246996175"/>
      <w:bookmarkStart w:id="19" w:name="_Toc152042305"/>
      <w:bookmarkStart w:id="20" w:name="_Toc246996918"/>
      <w:bookmarkStart w:id="21" w:name="_Toc152045529"/>
      <w:bookmarkStart w:id="22" w:name="_Toc247085689"/>
      <w:bookmarkStart w:id="23" w:name="_Toc14497449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179632547"/>
      <w:bookmarkStart w:id="26" w:name="_Toc144974498"/>
      <w:bookmarkStart w:id="27" w:name="_Toc296602421"/>
      <w:bookmarkStart w:id="28" w:name="_Toc246996176"/>
      <w:bookmarkStart w:id="29" w:name="_Toc246996919"/>
      <w:bookmarkStart w:id="30" w:name="_Toc152045530"/>
      <w:bookmarkStart w:id="31" w:name="_Toc152042306"/>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1"/>
      <w:bookmarkStart w:id="33" w:name="_Toc179632548"/>
      <w:bookmarkStart w:id="34" w:name="_Toc246996920"/>
      <w:bookmarkStart w:id="35" w:name="_Toc247085691"/>
      <w:bookmarkStart w:id="36" w:name="_Toc296602422"/>
      <w:bookmarkStart w:id="37" w:name="_Toc246996177"/>
      <w:bookmarkStart w:id="38" w:name="_Toc144974499"/>
      <w:bookmarkStart w:id="39" w:name="_Toc152042307"/>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0"/>
      <w:bookmarkStart w:id="41" w:name="_Toc246996921"/>
      <w:bookmarkStart w:id="42" w:name="_Toc152042308"/>
      <w:bookmarkStart w:id="43" w:name="_Toc246996178"/>
      <w:bookmarkStart w:id="44" w:name="_Toc179632549"/>
      <w:bookmarkStart w:id="45" w:name="_Toc152045532"/>
      <w:bookmarkStart w:id="46" w:name="_Toc247085692"/>
      <w:bookmarkStart w:id="47" w:name="_Toc296602423"/>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247085693"/>
      <w:bookmarkStart w:id="50" w:name="_Toc179632551"/>
      <w:bookmarkStart w:id="51" w:name="_Toc246996179"/>
      <w:bookmarkStart w:id="52" w:name="_Toc152042310"/>
      <w:bookmarkStart w:id="53" w:name="_Toc152045534"/>
      <w:bookmarkStart w:id="54" w:name="_Toc296602424"/>
      <w:bookmarkStart w:id="55" w:name="_Toc144974502"/>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246996923"/>
      <w:bookmarkStart w:id="58" w:name="_Toc247085694"/>
      <w:bookmarkStart w:id="59" w:name="_Toc179632552"/>
      <w:bookmarkStart w:id="60" w:name="_Toc144974503"/>
      <w:bookmarkStart w:id="61" w:name="_Toc152045535"/>
      <w:bookmarkStart w:id="62" w:name="_Toc246996180"/>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2312"/>
      <w:bookmarkStart w:id="65" w:name="_Toc144974504"/>
      <w:bookmarkStart w:id="66" w:name="_Toc246996924"/>
      <w:bookmarkStart w:id="67" w:name="_Toc179632553"/>
      <w:bookmarkStart w:id="68" w:name="_Toc246996181"/>
      <w:bookmarkStart w:id="69" w:name="_Toc152045536"/>
      <w:bookmarkStart w:id="70" w:name="_Toc296602426"/>
      <w:bookmarkStart w:id="71" w:name="_Toc247085695"/>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246996925"/>
      <w:bookmarkStart w:id="75" w:name="_Toc179632554"/>
      <w:bookmarkStart w:id="76" w:name="_Toc152045537"/>
      <w:bookmarkStart w:id="77" w:name="_Toc246996182"/>
      <w:bookmarkStart w:id="78" w:name="_Toc247085696"/>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79632555"/>
      <w:bookmarkStart w:id="82" w:name="_Toc152045538"/>
      <w:bookmarkStart w:id="83" w:name="_Toc144974506"/>
      <w:bookmarkStart w:id="84" w:name="_Toc152042314"/>
      <w:bookmarkStart w:id="85" w:name="_Toc247085697"/>
      <w:bookmarkStart w:id="86" w:name="_Toc24699692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247527563"/>
      <w:bookmarkStart w:id="90" w:name="_Toc296602429"/>
      <w:bookmarkStart w:id="91" w:name="_Toc247513962"/>
      <w:bookmarkStart w:id="92" w:name="_Toc247592876"/>
      <w:bookmarkStart w:id="93" w:name="_Toc152045539"/>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247592877"/>
      <w:bookmarkStart w:id="96" w:name="_Toc296602430"/>
      <w:bookmarkStart w:id="97" w:name="_Toc247513963"/>
      <w:bookmarkStart w:id="98" w:name="_Toc152045540"/>
      <w:bookmarkStart w:id="99" w:name="_Toc152042316"/>
      <w:bookmarkStart w:id="100" w:name="_Toc247527564"/>
      <w:bookmarkStart w:id="101" w:name="_Toc144974508"/>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10"/>
      <w:bookmarkStart w:id="104" w:name="_Toc247085701"/>
      <w:bookmarkStart w:id="105" w:name="_Toc246996187"/>
      <w:bookmarkStart w:id="106" w:name="_Toc179632560"/>
      <w:bookmarkStart w:id="107" w:name="_Toc152042318"/>
      <w:bookmarkStart w:id="108" w:name="_Toc152045542"/>
      <w:bookmarkStart w:id="109" w:name="_Toc296602432"/>
      <w:bookmarkStart w:id="110" w:name="_Toc24699693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19"/>
      <w:bookmarkStart w:id="112" w:name="_Toc246996931"/>
      <w:bookmarkStart w:id="113" w:name="_Toc152045543"/>
      <w:bookmarkStart w:id="114" w:name="_Toc246996188"/>
      <w:bookmarkStart w:id="115" w:name="_Toc144974511"/>
      <w:bookmarkStart w:id="116" w:name="_Toc296602433"/>
      <w:bookmarkStart w:id="117" w:name="_Toc179632561"/>
      <w:bookmarkStart w:id="118" w:name="_Toc247085702"/>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62"/>
      <w:bookmarkStart w:id="120" w:name="_Toc152045544"/>
      <w:bookmarkStart w:id="121" w:name="_Toc246996189"/>
      <w:bookmarkStart w:id="122" w:name="_Toc152042320"/>
      <w:bookmarkStart w:id="123" w:name="_Toc296602434"/>
      <w:bookmarkStart w:id="124" w:name="_Toc144974512"/>
      <w:bookmarkStart w:id="125" w:name="_Toc246996932"/>
      <w:bookmarkStart w:id="126" w:name="_Toc247085703"/>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296602435"/>
      <w:bookmarkStart w:id="129" w:name="_Toc152042321"/>
      <w:bookmarkStart w:id="130" w:name="_Toc247085704"/>
      <w:bookmarkStart w:id="131" w:name="_Toc179632563"/>
      <w:bookmarkStart w:id="132" w:name="_Toc144974513"/>
      <w:bookmarkStart w:id="133" w:name="_Toc246996933"/>
      <w:bookmarkStart w:id="134" w:name="_Toc246996190"/>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34"/>
      <w:bookmarkStart w:id="136" w:name="_Toc152042322"/>
      <w:bookmarkStart w:id="137" w:name="_Toc246996191"/>
      <w:bookmarkStart w:id="138" w:name="_Toc247085705"/>
      <w:bookmarkStart w:id="139" w:name="_Toc179632564"/>
      <w:bookmarkStart w:id="140" w:name="_Toc152045546"/>
      <w:bookmarkStart w:id="141" w:name="_Toc296602436"/>
      <w:bookmarkStart w:id="142" w:name="_Toc14497451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65"/>
      <w:bookmarkStart w:id="144" w:name="_Toc247085706"/>
      <w:bookmarkStart w:id="145" w:name="_Toc152045547"/>
      <w:bookmarkStart w:id="146" w:name="_Toc246996935"/>
      <w:bookmarkStart w:id="147" w:name="_Toc152042323"/>
      <w:bookmarkStart w:id="148" w:name="_Toc144974515"/>
      <w:bookmarkStart w:id="149" w:name="_Toc296602437"/>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936"/>
      <w:bookmarkStart w:id="152" w:name="_Toc247085707"/>
      <w:bookmarkStart w:id="153" w:name="_Toc296602438"/>
      <w:bookmarkStart w:id="154" w:name="_Toc152042324"/>
      <w:bookmarkStart w:id="155" w:name="_Toc144974516"/>
      <w:bookmarkStart w:id="156" w:name="_Toc179632566"/>
      <w:bookmarkStart w:id="157" w:name="_Toc152045548"/>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52045549"/>
      <w:bookmarkStart w:id="161" w:name="_Toc144974517"/>
      <w:bookmarkStart w:id="162" w:name="_Toc17963256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8"/>
      <w:bookmarkStart w:id="168" w:name="_Toc246996195"/>
      <w:bookmarkStart w:id="169" w:name="_Toc247085709"/>
      <w:bookmarkStart w:id="170" w:name="_Toc296602440"/>
      <w:bookmarkStart w:id="171" w:name="_Toc179632568"/>
      <w:bookmarkStart w:id="172" w:name="_Toc144974518"/>
      <w:bookmarkStart w:id="173" w:name="_Toc152042326"/>
      <w:bookmarkStart w:id="174" w:name="_Toc15204555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79632570"/>
      <w:bookmarkStart w:id="176" w:name="_Toc144974520"/>
      <w:bookmarkStart w:id="177" w:name="_Toc246996196"/>
      <w:bookmarkStart w:id="178" w:name="_Toc152045552"/>
      <w:bookmarkStart w:id="179" w:name="_Toc152042328"/>
      <w:bookmarkStart w:id="180" w:name="_Toc246996939"/>
      <w:bookmarkStart w:id="181" w:name="_Toc296602441"/>
      <w:bookmarkStart w:id="182" w:name="_Toc24708571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152045553"/>
      <w:bookmarkStart w:id="185" w:name="_Toc152042329"/>
      <w:bookmarkStart w:id="186" w:name="_Toc247085711"/>
      <w:bookmarkStart w:id="187" w:name="_Toc246996197"/>
      <w:bookmarkStart w:id="188" w:name="_Toc144974521"/>
      <w:bookmarkStart w:id="189" w:name="_Toc179632571"/>
      <w:bookmarkStart w:id="190" w:name="_Toc246996940"/>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152045555"/>
      <w:bookmarkStart w:id="192" w:name="_Toc246996199"/>
      <w:bookmarkStart w:id="193" w:name="_Toc179632573"/>
      <w:bookmarkStart w:id="194" w:name="_Toc144974523"/>
      <w:bookmarkStart w:id="195" w:name="_Toc246996942"/>
      <w:bookmarkStart w:id="196" w:name="_Toc247085713"/>
      <w:bookmarkStart w:id="197"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96602444"/>
      <w:bookmarkStart w:id="200" w:name="_Toc246996943"/>
      <w:bookmarkStart w:id="201" w:name="_Toc152045556"/>
      <w:bookmarkStart w:id="202" w:name="_Toc246996200"/>
      <w:bookmarkStart w:id="203" w:name="_Toc179632574"/>
      <w:bookmarkStart w:id="204" w:name="_Toc144974524"/>
      <w:bookmarkStart w:id="205" w:name="_Toc247085714"/>
      <w:bookmarkStart w:id="206" w:name="_Toc152042332"/>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2333"/>
      <w:bookmarkStart w:id="208" w:name="_Toc246996944"/>
      <w:bookmarkStart w:id="209" w:name="_Toc247085715"/>
      <w:bookmarkStart w:id="210" w:name="_Toc152045557"/>
      <w:bookmarkStart w:id="211" w:name="_Toc144974525"/>
      <w:bookmarkStart w:id="212" w:name="_Toc179632575"/>
      <w:bookmarkStart w:id="213" w:name="_Toc246996201"/>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6"/>
      <w:bookmarkStart w:id="216" w:name="_Toc144974526"/>
      <w:bookmarkStart w:id="217" w:name="_Toc152045558"/>
      <w:bookmarkStart w:id="218" w:name="_Toc246996945"/>
      <w:bookmarkStart w:id="219" w:name="_Toc247085716"/>
      <w:bookmarkStart w:id="220" w:name="_Toc152042334"/>
      <w:bookmarkStart w:id="221" w:name="_Toc246996202"/>
      <w:bookmarkStart w:id="222" w:name="_Toc17963257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247085717"/>
      <w:bookmarkStart w:id="225" w:name="_Toc246996946"/>
      <w:bookmarkStart w:id="226" w:name="_Toc144974527"/>
      <w:bookmarkStart w:id="227" w:name="_Toc296602447"/>
      <w:bookmarkStart w:id="228" w:name="_Toc152045559"/>
      <w:bookmarkStart w:id="229" w:name="_Toc179632577"/>
      <w:bookmarkStart w:id="230" w:name="_Toc246996203"/>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44974528"/>
      <w:bookmarkStart w:id="232" w:name="_Toc296602448"/>
      <w:bookmarkStart w:id="233" w:name="_Toc152045560"/>
      <w:bookmarkStart w:id="234" w:name="_Toc152042336"/>
      <w:bookmarkStart w:id="235" w:name="_Toc247085718"/>
      <w:bookmarkStart w:id="236" w:name="_Toc246996947"/>
      <w:bookmarkStart w:id="237" w:name="_Toc179632578"/>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205"/>
      <w:bookmarkStart w:id="240" w:name="_Toc144974529"/>
      <w:bookmarkStart w:id="241" w:name="_Toc179632579"/>
      <w:bookmarkStart w:id="242" w:name="_Toc152042337"/>
      <w:bookmarkStart w:id="243" w:name="_Toc247085719"/>
      <w:bookmarkStart w:id="244" w:name="_Toc246996948"/>
      <w:bookmarkStart w:id="245" w:name="_Toc296602449"/>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2338"/>
      <w:bookmarkStart w:id="249" w:name="_Toc246996949"/>
      <w:bookmarkStart w:id="250" w:name="_Toc144974530"/>
      <w:bookmarkStart w:id="251" w:name="_Toc247085720"/>
      <w:bookmarkStart w:id="252" w:name="_Toc296602451"/>
      <w:bookmarkStart w:id="253" w:name="_Toc179632580"/>
      <w:bookmarkStart w:id="254" w:name="_Toc246996206"/>
      <w:bookmarkStart w:id="255" w:name="_Toc152045562"/>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96602452"/>
      <w:bookmarkStart w:id="257" w:name="_Toc152042339"/>
      <w:bookmarkStart w:id="258" w:name="_Toc246996950"/>
      <w:bookmarkStart w:id="259" w:name="_Toc179632581"/>
      <w:bookmarkStart w:id="260" w:name="_Toc246996207"/>
      <w:bookmarkStart w:id="261" w:name="_Toc144974531"/>
      <w:bookmarkStart w:id="262" w:name="_Toc247085721"/>
      <w:bookmarkStart w:id="263" w:name="_Toc152045563"/>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2340"/>
      <w:bookmarkStart w:id="265" w:name="_Toc144974532"/>
      <w:bookmarkStart w:id="266" w:name="_Toc179632582"/>
      <w:bookmarkStart w:id="267" w:name="_Toc246996208"/>
      <w:bookmarkStart w:id="268" w:name="_Toc152045564"/>
      <w:bookmarkStart w:id="269" w:name="_Toc247085722"/>
      <w:bookmarkStart w:id="270" w:name="_Toc246996951"/>
      <w:bookmarkStart w:id="271" w:name="_Toc296602453"/>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152042341"/>
      <w:bookmarkStart w:id="274" w:name="_Toc179632583"/>
      <w:bookmarkStart w:id="275" w:name="_Toc144974533"/>
      <w:bookmarkStart w:id="276" w:name="_Toc246996209"/>
      <w:bookmarkStart w:id="277" w:name="_Toc296602454"/>
      <w:bookmarkStart w:id="278" w:name="_Toc246996952"/>
      <w:bookmarkStart w:id="279" w:name="_Toc152045565"/>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144974534"/>
      <w:bookmarkStart w:id="282" w:name="_Toc247085724"/>
      <w:bookmarkStart w:id="283" w:name="_Toc179632584"/>
      <w:bookmarkStart w:id="284" w:name="_Toc246996953"/>
      <w:bookmarkStart w:id="285" w:name="_Toc152045566"/>
      <w:bookmarkStart w:id="286" w:name="_Toc296602455"/>
      <w:bookmarkStart w:id="287" w:name="_Toc246996210"/>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246996955"/>
      <w:bookmarkStart w:id="290" w:name="_Toc179632586"/>
      <w:bookmarkStart w:id="291" w:name="_Toc246996212"/>
      <w:bookmarkStart w:id="292" w:name="_Toc152042344"/>
      <w:bookmarkStart w:id="293" w:name="_Toc144974536"/>
      <w:bookmarkStart w:id="294" w:name="_Toc296602458"/>
      <w:bookmarkStart w:id="295" w:name="_Toc152045568"/>
      <w:bookmarkStart w:id="296" w:name="_Toc247085726"/>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96602459"/>
      <w:bookmarkStart w:id="298" w:name="_Toc152042345"/>
      <w:bookmarkStart w:id="299" w:name="_Toc144974537"/>
      <w:bookmarkStart w:id="300" w:name="_Toc246996956"/>
      <w:bookmarkStart w:id="301" w:name="_Toc246996213"/>
      <w:bookmarkStart w:id="302" w:name="_Toc247085727"/>
      <w:bookmarkStart w:id="303" w:name="_Toc152045569"/>
      <w:bookmarkStart w:id="304" w:name="_Toc179632587"/>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296602460"/>
      <w:bookmarkStart w:id="306" w:name="_Toc144974538"/>
      <w:bookmarkStart w:id="307" w:name="_Toc246996957"/>
      <w:bookmarkStart w:id="308" w:name="_Toc152045570"/>
      <w:bookmarkStart w:id="309" w:name="_Toc179632588"/>
      <w:bookmarkStart w:id="310" w:name="_Toc152042346"/>
      <w:bookmarkStart w:id="311" w:name="_Toc246996214"/>
      <w:bookmarkStart w:id="312" w:name="_Toc247085728"/>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179632593"/>
      <w:bookmarkStart w:id="315" w:name="_Toc152042351"/>
      <w:bookmarkStart w:id="316" w:name="_Toc246996219"/>
      <w:bookmarkStart w:id="317" w:name="_Toc152045575"/>
      <w:bookmarkStart w:id="318" w:name="_Toc246996962"/>
      <w:bookmarkStart w:id="319" w:name="_Toc296602462"/>
      <w:bookmarkStart w:id="320" w:name="_Toc247085733"/>
      <w:bookmarkStart w:id="321" w:name="_Toc144974543"/>
      <w:bookmarkStart w:id="322" w:name="_Toc296590983"/>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23" w:name="_Toc296602463"/>
      <w:bookmarkStart w:id="324" w:name="_Toc247085734"/>
      <w:bookmarkStart w:id="325" w:name="_Toc246996220"/>
      <w:bookmarkStart w:id="326" w:name="_Toc152045576"/>
      <w:bookmarkStart w:id="327" w:name="_Toc246996963"/>
      <w:bookmarkStart w:id="328" w:name="_Toc144974544"/>
      <w:bookmarkStart w:id="329" w:name="_Toc179632594"/>
      <w:bookmarkStart w:id="330" w:name="_Toc152042352"/>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152045577"/>
      <w:bookmarkStart w:id="332" w:name="_Toc296602464"/>
      <w:bookmarkStart w:id="333" w:name="_Toc152042353"/>
      <w:bookmarkStart w:id="334" w:name="_Toc246996221"/>
      <w:bookmarkStart w:id="335" w:name="_Toc179632595"/>
      <w:bookmarkStart w:id="336" w:name="_Toc246996964"/>
      <w:bookmarkStart w:id="337" w:name="_Toc144974545"/>
      <w:bookmarkStart w:id="338" w:name="_Toc247085735"/>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222"/>
      <w:bookmarkStart w:id="340" w:name="_Toc152042354"/>
      <w:bookmarkStart w:id="341" w:name="_Toc296602465"/>
      <w:bookmarkStart w:id="342" w:name="_Toc179632596"/>
      <w:bookmarkStart w:id="343" w:name="_Toc247085736"/>
      <w:bookmarkStart w:id="344" w:name="_Toc152045578"/>
      <w:bookmarkStart w:id="345" w:name="_Toc246996965"/>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96602466"/>
      <w:bookmarkStart w:id="349" w:name="_Toc179632597"/>
      <w:bookmarkStart w:id="350" w:name="_Toc246996223"/>
      <w:bookmarkStart w:id="351" w:name="_Toc152045579"/>
      <w:bookmarkStart w:id="352" w:name="_Toc152042356"/>
      <w:bookmarkStart w:id="353" w:name="_Toc246996966"/>
      <w:bookmarkStart w:id="354" w:name="_Toc247085737"/>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80"/>
      <w:bookmarkStart w:id="357" w:name="_Toc179632598"/>
      <w:bookmarkStart w:id="358" w:name="_Toc246996967"/>
      <w:bookmarkStart w:id="359" w:name="_Toc144974547"/>
      <w:bookmarkStart w:id="360" w:name="_Toc152042357"/>
      <w:bookmarkStart w:id="361" w:name="_Toc296602467"/>
      <w:bookmarkStart w:id="362" w:name="_Toc247085738"/>
      <w:bookmarkStart w:id="363" w:name="_Toc246996224"/>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条款号</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评审因素</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2.1.1</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形式评审标准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投标人名称</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与营业执照、资质证书</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安全生产许可证</w:t>
            </w:r>
            <w:r>
              <w:rPr>
                <w:rFonts w:hint="default" w:ascii="Times New Roman" w:hAnsi="Times New Roman" w:cs="Times New Roman" w:eastAsiaTheme="minorEastAsia"/>
                <w:color w:val="000000"/>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rPr>
            </w:pPr>
            <w:r>
              <w:rPr>
                <w:rFonts w:hint="eastAsia" w:ascii="Times New Roman" w:hAnsi="Times New Roman" w:cs="Times New Roman"/>
                <w:color w:val="000000"/>
                <w:kern w:val="0"/>
                <w:sz w:val="24"/>
                <w:szCs w:val="24"/>
                <w:highlight w:val="none"/>
                <w:lang w:val="en-US" w:eastAsia="zh-CN"/>
              </w:rPr>
              <w:t>投标函及投标函附录</w:t>
            </w:r>
            <w:r>
              <w:rPr>
                <w:rFonts w:hint="default" w:ascii="Times New Roman" w:hAnsi="Times New Roman" w:cs="Times New Roman" w:eastAsiaTheme="minorEastAsia"/>
                <w:color w:val="000000"/>
                <w:kern w:val="0"/>
                <w:sz w:val="24"/>
                <w:szCs w:val="24"/>
                <w:highlight w:val="none"/>
              </w:rPr>
              <w:t>签字盖章</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000000"/>
                <w:kern w:val="0"/>
                <w:sz w:val="24"/>
                <w:szCs w:val="24"/>
                <w:highlight w:val="none"/>
                <w:lang w:eastAsia="zh-CN"/>
              </w:rPr>
            </w:pPr>
            <w:r>
              <w:rPr>
                <w:rFonts w:hint="default" w:ascii="Times New Roman" w:hAnsi="Times New Roman" w:cs="Times New Roman" w:eastAsiaTheme="minorEastAsia"/>
                <w:color w:val="000000"/>
                <w:kern w:val="0"/>
                <w:sz w:val="24"/>
                <w:szCs w:val="24"/>
                <w:highlight w:val="none"/>
              </w:rPr>
              <w:t>有法定代表人</w:t>
            </w:r>
            <w:r>
              <w:rPr>
                <w:rFonts w:hint="eastAsia" w:ascii="Times New Roman" w:hAnsi="Times New Roman" w:cs="Times New Roman"/>
                <w:color w:val="000000"/>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投标文件格式</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000000"/>
                <w:kern w:val="0"/>
                <w:sz w:val="24"/>
                <w:szCs w:val="24"/>
                <w:highlight w:val="none"/>
                <w:lang w:eastAsia="zh-CN"/>
              </w:rPr>
            </w:pPr>
            <w:r>
              <w:rPr>
                <w:rFonts w:hint="default" w:ascii="Times New Roman" w:hAnsi="Times New Roman" w:cs="Times New Roman" w:eastAsiaTheme="minorEastAsia"/>
                <w:color w:val="000000"/>
                <w:kern w:val="0"/>
                <w:sz w:val="24"/>
                <w:szCs w:val="24"/>
                <w:highlight w:val="none"/>
              </w:rPr>
              <w:t>符合第</w:t>
            </w:r>
            <w:r>
              <w:rPr>
                <w:rFonts w:hint="eastAsia" w:ascii="Times New Roman" w:hAnsi="Times New Roman" w:cs="Times New Roman"/>
                <w:color w:val="000000"/>
                <w:kern w:val="0"/>
                <w:sz w:val="24"/>
                <w:szCs w:val="24"/>
                <w:highlight w:val="none"/>
                <w:lang w:val="en-US" w:eastAsia="zh-CN"/>
              </w:rPr>
              <w:t>六</w:t>
            </w:r>
            <w:r>
              <w:rPr>
                <w:rFonts w:hint="default" w:ascii="Times New Roman" w:hAnsi="Times New Roman" w:cs="Times New Roman" w:eastAsiaTheme="minorEastAsia"/>
                <w:color w:val="000000"/>
                <w:kern w:val="0"/>
                <w:sz w:val="24"/>
                <w:szCs w:val="24"/>
                <w:highlight w:val="none"/>
              </w:rPr>
              <w:t>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投标文件格式</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的</w:t>
            </w:r>
            <w:r>
              <w:rPr>
                <w:rFonts w:hint="eastAsia" w:ascii="Times New Roman" w:hAnsi="Times New Roman" w:cs="Times New Roman"/>
                <w:color w:val="000000"/>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报价唯一</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permStart w:id="43" w:edGrp="everyone" w:colFirst="3" w:colLast="3"/>
            <w:r>
              <w:rPr>
                <w:rFonts w:hint="eastAsia" w:ascii="Times New Roman" w:hAnsi="Times New Roman" w:cs="Times New Roman"/>
                <w:color w:val="000000"/>
                <w:kern w:val="0"/>
                <w:sz w:val="24"/>
                <w:szCs w:val="24"/>
                <w:highlight w:val="none"/>
                <w:lang w:val="en-US" w:eastAsia="zh-CN"/>
              </w:rPr>
              <w:t>2.1.2</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资格评审标准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default" w:ascii="Times New Roman" w:hAnsi="Times New Roman" w:cs="Times New Roman" w:eastAsiaTheme="minorEastAsia"/>
                <w:color w:val="000000"/>
                <w:kern w:val="0"/>
                <w:sz w:val="24"/>
                <w:szCs w:val="24"/>
                <w:highlight w:val="none"/>
              </w:rPr>
              <w:t>营业执照</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4"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资质等级</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5"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财务要求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6"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业绩要求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000000"/>
                <w:kern w:val="0"/>
                <w:sz w:val="24"/>
                <w:szCs w:val="24"/>
                <w:highlight w:val="none"/>
                <w:lang w:val="en-US" w:eastAsia="zh-CN" w:bidi="ar-SA"/>
              </w:rPr>
            </w:pPr>
            <w:r>
              <w:rPr>
                <w:rFonts w:hint="eastAsia" w:ascii="Times New Roman" w:hAnsi="Times New Roman" w:cs="Times New Roman"/>
                <w:color w:val="000000"/>
                <w:kern w:val="0"/>
                <w:sz w:val="24"/>
                <w:szCs w:val="24"/>
                <w:highlight w:val="none"/>
                <w:lang w:val="en-US" w:eastAsia="zh-CN"/>
              </w:rPr>
              <w:t>信誉要求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000000"/>
                <w:kern w:val="0"/>
                <w:sz w:val="24"/>
                <w:szCs w:val="24"/>
                <w:highlight w:val="none"/>
                <w:lang w:val="en-US" w:eastAsia="zh-CN" w:bidi="ar-SA"/>
              </w:rPr>
            </w:pPr>
            <w:permStart w:id="47" w:edGrp="everyone"/>
            <w:r>
              <w:rPr>
                <w:rFonts w:hint="eastAsia" w:ascii="Times New Roman" w:hAnsi="Times New Roman" w:cs="Times New Roman"/>
                <w:color w:val="000000"/>
                <w:kern w:val="0"/>
                <w:sz w:val="24"/>
                <w:szCs w:val="24"/>
                <w:highlight w:val="none"/>
                <w:lang w:val="en-US" w:eastAsia="zh-CN"/>
              </w:rPr>
              <w:t>符合第二章“投标人须知”第1.4.1项规定</w:t>
            </w:r>
            <w:permEnd w:id="4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8"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联合体投标人</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符合第二章“投标人须知”第1.4.2项规定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49"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不存在禁止投标的情形</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不存在第二章“投标人须知”第1.4.3项规定的任何一种情形</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000000"/>
                <w:kern w:val="0"/>
                <w:sz w:val="24"/>
                <w:szCs w:val="24"/>
                <w:highlight w:val="none"/>
                <w:lang w:val="en-US" w:eastAsia="zh-CN" w:bidi="ar-SA"/>
              </w:rPr>
            </w:pPr>
            <w:r>
              <w:rPr>
                <w:rFonts w:hint="eastAsia" w:ascii="Times New Roman" w:hAnsi="Times New Roman" w:cs="Times New Roman"/>
                <w:color w:val="000000"/>
                <w:kern w:val="0"/>
                <w:sz w:val="24"/>
                <w:szCs w:val="24"/>
                <w:highlight w:val="none"/>
                <w:lang w:val="en-US" w:eastAsia="zh-CN"/>
              </w:rPr>
              <w:t>其他要求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000000"/>
                <w:kern w:val="0"/>
                <w:sz w:val="24"/>
                <w:szCs w:val="24"/>
                <w:highlight w:val="none"/>
                <w:lang w:val="en-US" w:eastAsia="zh-CN" w:bidi="ar-SA"/>
              </w:rPr>
            </w:pPr>
            <w:permStart w:id="50" w:edGrp="everyone"/>
            <w:r>
              <w:rPr>
                <w:rFonts w:hint="eastAsia" w:ascii="Times New Roman" w:hAnsi="Times New Roman" w:cs="Times New Roman"/>
                <w:color w:val="000000"/>
                <w:kern w:val="0"/>
                <w:sz w:val="24"/>
                <w:szCs w:val="24"/>
                <w:highlight w:val="none"/>
                <w:lang w:val="en-US" w:eastAsia="zh-CN"/>
              </w:rPr>
              <w:t>符合第二章“投标人须知”第1.4.1项规定</w:t>
            </w:r>
            <w:permEnd w:id="5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permStart w:id="51" w:edGrp="everyone" w:colFirst="3" w:colLast="3"/>
            <w:r>
              <w:rPr>
                <w:rFonts w:hint="eastAsia" w:ascii="Times New Roman" w:hAnsi="Times New Roman" w:cs="Times New Roman"/>
                <w:color w:val="000000"/>
                <w:kern w:val="0"/>
                <w:sz w:val="24"/>
                <w:szCs w:val="24"/>
                <w:highlight w:val="none"/>
                <w:lang w:val="en-US" w:eastAsia="zh-CN"/>
              </w:rPr>
              <w:t>2.1.3</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响应性评审标准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eastAsia" w:ascii="Times New Roman" w:hAnsi="Times New Roman" w:cs="Times New Roman"/>
                <w:color w:val="000000"/>
                <w:kern w:val="0"/>
                <w:sz w:val="24"/>
                <w:szCs w:val="24"/>
                <w:highlight w:val="none"/>
                <w:lang w:val="en-US" w:eastAsia="zh-CN"/>
              </w:rPr>
              <w:t>投标报价</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第3.2.3项</w:t>
            </w:r>
            <w:r>
              <w:rPr>
                <w:rFonts w:hint="default" w:ascii="Times New Roman" w:hAnsi="Times New Roman" w:cs="Times New Roman" w:eastAsiaTheme="minorEastAsia"/>
                <w:color w:val="000000"/>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2"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r>
              <w:rPr>
                <w:rFonts w:hint="eastAsia" w:ascii="Times New Roman" w:hAnsi="Times New Roman" w:cs="Times New Roman"/>
                <w:color w:val="000000"/>
                <w:kern w:val="0"/>
                <w:sz w:val="24"/>
                <w:szCs w:val="24"/>
                <w:highlight w:val="none"/>
                <w:lang w:val="en-US" w:eastAsia="zh-CN"/>
              </w:rPr>
              <w:t>投标内容</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第1.3.1项</w:t>
            </w:r>
            <w:r>
              <w:rPr>
                <w:rFonts w:hint="default" w:ascii="Times New Roman" w:hAnsi="Times New Roman" w:cs="Times New Roman" w:eastAsiaTheme="minorEastAsia"/>
                <w:color w:val="000000"/>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3"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交货期</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第1.3.2项</w:t>
            </w:r>
            <w:r>
              <w:rPr>
                <w:rFonts w:hint="default" w:ascii="Times New Roman" w:hAnsi="Times New Roman" w:cs="Times New Roman" w:eastAsiaTheme="minorEastAsia"/>
                <w:color w:val="000000"/>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4"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交货地点</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第1.3.3项</w:t>
            </w:r>
            <w:r>
              <w:rPr>
                <w:rFonts w:hint="default" w:ascii="Times New Roman" w:hAnsi="Times New Roman" w:cs="Times New Roman" w:eastAsiaTheme="minorEastAsia"/>
                <w:color w:val="000000"/>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5"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投标有效期</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第3.3.1项</w:t>
            </w:r>
            <w:r>
              <w:rPr>
                <w:rFonts w:hint="default" w:ascii="Times New Roman" w:hAnsi="Times New Roman" w:cs="Times New Roman" w:eastAsiaTheme="minorEastAsia"/>
                <w:color w:val="000000"/>
                <w:kern w:val="0"/>
                <w:sz w:val="24"/>
                <w:szCs w:val="24"/>
                <w:highlight w:val="none"/>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6"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投标保证金</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000000"/>
                <w:kern w:val="0"/>
                <w:sz w:val="24"/>
                <w:szCs w:val="24"/>
                <w:highlight w:val="none"/>
                <w:lang w:eastAsia="zh-CN"/>
              </w:rPr>
            </w:pPr>
            <w:r>
              <w:rPr>
                <w:rFonts w:hint="default" w:ascii="Times New Roman" w:hAnsi="Times New Roman" w:cs="Times New Roman" w:eastAsiaTheme="minorEastAsia"/>
                <w:color w:val="000000"/>
                <w:kern w:val="0"/>
                <w:sz w:val="24"/>
                <w:szCs w:val="24"/>
                <w:highlight w:val="none"/>
              </w:rPr>
              <w:t>符合第二章</w:t>
            </w:r>
            <w:r>
              <w:rPr>
                <w:rFonts w:hint="eastAsia" w:ascii="Times New Roman" w:hAnsi="Times New Roman" w:cs="Times New Roman"/>
                <w:color w:val="000000"/>
                <w:kern w:val="0"/>
                <w:sz w:val="24"/>
                <w:szCs w:val="24"/>
                <w:highlight w:val="none"/>
                <w:lang w:eastAsia="zh-CN"/>
              </w:rPr>
              <w:t>“</w:t>
            </w:r>
            <w:r>
              <w:rPr>
                <w:rFonts w:hint="default" w:ascii="Times New Roman" w:hAnsi="Times New Roman" w:cs="Times New Roman" w:eastAsiaTheme="minorEastAsia"/>
                <w:color w:val="000000"/>
                <w:kern w:val="0"/>
                <w:sz w:val="24"/>
                <w:szCs w:val="24"/>
                <w:highlight w:val="none"/>
              </w:rPr>
              <w:t>投标人须知</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第3.4.1项</w:t>
            </w:r>
            <w:r>
              <w:rPr>
                <w:rFonts w:hint="default" w:ascii="Times New Roman" w:hAnsi="Times New Roman" w:cs="Times New Roman" w:eastAsiaTheme="minorEastAsia"/>
                <w:color w:val="000000"/>
                <w:kern w:val="0"/>
                <w:sz w:val="24"/>
                <w:szCs w:val="24"/>
                <w:highlight w:val="none"/>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7"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权利义务</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符合第二章“投标人须知”第1.11.1项规定和第四章“合同条款及格式”中的实质性要求和条件</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000000"/>
                <w:kern w:val="0"/>
                <w:sz w:val="24"/>
                <w:szCs w:val="24"/>
                <w:highlight w:val="yellow"/>
                <w:lang w:val="en-US" w:eastAsia="zh-CN" w:bidi="ar-SA"/>
              </w:rPr>
            </w:pPr>
            <w:r>
              <w:rPr>
                <w:rFonts w:hint="eastAsia" w:ascii="Times New Roman" w:hAnsi="Times New Roman" w:cs="Times New Roman"/>
                <w:color w:val="000000"/>
                <w:kern w:val="0"/>
                <w:sz w:val="24"/>
                <w:szCs w:val="24"/>
                <w:highlight w:val="none"/>
                <w:lang w:val="en-US" w:eastAsia="zh-CN"/>
              </w:rPr>
              <w:t>技术支持资料</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000000"/>
                <w:kern w:val="0"/>
                <w:sz w:val="24"/>
                <w:szCs w:val="24"/>
                <w:highlight w:val="none"/>
                <w:lang w:val="en-US" w:eastAsia="zh-CN" w:bidi="ar-SA"/>
              </w:rPr>
            </w:pPr>
            <w:permStart w:id="58" w:edGrp="everyone"/>
            <w:r>
              <w:rPr>
                <w:rFonts w:hint="eastAsia" w:ascii="Times New Roman" w:hAnsi="Times New Roman" w:cs="Times New Roman"/>
                <w:color w:val="000000"/>
                <w:kern w:val="0"/>
                <w:sz w:val="24"/>
                <w:szCs w:val="24"/>
                <w:highlight w:val="none"/>
                <w:lang w:val="en-US" w:eastAsia="zh-CN"/>
              </w:rPr>
              <w:t>符合第二章“投标人须知”第1.11.3项规定</w:t>
            </w:r>
            <w:permEnd w:id="5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技术性能指标</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符合第二章“投标人须知”第1.11.1项规定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投标设备及技术服务和质保期服务</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 xml:space="preserve"> 符合第二章“投标人须知”第1.11.1项规定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ermStart w:id="59"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000000"/>
                <w:kern w:val="0"/>
                <w:sz w:val="24"/>
                <w:szCs w:val="24"/>
                <w:highlight w:val="none"/>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其他要求</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 xml:space="preserve"> 符合第二章“投标人须知”第1.11.1项规定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kern w:val="0"/>
                <w:sz w:val="24"/>
                <w:szCs w:val="24"/>
                <w:highlight w:val="none"/>
                <w:lang w:val="en-US" w:eastAsia="zh-CN"/>
              </w:rPr>
            </w:pPr>
            <w:bookmarkStart w:id="364" w:name="_Toc152042366"/>
            <w:bookmarkStart w:id="365" w:name="_Toc296602477"/>
            <w:bookmarkStart w:id="366" w:name="_Toc247085747"/>
            <w:bookmarkStart w:id="367" w:name="_Toc144974556"/>
            <w:bookmarkStart w:id="368" w:name="_Toc152045589"/>
            <w:bookmarkStart w:id="369" w:name="_Toc246996232"/>
            <w:bookmarkStart w:id="370" w:name="_Toc246996975"/>
            <w:bookmarkStart w:id="371" w:name="_Toc179632607"/>
            <w:r>
              <w:rPr>
                <w:rFonts w:hint="default" w:ascii="Times New Roman" w:hAnsi="Times New Roman" w:cs="Times New Roman"/>
                <w:b/>
                <w:bCs/>
                <w:color w:val="000000"/>
                <w:kern w:val="0"/>
                <w:sz w:val="24"/>
                <w:szCs w:val="24"/>
                <w:highlight w:val="none"/>
                <w:lang w:val="en-US" w:eastAsia="zh-CN"/>
              </w:rPr>
              <w:t>条款号</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条款内容</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2.2.1</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default" w:ascii="Times New Roman" w:hAnsi="Times New Roman" w:cs="Times New Roman"/>
                <w:i w:val="0"/>
                <w:iCs w:val="0"/>
                <w:color w:val="00000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default" w:ascii="Times New Roman" w:hAnsi="Times New Roman" w:cs="Times New Roman"/>
                <w:i w:val="0"/>
                <w:iCs w:val="0"/>
                <w:color w:val="000000"/>
                <w:kern w:val="0"/>
                <w:sz w:val="24"/>
                <w:szCs w:val="24"/>
                <w:highlight w:val="none"/>
                <w:lang w:val="en-US" w:eastAsia="zh-CN"/>
              </w:rPr>
              <w:t>（总分100分）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000000"/>
                <w:kern w:val="0"/>
                <w:sz w:val="24"/>
                <w:szCs w:val="24"/>
                <w:highlight w:val="none"/>
              </w:rPr>
            </w:pPr>
            <w:permStart w:id="60" w:edGrp="everyone"/>
            <w:r>
              <w:rPr>
                <w:rFonts w:hint="eastAsia" w:ascii="Times New Roman" w:hAnsi="Times New Roman" w:cs="Times New Roman"/>
                <w:i w:val="0"/>
                <w:iCs w:val="0"/>
                <w:color w:val="000000"/>
                <w:kern w:val="0"/>
                <w:sz w:val="24"/>
                <w:szCs w:val="24"/>
                <w:highlight w:val="none"/>
                <w:lang w:val="en-US" w:eastAsia="zh-CN"/>
              </w:rPr>
              <w:t>商务部分</w:t>
            </w:r>
            <w:r>
              <w:rPr>
                <w:rFonts w:hint="default" w:ascii="Times New Roman" w:hAnsi="Times New Roman" w:cs="Times New Roman" w:eastAsiaTheme="minorEastAsia"/>
                <w:i w:val="0"/>
                <w:iCs w:val="0"/>
                <w:color w:val="000000"/>
                <w:kern w:val="0"/>
                <w:sz w:val="24"/>
                <w:szCs w:val="24"/>
                <w:highlight w:val="none"/>
              </w:rPr>
              <w:t>：</w:t>
            </w:r>
            <w:r>
              <w:rPr>
                <w:rFonts w:hint="eastAsia" w:ascii="Times New Roman" w:hAnsi="Times New Roman" w:cs="Times New Roman"/>
                <w:i w:val="0"/>
                <w:iCs w:val="0"/>
                <w:color w:val="000000"/>
                <w:kern w:val="0"/>
                <w:sz w:val="24"/>
                <w:szCs w:val="24"/>
                <w:highlight w:val="none"/>
                <w:u w:val="single"/>
                <w:lang w:val="en-US" w:eastAsia="zh-CN"/>
              </w:rPr>
              <w:t xml:space="preserve"> 20 </w:t>
            </w:r>
            <w:r>
              <w:rPr>
                <w:rFonts w:hint="default" w:ascii="Times New Roman" w:hAnsi="Times New Roman" w:cs="Times New Roman" w:eastAsiaTheme="minorEastAsia"/>
                <w:i w:val="0"/>
                <w:iCs w:val="0"/>
                <w:color w:val="000000"/>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Times New Roman" w:hAnsi="Times New Roman" w:cs="Times New Roman"/>
                <w:i w:val="0"/>
                <w:iCs w:val="0"/>
                <w:color w:val="000000"/>
                <w:kern w:val="0"/>
                <w:sz w:val="24"/>
                <w:szCs w:val="24"/>
                <w:highlight w:val="none"/>
                <w:lang w:val="en-US" w:eastAsia="zh-CN"/>
              </w:rPr>
              <w:t>技术部分：</w:t>
            </w:r>
            <w:r>
              <w:rPr>
                <w:rFonts w:hint="eastAsia" w:ascii="Times New Roman" w:hAnsi="Times New Roman" w:cs="Times New Roman"/>
                <w:i w:val="0"/>
                <w:iCs w:val="0"/>
                <w:color w:val="000000"/>
                <w:kern w:val="0"/>
                <w:sz w:val="24"/>
                <w:szCs w:val="24"/>
                <w:highlight w:val="none"/>
                <w:u w:val="single"/>
                <w:lang w:val="en-US" w:eastAsia="zh-CN"/>
              </w:rPr>
              <w:t xml:space="preserve"> 40 </w:t>
            </w:r>
            <w:r>
              <w:rPr>
                <w:rFonts w:hint="default" w:ascii="Times New Roman" w:hAnsi="Times New Roman" w:cs="Times New Roman" w:eastAsiaTheme="minorEastAsia"/>
                <w:i w:val="0"/>
                <w:iCs w:val="0"/>
                <w:color w:val="000000"/>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000000"/>
                <w:kern w:val="0"/>
                <w:sz w:val="24"/>
                <w:szCs w:val="24"/>
                <w:highlight w:val="yellow"/>
                <w:lang w:val="en-US"/>
              </w:rPr>
            </w:pPr>
            <w:r>
              <w:rPr>
                <w:rFonts w:hint="eastAsia" w:ascii="Times New Roman" w:hAnsi="Times New Roman" w:cs="Times New Roman"/>
                <w:i w:val="0"/>
                <w:iCs w:val="0"/>
                <w:color w:val="000000"/>
                <w:kern w:val="0"/>
                <w:sz w:val="24"/>
                <w:szCs w:val="24"/>
                <w:highlight w:val="none"/>
                <w:lang w:val="en-US" w:eastAsia="zh-CN"/>
              </w:rPr>
              <w:t>投标报价：</w:t>
            </w:r>
            <w:r>
              <w:rPr>
                <w:rFonts w:hint="eastAsia" w:ascii="Times New Roman" w:hAnsi="Times New Roman" w:cs="Times New Roman"/>
                <w:i w:val="0"/>
                <w:iCs w:val="0"/>
                <w:color w:val="000000"/>
                <w:kern w:val="0"/>
                <w:sz w:val="24"/>
                <w:szCs w:val="24"/>
                <w:highlight w:val="none"/>
                <w:u w:val="single"/>
                <w:lang w:val="en-US" w:eastAsia="zh-CN"/>
              </w:rPr>
              <w:t xml:space="preserve"> 40 </w:t>
            </w:r>
            <w:r>
              <w:rPr>
                <w:rFonts w:hint="default" w:ascii="Times New Roman" w:hAnsi="Times New Roman" w:cs="Times New Roman" w:eastAsiaTheme="minorEastAsia"/>
                <w:i w:val="0"/>
                <w:iCs w:val="0"/>
                <w:color w:val="000000"/>
                <w:kern w:val="0"/>
                <w:sz w:val="24"/>
                <w:szCs w:val="24"/>
                <w:highlight w:val="none"/>
              </w:rPr>
              <w:t>分</w:t>
            </w:r>
            <w:permEnd w:id="6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46"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2.2.2</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Times New Roman" w:hAnsi="Times New Roman" w:cs="Times New Roman"/>
                <w:i w:val="0"/>
                <w:iCs w:val="0"/>
                <w:color w:val="000000"/>
                <w:kern w:val="0"/>
                <w:sz w:val="24"/>
                <w:szCs w:val="24"/>
                <w:highlight w:val="none"/>
                <w:lang w:val="en-US" w:eastAsia="zh-CN"/>
              </w:rPr>
              <w:t>评标基准价计算方法</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cs="Times New Roman" w:eastAsiaTheme="minorEastAsia"/>
                <w:i w:val="0"/>
                <w:iCs w:val="0"/>
                <w:color w:val="000000"/>
                <w:kern w:val="0"/>
                <w:sz w:val="24"/>
                <w:szCs w:val="24"/>
                <w:highlight w:val="none"/>
                <w:lang w:val="en-US" w:eastAsia="zh-CN"/>
              </w:rPr>
            </w:pPr>
            <w:permStart w:id="61" w:edGrp="everyone"/>
            <w:r>
              <w:rPr>
                <w:rFonts w:hint="eastAsia" w:ascii="Times New Roman" w:hAnsi="Times New Roman" w:cs="Times New Roman"/>
                <w:i w:val="0"/>
                <w:iCs w:val="0"/>
                <w:color w:val="000000"/>
                <w:kern w:val="0"/>
                <w:sz w:val="24"/>
                <w:szCs w:val="24"/>
                <w:highlight w:val="none"/>
                <w:u w:val="single"/>
                <w:lang w:val="en-US" w:eastAsia="zh-CN"/>
              </w:rPr>
              <w:t>以通过初步评审的投标人的算数平均值作为评标基准价。</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2.2.3</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Times New Roman" w:hAnsi="Times New Roman" w:cs="Times New Roman"/>
                <w:i w:val="0"/>
                <w:iCs w:val="0"/>
                <w:color w:val="000000"/>
                <w:kern w:val="0"/>
                <w:sz w:val="24"/>
                <w:szCs w:val="24"/>
                <w:highlight w:val="none"/>
                <w:lang w:val="en-US" w:eastAsia="zh-CN"/>
              </w:rPr>
              <w:t>投标报价的偏差率计算公式</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000000"/>
                <w:kern w:val="0"/>
                <w:sz w:val="24"/>
                <w:szCs w:val="24"/>
                <w:highlight w:val="none"/>
                <w:lang w:val="en-US" w:eastAsia="zh-CN"/>
              </w:rPr>
            </w:pPr>
            <w:permStart w:id="62" w:edGrp="everyone"/>
            <w:r>
              <w:rPr>
                <w:rFonts w:hint="eastAsia" w:ascii="Times New Roman" w:hAnsi="Times New Roman" w:cs="Times New Roman"/>
                <w:i w:val="0"/>
                <w:iCs w:val="0"/>
                <w:color w:val="000000"/>
                <w:kern w:val="0"/>
                <w:sz w:val="24"/>
                <w:szCs w:val="24"/>
                <w:highlight w:val="none"/>
                <w:lang w:val="en-US" w:eastAsia="zh-CN"/>
              </w:rPr>
              <w:t>偏差率=100%×（投标人报价</w:t>
            </w:r>
            <w:r>
              <w:rPr>
                <w:rFonts w:hint="eastAsia" w:ascii="宋体" w:hAnsi="宋体" w:eastAsia="宋体" w:cs="宋体"/>
                <w:i w:val="0"/>
                <w:iCs w:val="0"/>
                <w:color w:val="000000"/>
                <w:kern w:val="0"/>
                <w:sz w:val="24"/>
                <w:szCs w:val="24"/>
                <w:highlight w:val="none"/>
                <w:lang w:val="en-US" w:eastAsia="zh-CN"/>
              </w:rPr>
              <w:t>－</w:t>
            </w:r>
            <w:r>
              <w:rPr>
                <w:rFonts w:hint="eastAsia" w:ascii="Times New Roman" w:hAnsi="Times New Roman" w:cs="Times New Roman"/>
                <w:i w:val="0"/>
                <w:iCs w:val="0"/>
                <w:color w:val="000000"/>
                <w:kern w:val="0"/>
                <w:sz w:val="24"/>
                <w:szCs w:val="24"/>
                <w:highlight w:val="none"/>
                <w:lang w:val="en-US" w:eastAsia="zh-CN"/>
              </w:rPr>
              <w:t>评标基准价）/评标基准价</w:t>
            </w:r>
            <w:permEnd w:id="6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000000"/>
                <w:kern w:val="0"/>
                <w:sz w:val="24"/>
                <w:szCs w:val="24"/>
                <w:highlight w:val="none"/>
                <w:lang w:val="en-US" w:eastAsia="zh-CN"/>
              </w:rPr>
            </w:pPr>
            <w:r>
              <w:rPr>
                <w:rFonts w:hint="default" w:ascii="Times New Roman" w:hAnsi="Times New Roman" w:cs="Times New Roman"/>
                <w:b/>
                <w:bCs/>
                <w:color w:val="000000"/>
                <w:kern w:val="0"/>
                <w:sz w:val="24"/>
                <w:szCs w:val="24"/>
                <w:highlight w:val="none"/>
                <w:lang w:val="en-US" w:eastAsia="zh-CN"/>
              </w:rPr>
              <w:t>条款号</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000000"/>
                <w:kern w:val="0"/>
                <w:sz w:val="24"/>
                <w:szCs w:val="24"/>
                <w:highlight w:val="none"/>
                <w:lang w:val="en-US" w:eastAsia="zh-CN"/>
              </w:rPr>
            </w:pPr>
            <w:r>
              <w:rPr>
                <w:rFonts w:hint="default" w:ascii="Times New Roman" w:hAnsi="Times New Roman" w:cs="Times New Roman"/>
                <w:b/>
                <w:bCs/>
                <w:i w:val="0"/>
                <w:iCs w:val="0"/>
                <w:color w:val="000000"/>
                <w:kern w:val="0"/>
                <w:sz w:val="24"/>
                <w:szCs w:val="24"/>
                <w:highlight w:val="none"/>
                <w:lang w:val="en-US" w:eastAsia="zh-CN"/>
              </w:rPr>
              <w:t>评分因素</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color w:val="000000"/>
                <w:kern w:val="0"/>
                <w:sz w:val="24"/>
                <w:szCs w:val="24"/>
                <w:highlight w:val="none"/>
                <w:lang w:val="en-US" w:eastAsia="zh-CN"/>
              </w:rPr>
            </w:pPr>
            <w:r>
              <w:rPr>
                <w:rFonts w:hint="default" w:ascii="Times New Roman" w:hAnsi="Times New Roman" w:cs="Times New Roman"/>
                <w:b/>
                <w:bCs/>
                <w:i w:val="0"/>
                <w:iCs w:val="0"/>
                <w:color w:val="00000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63" w:edGrp="everyone" w:colFirst="0" w:colLast="0"/>
            <w:permStart w:id="64" w:edGrp="everyone" w:colFirst="1" w:colLast="1"/>
            <w:permStart w:id="65" w:edGrp="everyone" w:colFirst="2" w:colLast="2"/>
            <w:permStart w:id="66" w:edGrp="everyone" w:colFirst="3" w:colLast="3"/>
            <w:r>
              <w:rPr>
                <w:rFonts w:hint="eastAsia" w:ascii="Times New Roman" w:hAnsi="Times New Roman" w:cs="Times New Roman"/>
                <w:color w:val="000000"/>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（1）</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r>
              <w:rPr>
                <w:rFonts w:hint="default" w:ascii="Times New Roman" w:hAnsi="Times New Roman" w:cs="Times New Roman"/>
                <w:i/>
                <w:iCs/>
                <w:color w:val="000000"/>
                <w:kern w:val="0"/>
                <w:sz w:val="24"/>
                <w:szCs w:val="24"/>
                <w:highlight w:val="none"/>
                <w:u w:val="single"/>
                <w:lang w:val="en-US" w:eastAsia="zh-CN"/>
              </w:rPr>
              <w:t>（</w:t>
            </w:r>
            <w:r>
              <w:rPr>
                <w:rFonts w:hint="eastAsia" w:ascii="Times New Roman" w:hAnsi="Times New Roman" w:cs="Times New Roman"/>
                <w:i/>
                <w:iCs/>
                <w:color w:val="000000"/>
                <w:kern w:val="0"/>
                <w:sz w:val="24"/>
                <w:szCs w:val="24"/>
                <w:highlight w:val="none"/>
                <w:u w:val="single"/>
                <w:lang w:val="en-US" w:eastAsia="zh-CN"/>
              </w:rPr>
              <w:t>20</w:t>
            </w:r>
            <w:r>
              <w:rPr>
                <w:rFonts w:hint="default" w:ascii="Times New Roman" w:hAnsi="Times New Roman" w:cs="Times New Roman"/>
                <w:i/>
                <w:iCs/>
                <w:color w:val="000000"/>
                <w:kern w:val="0"/>
                <w:sz w:val="24"/>
                <w:szCs w:val="24"/>
                <w:highlight w:val="none"/>
                <w:u w:val="single"/>
                <w:lang w:val="en-US" w:eastAsia="zh-CN"/>
              </w:rPr>
              <w:t>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center"/>
              <w:rPr>
                <w:rFonts w:ascii="宋体" w:hAnsi="宋体" w:eastAsia="宋体" w:cs="Times New Roman"/>
                <w:color w:val="000000"/>
                <w:kern w:val="0"/>
                <w:sz w:val="24"/>
              </w:rPr>
            </w:pPr>
            <w:r>
              <w:rPr>
                <w:rFonts w:hint="eastAsia" w:ascii="宋体" w:hAnsi="宋体" w:eastAsia="宋体" w:cs="Times New Roman"/>
                <w:color w:val="000000"/>
                <w:kern w:val="0"/>
                <w:sz w:val="24"/>
              </w:rPr>
              <w:t>企业荣誉</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yellow"/>
                <w:lang w:val="en-US" w:eastAsia="zh-CN"/>
              </w:rPr>
            </w:pP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20</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spacing w:line="48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1.管理体系认证证书（</w:t>
            </w:r>
            <w:r>
              <w:rPr>
                <w:rFonts w:ascii="宋体" w:hAnsi="宋体" w:eastAsia="宋体" w:cs="Times New Roman"/>
                <w:color w:val="000000"/>
                <w:kern w:val="0"/>
                <w:sz w:val="24"/>
              </w:rPr>
              <w:t>5</w:t>
            </w:r>
            <w:r>
              <w:rPr>
                <w:rFonts w:hint="eastAsia" w:ascii="宋体" w:hAnsi="宋体" w:eastAsia="宋体" w:cs="Times New Roman"/>
                <w:color w:val="000000"/>
                <w:kern w:val="0"/>
                <w:sz w:val="24"/>
              </w:rPr>
              <w:t>分）</w:t>
            </w:r>
          </w:p>
          <w:p>
            <w:pPr>
              <w:spacing w:line="48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投标人具有经中国国家认证认可监督管理委员会认证机构颁发的ISO9001质量管理体系认证证书、ISO14001环境管理体系认证证书、ISO45001职业健康安全管理体系认证证书，ISO27001信息安全管理体系认证，IATF16949：2016汽车行业质量体系认证证书，且在有效期内的，每提供1项得1分，满分</w:t>
            </w:r>
            <w:r>
              <w:rPr>
                <w:rFonts w:ascii="宋体" w:hAnsi="宋体" w:eastAsia="宋体" w:cs="Times New Roman"/>
                <w:color w:val="000000"/>
                <w:kern w:val="0"/>
                <w:sz w:val="24"/>
              </w:rPr>
              <w:t>5</w:t>
            </w:r>
            <w:r>
              <w:rPr>
                <w:rFonts w:hint="eastAsia" w:ascii="宋体" w:hAnsi="宋体" w:eastAsia="宋体" w:cs="Times New Roman"/>
                <w:color w:val="000000"/>
                <w:kern w:val="0"/>
                <w:sz w:val="24"/>
              </w:rPr>
              <w:t>分。</w:t>
            </w:r>
          </w:p>
          <w:p>
            <w:pPr>
              <w:spacing w:line="480" w:lineRule="exact"/>
              <w:ind w:firstLine="482" w:firstLineChars="200"/>
              <w:rPr>
                <w:rFonts w:ascii="宋体" w:hAnsi="宋体" w:eastAsia="宋体" w:cs="Times New Roman"/>
                <w:color w:val="000000"/>
                <w:kern w:val="0"/>
                <w:sz w:val="24"/>
              </w:rPr>
            </w:pPr>
            <w:r>
              <w:rPr>
                <w:rFonts w:hint="eastAsia" w:ascii="宋体" w:hAnsi="宋体" w:eastAsia="宋体" w:cs="Times New Roman"/>
                <w:b/>
                <w:bCs/>
                <w:color w:val="000000"/>
                <w:kern w:val="0"/>
                <w:sz w:val="24"/>
              </w:rPr>
              <w:t>注：提供有效的认证证书原件扫描件和全国认证认可信息公共服务平台网站截图，并装订入投标文件中，否则不得分。</w:t>
            </w:r>
          </w:p>
          <w:p>
            <w:pPr>
              <w:spacing w:line="48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2.企业实力（</w:t>
            </w:r>
            <w:r>
              <w:rPr>
                <w:rFonts w:hint="eastAsia" w:ascii="宋体" w:hAnsi="宋体" w:eastAsia="宋体" w:cs="Times New Roman"/>
                <w:color w:val="000000"/>
                <w:kern w:val="0"/>
                <w:sz w:val="24"/>
                <w:lang w:val="en-US" w:eastAsia="zh-CN"/>
              </w:rPr>
              <w:t>5</w:t>
            </w:r>
            <w:r>
              <w:rPr>
                <w:rFonts w:hint="eastAsia" w:ascii="宋体" w:hAnsi="宋体" w:eastAsia="宋体" w:cs="Times New Roman"/>
                <w:color w:val="000000"/>
                <w:kern w:val="0"/>
                <w:sz w:val="24"/>
              </w:rPr>
              <w:t>分）</w:t>
            </w:r>
          </w:p>
          <w:p>
            <w:pPr>
              <w:spacing w:line="480" w:lineRule="exact"/>
              <w:ind w:firstLine="480" w:firstLineChars="200"/>
              <w:rPr>
                <w:rFonts w:hint="default" w:ascii="宋体" w:hAnsi="宋体" w:eastAsia="宋体" w:cs="Times New Roman"/>
                <w:color w:val="000000"/>
                <w:kern w:val="0"/>
                <w:sz w:val="24"/>
                <w:lang w:val="en-US" w:eastAsia="zh-CN"/>
              </w:rPr>
            </w:pPr>
            <w:r>
              <w:rPr>
                <w:rFonts w:hint="eastAsia" w:ascii="宋体" w:hAnsi="宋体" w:eastAsia="宋体" w:cs="Times New Roman"/>
                <w:color w:val="000000"/>
                <w:kern w:val="0"/>
                <w:sz w:val="24"/>
              </w:rPr>
              <w:t>（1）投标人被评定为国家知识产权优势企业的，得</w:t>
            </w:r>
            <w:r>
              <w:rPr>
                <w:rFonts w:hint="eastAsia" w:ascii="宋体" w:hAnsi="宋体" w:eastAsia="宋体" w:cs="Times New Roman"/>
                <w:color w:val="000000"/>
                <w:kern w:val="0"/>
                <w:sz w:val="24"/>
                <w:lang w:val="en-US" w:eastAsia="zh-CN"/>
              </w:rPr>
              <w:t>3</w:t>
            </w:r>
            <w:r>
              <w:rPr>
                <w:rFonts w:ascii="宋体" w:hAnsi="宋体" w:eastAsia="宋体" w:cs="Times New Roman"/>
                <w:color w:val="000000"/>
                <w:kern w:val="0"/>
                <w:sz w:val="24"/>
              </w:rPr>
              <w:t>分；被评定为省级知识产权优势企业的，得</w:t>
            </w:r>
            <w:r>
              <w:rPr>
                <w:rFonts w:hint="eastAsia" w:ascii="宋体" w:hAnsi="宋体" w:eastAsia="宋体" w:cs="Times New Roman"/>
                <w:color w:val="000000"/>
                <w:kern w:val="0"/>
                <w:sz w:val="24"/>
                <w:lang w:val="en-US" w:eastAsia="zh-CN"/>
              </w:rPr>
              <w:t>2</w:t>
            </w:r>
            <w:r>
              <w:rPr>
                <w:rFonts w:ascii="宋体" w:hAnsi="宋体" w:eastAsia="宋体" w:cs="Times New Roman"/>
                <w:color w:val="000000"/>
                <w:kern w:val="0"/>
                <w:sz w:val="24"/>
              </w:rPr>
              <w:t>分；被评定为市级知识产权优势企业的，得</w:t>
            </w:r>
            <w:r>
              <w:rPr>
                <w:rFonts w:hint="eastAsia" w:ascii="宋体" w:hAnsi="宋体" w:eastAsia="宋体" w:cs="Times New Roman"/>
                <w:color w:val="000000"/>
                <w:kern w:val="0"/>
                <w:sz w:val="24"/>
                <w:lang w:val="en-US" w:eastAsia="zh-CN"/>
              </w:rPr>
              <w:t>1</w:t>
            </w:r>
            <w:r>
              <w:rPr>
                <w:rFonts w:ascii="宋体" w:hAnsi="宋体" w:eastAsia="宋体" w:cs="Times New Roman"/>
                <w:color w:val="000000"/>
                <w:kern w:val="0"/>
                <w:sz w:val="24"/>
              </w:rPr>
              <w:t>分；</w:t>
            </w:r>
            <w:r>
              <w:rPr>
                <w:rFonts w:hint="eastAsia" w:ascii="宋体" w:hAnsi="宋体" w:eastAsia="宋体" w:cs="Times New Roman"/>
                <w:color w:val="000000"/>
                <w:kern w:val="0"/>
                <w:sz w:val="24"/>
                <w:lang w:val="en-US" w:eastAsia="zh-CN"/>
              </w:rPr>
              <w:t>本项仅记取最高分，不重复得分。</w:t>
            </w:r>
          </w:p>
          <w:p>
            <w:pPr>
              <w:spacing w:line="480" w:lineRule="exact"/>
              <w:ind w:firstLine="482" w:firstLineChars="200"/>
              <w:rPr>
                <w:rFonts w:ascii="宋体" w:hAnsi="宋体" w:eastAsia="宋体" w:cs="Times New Roman"/>
                <w:b/>
                <w:bCs/>
                <w:color w:val="000000"/>
                <w:kern w:val="0"/>
                <w:sz w:val="24"/>
              </w:rPr>
            </w:pPr>
            <w:r>
              <w:rPr>
                <w:rFonts w:hint="eastAsia" w:ascii="宋体" w:hAnsi="宋体" w:eastAsia="宋体" w:cs="Times New Roman"/>
                <w:b/>
                <w:bCs/>
                <w:color w:val="000000"/>
                <w:kern w:val="0"/>
                <w:sz w:val="24"/>
              </w:rPr>
              <w:t>注：提供知识产权局网站</w:t>
            </w:r>
            <w:r>
              <w:rPr>
                <w:rFonts w:ascii="宋体" w:hAnsi="宋体" w:eastAsia="宋体" w:cs="Times New Roman"/>
                <w:b/>
                <w:bCs/>
                <w:color w:val="000000"/>
                <w:kern w:val="0"/>
                <w:sz w:val="24"/>
              </w:rPr>
              <w:t>的公示彩色截图及附件名单</w:t>
            </w:r>
            <w:r>
              <w:rPr>
                <w:rFonts w:hint="eastAsia" w:ascii="宋体" w:hAnsi="宋体" w:eastAsia="宋体" w:cs="Times New Roman"/>
                <w:b/>
                <w:bCs/>
                <w:color w:val="000000"/>
                <w:kern w:val="0"/>
                <w:sz w:val="24"/>
              </w:rPr>
              <w:t>，并</w:t>
            </w:r>
            <w:r>
              <w:rPr>
                <w:rFonts w:hint="eastAsia" w:ascii="宋体" w:hAnsi="宋体" w:eastAsia="宋体" w:cs="Times New Roman"/>
                <w:b/>
                <w:bCs/>
                <w:color w:val="000000"/>
                <w:kern w:val="0"/>
                <w:sz w:val="24"/>
                <w:lang w:val="en-US" w:eastAsia="zh-CN"/>
              </w:rPr>
              <w:t>附</w:t>
            </w:r>
            <w:r>
              <w:rPr>
                <w:rFonts w:hint="eastAsia" w:ascii="宋体" w:hAnsi="宋体" w:eastAsia="宋体" w:cs="Times New Roman"/>
                <w:b/>
                <w:bCs/>
                <w:color w:val="000000"/>
                <w:kern w:val="0"/>
                <w:sz w:val="24"/>
              </w:rPr>
              <w:t>入投标文件中。</w:t>
            </w:r>
          </w:p>
          <w:p>
            <w:pPr>
              <w:spacing w:line="48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（2）投标人具有已经取得中国合格评定国家认可委员会（</w:t>
            </w:r>
            <w:r>
              <w:rPr>
                <w:rFonts w:ascii="宋体" w:hAnsi="宋体" w:eastAsia="宋体" w:cs="Times New Roman"/>
                <w:color w:val="000000"/>
                <w:kern w:val="0"/>
                <w:sz w:val="24"/>
              </w:rPr>
              <w:t>CNAS）认可的实验室，且认可的检测能力范围包括电动汽车充电设备相关内容的得</w:t>
            </w:r>
            <w:r>
              <w:rPr>
                <w:rFonts w:hint="eastAsia" w:ascii="宋体" w:hAnsi="宋体" w:eastAsia="宋体" w:cs="Times New Roman"/>
                <w:color w:val="000000"/>
                <w:kern w:val="0"/>
                <w:sz w:val="24"/>
              </w:rPr>
              <w:t>2</w:t>
            </w:r>
            <w:r>
              <w:rPr>
                <w:rFonts w:ascii="宋体" w:hAnsi="宋体" w:eastAsia="宋体" w:cs="Times New Roman"/>
                <w:color w:val="000000"/>
                <w:kern w:val="0"/>
                <w:sz w:val="24"/>
              </w:rPr>
              <w:t>分，</w:t>
            </w:r>
            <w:r>
              <w:rPr>
                <w:rFonts w:hint="eastAsia" w:ascii="宋体" w:hAnsi="宋体" w:eastAsia="宋体" w:cs="Times New Roman"/>
                <w:color w:val="000000"/>
                <w:kern w:val="0"/>
                <w:sz w:val="24"/>
                <w:lang w:val="en-US" w:eastAsia="zh-CN"/>
              </w:rPr>
              <w:t>否则</w:t>
            </w:r>
            <w:r>
              <w:rPr>
                <w:rFonts w:ascii="宋体" w:hAnsi="宋体" w:eastAsia="宋体" w:cs="Times New Roman"/>
                <w:color w:val="000000"/>
                <w:kern w:val="0"/>
                <w:sz w:val="24"/>
              </w:rPr>
              <w:t>不得分。</w:t>
            </w:r>
          </w:p>
          <w:p>
            <w:pPr>
              <w:keepNext w:val="0"/>
              <w:keepLines w:val="0"/>
              <w:pageBreakBefore w:val="0"/>
              <w:widowControl/>
              <w:kinsoku/>
              <w:wordWrap/>
              <w:overflowPunct/>
              <w:topLinePunct w:val="0"/>
              <w:autoSpaceDE/>
              <w:autoSpaceDN/>
              <w:bidi w:val="0"/>
              <w:adjustRightInd/>
              <w:snapToGrid/>
              <w:spacing w:line="480" w:lineRule="exact"/>
              <w:ind w:firstLine="482" w:firstLineChars="200"/>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宋体" w:hAnsi="宋体" w:eastAsia="宋体" w:cs="Times New Roman"/>
                <w:b/>
                <w:bCs/>
                <w:color w:val="000000"/>
                <w:kern w:val="0"/>
                <w:sz w:val="24"/>
              </w:rPr>
              <w:t>注：提供由中国合格评定国家认可委员会授权的实验室认可证书、认可的检测能力范围清单和</w:t>
            </w:r>
            <w:r>
              <w:rPr>
                <w:rFonts w:ascii="宋体" w:hAnsi="宋体" w:eastAsia="宋体" w:cs="Times New Roman"/>
                <w:b/>
                <w:bCs/>
                <w:color w:val="000000"/>
                <w:kern w:val="0"/>
                <w:sz w:val="24"/>
              </w:rPr>
              <w:t>CNAS官网查询截图，</w:t>
            </w:r>
            <w:r>
              <w:rPr>
                <w:rFonts w:hint="eastAsia" w:ascii="宋体" w:hAnsi="宋体" w:eastAsia="宋体" w:cs="Times New Roman"/>
                <w:b/>
                <w:bCs/>
                <w:color w:val="000000"/>
                <w:kern w:val="0"/>
                <w:sz w:val="24"/>
              </w:rPr>
              <w:t>并</w:t>
            </w:r>
            <w:r>
              <w:rPr>
                <w:rFonts w:hint="eastAsia" w:ascii="宋体" w:hAnsi="宋体" w:eastAsia="宋体" w:cs="Times New Roman"/>
                <w:b/>
                <w:bCs/>
                <w:color w:val="000000"/>
                <w:kern w:val="0"/>
                <w:sz w:val="24"/>
                <w:lang w:val="en-US" w:eastAsia="zh-CN"/>
              </w:rPr>
              <w:t>附</w:t>
            </w:r>
            <w:r>
              <w:rPr>
                <w:rFonts w:hint="eastAsia" w:ascii="宋体" w:hAnsi="宋体" w:eastAsia="宋体" w:cs="Times New Roman"/>
                <w:b/>
                <w:bCs/>
                <w:color w:val="000000"/>
                <w:kern w:val="0"/>
                <w:sz w:val="24"/>
              </w:rPr>
              <w:t>入投标文件中，</w:t>
            </w:r>
            <w:r>
              <w:rPr>
                <w:rFonts w:ascii="宋体" w:hAnsi="宋体" w:eastAsia="宋体" w:cs="Times New Roman"/>
                <w:b/>
                <w:bCs/>
                <w:color w:val="000000"/>
                <w:kern w:val="0"/>
                <w:sz w:val="24"/>
              </w:rPr>
              <w:t>否则不得分。</w:t>
            </w:r>
          </w:p>
        </w:tc>
      </w:tr>
      <w:permEnd w:id="63"/>
      <w:permEnd w:id="64"/>
      <w:permEnd w:id="65"/>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67" w:edGrp="everyone" w:colFirst="1" w:colLast="1"/>
            <w:permStart w:id="68" w:edGrp="everyone" w:colFirst="2" w:colLast="2"/>
            <w:permStart w:id="69" w:edGrp="everyone" w:colFirst="3" w:colLast="3"/>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center"/>
              <w:rPr>
                <w:rFonts w:ascii="宋体" w:hAnsi="宋体" w:eastAsia="宋体" w:cs="Times New Roman"/>
                <w:color w:val="000000"/>
                <w:kern w:val="0"/>
                <w:sz w:val="24"/>
              </w:rPr>
            </w:pPr>
            <w:r>
              <w:rPr>
                <w:rFonts w:hint="eastAsia" w:ascii="宋体" w:hAnsi="宋体" w:eastAsia="宋体" w:cs="Times New Roman"/>
                <w:color w:val="000000"/>
                <w:kern w:val="0"/>
                <w:sz w:val="24"/>
              </w:rPr>
              <w:t>企业业绩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宋体" w:hAnsi="宋体" w:eastAsia="宋体" w:cs="Times New Roman"/>
                <w:color w:val="000000"/>
                <w:kern w:val="0"/>
                <w:sz w:val="24"/>
                <w:lang w:eastAsia="zh-CN"/>
              </w:rPr>
              <w:t>（</w:t>
            </w:r>
            <w:r>
              <w:rPr>
                <w:rFonts w:hint="eastAsia" w:ascii="宋体" w:hAnsi="宋体" w:eastAsia="宋体" w:cs="Times New Roman"/>
                <w:color w:val="000000"/>
                <w:kern w:val="0"/>
                <w:sz w:val="24"/>
                <w:lang w:val="en-US" w:eastAsia="zh-CN"/>
              </w:rPr>
              <w:t>10</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lang w:val="en-US" w:eastAsia="zh-CN"/>
              </w:rPr>
              <w:t>除投标人资格要求业绩外，</w:t>
            </w:r>
            <w:r>
              <w:rPr>
                <w:rFonts w:hint="eastAsia" w:ascii="宋体" w:hAnsi="宋体" w:eastAsia="宋体" w:cs="Times New Roman"/>
                <w:color w:val="000000"/>
                <w:kern w:val="0"/>
                <w:sz w:val="24"/>
              </w:rPr>
              <w:t>投标人</w:t>
            </w:r>
            <w:r>
              <w:rPr>
                <w:rFonts w:hint="eastAsia" w:ascii="宋体" w:hAnsi="宋体" w:eastAsia="宋体" w:cs="Times New Roman"/>
                <w:color w:val="000000"/>
                <w:kern w:val="0"/>
                <w:sz w:val="24"/>
                <w:lang w:val="en-US" w:eastAsia="zh-CN"/>
              </w:rPr>
              <w:t>每额外提供1项</w:t>
            </w:r>
            <w:r>
              <w:rPr>
                <w:rFonts w:hint="eastAsia" w:ascii="宋体" w:hAnsi="宋体" w:eastAsia="宋体" w:cs="Times New Roman"/>
                <w:color w:val="000000"/>
                <w:kern w:val="0"/>
                <w:sz w:val="24"/>
              </w:rPr>
              <w:t>自</w:t>
            </w:r>
            <w:r>
              <w:rPr>
                <w:rFonts w:ascii="宋体" w:hAnsi="宋体" w:eastAsia="宋体" w:cs="Times New Roman"/>
                <w:color w:val="000000"/>
                <w:kern w:val="0"/>
                <w:sz w:val="24"/>
              </w:rPr>
              <w:t>202</w:t>
            </w:r>
            <w:r>
              <w:rPr>
                <w:rFonts w:hint="eastAsia" w:ascii="宋体" w:hAnsi="宋体" w:eastAsia="宋体" w:cs="Times New Roman"/>
                <w:color w:val="000000"/>
                <w:kern w:val="0"/>
                <w:sz w:val="24"/>
                <w:lang w:val="en-US" w:eastAsia="zh-CN"/>
              </w:rPr>
              <w:t>1</w:t>
            </w:r>
            <w:r>
              <w:rPr>
                <w:rFonts w:ascii="宋体" w:hAnsi="宋体" w:eastAsia="宋体" w:cs="Times New Roman"/>
                <w:color w:val="000000"/>
                <w:kern w:val="0"/>
                <w:sz w:val="24"/>
              </w:rPr>
              <w:t>年</w:t>
            </w:r>
            <w:r>
              <w:rPr>
                <w:rFonts w:hint="eastAsia" w:ascii="宋体" w:hAnsi="宋体" w:eastAsia="宋体" w:cs="Times New Roman"/>
                <w:color w:val="000000"/>
                <w:kern w:val="0"/>
                <w:sz w:val="24"/>
                <w:lang w:val="en-US" w:eastAsia="zh-CN"/>
              </w:rPr>
              <w:t>1</w:t>
            </w:r>
            <w:r>
              <w:rPr>
                <w:rFonts w:ascii="宋体" w:hAnsi="宋体" w:eastAsia="宋体" w:cs="Times New Roman"/>
                <w:color w:val="000000"/>
                <w:kern w:val="0"/>
                <w:sz w:val="24"/>
              </w:rPr>
              <w:t>月以来完成</w:t>
            </w:r>
            <w:r>
              <w:rPr>
                <w:rFonts w:hint="eastAsia" w:ascii="宋体" w:hAnsi="宋体" w:eastAsia="宋体" w:cs="Times New Roman"/>
                <w:color w:val="000000"/>
                <w:kern w:val="0"/>
                <w:sz w:val="24"/>
                <w:lang w:val="en-US" w:eastAsia="zh-CN"/>
              </w:rPr>
              <w:t>的</w:t>
            </w:r>
            <w:r>
              <w:rPr>
                <w:rFonts w:ascii="宋体" w:hAnsi="宋体" w:eastAsia="宋体" w:cs="Times New Roman"/>
                <w:color w:val="000000"/>
                <w:kern w:val="0"/>
                <w:sz w:val="24"/>
              </w:rPr>
              <w:t>单项合同金额在</w:t>
            </w:r>
            <w:r>
              <w:rPr>
                <w:rFonts w:hint="eastAsia" w:ascii="宋体" w:hAnsi="宋体" w:eastAsia="宋体" w:cs="Times New Roman"/>
                <w:color w:val="000000"/>
                <w:kern w:val="0"/>
                <w:sz w:val="24"/>
                <w:lang w:val="en-US" w:eastAsia="zh-CN"/>
              </w:rPr>
              <w:t>500</w:t>
            </w:r>
            <w:r>
              <w:rPr>
                <w:rFonts w:ascii="宋体" w:hAnsi="宋体" w:eastAsia="宋体" w:cs="Times New Roman"/>
                <w:color w:val="000000"/>
                <w:kern w:val="0"/>
                <w:sz w:val="24"/>
              </w:rPr>
              <w:t>万元以上的充电桩供货业绩，每具备一个得</w:t>
            </w:r>
            <w:r>
              <w:rPr>
                <w:rFonts w:hint="eastAsia" w:ascii="宋体" w:hAnsi="宋体" w:eastAsia="宋体" w:cs="Times New Roman"/>
                <w:color w:val="000000"/>
                <w:kern w:val="0"/>
                <w:sz w:val="24"/>
                <w:lang w:val="en-US" w:eastAsia="zh-CN"/>
              </w:rPr>
              <w:t>5</w:t>
            </w:r>
            <w:r>
              <w:rPr>
                <w:rFonts w:ascii="宋体" w:hAnsi="宋体" w:eastAsia="宋体" w:cs="Times New Roman"/>
                <w:color w:val="000000"/>
                <w:kern w:val="0"/>
                <w:sz w:val="24"/>
              </w:rPr>
              <w:t>分，最高得</w:t>
            </w:r>
            <w:r>
              <w:rPr>
                <w:rFonts w:hint="eastAsia" w:ascii="宋体" w:hAnsi="宋体" w:eastAsia="宋体" w:cs="Times New Roman"/>
                <w:color w:val="000000"/>
                <w:kern w:val="0"/>
                <w:sz w:val="24"/>
                <w:lang w:val="en-US" w:eastAsia="zh-CN"/>
              </w:rPr>
              <w:t>10</w:t>
            </w:r>
            <w:r>
              <w:rPr>
                <w:rFonts w:ascii="宋体" w:hAnsi="宋体" w:eastAsia="宋体" w:cs="Times New Roman"/>
                <w:color w:val="000000"/>
                <w:kern w:val="0"/>
                <w:sz w:val="24"/>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宋体" w:hAnsi="宋体" w:eastAsia="宋体" w:cs="Times New Roman"/>
                <w:b/>
                <w:bCs/>
                <w:color w:val="000000"/>
                <w:kern w:val="0"/>
                <w:sz w:val="24"/>
              </w:rPr>
              <w:t>注：提供业绩合同原件扫描件，否则不得分</w:t>
            </w:r>
            <w:r>
              <w:rPr>
                <w:rFonts w:hint="eastAsia" w:ascii="宋体" w:hAnsi="宋体" w:eastAsia="宋体" w:cs="Times New Roman"/>
                <w:b/>
                <w:bCs/>
                <w:color w:val="000000"/>
                <w:kern w:val="0"/>
                <w:sz w:val="24"/>
                <w:lang w:eastAsia="zh-CN"/>
              </w:rPr>
              <w:t>。</w:t>
            </w:r>
          </w:p>
        </w:tc>
      </w:tr>
      <w:permEnd w:id="67"/>
      <w:permEnd w:id="68"/>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81" w:hRule="atLeast"/>
        </w:trPr>
        <w:tc>
          <w:tcPr>
            <w:tcW w:w="703"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permStart w:id="70" w:edGrp="everyone"/>
            <w:r>
              <w:rPr>
                <w:rFonts w:hint="eastAsia" w:ascii="Times New Roman" w:hAnsi="Times New Roman" w:cs="Times New Roman"/>
                <w:color w:val="000000"/>
                <w:kern w:val="0"/>
                <w:sz w:val="24"/>
                <w:szCs w:val="24"/>
                <w:highlight w:val="none"/>
                <w:lang w:val="en-US" w:eastAsia="zh-CN"/>
              </w:rPr>
              <w:t>2.2.4.（2）</w:t>
            </w:r>
          </w:p>
        </w:tc>
        <w:tc>
          <w:tcPr>
            <w:tcW w:w="997"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技术评分标准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000000"/>
                <w:kern w:val="0"/>
                <w:sz w:val="24"/>
                <w:szCs w:val="24"/>
                <w:highlight w:val="none"/>
                <w:lang w:val="en-US" w:eastAsia="zh-CN" w:bidi="ar-SA"/>
              </w:rPr>
            </w:pPr>
            <w:r>
              <w:rPr>
                <w:rFonts w:hint="default" w:ascii="Times New Roman" w:hAnsi="Times New Roman" w:cs="Times New Roman"/>
                <w:i/>
                <w:iCs/>
                <w:color w:val="000000"/>
                <w:kern w:val="0"/>
                <w:sz w:val="24"/>
                <w:szCs w:val="24"/>
                <w:highlight w:val="none"/>
                <w:u w:val="single"/>
                <w:lang w:val="en-US" w:eastAsia="zh-CN"/>
              </w:rPr>
              <w:t>（</w:t>
            </w:r>
            <w:r>
              <w:rPr>
                <w:rFonts w:hint="eastAsia" w:ascii="Times New Roman" w:hAnsi="Times New Roman" w:cs="Times New Roman"/>
                <w:i/>
                <w:iCs/>
                <w:color w:val="000000"/>
                <w:kern w:val="0"/>
                <w:sz w:val="24"/>
                <w:szCs w:val="24"/>
                <w:highlight w:val="none"/>
                <w:u w:val="single"/>
                <w:lang w:val="en-US" w:eastAsia="zh-CN"/>
              </w:rPr>
              <w:t xml:space="preserve"> 40 </w:t>
            </w:r>
            <w:r>
              <w:rPr>
                <w:rFonts w:hint="default" w:ascii="Times New Roman" w:hAnsi="Times New Roman" w:cs="Times New Roman"/>
                <w:i/>
                <w:iCs/>
                <w:color w:val="000000"/>
                <w:kern w:val="0"/>
                <w:sz w:val="24"/>
                <w:szCs w:val="24"/>
                <w:highlight w:val="none"/>
                <w:u w:val="single"/>
                <w:lang w:val="en-US" w:eastAsia="zh-CN"/>
              </w:rPr>
              <w:t>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center"/>
              <w:rPr>
                <w:rFonts w:ascii="宋体" w:hAnsi="宋体" w:eastAsia="宋体" w:cs="Times New Roman"/>
                <w:color w:val="000000"/>
                <w:kern w:val="0"/>
                <w:sz w:val="24"/>
              </w:rPr>
            </w:pPr>
            <w:r>
              <w:rPr>
                <w:rFonts w:hint="eastAsia" w:ascii="宋体" w:hAnsi="宋体" w:eastAsia="宋体" w:cs="Times New Roman"/>
                <w:color w:val="000000"/>
                <w:kern w:val="0"/>
                <w:sz w:val="24"/>
              </w:rPr>
              <w:t>技术性能指标响应情况</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i w:val="0"/>
                <w:iCs w:val="0"/>
                <w:color w:val="000000"/>
                <w:kern w:val="0"/>
                <w:sz w:val="24"/>
                <w:szCs w:val="24"/>
                <w:highlight w:val="none"/>
                <w:lang w:val="en-US" w:eastAsia="zh-CN" w:bidi="ar-SA"/>
              </w:rPr>
            </w:pPr>
            <w:r>
              <w:rPr>
                <w:rFonts w:hint="eastAsia" w:ascii="宋体" w:hAnsi="宋体" w:eastAsia="宋体" w:cs="Times New Roman"/>
                <w:color w:val="000000"/>
                <w:kern w:val="0"/>
                <w:sz w:val="24"/>
              </w:rPr>
              <w:t>（1</w:t>
            </w:r>
            <w:r>
              <w:rPr>
                <w:rFonts w:ascii="宋体" w:hAnsi="宋体" w:eastAsia="宋体" w:cs="Times New Roman"/>
                <w:color w:val="000000"/>
                <w:kern w:val="0"/>
                <w:sz w:val="24"/>
              </w:rPr>
              <w:t>5</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spacing w:line="46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投标人投标设备技术性能指标全部符合招标文件第五章</w:t>
            </w:r>
            <w:r>
              <w:rPr>
                <w:rFonts w:hint="eastAsia" w:ascii="宋体" w:hAnsi="宋体" w:eastAsia="宋体" w:cs="Times New Roman"/>
                <w:color w:val="000000"/>
                <w:kern w:val="0"/>
                <w:sz w:val="24"/>
                <w:lang w:val="en-US" w:eastAsia="zh-CN"/>
              </w:rPr>
              <w:t>供货要求</w:t>
            </w:r>
            <w:r>
              <w:rPr>
                <w:rFonts w:hint="eastAsia" w:ascii="宋体" w:hAnsi="宋体" w:eastAsia="宋体" w:cs="Times New Roman"/>
                <w:color w:val="000000"/>
                <w:kern w:val="0"/>
                <w:sz w:val="24"/>
              </w:rPr>
              <w:t>的得1</w:t>
            </w:r>
            <w:r>
              <w:rPr>
                <w:rFonts w:ascii="宋体" w:hAnsi="宋体" w:eastAsia="宋体" w:cs="Times New Roman"/>
                <w:color w:val="000000"/>
                <w:kern w:val="0"/>
                <w:sz w:val="24"/>
              </w:rPr>
              <w:t>5</w:t>
            </w:r>
            <w:r>
              <w:rPr>
                <w:rFonts w:hint="eastAsia" w:ascii="宋体" w:hAnsi="宋体" w:eastAsia="宋体" w:cs="Times New Roman"/>
                <w:color w:val="000000"/>
                <w:kern w:val="0"/>
                <w:sz w:val="24"/>
              </w:rPr>
              <w:t>分。</w:t>
            </w:r>
          </w:p>
          <w:p>
            <w:pPr>
              <w:spacing w:line="46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投标人投标设备技术性能指标每有1项“▲”出现负偏离的扣</w:t>
            </w:r>
            <w:r>
              <w:rPr>
                <w:rFonts w:ascii="宋体" w:hAnsi="宋体" w:eastAsia="宋体" w:cs="Times New Roman"/>
                <w:color w:val="000000"/>
                <w:kern w:val="0"/>
                <w:sz w:val="24"/>
              </w:rPr>
              <w:t>1</w:t>
            </w:r>
            <w:r>
              <w:rPr>
                <w:rFonts w:hint="eastAsia" w:ascii="宋体" w:hAnsi="宋体" w:eastAsia="宋体" w:cs="Times New Roman"/>
                <w:color w:val="000000"/>
                <w:kern w:val="0"/>
                <w:sz w:val="24"/>
              </w:rPr>
              <w:t>分，其他每有一项不满足扣0.5分，扣完为止。</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textAlignment w:val="auto"/>
              <w:rPr>
                <w:rFonts w:hint="default" w:ascii="Times New Roman" w:hAnsi="Times New Roman" w:cs="Times New Roman" w:eastAsiaTheme="minorEastAsia"/>
                <w:i w:val="0"/>
                <w:iCs w:val="0"/>
                <w:color w:val="000000"/>
                <w:kern w:val="0"/>
                <w:sz w:val="24"/>
                <w:szCs w:val="24"/>
                <w:highlight w:val="none"/>
                <w:lang w:val="en-US" w:eastAsia="zh-CN" w:bidi="ar-SA"/>
              </w:rPr>
            </w:pPr>
            <w:r>
              <w:rPr>
                <w:rFonts w:hint="eastAsia" w:ascii="宋体" w:hAnsi="宋体" w:eastAsia="宋体" w:cs="Times New Roman"/>
                <w:b/>
                <w:bCs/>
                <w:color w:val="000000"/>
                <w:kern w:val="0"/>
                <w:sz w:val="24"/>
              </w:rPr>
              <w:t>注：需提供</w:t>
            </w:r>
            <w:r>
              <w:rPr>
                <w:rFonts w:hint="eastAsia" w:ascii="宋体" w:hAnsi="宋体" w:eastAsia="宋体" w:cs="Times New Roman"/>
                <w:b/>
                <w:bCs/>
                <w:color w:val="000000"/>
                <w:kern w:val="0"/>
                <w:sz w:val="24"/>
                <w:lang w:val="en-US" w:eastAsia="zh-CN"/>
              </w:rPr>
              <w:t>各采购设备</w:t>
            </w:r>
            <w:r>
              <w:rPr>
                <w:rFonts w:hint="eastAsia" w:ascii="宋体" w:hAnsi="宋体" w:eastAsia="宋体" w:cs="Times New Roman"/>
                <w:b/>
                <w:bCs/>
                <w:color w:val="000000"/>
                <w:kern w:val="0"/>
                <w:sz w:val="24"/>
              </w:rPr>
              <w:t>型式检测报告扫描件证明，且检测报告需具备</w:t>
            </w:r>
            <w:r>
              <w:rPr>
                <w:rFonts w:ascii="宋体" w:hAnsi="宋体" w:eastAsia="宋体" w:cs="Times New Roman"/>
                <w:b/>
                <w:bCs/>
                <w:color w:val="000000"/>
                <w:kern w:val="0"/>
                <w:sz w:val="24"/>
              </w:rPr>
              <w:t>CMA</w:t>
            </w:r>
            <w:r>
              <w:rPr>
                <w:rFonts w:hint="eastAsia" w:ascii="宋体" w:hAnsi="宋体" w:eastAsia="宋体" w:cs="Times New Roman"/>
                <w:b/>
                <w:bCs/>
                <w:color w:val="000000"/>
                <w:kern w:val="0"/>
                <w:sz w:val="24"/>
                <w:lang w:val="en-US" w:eastAsia="zh-CN"/>
              </w:rPr>
              <w:t>和</w:t>
            </w:r>
            <w:r>
              <w:rPr>
                <w:rFonts w:ascii="宋体" w:hAnsi="宋体" w:eastAsia="宋体" w:cs="Times New Roman"/>
                <w:b/>
                <w:bCs/>
                <w:color w:val="000000"/>
                <w:kern w:val="0"/>
                <w:sz w:val="24"/>
              </w:rPr>
              <w:t>CNAS认证标识，否则不得分</w:t>
            </w:r>
            <w:r>
              <w:rPr>
                <w:rFonts w:hint="eastAsia" w:ascii="宋体" w:hAnsi="宋体" w:eastAsia="宋体" w:cs="Times New Roman"/>
                <w:color w:val="000000"/>
                <w:kern w:val="0"/>
                <w:sz w:val="24"/>
              </w:rPr>
              <w:t>。</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permStart w:id="71" w:edGrp="everyone"/>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center"/>
              <w:rPr>
                <w:rFonts w:hint="eastAsia" w:ascii="宋体" w:hAnsi="宋体" w:eastAsia="宋体" w:cs="Times New Roman"/>
                <w:color w:val="000000"/>
                <w:kern w:val="0"/>
                <w:sz w:val="24"/>
              </w:rPr>
            </w:pPr>
            <w:r>
              <w:rPr>
                <w:rFonts w:hint="eastAsia" w:ascii="宋体" w:hAnsi="宋体" w:eastAsia="宋体" w:cs="Times New Roman"/>
                <w:color w:val="000000"/>
                <w:kern w:val="0"/>
                <w:sz w:val="24"/>
              </w:rPr>
              <w:t>培训方案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6分</w:t>
            </w:r>
            <w:r>
              <w:rPr>
                <w:rFonts w:hint="eastAsia" w:ascii="宋体" w:hAnsi="宋体" w:eastAsia="宋体" w:cs="Times New Roman"/>
                <w:color w:val="000000"/>
                <w:kern w:val="0"/>
                <w:sz w:val="24"/>
              </w:rPr>
              <w:t>）</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投标人需提供完善的培训方案，包括但不限于培训目标、培训课程、培训教材、培训时间、培训对象等，评委根据投标文件中的方案横向比较，酌情打分。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Times New Roman"/>
                <w:b/>
                <w:bCs/>
                <w:color w:val="000000"/>
                <w:kern w:val="0"/>
                <w:sz w:val="24"/>
                <w:szCs w:val="24"/>
                <w:lang w:val="en-US" w:eastAsia="zh-CN" w:bidi="ar-SA"/>
              </w:rPr>
            </w:pPr>
            <w:r>
              <w:rPr>
                <w:rFonts w:ascii="宋体" w:hAnsi="宋体" w:eastAsia="宋体" w:cs="Times New Roman"/>
                <w:color w:val="000000"/>
                <w:kern w:val="0"/>
                <w:sz w:val="24"/>
              </w:rPr>
              <w:t>本项满分</w:t>
            </w:r>
            <w:r>
              <w:rPr>
                <w:rFonts w:hint="eastAsia" w:ascii="宋体" w:hAnsi="宋体" w:eastAsia="宋体" w:cs="Times New Roman"/>
                <w:color w:val="000000"/>
                <w:kern w:val="0"/>
                <w:sz w:val="24"/>
                <w:lang w:val="en-US" w:eastAsia="zh-CN"/>
              </w:rPr>
              <w:t>6</w:t>
            </w:r>
            <w:r>
              <w:rPr>
                <w:rFonts w:ascii="宋体" w:hAnsi="宋体" w:eastAsia="宋体" w:cs="Times New Roman"/>
                <w:color w:val="000000"/>
                <w:kern w:val="0"/>
                <w:sz w:val="24"/>
              </w:rPr>
              <w:t>分，评委根据方案的完整性、实用性酌情给分，</w:t>
            </w:r>
            <w:r>
              <w:rPr>
                <w:rFonts w:hint="eastAsia" w:ascii="宋体" w:hAnsi="宋体" w:eastAsia="宋体" w:cs="Times New Roman"/>
                <w:color w:val="000000"/>
                <w:kern w:val="0"/>
                <w:sz w:val="24"/>
              </w:rPr>
              <w:t>好得</w:t>
            </w:r>
            <w:r>
              <w:rPr>
                <w:rFonts w:hint="eastAsia" w:ascii="宋体" w:hAnsi="宋体" w:eastAsia="宋体" w:cs="Times New Roman"/>
                <w:color w:val="000000"/>
                <w:kern w:val="0"/>
                <w:sz w:val="24"/>
                <w:lang w:val="en-US" w:eastAsia="zh-CN"/>
              </w:rPr>
              <w:t>4</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6分</w:t>
            </w:r>
            <w:r>
              <w:rPr>
                <w:rFonts w:hint="eastAsia" w:ascii="宋体" w:hAnsi="宋体" w:eastAsia="宋体" w:cs="Times New Roman"/>
                <w:color w:val="000000"/>
                <w:kern w:val="0"/>
                <w:sz w:val="24"/>
              </w:rPr>
              <w:t>，较好得</w:t>
            </w:r>
            <w:r>
              <w:rPr>
                <w:rFonts w:hint="eastAsia" w:ascii="宋体" w:hAnsi="宋体" w:eastAsia="宋体" w:cs="Times New Roman"/>
                <w:color w:val="000000"/>
                <w:kern w:val="0"/>
                <w:sz w:val="24"/>
                <w:lang w:val="en-US" w:eastAsia="zh-CN"/>
              </w:rPr>
              <w:t>2</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4分</w:t>
            </w:r>
            <w:r>
              <w:rPr>
                <w:rFonts w:hint="eastAsia" w:ascii="宋体" w:hAnsi="宋体" w:eastAsia="宋体" w:cs="Times New Roman"/>
                <w:color w:val="000000"/>
                <w:kern w:val="0"/>
                <w:sz w:val="24"/>
              </w:rPr>
              <w:t>，一般得1-</w:t>
            </w:r>
            <w:r>
              <w:rPr>
                <w:rFonts w:hint="eastAsia" w:ascii="宋体" w:hAnsi="宋体" w:eastAsia="宋体" w:cs="Times New Roman"/>
                <w:color w:val="000000"/>
                <w:kern w:val="0"/>
                <w:sz w:val="24"/>
                <w:lang w:val="en-US" w:eastAsia="zh-CN"/>
              </w:rPr>
              <w:t>2分</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未提供方案</w:t>
            </w:r>
            <w:r>
              <w:rPr>
                <w:rFonts w:hint="eastAsia" w:ascii="宋体" w:hAnsi="宋体" w:eastAsia="宋体" w:cs="Times New Roman"/>
                <w:color w:val="000000"/>
                <w:kern w:val="0"/>
                <w:sz w:val="24"/>
              </w:rPr>
              <w:t>不得分。</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34"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72" w:edGrp="everyone"/>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center"/>
              <w:rPr>
                <w:rFonts w:hint="eastAsia" w:ascii="宋体" w:hAnsi="宋体" w:eastAsia="宋体" w:cs="Times New Roman"/>
                <w:color w:val="000000"/>
                <w:kern w:val="0"/>
                <w:sz w:val="24"/>
              </w:rPr>
            </w:pPr>
            <w:r>
              <w:rPr>
                <w:rFonts w:hint="eastAsia" w:ascii="宋体" w:hAnsi="宋体" w:eastAsia="宋体" w:cs="Times New Roman"/>
                <w:color w:val="000000"/>
                <w:kern w:val="0"/>
                <w:sz w:val="24"/>
              </w:rPr>
              <w:t>供货方案</w:t>
            </w:r>
          </w:p>
          <w:p>
            <w:pPr>
              <w:wordWrap w:val="0"/>
              <w:spacing w:line="440" w:lineRule="exact"/>
              <w:jc w:val="center"/>
              <w:rPr>
                <w:rFonts w:hint="eastAsia"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rPr>
              <w:t>（</w:t>
            </w:r>
            <w:r>
              <w:rPr>
                <w:rFonts w:hint="default" w:ascii="宋体" w:hAnsi="宋体" w:eastAsia="宋体" w:cs="Times New Roman"/>
                <w:color w:val="000000"/>
                <w:kern w:val="0"/>
                <w:sz w:val="24"/>
                <w:lang w:val="en-US"/>
              </w:rPr>
              <w:t>7</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宋体" w:hAnsi="宋体" w:eastAsia="宋体" w:cs="Times New Roman"/>
                <w:b/>
                <w:bCs/>
                <w:color w:val="000000"/>
                <w:kern w:val="0"/>
                <w:sz w:val="24"/>
                <w:szCs w:val="24"/>
                <w:lang w:val="en-US" w:eastAsia="zh-CN" w:bidi="ar-SA"/>
              </w:rPr>
            </w:pPr>
            <w:r>
              <w:rPr>
                <w:rFonts w:hint="eastAsia" w:ascii="宋体" w:hAnsi="宋体" w:eastAsia="宋体" w:cs="Times New Roman"/>
                <w:color w:val="000000"/>
                <w:kern w:val="0"/>
                <w:sz w:val="24"/>
              </w:rPr>
              <w:t>根据投标人提供的供货方案进行评分，至少包括供货计划、供货质量、生产质检、包装入库、出库运输等内容，方案内容全面、计划合理得</w:t>
            </w:r>
            <w:r>
              <w:rPr>
                <w:rFonts w:ascii="宋体" w:hAnsi="宋体" w:eastAsia="宋体" w:cs="Times New Roman"/>
                <w:color w:val="000000"/>
                <w:kern w:val="0"/>
                <w:sz w:val="24"/>
              </w:rPr>
              <w:t>5-7分，方案基本全面、计划基本合理得2-</w:t>
            </w:r>
            <w:r>
              <w:rPr>
                <w:rFonts w:hint="eastAsia" w:ascii="宋体" w:hAnsi="宋体" w:eastAsia="宋体" w:cs="Times New Roman"/>
                <w:color w:val="000000"/>
                <w:kern w:val="0"/>
                <w:sz w:val="24"/>
                <w:lang w:val="en-US" w:eastAsia="zh-CN"/>
              </w:rPr>
              <w:t>5</w:t>
            </w:r>
            <w:r>
              <w:rPr>
                <w:rFonts w:ascii="宋体" w:hAnsi="宋体" w:eastAsia="宋体" w:cs="Times New Roman"/>
                <w:color w:val="000000"/>
                <w:kern w:val="0"/>
                <w:sz w:val="24"/>
              </w:rPr>
              <w:t>分，方案粗略、计划不合理得0-</w:t>
            </w:r>
            <w:r>
              <w:rPr>
                <w:rFonts w:hint="eastAsia" w:ascii="宋体" w:hAnsi="宋体" w:eastAsia="宋体" w:cs="Times New Roman"/>
                <w:color w:val="000000"/>
                <w:kern w:val="0"/>
                <w:sz w:val="24"/>
                <w:lang w:val="en-US" w:eastAsia="zh-CN"/>
              </w:rPr>
              <w:t>2</w:t>
            </w:r>
            <w:r>
              <w:rPr>
                <w:rFonts w:ascii="宋体" w:hAnsi="宋体" w:eastAsia="宋体" w:cs="Times New Roman"/>
                <w:color w:val="000000"/>
                <w:kern w:val="0"/>
                <w:sz w:val="24"/>
              </w:rPr>
              <w:t>分。未提供方案不得分</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23" w:hRule="atLeast"/>
        </w:trPr>
        <w:tc>
          <w:tcPr>
            <w:tcW w:w="703"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73" w:edGrp="everyone"/>
          </w:p>
        </w:tc>
        <w:tc>
          <w:tcPr>
            <w:tcW w:w="997" w:type="dxa"/>
            <w:vMerge w:val="continue"/>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000000"/>
                <w:kern w:val="0"/>
                <w:sz w:val="24"/>
                <w:szCs w:val="24"/>
                <w:highlight w:val="none"/>
                <w:u w:val="single"/>
                <w:lang w:val="en-US" w:eastAsia="zh-CN"/>
              </w:rPr>
            </w:pP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both"/>
              <w:rPr>
                <w:rFonts w:hint="eastAsia" w:ascii="Times New Roman" w:hAnsi="Times New Roman" w:cs="Times New Roman" w:eastAsiaTheme="minorEastAsia"/>
                <w:i w:val="0"/>
                <w:iCs w:val="0"/>
                <w:color w:val="000000"/>
                <w:kern w:val="0"/>
                <w:sz w:val="24"/>
                <w:szCs w:val="24"/>
                <w:highlight w:val="none"/>
                <w:lang w:val="en-US" w:eastAsia="zh-CN" w:bidi="ar-SA"/>
              </w:rPr>
            </w:pPr>
            <w:r>
              <w:rPr>
                <w:rFonts w:hint="eastAsia" w:ascii="宋体" w:hAnsi="宋体" w:eastAsia="宋体" w:cs="Times New Roman"/>
                <w:color w:val="000000"/>
                <w:kern w:val="0"/>
                <w:sz w:val="24"/>
              </w:rPr>
              <w:t>售后服务（1</w:t>
            </w:r>
            <w:r>
              <w:rPr>
                <w:rFonts w:hint="eastAsia" w:ascii="宋体" w:hAnsi="宋体" w:eastAsia="宋体" w:cs="Times New Roman"/>
                <w:color w:val="000000"/>
                <w:kern w:val="0"/>
                <w:sz w:val="24"/>
                <w:lang w:val="en-US" w:eastAsia="zh-CN"/>
              </w:rPr>
              <w:t>2</w:t>
            </w:r>
            <w:r>
              <w:rPr>
                <w:rFonts w:hint="eastAsia" w:ascii="宋体" w:hAnsi="宋体" w:eastAsia="宋体" w:cs="Times New Roman"/>
                <w:color w:val="000000"/>
                <w:kern w:val="0"/>
                <w:sz w:val="24"/>
              </w:rPr>
              <w:t>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1.售后服务点（2分）</w:t>
            </w:r>
          </w:p>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投标人</w:t>
            </w:r>
            <w:r>
              <w:rPr>
                <w:rFonts w:hint="eastAsia" w:ascii="宋体" w:hAnsi="宋体" w:eastAsia="宋体" w:cs="Times New Roman"/>
                <w:color w:val="000000"/>
                <w:kern w:val="0"/>
                <w:sz w:val="24"/>
                <w:lang w:val="en-US" w:eastAsia="zh-CN"/>
              </w:rPr>
              <w:t>承诺中标后</w:t>
            </w:r>
            <w:r>
              <w:rPr>
                <w:rFonts w:hint="eastAsia" w:ascii="宋体" w:hAnsi="宋体" w:eastAsia="宋体" w:cs="Times New Roman"/>
                <w:color w:val="000000"/>
                <w:kern w:val="0"/>
                <w:sz w:val="24"/>
              </w:rPr>
              <w:t>在安徽省内设有分公司或子公司或服务网点的得2分。</w:t>
            </w:r>
          </w:p>
          <w:p>
            <w:pPr>
              <w:wordWrap w:val="0"/>
              <w:spacing w:line="440" w:lineRule="exact"/>
              <w:ind w:firstLine="482" w:firstLineChars="200"/>
              <w:rPr>
                <w:rFonts w:ascii="宋体" w:hAnsi="宋体" w:eastAsia="宋体" w:cs="Times New Roman"/>
                <w:color w:val="000000"/>
                <w:kern w:val="0"/>
                <w:sz w:val="24"/>
              </w:rPr>
            </w:pPr>
            <w:r>
              <w:rPr>
                <w:rFonts w:hint="eastAsia" w:ascii="宋体" w:hAnsi="宋体" w:eastAsia="宋体" w:cs="Times New Roman"/>
                <w:b/>
                <w:bCs/>
                <w:color w:val="000000"/>
                <w:kern w:val="0"/>
                <w:sz w:val="24"/>
              </w:rPr>
              <w:t>注：投标人须提供售后服务点详细地址、售后联系人、联系方式等信息，并</w:t>
            </w:r>
            <w:r>
              <w:rPr>
                <w:rFonts w:hint="eastAsia" w:ascii="宋体" w:hAnsi="宋体" w:eastAsia="宋体" w:cs="Times New Roman"/>
                <w:b/>
                <w:bCs/>
                <w:color w:val="000000"/>
                <w:kern w:val="0"/>
                <w:sz w:val="24"/>
                <w:lang w:val="en-US" w:eastAsia="zh-CN"/>
              </w:rPr>
              <w:t>附</w:t>
            </w:r>
            <w:r>
              <w:rPr>
                <w:rFonts w:hint="eastAsia" w:ascii="宋体" w:hAnsi="宋体" w:eastAsia="宋体" w:cs="Times New Roman"/>
                <w:b/>
                <w:bCs/>
                <w:color w:val="000000"/>
                <w:kern w:val="0"/>
                <w:sz w:val="24"/>
              </w:rPr>
              <w:t>入投标文件中</w:t>
            </w:r>
            <w:r>
              <w:rPr>
                <w:rFonts w:hint="eastAsia" w:ascii="宋体" w:hAnsi="宋体" w:eastAsia="宋体" w:cs="Times New Roman"/>
                <w:color w:val="000000"/>
                <w:kern w:val="0"/>
                <w:sz w:val="24"/>
              </w:rPr>
              <w:t>。</w:t>
            </w:r>
          </w:p>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2.售后服务响应时限（2分）</w:t>
            </w:r>
          </w:p>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投标人承诺提供7×24小时全天候电话技术支持服务，对于招标人以书面或电话形式提出的质量、服务等问题，投标人于1小时内予以答复响应，需要投标人委派技术、服务人员的，于4小时内到达现场，并于24小时内解决问题的得2分。</w:t>
            </w:r>
          </w:p>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3.产品保险（2分）</w:t>
            </w:r>
          </w:p>
          <w:p>
            <w:pPr>
              <w:numPr>
                <w:ilvl w:val="255"/>
                <w:numId w:val="0"/>
              </w:num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具有保险公司对所投标产品投保的产品责任险，须提供证明材料。得2分</w:t>
            </w:r>
          </w:p>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4.售后服务方案（</w:t>
            </w:r>
            <w:r>
              <w:rPr>
                <w:rFonts w:hint="eastAsia" w:ascii="宋体" w:hAnsi="宋体" w:eastAsia="宋体" w:cs="Times New Roman"/>
                <w:color w:val="000000"/>
                <w:kern w:val="0"/>
                <w:sz w:val="24"/>
                <w:lang w:val="en-US" w:eastAsia="zh-CN"/>
              </w:rPr>
              <w:t>6</w:t>
            </w:r>
            <w:r>
              <w:rPr>
                <w:rFonts w:hint="eastAsia" w:ascii="宋体" w:hAnsi="宋体" w:eastAsia="宋体" w:cs="Times New Roman"/>
                <w:color w:val="000000"/>
                <w:kern w:val="0"/>
                <w:sz w:val="24"/>
              </w:rPr>
              <w:t>分）</w:t>
            </w:r>
          </w:p>
          <w:p>
            <w:pPr>
              <w:wordWrap w:val="0"/>
              <w:spacing w:line="440" w:lineRule="exact"/>
              <w:ind w:firstLine="480" w:firstLineChars="200"/>
              <w:rPr>
                <w:rFonts w:ascii="宋体" w:hAnsi="宋体" w:eastAsia="宋体" w:cs="Times New Roman"/>
                <w:color w:val="000000"/>
                <w:kern w:val="0"/>
                <w:sz w:val="24"/>
              </w:rPr>
            </w:pPr>
            <w:r>
              <w:rPr>
                <w:rFonts w:hint="eastAsia" w:ascii="宋体" w:hAnsi="宋体" w:eastAsia="宋体" w:cs="Times New Roman"/>
                <w:color w:val="000000"/>
                <w:kern w:val="0"/>
                <w:sz w:val="24"/>
              </w:rPr>
              <w:t>投标人针对本项目编制售后服务方案，包括但不限于售后服务机构设置及联系方式、响应时限承诺、投标设备常见故障分析及解决方案等。</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i w:val="0"/>
                <w:iCs w:val="0"/>
                <w:color w:val="000000"/>
                <w:kern w:val="0"/>
                <w:sz w:val="24"/>
                <w:szCs w:val="24"/>
                <w:highlight w:val="none"/>
                <w:lang w:val="en-US" w:eastAsia="zh-CN" w:bidi="ar-SA"/>
              </w:rPr>
            </w:pPr>
            <w:r>
              <w:rPr>
                <w:rFonts w:ascii="宋体" w:hAnsi="宋体" w:eastAsia="宋体" w:cs="Times New Roman"/>
                <w:color w:val="000000"/>
                <w:kern w:val="0"/>
                <w:sz w:val="24"/>
              </w:rPr>
              <w:t>本项满分</w:t>
            </w:r>
            <w:r>
              <w:rPr>
                <w:rFonts w:hint="eastAsia" w:ascii="宋体" w:hAnsi="宋体" w:eastAsia="宋体" w:cs="Times New Roman"/>
                <w:color w:val="000000"/>
                <w:kern w:val="0"/>
                <w:sz w:val="24"/>
                <w:lang w:val="en-US" w:eastAsia="zh-CN"/>
              </w:rPr>
              <w:t>6</w:t>
            </w:r>
            <w:r>
              <w:rPr>
                <w:rFonts w:ascii="宋体" w:hAnsi="宋体" w:eastAsia="宋体" w:cs="Times New Roman"/>
                <w:color w:val="000000"/>
                <w:kern w:val="0"/>
                <w:sz w:val="24"/>
              </w:rPr>
              <w:t>分，评委根据方案的完整性、实用性酌情给分，优得</w:t>
            </w:r>
            <w:r>
              <w:rPr>
                <w:rFonts w:hint="eastAsia" w:ascii="宋体" w:hAnsi="宋体" w:eastAsia="宋体" w:cs="Times New Roman"/>
                <w:color w:val="000000"/>
                <w:kern w:val="0"/>
                <w:sz w:val="24"/>
                <w:lang w:val="en-US" w:eastAsia="zh-CN"/>
              </w:rPr>
              <w:t>4</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6</w:t>
            </w:r>
            <w:r>
              <w:rPr>
                <w:rFonts w:ascii="宋体" w:hAnsi="宋体" w:eastAsia="宋体" w:cs="Times New Roman"/>
                <w:color w:val="000000"/>
                <w:kern w:val="0"/>
                <w:sz w:val="24"/>
              </w:rPr>
              <w:t>分，一般得2</w:t>
            </w:r>
            <w:r>
              <w:rPr>
                <w:rFonts w:hint="eastAsia" w:ascii="宋体" w:hAnsi="宋体" w:eastAsia="宋体" w:cs="Times New Roman"/>
                <w:color w:val="000000"/>
                <w:kern w:val="0"/>
                <w:sz w:val="24"/>
              </w:rPr>
              <w:t>—</w:t>
            </w:r>
            <w:r>
              <w:rPr>
                <w:rFonts w:hint="eastAsia" w:ascii="宋体" w:hAnsi="宋体" w:eastAsia="宋体" w:cs="Times New Roman"/>
                <w:color w:val="000000"/>
                <w:kern w:val="0"/>
                <w:sz w:val="24"/>
                <w:lang w:val="en-US" w:eastAsia="zh-CN"/>
              </w:rPr>
              <w:t>4</w:t>
            </w:r>
            <w:r>
              <w:rPr>
                <w:rFonts w:ascii="宋体" w:hAnsi="宋体" w:eastAsia="宋体" w:cs="Times New Roman"/>
                <w:color w:val="000000"/>
                <w:kern w:val="0"/>
                <w:sz w:val="24"/>
              </w:rPr>
              <w:t>分，</w:t>
            </w:r>
            <w:r>
              <w:rPr>
                <w:rFonts w:hint="eastAsia" w:ascii="宋体" w:hAnsi="宋体" w:eastAsia="宋体" w:cs="Times New Roman"/>
                <w:color w:val="000000"/>
                <w:kern w:val="0"/>
                <w:sz w:val="24"/>
              </w:rPr>
              <w:t>差得0-</w:t>
            </w:r>
            <w:r>
              <w:rPr>
                <w:rFonts w:hint="eastAsia" w:ascii="宋体" w:hAnsi="宋体" w:eastAsia="宋体" w:cs="Times New Roman"/>
                <w:color w:val="000000"/>
                <w:kern w:val="0"/>
                <w:sz w:val="24"/>
                <w:lang w:val="en-US" w:eastAsia="zh-CN"/>
              </w:rPr>
              <w:t>2</w:t>
            </w:r>
            <w:r>
              <w:rPr>
                <w:rFonts w:hint="eastAsia" w:ascii="宋体" w:hAnsi="宋体" w:eastAsia="宋体" w:cs="Times New Roman"/>
                <w:color w:val="000000"/>
                <w:kern w:val="0"/>
                <w:sz w:val="24"/>
              </w:rPr>
              <w:t>分，</w:t>
            </w:r>
            <w:r>
              <w:rPr>
                <w:rFonts w:hint="eastAsia" w:ascii="宋体" w:hAnsi="宋体" w:eastAsia="宋体" w:cs="Times New Roman"/>
                <w:color w:val="000000"/>
                <w:kern w:val="0"/>
                <w:sz w:val="24"/>
                <w:lang w:val="en-US" w:eastAsia="zh-CN"/>
              </w:rPr>
              <w:t>未</w:t>
            </w:r>
            <w:r>
              <w:rPr>
                <w:rFonts w:ascii="宋体" w:hAnsi="宋体" w:eastAsia="宋体" w:cs="Times New Roman"/>
                <w:color w:val="000000"/>
                <w:kern w:val="0"/>
                <w:sz w:val="24"/>
              </w:rPr>
              <w:t>提供方案的不得分。</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000000"/>
                <w:kern w:val="0"/>
                <w:sz w:val="24"/>
                <w:szCs w:val="24"/>
                <w:highlight w:val="none"/>
                <w:lang w:val="en-US" w:eastAsia="zh-CN"/>
              </w:rPr>
            </w:pPr>
            <w:permStart w:id="74" w:edGrp="everyone" w:colFirst="0" w:colLast="0"/>
            <w:permStart w:id="75" w:edGrp="everyone" w:colFirst="1" w:colLast="1"/>
            <w:permStart w:id="76" w:edGrp="everyone" w:colFirst="2" w:colLast="2"/>
            <w:permStart w:id="77" w:edGrp="everyone" w:colFirst="3" w:colLast="3"/>
            <w:r>
              <w:rPr>
                <w:rFonts w:hint="eastAsia" w:ascii="Times New Roman" w:hAnsi="Times New Roman" w:cs="Times New Roman"/>
                <w:color w:val="000000"/>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t>（</w:t>
            </w:r>
            <w:r>
              <w:rPr>
                <w:rFonts w:hint="default" w:ascii="Times New Roman" w:hAnsi="Times New Roman" w:cs="Times New Roman"/>
                <w:color w:val="000000"/>
                <w:kern w:val="0"/>
                <w:sz w:val="24"/>
                <w:szCs w:val="24"/>
                <w:highlight w:val="none"/>
                <w:lang w:val="en-US" w:eastAsia="zh-CN"/>
              </w:rPr>
              <w:t>3</w:t>
            </w:r>
            <w:r>
              <w:rPr>
                <w:rFonts w:hint="eastAsia" w:ascii="Times New Roman" w:hAnsi="Times New Roman" w:cs="Times New Roman"/>
                <w:color w:val="000000"/>
                <w:kern w:val="0"/>
                <w:sz w:val="24"/>
                <w:szCs w:val="24"/>
                <w:highlight w:val="none"/>
                <w:lang w:val="en-US" w:eastAsia="zh-CN"/>
              </w:rPr>
              <w:t>）</w:t>
            </w:r>
          </w:p>
        </w:tc>
        <w:tc>
          <w:tcPr>
            <w:tcW w:w="99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jc w:val="center"/>
              <w:rPr>
                <w:rFonts w:hint="default" w:ascii="宋体" w:hAnsi="宋体" w:eastAsia="宋体" w:cs="Times New Roman"/>
                <w:color w:val="000000"/>
                <w:kern w:val="0"/>
                <w:sz w:val="24"/>
                <w:szCs w:val="24"/>
                <w:lang w:val="en-US" w:eastAsia="zh-CN" w:bidi="ar-SA"/>
              </w:rPr>
            </w:pPr>
            <w:r>
              <w:rPr>
                <w:rFonts w:hint="eastAsia" w:ascii="宋体" w:hAnsi="宋体" w:eastAsia="宋体" w:cs="Times New Roman"/>
                <w:color w:val="000000"/>
                <w:kern w:val="0"/>
                <w:sz w:val="24"/>
              </w:rPr>
              <w:t>投标报价评分标准（40分）</w:t>
            </w:r>
          </w:p>
        </w:tc>
        <w:tc>
          <w:tcPr>
            <w:tcW w:w="198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Times New Roman"/>
                <w:color w:val="000000"/>
                <w:kern w:val="0"/>
                <w:sz w:val="24"/>
                <w:lang w:val="en-US" w:eastAsia="zh-CN"/>
              </w:rPr>
            </w:pPr>
            <w:r>
              <w:rPr>
                <w:rFonts w:hint="eastAsia" w:ascii="宋体" w:hAnsi="宋体" w:eastAsia="宋体" w:cs="Times New Roman"/>
                <w:color w:val="000000"/>
                <w:kern w:val="0"/>
                <w:sz w:val="24"/>
                <w:lang w:val="en-US" w:eastAsia="zh-CN"/>
              </w:rPr>
              <w:t>投标报价分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000000"/>
                <w:kern w:val="0"/>
                <w:sz w:val="24"/>
                <w:szCs w:val="24"/>
                <w:highlight w:val="none"/>
                <w:lang w:val="en-US" w:eastAsia="zh-CN"/>
              </w:rPr>
            </w:pPr>
            <w:r>
              <w:rPr>
                <w:rFonts w:hint="eastAsia" w:ascii="宋体" w:hAnsi="宋体" w:eastAsia="宋体" w:cs="Times New Roman"/>
                <w:color w:val="000000"/>
                <w:kern w:val="0"/>
                <w:sz w:val="24"/>
                <w:lang w:val="en-US" w:eastAsia="zh-CN"/>
              </w:rPr>
              <w:t>（40分）</w:t>
            </w:r>
          </w:p>
        </w:tc>
        <w:tc>
          <w:tcPr>
            <w:tcW w:w="483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noWrap w:val="0"/>
            <w:vAlign w:val="center"/>
          </w:tcPr>
          <w:p>
            <w:pPr>
              <w:wordWrap w:val="0"/>
              <w:spacing w:line="440" w:lineRule="exact"/>
              <w:ind w:firstLine="480" w:firstLineChars="200"/>
              <w:rPr>
                <w:rFonts w:hint="eastAsia"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eastAsiaTheme="minorEastAsia"/>
                <w:color w:val="000000"/>
                <w:kern w:val="0"/>
                <w:sz w:val="24"/>
                <w:szCs w:val="24"/>
                <w:lang w:val="en-US" w:eastAsia="zh-CN" w:bidi="ar-SA"/>
              </w:rPr>
              <w:t>取所有有效投标报价的算术平均值作为评标基准价（5家（不含）以上去掉一个最高价和最低价），各投标人的投标报价得分按以下公式计算：</w:t>
            </w:r>
          </w:p>
          <w:p>
            <w:pPr>
              <w:wordWrap w:val="0"/>
              <w:spacing w:line="440" w:lineRule="exact"/>
              <w:ind w:firstLine="480" w:firstLineChars="200"/>
              <w:rPr>
                <w:rFonts w:hint="eastAsia"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eastAsiaTheme="minorEastAsia"/>
                <w:color w:val="000000"/>
                <w:kern w:val="0"/>
                <w:sz w:val="24"/>
                <w:szCs w:val="24"/>
                <w:lang w:val="en-US" w:eastAsia="zh-CN" w:bidi="ar-SA"/>
              </w:rPr>
              <w:t xml:space="preserve"> （1）投标人的投标报价等于评标基准价得</w:t>
            </w:r>
            <w:r>
              <w:rPr>
                <w:rFonts w:hint="eastAsia" w:ascii="Times New Roman" w:hAnsi="Times New Roman" w:cs="Times New Roman"/>
                <w:color w:val="000000"/>
                <w:kern w:val="0"/>
                <w:sz w:val="24"/>
                <w:szCs w:val="24"/>
                <w:lang w:val="en-US" w:eastAsia="zh-CN" w:bidi="ar-SA"/>
              </w:rPr>
              <w:t>4</w:t>
            </w:r>
            <w:r>
              <w:rPr>
                <w:rFonts w:hint="eastAsia" w:ascii="Times New Roman" w:hAnsi="Times New Roman" w:cs="Times New Roman" w:eastAsiaTheme="minorEastAsia"/>
                <w:color w:val="000000"/>
                <w:kern w:val="0"/>
                <w:sz w:val="24"/>
                <w:szCs w:val="24"/>
                <w:lang w:val="en-US" w:eastAsia="zh-CN" w:bidi="ar-SA"/>
              </w:rPr>
              <w:t xml:space="preserve">0分； </w:t>
            </w:r>
          </w:p>
          <w:p>
            <w:pPr>
              <w:wordWrap w:val="0"/>
              <w:spacing w:line="440" w:lineRule="exact"/>
              <w:ind w:firstLine="480" w:firstLineChars="200"/>
              <w:rPr>
                <w:rFonts w:hint="eastAsia"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eastAsiaTheme="minorEastAsia"/>
                <w:color w:val="000000"/>
                <w:kern w:val="0"/>
                <w:sz w:val="24"/>
                <w:szCs w:val="24"/>
                <w:lang w:val="en-US" w:eastAsia="zh-CN" w:bidi="ar-SA"/>
              </w:rPr>
              <w:t>（2）投标人的投标报价高于评标基准价：</w:t>
            </w:r>
            <w:r>
              <w:rPr>
                <w:rFonts w:hint="eastAsia" w:ascii="Times New Roman" w:hAnsi="Times New Roman" w:cs="Times New Roman"/>
                <w:color w:val="000000"/>
                <w:kern w:val="0"/>
                <w:sz w:val="24"/>
                <w:szCs w:val="24"/>
                <w:lang w:val="en-US" w:eastAsia="zh-CN" w:bidi="ar-SA"/>
              </w:rPr>
              <w:t>4</w:t>
            </w:r>
            <w:r>
              <w:rPr>
                <w:rFonts w:hint="eastAsia" w:ascii="Times New Roman" w:hAnsi="Times New Roman" w:cs="Times New Roman" w:eastAsiaTheme="minorEastAsia"/>
                <w:color w:val="000000"/>
                <w:kern w:val="0"/>
                <w:sz w:val="24"/>
                <w:szCs w:val="24"/>
                <w:lang w:val="en-US" w:eastAsia="zh-CN" w:bidi="ar-SA"/>
              </w:rPr>
              <w:t>0-（投标人投标报价-评标基准价）/评标基准价*100*</w:t>
            </w:r>
            <w:r>
              <w:rPr>
                <w:rFonts w:hint="eastAsia" w:ascii="Times New Roman" w:hAnsi="Times New Roman" w:cs="Times New Roman"/>
                <w:color w:val="000000"/>
                <w:kern w:val="0"/>
                <w:sz w:val="24"/>
                <w:szCs w:val="24"/>
                <w:lang w:val="en-US" w:eastAsia="zh-CN" w:bidi="ar-SA"/>
              </w:rPr>
              <w:t>1</w:t>
            </w:r>
            <w:r>
              <w:rPr>
                <w:rFonts w:hint="eastAsia" w:ascii="Times New Roman" w:hAnsi="Times New Roman" w:cs="Times New Roman" w:eastAsiaTheme="minorEastAsia"/>
                <w:color w:val="000000"/>
                <w:kern w:val="0"/>
                <w:sz w:val="24"/>
                <w:szCs w:val="24"/>
                <w:lang w:val="en-US" w:eastAsia="zh-CN" w:bidi="ar-SA"/>
              </w:rPr>
              <w:t xml:space="preserve">； </w:t>
            </w:r>
          </w:p>
          <w:p>
            <w:pPr>
              <w:spacing w:line="460" w:lineRule="exact"/>
              <w:ind w:firstLine="480" w:firstLineChars="200"/>
              <w:rPr>
                <w:rFonts w:hint="eastAsia" w:ascii="Times New Roman" w:hAnsi="Times New Roman" w:cs="Times New Roman" w:eastAsiaTheme="minorEastAsia"/>
                <w:color w:val="000000"/>
                <w:kern w:val="0"/>
                <w:sz w:val="24"/>
                <w:szCs w:val="24"/>
                <w:lang w:val="en-US" w:eastAsia="zh-CN" w:bidi="ar-SA"/>
              </w:rPr>
            </w:pPr>
            <w:r>
              <w:rPr>
                <w:rFonts w:hint="eastAsia" w:ascii="Times New Roman" w:hAnsi="Times New Roman" w:cs="Times New Roman" w:eastAsiaTheme="minorEastAsia"/>
                <w:color w:val="000000"/>
                <w:kern w:val="0"/>
                <w:sz w:val="24"/>
                <w:szCs w:val="24"/>
                <w:lang w:val="en-US" w:eastAsia="zh-CN" w:bidi="ar-SA"/>
              </w:rPr>
              <w:t>（3）投标人的投标报价低于评标基准价：</w:t>
            </w:r>
            <w:r>
              <w:rPr>
                <w:rFonts w:hint="eastAsia" w:ascii="Times New Roman" w:hAnsi="Times New Roman" w:cs="Times New Roman"/>
                <w:color w:val="000000"/>
                <w:kern w:val="0"/>
                <w:sz w:val="24"/>
                <w:szCs w:val="24"/>
                <w:lang w:val="en-US" w:eastAsia="zh-CN" w:bidi="ar-SA"/>
              </w:rPr>
              <w:t>4</w:t>
            </w:r>
            <w:r>
              <w:rPr>
                <w:rFonts w:hint="eastAsia" w:ascii="Times New Roman" w:hAnsi="Times New Roman" w:cs="Times New Roman" w:eastAsiaTheme="minorEastAsia"/>
                <w:color w:val="000000"/>
                <w:kern w:val="0"/>
                <w:sz w:val="24"/>
                <w:szCs w:val="24"/>
                <w:lang w:val="en-US" w:eastAsia="zh-CN" w:bidi="ar-SA"/>
              </w:rPr>
              <w:t>0+（投标人投标报价-评标基准价）/评标基准价*100*</w:t>
            </w:r>
            <w:r>
              <w:rPr>
                <w:rFonts w:hint="eastAsia" w:ascii="Times New Roman" w:hAnsi="Times New Roman" w:cs="Times New Roman"/>
                <w:color w:val="000000"/>
                <w:kern w:val="0"/>
                <w:sz w:val="24"/>
                <w:szCs w:val="24"/>
                <w:lang w:val="en-US" w:eastAsia="zh-CN" w:bidi="ar-SA"/>
              </w:rPr>
              <w:t>0.5</w:t>
            </w:r>
            <w:r>
              <w:rPr>
                <w:rFonts w:hint="eastAsia" w:ascii="Times New Roman" w:hAnsi="Times New Roman" w:cs="Times New Roman" w:eastAsiaTheme="minorEastAsia"/>
                <w:color w:val="000000"/>
                <w:kern w:val="0"/>
                <w:sz w:val="24"/>
                <w:szCs w:val="24"/>
                <w:lang w:val="en-US" w:eastAsia="zh-CN" w:bidi="ar-SA"/>
              </w:rPr>
              <w:t>。</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textAlignment w:val="auto"/>
              <w:rPr>
                <w:rFonts w:hint="default" w:ascii="Times New Roman" w:hAnsi="Times New Roman" w:cs="Times New Roman"/>
                <w:i w:val="0"/>
                <w:iCs w:val="0"/>
                <w:color w:val="000000"/>
                <w:kern w:val="0"/>
                <w:sz w:val="24"/>
                <w:szCs w:val="24"/>
                <w:highlight w:val="none"/>
                <w:lang w:val="en-US" w:eastAsia="zh-CN"/>
              </w:rPr>
            </w:pPr>
          </w:p>
        </w:tc>
      </w:tr>
      <w:permEnd w:id="74"/>
      <w:permEnd w:id="75"/>
      <w:permEnd w:id="76"/>
      <w:permEnd w:id="77"/>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152045590"/>
      <w:bookmarkStart w:id="373" w:name="_Toc296602478"/>
      <w:bookmarkStart w:id="374" w:name="_Toc246996233"/>
      <w:bookmarkStart w:id="375" w:name="_Toc179632608"/>
      <w:bookmarkStart w:id="376" w:name="_Toc247085748"/>
      <w:bookmarkStart w:id="377" w:name="_Toc152042367"/>
      <w:bookmarkStart w:id="378" w:name="_Toc144974557"/>
      <w:bookmarkStart w:id="379" w:name="_Toc246996976"/>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46996234"/>
      <w:bookmarkStart w:id="381" w:name="_Toc296602479"/>
      <w:bookmarkStart w:id="382" w:name="_Toc247085749"/>
      <w:bookmarkStart w:id="383" w:name="_Toc152042368"/>
      <w:bookmarkStart w:id="384" w:name="_Toc246996977"/>
      <w:bookmarkStart w:id="385" w:name="_Toc179632609"/>
      <w:bookmarkStart w:id="386" w:name="_Toc144974558"/>
      <w:bookmarkStart w:id="387"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246996236"/>
      <w:bookmarkStart w:id="389" w:name="_Toc296602481"/>
      <w:bookmarkStart w:id="390" w:name="_Toc144974560"/>
      <w:bookmarkStart w:id="391" w:name="_Toc179632611"/>
      <w:bookmarkStart w:id="392" w:name="_Toc152045593"/>
      <w:bookmarkStart w:id="393" w:name="_Toc152042370"/>
      <w:bookmarkStart w:id="394" w:name="_Toc246996979"/>
      <w:bookmarkStart w:id="395" w:name="_Toc24708575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78" w:edGrp="everyone"/>
      <w:r>
        <w:rPr>
          <w:rFonts w:hint="eastAsia" w:ascii="Times New Roman" w:hAnsi="Times New Roman" w:cs="Times New Roman"/>
          <w:kern w:val="0"/>
          <w:sz w:val="24"/>
          <w:szCs w:val="24"/>
          <w:highlight w:val="none"/>
          <w:lang w:val="en-US" w:eastAsia="zh-CN"/>
        </w:rPr>
        <w:t>商务部分</w:t>
      </w:r>
      <w:permEnd w:id="7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79" w:edGrp="everyone"/>
      <w:r>
        <w:rPr>
          <w:rFonts w:hint="eastAsia" w:ascii="Times New Roman" w:hAnsi="Times New Roman" w:cs="Times New Roman"/>
          <w:kern w:val="0"/>
          <w:sz w:val="24"/>
          <w:szCs w:val="24"/>
          <w:highlight w:val="none"/>
          <w:lang w:val="en-US" w:eastAsia="zh-CN"/>
        </w:rPr>
        <w:t>技术部分</w:t>
      </w:r>
      <w:permEnd w:id="7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80" w:edGrp="everyone"/>
      <w:r>
        <w:rPr>
          <w:rFonts w:hint="eastAsia" w:ascii="Times New Roman" w:hAnsi="Times New Roman" w:cs="Times New Roman" w:eastAsiaTheme="minorEastAsia"/>
          <w:kern w:val="0"/>
          <w:sz w:val="24"/>
          <w:szCs w:val="24"/>
          <w:highlight w:val="none"/>
          <w:lang w:val="en-US" w:eastAsia="zh-CN"/>
        </w:rPr>
        <w:t>投标报价</w:t>
      </w:r>
      <w:permEnd w:id="8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81" w:edGrp="everyone"/>
      <w:r>
        <w:rPr>
          <w:rFonts w:hint="eastAsia" w:ascii="Times New Roman" w:hAnsi="Times New Roman" w:cs="Times New Roman" w:eastAsiaTheme="minorEastAsia"/>
          <w:kern w:val="0"/>
          <w:sz w:val="24"/>
          <w:szCs w:val="24"/>
          <w:highlight w:val="none"/>
          <w:lang w:val="en-US" w:eastAsia="zh-CN"/>
        </w:rPr>
        <w:t>其他评分因素</w:t>
      </w:r>
      <w:permEnd w:id="8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8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8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84"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8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8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8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152045594"/>
      <w:bookmarkStart w:id="397" w:name="_Toc296602482"/>
      <w:bookmarkStart w:id="398" w:name="_Toc144974561"/>
      <w:bookmarkStart w:id="399" w:name="_Toc247085752"/>
      <w:bookmarkStart w:id="400" w:name="_Toc152042371"/>
      <w:bookmarkStart w:id="401" w:name="_Toc246996237"/>
      <w:bookmarkStart w:id="402" w:name="_Toc246996980"/>
      <w:bookmarkStart w:id="403" w:name="_Toc179632612"/>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96602483"/>
      <w:bookmarkStart w:id="405" w:name="_Toc246996238"/>
      <w:bookmarkStart w:id="406" w:name="_Toc179632613"/>
      <w:bookmarkStart w:id="407" w:name="_Toc247085753"/>
      <w:bookmarkStart w:id="408" w:name="_Toc144974562"/>
      <w:bookmarkStart w:id="409" w:name="_Toc152045595"/>
      <w:bookmarkStart w:id="410" w:name="_Toc246996981"/>
      <w:bookmarkStart w:id="411" w:name="_Toc152042372"/>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247085754"/>
      <w:bookmarkStart w:id="414" w:name="_Toc152042373"/>
      <w:bookmarkStart w:id="415" w:name="_Toc246996239"/>
      <w:bookmarkStart w:id="416" w:name="_Toc296602484"/>
      <w:bookmarkStart w:id="417" w:name="_Toc179632614"/>
      <w:bookmarkStart w:id="418" w:name="_Toc246996982"/>
      <w:bookmarkStart w:id="419" w:name="_Toc152045596"/>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8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permEnd w:id="86"/>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8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87"/>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8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88"/>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8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89"/>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0"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中标人每月应派专人与招标人核对已经发出采购订单的设备排产、供货及付款情况，核实无误后，按实际供货量及付款节点，据实结算货款。</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采购订单的具体付款节点如下：</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签订合同后</w:t>
            </w:r>
            <w:r>
              <w:rPr>
                <w:rFonts w:hint="eastAsia" w:ascii="Times New Roman" w:hAnsi="Times New Roman" w:cs="Times New Roman"/>
                <w:kern w:val="0"/>
                <w:sz w:val="24"/>
                <w:lang w:eastAsia="zh-CN"/>
              </w:rPr>
              <w:t>，按照</w:t>
            </w:r>
            <w:r>
              <w:rPr>
                <w:rFonts w:hint="eastAsia" w:ascii="Times New Roman" w:hAnsi="Times New Roman" w:cs="Times New Roman"/>
                <w:kern w:val="0"/>
                <w:sz w:val="24"/>
                <w:lang w:val="en-US" w:eastAsia="zh-CN"/>
              </w:rPr>
              <w:t>每次</w:t>
            </w:r>
            <w:r>
              <w:rPr>
                <w:rFonts w:hint="eastAsia" w:ascii="Times New Roman" w:hAnsi="Times New Roman" w:cs="Times New Roman"/>
                <w:kern w:val="0"/>
                <w:sz w:val="24"/>
                <w:lang w:eastAsia="zh-CN"/>
              </w:rPr>
              <w:t>采购订单采购，充电桩到货并经</w:t>
            </w:r>
            <w:r>
              <w:rPr>
                <w:rFonts w:hint="eastAsia" w:ascii="Times New Roman" w:hAnsi="Times New Roman" w:cs="Times New Roman"/>
                <w:kern w:val="0"/>
                <w:sz w:val="24"/>
                <w:lang w:val="en-US" w:eastAsia="zh-CN"/>
              </w:rPr>
              <w:t>招标</w:t>
            </w:r>
            <w:r>
              <w:rPr>
                <w:rFonts w:hint="eastAsia" w:ascii="Times New Roman" w:hAnsi="Times New Roman" w:cs="Times New Roman"/>
                <w:kern w:val="0"/>
                <w:sz w:val="24"/>
                <w:lang w:eastAsia="zh-CN"/>
              </w:rPr>
              <w:t>人验收合格后支付至订单金额的</w:t>
            </w:r>
            <w:r>
              <w:rPr>
                <w:rFonts w:hint="eastAsia" w:ascii="Times New Roman" w:hAnsi="Times New Roman" w:cs="Times New Roman"/>
                <w:kern w:val="0"/>
                <w:sz w:val="24"/>
              </w:rPr>
              <w:t>80%；自设备验收合格之日满一年后，</w:t>
            </w:r>
            <w:r>
              <w:rPr>
                <w:rFonts w:hint="eastAsia" w:ascii="Times New Roman" w:hAnsi="Times New Roman" w:cs="Times New Roman" w:eastAsiaTheme="minorEastAsia"/>
                <w:kern w:val="0"/>
                <w:sz w:val="24"/>
                <w:szCs w:val="24"/>
                <w:u w:val="none"/>
                <w:lang w:val="en-US" w:eastAsia="zh-CN"/>
              </w:rPr>
              <w:t>支付订单金额的95%，</w:t>
            </w:r>
            <w:r>
              <w:rPr>
                <w:rFonts w:hint="eastAsia" w:ascii="Times New Roman" w:hAnsi="Times New Roman" w:cs="Times New Roman"/>
                <w:kern w:val="0"/>
                <w:sz w:val="24"/>
              </w:rPr>
              <w:t>余款</w:t>
            </w:r>
            <w:r>
              <w:rPr>
                <w:rFonts w:hint="eastAsia" w:ascii="Times New Roman" w:hAnsi="Times New Roman" w:cs="Times New Roman"/>
                <w:kern w:val="0"/>
                <w:sz w:val="24"/>
                <w:lang w:val="en-US" w:eastAsia="zh-CN"/>
              </w:rPr>
              <w:t>5</w:t>
            </w:r>
            <w:r>
              <w:rPr>
                <w:rFonts w:hint="eastAsia" w:ascii="Times New Roman" w:hAnsi="Times New Roman" w:cs="Times New Roman"/>
                <w:kern w:val="0"/>
                <w:sz w:val="24"/>
              </w:rPr>
              <w:t>%作为质保金，</w:t>
            </w:r>
            <w:r>
              <w:rPr>
                <w:rFonts w:hint="eastAsia" w:ascii="Times New Roman" w:hAnsi="Times New Roman" w:cs="Times New Roman"/>
                <w:kern w:val="0"/>
                <w:sz w:val="24"/>
                <w:lang w:eastAsia="zh-CN"/>
              </w:rPr>
              <w:t>质</w:t>
            </w:r>
            <w:r>
              <w:rPr>
                <w:rFonts w:hint="eastAsia" w:ascii="Times New Roman" w:hAnsi="Times New Roman" w:cs="Times New Roman"/>
                <w:kern w:val="0"/>
                <w:sz w:val="24"/>
              </w:rPr>
              <w:t>保期满无质量问题或质量问题已处理一次性付清余款（无息）</w:t>
            </w:r>
            <w:r>
              <w:rPr>
                <w:rFonts w:hint="eastAsia" w:ascii="Times New Roman" w:hAnsi="Times New Roman" w:cs="Times New Roman"/>
                <w:kern w:val="0"/>
                <w:sz w:val="24"/>
                <w:szCs w:val="24"/>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付款前，中标人应开具等额有效的增值税专用发票（税率：13%），否则招标人有权暂停付款。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1" w:edGrp="everyone"/>
            <w:r>
              <w:rPr>
                <w:rFonts w:hint="eastAsia" w:ascii="Times New Roman" w:hAnsi="Times New Roman" w:cs="Times New Roman"/>
                <w:kern w:val="0"/>
                <w:sz w:val="24"/>
                <w:szCs w:val="24"/>
                <w:highlight w:val="none"/>
                <w:shd w:val="clear" w:color="auto" w:fill="auto"/>
                <w:vertAlign w:val="baseline"/>
                <w:lang w:val="en-US" w:eastAsia="zh-CN"/>
              </w:rPr>
              <w:t>自交付验收</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合格</w:t>
            </w:r>
            <w:r>
              <w:rPr>
                <w:rFonts w:hint="eastAsia" w:ascii="Times New Roman" w:hAnsi="Times New Roman" w:cs="Times New Roman"/>
                <w:kern w:val="0"/>
                <w:sz w:val="24"/>
                <w:szCs w:val="24"/>
                <w:highlight w:val="none"/>
                <w:shd w:val="clear" w:color="auto" w:fill="auto"/>
                <w:vertAlign w:val="baseline"/>
                <w:lang w:val="en-US" w:eastAsia="zh-CN"/>
              </w:rPr>
              <w:t>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8 </w:t>
            </w:r>
            <w:r>
              <w:rPr>
                <w:rFonts w:hint="eastAsia" w:ascii="Times New Roman" w:hAnsi="Times New Roman" w:cs="Times New Roman"/>
                <w:kern w:val="0"/>
                <w:sz w:val="24"/>
                <w:szCs w:val="24"/>
                <w:highlight w:val="none"/>
                <w:shd w:val="clear" w:color="auto" w:fill="auto"/>
                <w:vertAlign w:val="baseline"/>
                <w:lang w:val="en-US" w:eastAsia="zh-CN"/>
              </w:rPr>
              <w:t>年。</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wordWrap w:val="0"/>
              <w:spacing w:line="440" w:lineRule="exact"/>
              <w:jc w:val="left"/>
              <w:rPr>
                <w:rFonts w:hint="eastAsia" w:ascii="Times New Roman" w:hAnsi="Times New Roman" w:cs="Times New Roman"/>
                <w:kern w:val="0"/>
                <w:sz w:val="24"/>
              </w:rPr>
            </w:pPr>
            <w:permStart w:id="92"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1</w:t>
            </w:r>
            <w:r>
              <w:rPr>
                <w:rFonts w:hint="eastAsia" w:ascii="Times New Roman" w:hAnsi="Times New Roman" w:cs="Times New Roman"/>
                <w:kern w:val="0"/>
                <w:sz w:val="24"/>
                <w:lang w:eastAsia="zh-CN"/>
              </w:rPr>
              <w:t>）</w:t>
            </w:r>
            <w:r>
              <w:rPr>
                <w:rFonts w:hint="eastAsia" w:ascii="Times New Roman" w:hAnsi="Times New Roman" w:cs="Times New Roman"/>
                <w:kern w:val="0"/>
                <w:sz w:val="24"/>
              </w:rPr>
              <w:t>中标人免费定制</w:t>
            </w:r>
            <w:r>
              <w:rPr>
                <w:rFonts w:hint="eastAsia" w:ascii="Times New Roman" w:hAnsi="Times New Roman" w:cs="Times New Roman"/>
                <w:kern w:val="0"/>
                <w:sz w:val="24"/>
                <w:lang w:val="en-US" w:eastAsia="zh-CN"/>
              </w:rPr>
              <w:t>开发</w:t>
            </w:r>
            <w:r>
              <w:rPr>
                <w:rFonts w:hint="eastAsia" w:ascii="Times New Roman" w:hAnsi="Times New Roman" w:cs="Times New Roman"/>
                <w:kern w:val="0"/>
                <w:sz w:val="24"/>
              </w:rPr>
              <w:t>私有云平台（</w:t>
            </w:r>
            <w:r>
              <w:rPr>
                <w:rFonts w:hint="eastAsia" w:ascii="Times New Roman" w:hAnsi="Times New Roman" w:cs="Times New Roman"/>
                <w:kern w:val="0"/>
                <w:sz w:val="24"/>
                <w:lang w:val="en-US" w:eastAsia="zh-CN"/>
              </w:rPr>
              <w:t>私有化云部署方式，</w:t>
            </w:r>
            <w:r>
              <w:rPr>
                <w:rFonts w:hint="eastAsia" w:ascii="Times New Roman" w:hAnsi="Times New Roman" w:cs="Times New Roman"/>
                <w:kern w:val="0"/>
                <w:sz w:val="24"/>
              </w:rPr>
              <w:t>含APP、微信小程序等），详见</w:t>
            </w:r>
            <w:r>
              <w:rPr>
                <w:rFonts w:hint="eastAsia" w:ascii="Times New Roman" w:hAnsi="Times New Roman" w:cs="Times New Roman"/>
                <w:kern w:val="0"/>
                <w:sz w:val="24"/>
                <w:lang w:val="en-US" w:eastAsia="zh-CN"/>
              </w:rPr>
              <w:t>招标文件</w:t>
            </w:r>
            <w:r>
              <w:rPr>
                <w:rFonts w:hint="eastAsia" w:ascii="Times New Roman" w:hAnsi="Times New Roman" w:cs="Times New Roman"/>
                <w:kern w:val="0"/>
                <w:sz w:val="24"/>
              </w:rPr>
              <w:t>运营</w:t>
            </w:r>
            <w:r>
              <w:rPr>
                <w:rFonts w:hint="eastAsia" w:ascii="Times New Roman" w:hAnsi="Times New Roman" w:cs="Times New Roman"/>
                <w:kern w:val="0"/>
                <w:sz w:val="24"/>
                <w:lang w:val="en-US" w:eastAsia="zh-CN"/>
              </w:rPr>
              <w:t>管理</w:t>
            </w:r>
            <w:r>
              <w:rPr>
                <w:rFonts w:hint="eastAsia" w:ascii="Times New Roman" w:hAnsi="Times New Roman" w:cs="Times New Roman"/>
                <w:kern w:val="0"/>
                <w:sz w:val="24"/>
              </w:rPr>
              <w:t>平台技术要求</w:t>
            </w:r>
            <w:r>
              <w:rPr>
                <w:rFonts w:hint="eastAsia" w:ascii="Times New Roman" w:hAnsi="Times New Roman" w:cs="Times New Roman"/>
                <w:kern w:val="0"/>
                <w:sz w:val="24"/>
                <w:lang w:val="en-US" w:eastAsia="zh-CN"/>
              </w:rPr>
              <w:t>及</w:t>
            </w:r>
            <w:r>
              <w:rPr>
                <w:rFonts w:hint="eastAsia" w:ascii="Times New Roman" w:hAnsi="Times New Roman" w:cs="Times New Roman"/>
                <w:kern w:val="0"/>
                <w:sz w:val="24"/>
              </w:rPr>
              <w:t>功能清单。</w:t>
            </w:r>
          </w:p>
          <w:p>
            <w:pPr>
              <w:wordWrap w:val="0"/>
              <w:spacing w:line="440" w:lineRule="exact"/>
              <w:jc w:val="left"/>
              <w:rPr>
                <w:rFonts w:hint="eastAsia" w:ascii="Times New Roman" w:hAnsi="Times New Roman" w:cs="Times New Roman"/>
                <w:kern w:val="0"/>
                <w:sz w:val="24"/>
              </w:rPr>
            </w:pP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2</w:t>
            </w:r>
            <w:r>
              <w:rPr>
                <w:rFonts w:hint="eastAsia" w:ascii="Times New Roman" w:hAnsi="Times New Roman" w:cs="Times New Roman"/>
                <w:kern w:val="0"/>
                <w:sz w:val="24"/>
                <w:lang w:eastAsia="zh-CN"/>
              </w:rPr>
              <w:t>）</w:t>
            </w:r>
            <w:r>
              <w:rPr>
                <w:rFonts w:hint="eastAsia" w:ascii="Times New Roman" w:hAnsi="Times New Roman" w:cs="Times New Roman"/>
                <w:kern w:val="0"/>
                <w:sz w:val="24"/>
              </w:rPr>
              <w:t>平台应充分考虑未来不同供应商、不同类型充电设施对接要求，支持免费对接至少20个充电桩品牌</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数量不限</w:t>
            </w:r>
            <w:r>
              <w:rPr>
                <w:rFonts w:hint="eastAsia" w:ascii="Times New Roman" w:hAnsi="Times New Roman" w:cs="Times New Roman"/>
                <w:kern w:val="0"/>
                <w:sz w:val="24"/>
                <w:lang w:eastAsia="zh-CN"/>
              </w:rPr>
              <w:t>）</w:t>
            </w:r>
            <w:r>
              <w:rPr>
                <w:rFonts w:hint="eastAsia" w:ascii="Times New Roman" w:hAnsi="Times New Roman" w:cs="Times New Roman"/>
                <w:kern w:val="0"/>
                <w:sz w:val="24"/>
              </w:rPr>
              <w:t>。</w:t>
            </w:r>
          </w:p>
          <w:p>
            <w:pPr>
              <w:wordWrap w:val="0"/>
              <w:spacing w:line="440" w:lineRule="exact"/>
              <w:jc w:val="left"/>
              <w:rPr>
                <w:rFonts w:hint="eastAsia" w:ascii="Times New Roman" w:hAnsi="Times New Roman" w:cs="Times New Roman"/>
                <w:kern w:val="0"/>
                <w:sz w:val="24"/>
              </w:rPr>
            </w:pP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3</w:t>
            </w:r>
            <w:r>
              <w:rPr>
                <w:rFonts w:hint="eastAsia" w:ascii="Times New Roman" w:hAnsi="Times New Roman" w:cs="Times New Roman"/>
                <w:kern w:val="0"/>
                <w:sz w:val="24"/>
                <w:lang w:eastAsia="zh-CN"/>
              </w:rPr>
              <w:t>）</w:t>
            </w:r>
            <w:r>
              <w:rPr>
                <w:rFonts w:hint="eastAsia" w:ascii="Times New Roman" w:hAnsi="Times New Roman" w:cs="Times New Roman"/>
                <w:kern w:val="0"/>
                <w:sz w:val="24"/>
              </w:rPr>
              <w:t>中标人需给</w:t>
            </w:r>
            <w:r>
              <w:rPr>
                <w:rFonts w:hint="eastAsia" w:ascii="Times New Roman" w:hAnsi="Times New Roman" w:cs="Times New Roman"/>
                <w:kern w:val="0"/>
                <w:sz w:val="24"/>
                <w:lang w:eastAsia="zh-CN"/>
              </w:rPr>
              <w:t>招标人</w:t>
            </w:r>
            <w:r>
              <w:rPr>
                <w:rFonts w:hint="eastAsia" w:ascii="Times New Roman" w:hAnsi="Times New Roman" w:cs="Times New Roman"/>
                <w:kern w:val="0"/>
                <w:sz w:val="24"/>
              </w:rPr>
              <w:t>免费定制开发私有云平台，交付时间</w:t>
            </w:r>
            <w:r>
              <w:rPr>
                <w:rFonts w:hint="eastAsia" w:ascii="Times New Roman" w:hAnsi="Times New Roman" w:cs="Times New Roman"/>
                <w:kern w:val="0"/>
                <w:sz w:val="24"/>
                <w:lang w:val="en-US" w:eastAsia="zh-CN"/>
              </w:rPr>
              <w:t>为</w:t>
            </w:r>
            <w:r>
              <w:rPr>
                <w:rFonts w:hint="eastAsia" w:ascii="Times New Roman" w:hAnsi="Times New Roman" w:cs="Times New Roman"/>
                <w:kern w:val="0"/>
                <w:sz w:val="24"/>
              </w:rPr>
              <w:t>合同签订后60日历天内完成交付。</w:t>
            </w:r>
          </w:p>
          <w:p>
            <w:pPr>
              <w:wordWrap w:val="0"/>
              <w:spacing w:line="440" w:lineRule="exact"/>
              <w:jc w:val="left"/>
              <w:rPr>
                <w:rFonts w:hint="eastAsia" w:ascii="Times New Roman" w:hAnsi="Times New Roman" w:cs="Times New Roman"/>
                <w:kern w:val="0"/>
                <w:sz w:val="24"/>
              </w:rPr>
            </w:pP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4</w:t>
            </w:r>
            <w:r>
              <w:rPr>
                <w:rFonts w:hint="eastAsia" w:ascii="Times New Roman" w:hAnsi="Times New Roman" w:cs="Times New Roman"/>
                <w:kern w:val="0"/>
                <w:sz w:val="24"/>
                <w:lang w:eastAsia="zh-CN"/>
              </w:rPr>
              <w:t>）</w:t>
            </w:r>
            <w:r>
              <w:rPr>
                <w:rFonts w:hint="eastAsia" w:ascii="Times New Roman" w:hAnsi="Times New Roman" w:cs="Times New Roman"/>
                <w:kern w:val="0"/>
                <w:sz w:val="24"/>
              </w:rPr>
              <w:t>运营管理平台交付后合同服务期限内免费提供软著、三级等保、平台</w:t>
            </w:r>
            <w:r>
              <w:rPr>
                <w:rFonts w:hint="eastAsia" w:ascii="Times New Roman" w:hAnsi="Times New Roman" w:cs="Times New Roman"/>
                <w:kern w:val="0"/>
                <w:sz w:val="24"/>
                <w:lang w:val="en-US" w:eastAsia="zh-CN"/>
              </w:rPr>
              <w:t>技术</w:t>
            </w:r>
            <w:r>
              <w:rPr>
                <w:rFonts w:hint="eastAsia" w:ascii="Times New Roman" w:hAnsi="Times New Roman" w:cs="Times New Roman"/>
                <w:kern w:val="0"/>
                <w:sz w:val="24"/>
              </w:rPr>
              <w:t>维护升级</w:t>
            </w:r>
            <w:r>
              <w:rPr>
                <w:rFonts w:hint="eastAsia" w:ascii="Times New Roman" w:hAnsi="Times New Roman" w:cs="Times New Roman"/>
                <w:kern w:val="0"/>
                <w:sz w:val="24"/>
                <w:lang w:val="en-US" w:eastAsia="zh-CN"/>
              </w:rPr>
              <w:t>和地图（高德、腾讯）授权等服务</w:t>
            </w:r>
            <w:r>
              <w:rPr>
                <w:rFonts w:hint="eastAsia" w:ascii="Times New Roman" w:hAnsi="Times New Roman" w:cs="Times New Roman"/>
                <w:kern w:val="0"/>
                <w:sz w:val="24"/>
              </w:rPr>
              <w:t>，合同到期后每年平台维护升级费用10万元</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包含但不限于软著、三级等保、平台技术维护升级服务、地图（高德、腾讯）授权等全部费用</w:t>
            </w:r>
            <w:r>
              <w:rPr>
                <w:rFonts w:hint="eastAsia" w:ascii="Times New Roman" w:hAnsi="Times New Roman" w:cs="Times New Roman"/>
                <w:kern w:val="0"/>
                <w:sz w:val="24"/>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（5）服务期限内，中标人每年为招标人组织不少于2次的充电运营管理平台营销、平台管理相关的培训会议。</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lang w:val="en-US" w:eastAsia="zh-CN"/>
              </w:rPr>
              <w:t>（6）</w:t>
            </w:r>
            <w:r>
              <w:rPr>
                <w:rFonts w:hint="eastAsia" w:ascii="Times New Roman" w:hAnsi="Times New Roman" w:cs="Times New Roman"/>
                <w:kern w:val="0"/>
                <w:sz w:val="24"/>
                <w:szCs w:val="24"/>
                <w:highlight w:val="none"/>
                <w:shd w:val="clear" w:color="auto" w:fill="auto"/>
                <w:vertAlign w:val="baseline"/>
                <w:lang w:val="en-US" w:eastAsia="zh-CN"/>
              </w:rPr>
              <w:t xml:space="preserve">招标人不对合同期间设备的采购数量做任何承诺，暂估采购数量仅作参考，中标人不得以此为由调整设备单价，招标人对中标人不承担任何违约责任。     </w:t>
            </w:r>
            <w:permEnd w:id="92"/>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364"/>
    <w:bookmarkEnd w:id="365"/>
    <w:bookmarkEnd w:id="366"/>
    <w:bookmarkEnd w:id="367"/>
    <w:bookmarkEnd w:id="368"/>
    <w:bookmarkEnd w:id="369"/>
    <w:bookmarkEnd w:id="370"/>
    <w:bookmarkEnd w:id="371"/>
    <w:p>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供货</w:t>
      </w:r>
      <w:permStart w:id="93" w:edGrp="everyone"/>
      <w:r>
        <w:rPr>
          <w:rFonts w:hint="eastAsia" w:asciiTheme="majorEastAsia" w:hAnsiTheme="majorEastAsia" w:eastAsiaTheme="majorEastAsia" w:cstheme="majorEastAsia"/>
          <w:b/>
          <w:bCs/>
          <w:sz w:val="32"/>
          <w:szCs w:val="32"/>
          <w:highlight w:val="none"/>
          <w:lang w:val="en-US" w:eastAsia="zh-CN"/>
        </w:rPr>
        <w:t>要求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wordWrap w:val="0"/>
        <w:spacing w:line="440" w:lineRule="exact"/>
        <w:ind w:firstLine="482" w:firstLineChars="200"/>
        <w:rPr>
          <w:rFonts w:hint="eastAsia" w:ascii="Times New Roman" w:hAnsi="Times New Roman" w:cs="Times New Roman"/>
          <w:b/>
          <w:bCs/>
          <w:kern w:val="0"/>
          <w:sz w:val="24"/>
        </w:rPr>
      </w:pPr>
      <w:bookmarkStart w:id="420" w:name="_Toc311323979"/>
      <w:bookmarkStart w:id="421" w:name="_Toc311324098"/>
      <w:bookmarkStart w:id="422" w:name="_Toc428186998"/>
      <w:bookmarkStart w:id="423" w:name="_Toc311380858"/>
    </w:p>
    <w:p>
      <w:pPr>
        <w:wordWrap w:val="0"/>
        <w:spacing w:line="440" w:lineRule="exact"/>
        <w:ind w:firstLine="482" w:firstLineChars="200"/>
        <w:rPr>
          <w:rFonts w:ascii="Times New Roman" w:hAnsi="Times New Roman" w:cs="Times New Roman"/>
          <w:b/>
          <w:bCs/>
          <w:kern w:val="0"/>
          <w:sz w:val="24"/>
        </w:rPr>
      </w:pPr>
      <w:r>
        <w:rPr>
          <w:rFonts w:hint="eastAsia" w:ascii="Times New Roman" w:hAnsi="Times New Roman" w:cs="Times New Roman"/>
          <w:b/>
          <w:bCs/>
          <w:kern w:val="0"/>
          <w:sz w:val="24"/>
        </w:rPr>
        <w:t>一、充电桩技术参数要求</w:t>
      </w:r>
    </w:p>
    <w:bookmarkEnd w:id="420"/>
    <w:bookmarkEnd w:id="421"/>
    <w:bookmarkEnd w:id="422"/>
    <w:bookmarkEnd w:id="423"/>
    <w:p>
      <w:pPr>
        <w:wordWrap w:val="0"/>
        <w:spacing w:line="440" w:lineRule="exact"/>
        <w:ind w:firstLine="482" w:firstLineChars="200"/>
        <w:rPr>
          <w:rFonts w:ascii="Times New Roman" w:hAnsi="Times New Roman" w:cs="Times New Roman"/>
          <w:b/>
          <w:bCs/>
          <w:kern w:val="0"/>
          <w:sz w:val="24"/>
        </w:rPr>
      </w:pPr>
      <w:r>
        <w:rPr>
          <w:rFonts w:hint="eastAsia" w:ascii="Times New Roman" w:hAnsi="Times New Roman" w:cs="Times New Roman"/>
          <w:b/>
          <w:bCs/>
          <w:kern w:val="0"/>
          <w:sz w:val="24"/>
        </w:rPr>
        <w:t>（一）充电桩技术标准规范要求</w:t>
      </w:r>
    </w:p>
    <w:tbl>
      <w:tblPr>
        <w:tblStyle w:val="16"/>
        <w:tblW w:w="86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6"/>
        <w:gridCol w:w="6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blHeader/>
        </w:trPr>
        <w:tc>
          <w:tcPr>
            <w:tcW w:w="2263" w:type="dxa"/>
            <w:tcMar>
              <w:left w:w="0" w:type="dxa"/>
              <w:right w:w="0" w:type="dxa"/>
            </w:tcMar>
            <w:vAlign w:val="center"/>
          </w:tcPr>
          <w:p>
            <w:pPr>
              <w:pStyle w:val="29"/>
              <w:overflowPunct w:val="0"/>
              <w:spacing w:before="93" w:beforeLines="30" w:after="93" w:afterLines="30" w:line="240" w:lineRule="auto"/>
              <w:ind w:left="63" w:right="63"/>
              <w:rPr>
                <w:b/>
                <w:sz w:val="24"/>
                <w:szCs w:val="24"/>
              </w:rPr>
            </w:pPr>
            <w:r>
              <w:rPr>
                <w:b/>
                <w:sz w:val="24"/>
                <w:szCs w:val="24"/>
              </w:rPr>
              <w:t>标</w:t>
            </w:r>
            <w:r>
              <w:rPr>
                <w:rFonts w:hint="eastAsia"/>
                <w:b/>
                <w:sz w:val="24"/>
                <w:szCs w:val="24"/>
              </w:rPr>
              <w:t xml:space="preserve">   </w:t>
            </w:r>
            <w:r>
              <w:rPr>
                <w:b/>
                <w:sz w:val="24"/>
                <w:szCs w:val="24"/>
              </w:rPr>
              <w:t>准</w:t>
            </w:r>
            <w:r>
              <w:rPr>
                <w:rFonts w:hint="eastAsia"/>
                <w:b/>
                <w:sz w:val="24"/>
                <w:szCs w:val="24"/>
              </w:rPr>
              <w:t xml:space="preserve">   </w:t>
            </w:r>
            <w:r>
              <w:rPr>
                <w:b/>
                <w:sz w:val="24"/>
                <w:szCs w:val="24"/>
              </w:rPr>
              <w:t>号</w:t>
            </w:r>
          </w:p>
        </w:tc>
        <w:tc>
          <w:tcPr>
            <w:tcW w:w="6237" w:type="dxa"/>
            <w:tcMar>
              <w:left w:w="0" w:type="dxa"/>
              <w:right w:w="0" w:type="dxa"/>
            </w:tcMar>
            <w:vAlign w:val="center"/>
          </w:tcPr>
          <w:p>
            <w:pPr>
              <w:pStyle w:val="29"/>
              <w:overflowPunct w:val="0"/>
              <w:spacing w:before="93" w:beforeLines="30" w:after="93" w:afterLines="30" w:line="240" w:lineRule="auto"/>
              <w:ind w:left="63" w:right="63"/>
              <w:rPr>
                <w:b/>
                <w:sz w:val="24"/>
                <w:szCs w:val="24"/>
              </w:rPr>
            </w:pPr>
            <w:r>
              <w:rPr>
                <w:b/>
                <w:sz w:val="24"/>
                <w:szCs w:val="24"/>
              </w:rPr>
              <w:t>标</w:t>
            </w:r>
            <w:r>
              <w:rPr>
                <w:rFonts w:hint="eastAsia"/>
                <w:b/>
                <w:sz w:val="24"/>
                <w:szCs w:val="24"/>
              </w:rPr>
              <w:t xml:space="preserve">  </w:t>
            </w:r>
            <w:r>
              <w:rPr>
                <w:b/>
                <w:sz w:val="24"/>
                <w:szCs w:val="24"/>
              </w:rPr>
              <w:t>准</w:t>
            </w:r>
            <w:r>
              <w:rPr>
                <w:rFonts w:hint="eastAsia"/>
                <w:b/>
                <w:sz w:val="24"/>
                <w:szCs w:val="24"/>
              </w:rPr>
              <w:t xml:space="preserve">  </w:t>
            </w:r>
            <w:r>
              <w:rPr>
                <w:b/>
                <w:sz w:val="24"/>
                <w:szCs w:val="24"/>
              </w:rPr>
              <w:t>名</w:t>
            </w:r>
            <w:r>
              <w:rPr>
                <w:rFonts w:hint="eastAsia"/>
                <w:b/>
                <w:sz w:val="24"/>
                <w:szCs w:val="24"/>
              </w:rPr>
              <w:t xml:space="preserve">  </w:t>
            </w:r>
            <w:r>
              <w:rPr>
                <w:b/>
                <w:sz w:val="24"/>
                <w:szCs w:val="24"/>
              </w:rPr>
              <w:t>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GB/T 2421-2020</w:t>
            </w:r>
          </w:p>
        </w:tc>
        <w:tc>
          <w:tcPr>
            <w:tcW w:w="6237" w:type="dxa"/>
            <w:tcMar>
              <w:left w:w="0" w:type="dxa"/>
              <w:right w:w="0" w:type="dxa"/>
            </w:tcMar>
            <w:vAlign w:val="center"/>
          </w:tcPr>
          <w:p>
            <w:pPr>
              <w:topLinePunct/>
              <w:snapToGrid w:val="0"/>
              <w:spacing w:before="60" w:after="60"/>
              <w:ind w:left="124" w:leftChars="59"/>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环境试验</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概述和指南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2423.1-2008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电工电子产品环境试验　第2部分：试验方法　试验A：低温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2423.2-2008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电工电子产品环境试验　第2部分：试验方法　试验B：高温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2423.4-2008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电工电子产品环境试验　第2部分：试验方法　试验Db：交变湿热（12h+12h循环）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2423.17-2008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电工电子产品环境试验 第2部分：试验方法 试验Ka：盐雾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2423.55-2006</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电工电子产品环境试验　第2部分：环境测试实验Eh：锤击试验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 4208-20</w:t>
            </w:r>
            <w:r>
              <w:rPr>
                <w:rFonts w:ascii="宋体" w:hAnsi="宋体"/>
                <w:sz w:val="24"/>
              </w:rPr>
              <w:t>17</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外壳防护等级（IP代码）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GB 4824-2019</w:t>
            </w:r>
          </w:p>
        </w:tc>
        <w:tc>
          <w:tcPr>
            <w:tcW w:w="6237" w:type="dxa"/>
            <w:tcMar>
              <w:left w:w="0" w:type="dxa"/>
              <w:right w:w="0" w:type="dxa"/>
            </w:tcMar>
            <w:vAlign w:val="center"/>
          </w:tcPr>
          <w:p>
            <w:pPr>
              <w:topLinePunct/>
              <w:snapToGrid w:val="0"/>
              <w:spacing w:before="60" w:after="60"/>
              <w:ind w:left="124" w:leftChars="59"/>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工业、科学和医疗设备</w:t>
            </w:r>
            <w:r>
              <w:rPr>
                <w:rFonts w:ascii="宋体" w:hAnsi="宋体"/>
                <w:color w:val="000000" w:themeColor="text1"/>
                <w:sz w:val="24"/>
                <w14:textFill>
                  <w14:solidFill>
                    <w14:schemeClr w14:val="tx1"/>
                  </w14:solidFill>
                </w14:textFill>
              </w:rPr>
              <w:t xml:space="preserve"> 射频骚扰特性 限值和测量方法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w:t>
            </w:r>
            <w:r>
              <w:rPr>
                <w:rFonts w:ascii="宋体" w:hAnsi="宋体"/>
                <w:sz w:val="24"/>
              </w:rPr>
              <w:t>/</w:t>
            </w:r>
            <w:r>
              <w:rPr>
                <w:rFonts w:hint="eastAsia" w:ascii="宋体" w:hAnsi="宋体"/>
                <w:sz w:val="24"/>
              </w:rPr>
              <w:t>T</w:t>
            </w:r>
            <w:r>
              <w:rPr>
                <w:rFonts w:ascii="宋体" w:hAnsi="宋体"/>
                <w:sz w:val="24"/>
              </w:rPr>
              <w:t xml:space="preserve"> 7251.1-2013</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低压成套开关设备和控制设备 第1部分：总则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 17625.1-2012</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限值　谐波电流发射限值(设备每相输入电流≤16 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ascii="宋体" w:hAnsi="宋体"/>
                <w:sz w:val="24"/>
              </w:rPr>
              <w:t>GB/T 17625.2-2007</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限值 对每相额定电流≤16A且无条件接入的设备在公用低压供电系统中产生的电压变化、电压波动和闪烁的限制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ascii="宋体" w:hAnsi="宋体"/>
                <w:sz w:val="24"/>
              </w:rPr>
              <w:t>GB/T 17625.7-2013</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限值 对额定电流≤75A且有条件接入的设备在公用低压供电系统中产生的电压变化、电压波动和闪烁的限制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GB/T 17625.8-2015</w:t>
            </w:r>
          </w:p>
        </w:tc>
        <w:tc>
          <w:tcPr>
            <w:tcW w:w="6237" w:type="dxa"/>
            <w:tcMar>
              <w:left w:w="0" w:type="dxa"/>
              <w:right w:w="0" w:type="dxa"/>
            </w:tcMar>
            <w:vAlign w:val="center"/>
          </w:tcPr>
          <w:p>
            <w:pPr>
              <w:topLinePunct/>
              <w:snapToGrid w:val="0"/>
              <w:spacing w:before="60" w:after="60"/>
              <w:ind w:left="124" w:leftChars="59"/>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电磁兼容</w:t>
            </w:r>
            <w:r>
              <w:rPr>
                <w:rFonts w:ascii="宋体" w:hAnsi="宋体"/>
                <w:color w:val="000000" w:themeColor="text1"/>
                <w:sz w:val="24"/>
                <w14:textFill>
                  <w14:solidFill>
                    <w14:schemeClr w14:val="tx1"/>
                  </w14:solidFill>
                </w14:textFill>
              </w:rPr>
              <w:t xml:space="preserve"> 限值 </w:t>
            </w:r>
            <w:r>
              <w:rPr>
                <w:rFonts w:hint="eastAsia" w:ascii="宋体" w:hAnsi="宋体"/>
                <w:color w:val="000000" w:themeColor="text1"/>
                <w:sz w:val="24"/>
                <w14:textFill>
                  <w14:solidFill>
                    <w14:schemeClr w14:val="tx1"/>
                  </w14:solidFill>
                </w14:textFill>
              </w:rPr>
              <w:t>每相输入电流大于</w:t>
            </w:r>
            <w:r>
              <w:rPr>
                <w:rFonts w:ascii="宋体" w:hAnsi="宋体"/>
                <w:color w:val="000000" w:themeColor="text1"/>
                <w:sz w:val="24"/>
                <w14:textFill>
                  <w14:solidFill>
                    <w14:schemeClr w14:val="tx1"/>
                  </w14:solidFill>
                </w14:textFill>
              </w:rPr>
              <w:t>16A小于等于75A连接到公用低压系统的设备产生的谐波电流限值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GB/Z 17625.6-2003</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限值　对额定电流大于16 A的设备在低压供电系统中产生的谐波电流的限制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17626.2-20</w:t>
            </w:r>
            <w:r>
              <w:rPr>
                <w:rFonts w:ascii="宋体" w:hAnsi="宋体"/>
                <w:sz w:val="24"/>
              </w:rPr>
              <w:t>18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试验和测量技术 静电放电抗扰度试验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17626.3-20</w:t>
            </w:r>
            <w:r>
              <w:rPr>
                <w:rFonts w:ascii="宋体" w:hAnsi="宋体"/>
                <w:sz w:val="24"/>
              </w:rPr>
              <w:t>1</w:t>
            </w:r>
            <w:r>
              <w:rPr>
                <w:rFonts w:hint="eastAsia" w:ascii="宋体" w:hAnsi="宋体"/>
                <w:sz w:val="24"/>
              </w:rPr>
              <w:t>6</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试验和测量技术 射频电磁场辐射抗扰度试验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17626.4-20</w:t>
            </w:r>
            <w:r>
              <w:rPr>
                <w:rFonts w:ascii="宋体" w:hAnsi="宋体"/>
                <w:sz w:val="24"/>
              </w:rPr>
              <w:t>1</w:t>
            </w:r>
            <w:r>
              <w:rPr>
                <w:rFonts w:hint="eastAsia" w:ascii="宋体" w:hAnsi="宋体"/>
                <w:sz w:val="24"/>
              </w:rPr>
              <w:t>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试验和测量技术 电快速瞬变脉冲群抗扰度试验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17626.5-20</w:t>
            </w:r>
            <w:r>
              <w:rPr>
                <w:rFonts w:ascii="宋体" w:hAnsi="宋体"/>
                <w:sz w:val="24"/>
              </w:rPr>
              <w:t>19</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试验和测量技术 浪涌（冲击）抗扰度试验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ascii="宋体" w:hAnsi="宋体"/>
                <w:sz w:val="24"/>
              </w:rPr>
              <w:t>GB/T 17626.6-2017</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试验和测量技术 射频场感应的传导骚扰抗扰度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ascii="宋体" w:hAnsi="宋体"/>
                <w:sz w:val="24"/>
              </w:rPr>
              <w:t>GB/T 17626.8-2006</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试验和测量技术 工频磁场抗扰度试验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ascii="宋体" w:hAnsi="宋体"/>
                <w:sz w:val="24"/>
              </w:rPr>
              <w:t>GB/T 17626.11-2008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试验和测量技术 电压暂降、短时中断和电压变化的抗扰度试验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ascii="宋体" w:hAnsi="宋体"/>
                <w:sz w:val="24"/>
              </w:rPr>
              <w:t>GB/T 17626.34-2012</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电磁兼容 试验和测量技术 主电源每相电流大于16A的设备的电压暂降、短时中断和电压变化抗扰度试验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18487.1-2015</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电动汽车传导充电系统 第1部分：通用要求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18487.2-2017</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电动汽车传导充电系统 第2部分：非车载传导供电设备电磁兼容要求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20234.1-2015</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电动汽车传导充电用连接装置 第1部分：通用要求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20234.</w:t>
            </w:r>
            <w:r>
              <w:rPr>
                <w:rFonts w:ascii="宋体" w:hAnsi="宋体"/>
                <w:sz w:val="24"/>
              </w:rPr>
              <w:t>2</w:t>
            </w:r>
            <w:r>
              <w:rPr>
                <w:rFonts w:hint="eastAsia" w:ascii="宋体" w:hAnsi="宋体"/>
                <w:sz w:val="24"/>
              </w:rPr>
              <w:t>-2015</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电动汽车传导充电用连接装置 第</w:t>
            </w:r>
            <w:r>
              <w:rPr>
                <w:rFonts w:ascii="宋体" w:hAnsi="宋体"/>
                <w:sz w:val="24"/>
              </w:rPr>
              <w:t>2</w:t>
            </w:r>
            <w:r>
              <w:rPr>
                <w:rFonts w:hint="eastAsia" w:ascii="宋体" w:hAnsi="宋体"/>
                <w:sz w:val="24"/>
              </w:rPr>
              <w:t>部分：交流充电接口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20234.3-2015</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电动汽车传导充电用连接装置 第3部分：直流充电接口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27930-2015</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电动汽车非车载传导式充电机与电池管理系统之间的通信协议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ascii="宋体" w:hAnsi="宋体"/>
                <w:sz w:val="24"/>
              </w:rPr>
              <w:t>GB/T 29317-2021</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电动汽车充换电设施术语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ascii="宋体" w:hAnsi="宋体"/>
                <w:sz w:val="24"/>
              </w:rPr>
              <w:t>GB/T 28569-2012</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电动汽车交流充电桩电能计量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29318-2012</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电动汽车非车载充电机电能计量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34657.1-2017</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电动汽车传导充电互操作性测试规范 第1部分:供电设备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ascii="宋体" w:hAnsi="宋体"/>
                <w:sz w:val="24"/>
              </w:rPr>
              <w:t>GB/T 34658-2017</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电动汽车非车载传导式充电机与电池管理系统之间的通信协议一致性测试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13384-2008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机电产品包装通用技术条件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GB/T 29316-2012</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电动汽车充换电设施电能质量技术要求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NB/T 33001-2018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电动汽车非车载传导式充电机技术条件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NB/T 3300</w:t>
            </w:r>
            <w:r>
              <w:rPr>
                <w:rFonts w:ascii="宋体" w:hAnsi="宋体"/>
                <w:sz w:val="24"/>
              </w:rPr>
              <w:t>2</w:t>
            </w:r>
            <w:r>
              <w:rPr>
                <w:rFonts w:hint="eastAsia" w:ascii="宋体" w:hAnsi="宋体"/>
                <w:sz w:val="24"/>
              </w:rPr>
              <w:t>-2018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电动汽车交流充电桩技术条件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NB/T 33008.1-2018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电动汽车充电设备检验试验规范 第1部分：非车载充电机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NB/T 33008.</w:t>
            </w:r>
            <w:r>
              <w:rPr>
                <w:rFonts w:ascii="宋体" w:hAnsi="宋体"/>
                <w:sz w:val="24"/>
              </w:rPr>
              <w:t>2</w:t>
            </w:r>
            <w:r>
              <w:rPr>
                <w:rFonts w:hint="eastAsia" w:ascii="宋体" w:hAnsi="宋体"/>
                <w:sz w:val="24"/>
              </w:rPr>
              <w:t>-2018</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电动汽车充电设备检验试验规范 第</w:t>
            </w:r>
            <w:r>
              <w:rPr>
                <w:rFonts w:ascii="宋体" w:hAnsi="宋体"/>
                <w:sz w:val="24"/>
              </w:rPr>
              <w:t>2</w:t>
            </w:r>
            <w:r>
              <w:rPr>
                <w:rFonts w:hint="eastAsia" w:ascii="宋体" w:hAnsi="宋体"/>
                <w:sz w:val="24"/>
              </w:rPr>
              <w:t>部分：交流充电机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IEC</w:t>
            </w:r>
            <w:r>
              <w:rPr>
                <w:rFonts w:ascii="宋体" w:hAnsi="宋体"/>
                <w:sz w:val="24"/>
              </w:rPr>
              <w:t xml:space="preserve"> 61851-23</w:t>
            </w:r>
          </w:p>
        </w:tc>
        <w:tc>
          <w:tcPr>
            <w:tcW w:w="6237" w:type="dxa"/>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电动汽车传导充电系统 第2</w:t>
            </w:r>
            <w:r>
              <w:rPr>
                <w:rFonts w:ascii="宋体" w:hAnsi="宋体"/>
                <w:sz w:val="24"/>
              </w:rPr>
              <w:t>3</w:t>
            </w:r>
            <w:r>
              <w:rPr>
                <w:rFonts w:hint="eastAsia" w:ascii="宋体" w:hAnsi="宋体"/>
                <w:sz w:val="24"/>
              </w:rPr>
              <w:t>部分：直流电动汽车充电站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DL/T645-2007</w:t>
            </w:r>
          </w:p>
        </w:tc>
        <w:tc>
          <w:tcPr>
            <w:tcW w:w="623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topLinePunct/>
              <w:snapToGrid w:val="0"/>
              <w:spacing w:before="60" w:after="60"/>
              <w:ind w:left="124" w:leftChars="59"/>
              <w:jc w:val="left"/>
              <w:rPr>
                <w:rFonts w:ascii="宋体" w:hAnsi="宋体"/>
                <w:sz w:val="24"/>
              </w:rPr>
            </w:pPr>
            <w:r>
              <w:rPr>
                <w:rFonts w:hint="eastAsia" w:ascii="宋体" w:hAnsi="宋体"/>
                <w:sz w:val="24"/>
              </w:rPr>
              <w:t>多功能电能表通信协议</w:t>
            </w:r>
          </w:p>
        </w:tc>
      </w:tr>
    </w:tbl>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注：标准若出现更新或替换，以新标准为准。未明确的标准要求，也以国家及行业最新标准为准。</w:t>
      </w:r>
    </w:p>
    <w:p>
      <w:pPr>
        <w:wordWrap w:val="0"/>
        <w:spacing w:line="440" w:lineRule="exact"/>
        <w:outlineLvl w:val="1"/>
        <w:rPr>
          <w:rFonts w:ascii="Times New Roman" w:hAnsi="Times New Roman" w:cs="Times New Roman"/>
          <w:b/>
          <w:bCs/>
          <w:kern w:val="0"/>
          <w:sz w:val="24"/>
        </w:rPr>
      </w:pPr>
      <w:r>
        <w:rPr>
          <w:rFonts w:hint="eastAsia" w:ascii="Times New Roman" w:hAnsi="Times New Roman" w:cs="Times New Roman"/>
          <w:b/>
          <w:bCs/>
          <w:kern w:val="0"/>
          <w:sz w:val="24"/>
        </w:rPr>
        <w:t>（二）交流充电桩技术要求</w:t>
      </w:r>
    </w:p>
    <w:p>
      <w:pPr>
        <w:outlineLvl w:val="2"/>
        <w:rPr>
          <w:rFonts w:ascii="宋体" w:hAnsi="宋体" w:eastAsia="宋体"/>
          <w:b/>
          <w:sz w:val="24"/>
        </w:rPr>
      </w:pPr>
      <w:bookmarkStart w:id="424" w:name="_Toc255074827"/>
      <w:bookmarkStart w:id="425" w:name="_Toc478404367"/>
      <w:bookmarkStart w:id="426" w:name="_Toc253150291"/>
      <w:bookmarkStart w:id="427" w:name="_Toc101790774"/>
      <w:bookmarkStart w:id="428" w:name="_Toc413504320"/>
      <w:bookmarkStart w:id="429" w:name="_Toc351107508"/>
      <w:bookmarkStart w:id="430" w:name="_Toc351107793"/>
      <w:bookmarkStart w:id="431" w:name="_Toc351107611"/>
      <w:bookmarkStart w:id="432" w:name="_Toc155151667"/>
      <w:r>
        <w:rPr>
          <w:rFonts w:ascii="宋体" w:hAnsi="宋体" w:eastAsia="宋体"/>
          <w:b/>
          <w:sz w:val="24"/>
        </w:rPr>
        <w:t>1、技术参数</w:t>
      </w:r>
    </w:p>
    <w:p>
      <w:pPr>
        <w:outlineLvl w:val="3"/>
        <w:rPr>
          <w:rFonts w:ascii="宋体" w:hAnsi="宋体" w:eastAsia="宋体"/>
          <w:b/>
          <w:sz w:val="24"/>
        </w:rPr>
      </w:pPr>
      <w:r>
        <w:rPr>
          <w:rFonts w:ascii="宋体" w:hAnsi="宋体" w:eastAsia="宋体"/>
          <w:b/>
          <w:sz w:val="24"/>
        </w:rPr>
        <w:t xml:space="preserve"> 7kW交流充电桩参数要求</w:t>
      </w:r>
    </w:p>
    <w:tbl>
      <w:tblPr>
        <w:tblStyle w:val="16"/>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93"/>
        <w:gridCol w:w="6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hint="eastAsia" w:ascii="宋体" w:hAnsi="宋体" w:eastAsia="宋体" w:cs="宋体"/>
                <w:color w:val="000000"/>
                <w:sz w:val="24"/>
              </w:rPr>
              <w:t>序号</w:t>
            </w:r>
          </w:p>
        </w:tc>
        <w:tc>
          <w:tcPr>
            <w:tcW w:w="189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hint="eastAsia" w:ascii="宋体" w:hAnsi="宋体" w:eastAsia="宋体" w:cs="宋体"/>
                <w:color w:val="000000"/>
                <w:sz w:val="24"/>
              </w:rPr>
              <w:t>项目</w:t>
            </w:r>
          </w:p>
        </w:tc>
        <w:tc>
          <w:tcPr>
            <w:tcW w:w="65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hint="eastAsia" w:ascii="宋体" w:hAnsi="宋体" w:eastAsia="宋体" w:cs="宋体"/>
                <w:color w:val="000000"/>
                <w:sz w:val="24"/>
              </w:rPr>
              <w:t>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1</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交流输入电压</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单相</w:t>
            </w:r>
            <w:r>
              <w:rPr>
                <w:rFonts w:ascii="宋体" w:hAnsi="宋体" w:eastAsia="宋体" w:cs="宋体"/>
                <w:color w:val="000000"/>
                <w:sz w:val="24"/>
              </w:rPr>
              <w:t>220V±20</w:t>
            </w:r>
            <w:r>
              <w:rPr>
                <w:rFonts w:hint="eastAsia" w:ascii="宋体" w:hAnsi="宋体" w:eastAsia="宋体" w:cs="宋体"/>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2</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交流输入频率</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ascii="宋体" w:hAnsi="宋体" w:eastAsia="宋体" w:cs="宋体"/>
                <w:color w:val="000000"/>
                <w:sz w:val="24"/>
              </w:rPr>
              <w:t>50Hz±5Hz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3</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输出功率</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ascii="宋体" w:hAnsi="宋体" w:eastAsia="宋体" w:cs="宋体"/>
                <w:color w:val="000000"/>
                <w:sz w:val="24"/>
              </w:rPr>
              <w:t>7kW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4</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结构形式</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一体式单枪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5</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最大输出电流</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ascii="宋体" w:hAnsi="宋体" w:eastAsia="宋体" w:cs="宋体"/>
                <w:color w:val="000000"/>
                <w:sz w:val="24"/>
              </w:rPr>
              <w:t>0～32A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6</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▲待机功耗</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w:t>
            </w:r>
            <w:r>
              <w:rPr>
                <w:rFonts w:ascii="宋体" w:hAnsi="宋体" w:eastAsia="宋体" w:cs="宋体"/>
                <w:color w:val="000000"/>
                <w:sz w:val="24"/>
              </w:rPr>
              <w:t>3.5W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7</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▲噪声</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b/>
                <w:color w:val="000000"/>
                <w:sz w:val="24"/>
              </w:rPr>
            </w:pPr>
            <w:r>
              <w:rPr>
                <w:rFonts w:hint="eastAsia" w:ascii="宋体" w:hAnsi="宋体" w:eastAsia="宋体" w:cs="宋体"/>
                <w:color w:val="000000"/>
                <w:sz w:val="24"/>
              </w:rPr>
              <w:t>≤</w:t>
            </w:r>
            <w:r>
              <w:rPr>
                <w:rFonts w:ascii="宋体" w:hAnsi="宋体" w:eastAsia="宋体" w:cs="宋体"/>
                <w:color w:val="000000"/>
                <w:sz w:val="24"/>
              </w:rPr>
              <w:t>35dB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8</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w:t>
            </w:r>
            <w:r>
              <w:rPr>
                <w:rFonts w:ascii="宋体" w:hAnsi="宋体" w:eastAsia="宋体" w:cs="宋体"/>
                <w:color w:val="000000"/>
                <w:sz w:val="24"/>
              </w:rPr>
              <w:t>IP防护等级</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ascii="宋体" w:hAnsi="宋体" w:eastAsia="宋体" w:cs="宋体"/>
                <w:color w:val="000000"/>
                <w:sz w:val="24"/>
              </w:rPr>
              <w:t>IP65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9</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正常工作温度</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ascii="宋体" w:hAnsi="宋体" w:eastAsia="宋体" w:cs="宋体"/>
                <w:color w:val="000000"/>
                <w:sz w:val="24"/>
              </w:rPr>
              <w:t>-20℃</w:t>
            </w:r>
            <w:r>
              <w:rPr>
                <w:rFonts w:hint="eastAsia" w:ascii="宋体" w:hAnsi="宋体" w:eastAsia="宋体"/>
                <w:sz w:val="24"/>
              </w:rPr>
              <w:t>～</w:t>
            </w:r>
            <w:r>
              <w:rPr>
                <w:rFonts w:ascii="宋体" w:hAnsi="宋体" w:eastAsia="宋体" w:cs="宋体"/>
                <w:color w:val="000000"/>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10</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安全保护</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输出短路保护、急停保护、接触器粘连监测、接触电流、漏电保护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11</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枪线长度</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w:t>
            </w:r>
            <w:r>
              <w:rPr>
                <w:rFonts w:ascii="宋体" w:hAnsi="宋体" w:eastAsia="宋体" w:cs="宋体"/>
                <w:color w:val="000000"/>
                <w:sz w:val="24"/>
              </w:rPr>
              <w:t>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12</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安装方式</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宋体"/>
                <w:color w:val="000000"/>
                <w:sz w:val="24"/>
              </w:rPr>
            </w:pPr>
            <w:r>
              <w:rPr>
                <w:rFonts w:hint="eastAsia" w:ascii="宋体" w:hAnsi="宋体" w:eastAsia="宋体" w:cs="宋体"/>
                <w:color w:val="000000"/>
                <w:sz w:val="24"/>
              </w:rPr>
              <w:t>壁挂或立柱式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13</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olor w:val="000000"/>
                <w:sz w:val="24"/>
              </w:rPr>
            </w:pPr>
            <w:r>
              <w:rPr>
                <w:rFonts w:hint="eastAsia" w:ascii="宋体" w:hAnsi="宋体" w:eastAsia="宋体"/>
                <w:color w:val="000000"/>
                <w:sz w:val="24"/>
              </w:rPr>
              <w:t>尺寸</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olor w:val="000000"/>
                <w:sz w:val="24"/>
              </w:rPr>
            </w:pPr>
            <w:r>
              <w:rPr>
                <w:rFonts w:hint="eastAsia" w:ascii="宋体" w:hAnsi="宋体" w:eastAsia="宋体"/>
                <w:color w:val="000000"/>
                <w:sz w:val="24"/>
              </w:rPr>
              <w:t>不限（以不影响现场操作、设备维修、其他设备设施安装等为原则和前提，尽可能缩小占地面积）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14</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olor w:val="000000"/>
                <w:sz w:val="24"/>
              </w:rPr>
            </w:pPr>
            <w:r>
              <w:rPr>
                <w:rFonts w:hint="eastAsia" w:ascii="宋体" w:hAnsi="宋体" w:eastAsia="宋体"/>
                <w:color w:val="000000"/>
                <w:sz w:val="24"/>
              </w:rPr>
              <w:t>绕线功能</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olor w:val="000000"/>
                <w:sz w:val="24"/>
              </w:rPr>
            </w:pPr>
            <w:r>
              <w:rPr>
                <w:rFonts w:hint="eastAsia" w:ascii="宋体" w:hAnsi="宋体" w:eastAsia="宋体"/>
                <w:color w:val="000000"/>
                <w:sz w:val="24"/>
              </w:rPr>
              <w:t>充电桩桩体（非立柱）带有绕线功能，无需增加绕线附件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4"/>
              </w:rPr>
            </w:pPr>
            <w:r>
              <w:rPr>
                <w:rFonts w:ascii="宋体" w:hAnsi="宋体" w:eastAsia="宋体" w:cs="宋体"/>
                <w:color w:val="000000"/>
                <w:sz w:val="24"/>
              </w:rPr>
              <w:t>15</w:t>
            </w:r>
          </w:p>
        </w:tc>
        <w:tc>
          <w:tcPr>
            <w:tcW w:w="189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olor w:val="000000"/>
                <w:sz w:val="24"/>
              </w:rPr>
            </w:pPr>
            <w:r>
              <w:rPr>
                <w:rFonts w:hint="eastAsia" w:ascii="宋体" w:hAnsi="宋体" w:eastAsia="宋体"/>
                <w:color w:val="000000"/>
                <w:sz w:val="24"/>
              </w:rPr>
              <w:t>防盗功能</w:t>
            </w:r>
          </w:p>
        </w:tc>
        <w:tc>
          <w:tcPr>
            <w:tcW w:w="6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olor w:val="000000"/>
                <w:sz w:val="24"/>
              </w:rPr>
            </w:pPr>
            <w:r>
              <w:rPr>
                <w:rFonts w:hint="eastAsia" w:ascii="宋体" w:hAnsi="宋体" w:eastAsia="宋体"/>
                <w:color w:val="000000"/>
                <w:sz w:val="24"/>
              </w:rPr>
              <w:t>充电桩采用防盗结构设计，桩体表面无螺丝；</w:t>
            </w:r>
          </w:p>
        </w:tc>
      </w:tr>
      <w:bookmarkEnd w:id="424"/>
      <w:bookmarkEnd w:id="425"/>
      <w:bookmarkEnd w:id="426"/>
      <w:bookmarkEnd w:id="427"/>
      <w:bookmarkEnd w:id="428"/>
      <w:bookmarkEnd w:id="429"/>
      <w:bookmarkEnd w:id="430"/>
      <w:bookmarkEnd w:id="431"/>
      <w:bookmarkEnd w:id="432"/>
    </w:tbl>
    <w:p>
      <w:pPr>
        <w:pStyle w:val="5"/>
        <w:tabs>
          <w:tab w:val="left" w:pos="525"/>
          <w:tab w:val="left" w:pos="1140"/>
        </w:tabs>
        <w:spacing w:line="360" w:lineRule="auto"/>
        <w:ind w:firstLine="0"/>
        <w:rPr>
          <w:rFonts w:ascii="宋体" w:hAnsi="宋体"/>
          <w:color w:val="000000"/>
          <w:sz w:val="24"/>
        </w:rPr>
      </w:pPr>
    </w:p>
    <w:p>
      <w:pPr>
        <w:outlineLvl w:val="2"/>
        <w:rPr>
          <w:rFonts w:ascii="宋体" w:hAnsi="宋体" w:eastAsia="宋体"/>
          <w:b/>
          <w:bCs/>
          <w:sz w:val="24"/>
        </w:rPr>
      </w:pPr>
      <w:r>
        <w:rPr>
          <w:rFonts w:ascii="宋体" w:hAnsi="宋体" w:eastAsia="宋体"/>
          <w:b/>
          <w:bCs/>
          <w:sz w:val="24"/>
        </w:rPr>
        <w:t>2</w:t>
      </w:r>
      <w:r>
        <w:rPr>
          <w:rFonts w:hint="eastAsia" w:ascii="宋体" w:hAnsi="宋体" w:eastAsia="宋体"/>
          <w:b/>
          <w:bCs/>
          <w:sz w:val="24"/>
        </w:rPr>
        <w:t>、结构形式</w:t>
      </w:r>
    </w:p>
    <w:p>
      <w:pPr>
        <w:pStyle w:val="5"/>
        <w:tabs>
          <w:tab w:val="left" w:pos="525"/>
          <w:tab w:val="left" w:pos="1140"/>
        </w:tabs>
        <w:spacing w:line="360" w:lineRule="auto"/>
        <w:rPr>
          <w:rFonts w:ascii="宋体" w:hAnsi="宋体"/>
          <w:color w:val="000000"/>
          <w:sz w:val="24"/>
        </w:rPr>
      </w:pPr>
      <w:r>
        <w:rPr>
          <w:rStyle w:val="30"/>
          <w:rFonts w:hint="eastAsia" w:ascii="宋体" w:hAnsi="宋体"/>
          <w:color w:val="000000"/>
          <w:sz w:val="24"/>
          <w:szCs w:val="24"/>
        </w:rPr>
        <w:t>（1）输出形式：</w:t>
      </w:r>
      <w:r>
        <w:rPr>
          <w:rFonts w:hint="eastAsia" w:ascii="宋体" w:hAnsi="宋体"/>
          <w:color w:val="000000"/>
          <w:sz w:val="24"/>
        </w:rPr>
        <w:t>每台交流</w:t>
      </w:r>
      <w:r>
        <w:rPr>
          <w:rFonts w:ascii="宋体" w:hAnsi="宋体"/>
          <w:color w:val="000000"/>
          <w:sz w:val="24"/>
        </w:rPr>
        <w:t>充电桩</w:t>
      </w:r>
      <w:r>
        <w:rPr>
          <w:rFonts w:hint="eastAsia" w:ascii="宋体" w:hAnsi="宋体"/>
          <w:color w:val="000000"/>
          <w:sz w:val="24"/>
        </w:rPr>
        <w:t>应</w:t>
      </w:r>
      <w:r>
        <w:rPr>
          <w:rFonts w:ascii="宋体" w:hAnsi="宋体"/>
          <w:color w:val="000000"/>
          <w:sz w:val="24"/>
        </w:rPr>
        <w:t>配置1套</w:t>
      </w:r>
      <w:r>
        <w:rPr>
          <w:rFonts w:hint="eastAsia" w:ascii="宋体" w:hAnsi="宋体"/>
          <w:color w:val="000000"/>
          <w:sz w:val="24"/>
        </w:rPr>
        <w:t>符合最新国家标准要求的交</w:t>
      </w:r>
      <w:r>
        <w:rPr>
          <w:rFonts w:ascii="宋体" w:hAnsi="宋体"/>
          <w:color w:val="000000"/>
          <w:sz w:val="24"/>
        </w:rPr>
        <w:t>流充电</w:t>
      </w:r>
      <w:r>
        <w:rPr>
          <w:rFonts w:hint="eastAsia" w:ascii="宋体" w:hAnsi="宋体"/>
          <w:color w:val="000000"/>
          <w:sz w:val="24"/>
        </w:rPr>
        <w:t>枪。</w:t>
      </w:r>
    </w:p>
    <w:p>
      <w:pPr>
        <w:pStyle w:val="5"/>
        <w:tabs>
          <w:tab w:val="left" w:pos="525"/>
          <w:tab w:val="left" w:pos="1140"/>
        </w:tabs>
        <w:spacing w:line="360" w:lineRule="auto"/>
        <w:rPr>
          <w:rFonts w:ascii="宋体" w:hAnsi="宋体"/>
          <w:color w:val="000000"/>
          <w:sz w:val="24"/>
        </w:rPr>
      </w:pPr>
      <w:r>
        <w:rPr>
          <w:rFonts w:hint="eastAsia" w:ascii="宋体" w:hAnsi="宋体"/>
          <w:color w:val="000000"/>
          <w:sz w:val="24"/>
        </w:rPr>
        <w:t>（2）基本构成：充电机的基本构成应包括桩体和交流充电连接装置，其中，桩体应包含主电源回路、控制单元等，宜包括计量计费单元等。</w:t>
      </w:r>
    </w:p>
    <w:p>
      <w:pPr>
        <w:outlineLvl w:val="2"/>
        <w:rPr>
          <w:rFonts w:ascii="宋体" w:hAnsi="宋体" w:eastAsia="宋体"/>
          <w:b/>
          <w:bCs/>
          <w:sz w:val="24"/>
        </w:rPr>
      </w:pPr>
      <w:bookmarkStart w:id="433" w:name="_Toc101790775"/>
      <w:bookmarkStart w:id="434" w:name="_Toc478404368"/>
      <w:bookmarkStart w:id="435" w:name="_Toc352274278"/>
      <w:bookmarkStart w:id="436" w:name="_Toc413504321"/>
      <w:r>
        <w:rPr>
          <w:rFonts w:ascii="宋体" w:hAnsi="宋体" w:eastAsia="宋体"/>
          <w:b/>
          <w:bCs/>
          <w:sz w:val="24"/>
        </w:rPr>
        <w:t>3</w:t>
      </w:r>
      <w:r>
        <w:rPr>
          <w:rFonts w:hint="eastAsia" w:ascii="宋体" w:hAnsi="宋体" w:eastAsia="宋体"/>
          <w:b/>
          <w:bCs/>
          <w:sz w:val="24"/>
        </w:rPr>
        <w:t>、功能要求</w:t>
      </w:r>
      <w:bookmarkEnd w:id="433"/>
      <w:bookmarkEnd w:id="434"/>
      <w:bookmarkEnd w:id="435"/>
      <w:bookmarkEnd w:id="436"/>
    </w:p>
    <w:p>
      <w:pPr>
        <w:pStyle w:val="5"/>
        <w:tabs>
          <w:tab w:val="left" w:pos="525"/>
          <w:tab w:val="left" w:pos="1134"/>
        </w:tabs>
        <w:spacing w:line="360" w:lineRule="auto"/>
        <w:ind w:firstLine="480"/>
        <w:rPr>
          <w:rFonts w:ascii="宋体" w:hAnsi="宋体"/>
          <w:color w:val="000000"/>
          <w:sz w:val="24"/>
        </w:rPr>
      </w:pPr>
      <w:r>
        <w:rPr>
          <w:rStyle w:val="30"/>
          <w:rFonts w:hint="eastAsia" w:ascii="宋体" w:hAnsi="宋体"/>
          <w:color w:val="000000"/>
          <w:sz w:val="24"/>
          <w:szCs w:val="24"/>
        </w:rPr>
        <w:t>（1）计量功能：</w:t>
      </w:r>
      <w:r>
        <w:rPr>
          <w:rFonts w:ascii="宋体" w:hAnsi="宋体"/>
          <w:color w:val="000000"/>
          <w:sz w:val="24"/>
        </w:rPr>
        <w:t>充电</w:t>
      </w:r>
      <w:r>
        <w:rPr>
          <w:rFonts w:hint="eastAsia" w:ascii="宋体" w:hAnsi="宋体"/>
          <w:color w:val="000000"/>
          <w:sz w:val="24"/>
        </w:rPr>
        <w:t>桩应具有计量的功能。</w:t>
      </w:r>
    </w:p>
    <w:p>
      <w:pPr>
        <w:pStyle w:val="5"/>
        <w:tabs>
          <w:tab w:val="left" w:pos="525"/>
          <w:tab w:val="left" w:pos="1134"/>
        </w:tabs>
        <w:spacing w:line="360" w:lineRule="auto"/>
        <w:ind w:firstLine="480"/>
        <w:rPr>
          <w:rFonts w:ascii="宋体" w:hAnsi="宋体"/>
          <w:color w:val="000000"/>
          <w:sz w:val="24"/>
        </w:rPr>
      </w:pPr>
      <w:r>
        <w:rPr>
          <w:rStyle w:val="30"/>
          <w:rFonts w:hint="eastAsia" w:ascii="宋体" w:hAnsi="宋体"/>
          <w:color w:val="000000"/>
          <w:sz w:val="24"/>
          <w:szCs w:val="24"/>
        </w:rPr>
        <w:t>（</w:t>
      </w:r>
      <w:r>
        <w:rPr>
          <w:rStyle w:val="30"/>
          <w:rFonts w:ascii="宋体" w:hAnsi="宋体"/>
          <w:color w:val="000000"/>
          <w:sz w:val="24"/>
          <w:szCs w:val="24"/>
        </w:rPr>
        <w:t>2</w:t>
      </w:r>
      <w:r>
        <w:rPr>
          <w:rStyle w:val="30"/>
          <w:rFonts w:hint="eastAsia" w:ascii="宋体" w:hAnsi="宋体"/>
          <w:color w:val="000000"/>
          <w:sz w:val="24"/>
          <w:szCs w:val="24"/>
        </w:rPr>
        <w:t>）通信功能：</w:t>
      </w:r>
      <w:r>
        <w:rPr>
          <w:rFonts w:hint="eastAsia" w:ascii="宋体" w:hAnsi="宋体"/>
          <w:color w:val="000000"/>
          <w:sz w:val="24"/>
        </w:rPr>
        <w:t>充电桩需具备4G/5G无线通信功能。</w:t>
      </w:r>
    </w:p>
    <w:p>
      <w:pPr>
        <w:pStyle w:val="5"/>
        <w:tabs>
          <w:tab w:val="left" w:pos="525"/>
          <w:tab w:val="left" w:pos="1140"/>
        </w:tabs>
        <w:spacing w:line="360" w:lineRule="auto"/>
        <w:rPr>
          <w:rStyle w:val="30"/>
          <w:rFonts w:ascii="宋体" w:hAnsi="宋体"/>
          <w:color w:val="000000"/>
          <w:sz w:val="24"/>
          <w:szCs w:val="24"/>
        </w:rPr>
      </w:pPr>
      <w:r>
        <w:rPr>
          <w:rStyle w:val="30"/>
          <w:rFonts w:hint="eastAsia" w:ascii="宋体" w:hAnsi="宋体"/>
          <w:color w:val="000000"/>
          <w:sz w:val="24"/>
          <w:szCs w:val="24"/>
        </w:rPr>
        <w:t>（</w:t>
      </w:r>
      <w:r>
        <w:rPr>
          <w:rStyle w:val="30"/>
          <w:rFonts w:ascii="宋体" w:hAnsi="宋体"/>
          <w:color w:val="000000"/>
          <w:sz w:val="24"/>
          <w:szCs w:val="24"/>
        </w:rPr>
        <w:t>3</w:t>
      </w:r>
      <w:r>
        <w:rPr>
          <w:rStyle w:val="30"/>
          <w:rFonts w:hint="eastAsia" w:ascii="宋体" w:hAnsi="宋体"/>
          <w:color w:val="000000"/>
          <w:sz w:val="24"/>
          <w:szCs w:val="24"/>
        </w:rPr>
        <w:t>）保护功能</w:t>
      </w:r>
    </w:p>
    <w:p>
      <w:pPr>
        <w:widowControl/>
        <w:numPr>
          <w:ilvl w:val="0"/>
          <w:numId w:val="2"/>
        </w:numPr>
        <w:tabs>
          <w:tab w:val="left" w:pos="1134"/>
        </w:tabs>
        <w:spacing w:line="360" w:lineRule="auto"/>
        <w:jc w:val="left"/>
        <w:rPr>
          <w:rFonts w:ascii="宋体" w:hAnsi="宋体" w:eastAsia="宋体"/>
          <w:color w:val="000000"/>
          <w:sz w:val="24"/>
        </w:rPr>
      </w:pPr>
      <w:r>
        <w:rPr>
          <w:rFonts w:hint="eastAsia" w:ascii="宋体" w:hAnsi="宋体" w:eastAsia="宋体"/>
          <w:color w:val="000000"/>
          <w:sz w:val="24"/>
        </w:rPr>
        <w:t>充电桩的电源回路应具备带负载可分合的开关电器。</w:t>
      </w:r>
    </w:p>
    <w:p>
      <w:pPr>
        <w:widowControl/>
        <w:numPr>
          <w:ilvl w:val="0"/>
          <w:numId w:val="2"/>
        </w:numPr>
        <w:tabs>
          <w:tab w:val="left" w:pos="1134"/>
        </w:tabs>
        <w:spacing w:line="360" w:lineRule="auto"/>
        <w:ind w:left="1134" w:hanging="399"/>
        <w:jc w:val="left"/>
        <w:rPr>
          <w:rFonts w:ascii="宋体" w:hAnsi="宋体" w:eastAsia="宋体"/>
          <w:color w:val="000000"/>
          <w:sz w:val="24"/>
        </w:rPr>
      </w:pPr>
      <w:r>
        <w:rPr>
          <w:rFonts w:hint="eastAsia" w:ascii="宋体" w:hAnsi="宋体" w:eastAsia="宋体"/>
          <w:color w:val="000000"/>
          <w:sz w:val="24"/>
        </w:rPr>
        <w:t>充电桩的电源回路应安装过载、短路、漏电保护装置。</w:t>
      </w:r>
    </w:p>
    <w:p>
      <w:pPr>
        <w:widowControl/>
        <w:numPr>
          <w:ilvl w:val="0"/>
          <w:numId w:val="2"/>
        </w:numPr>
        <w:tabs>
          <w:tab w:val="left" w:pos="1134"/>
        </w:tabs>
        <w:spacing w:line="360" w:lineRule="auto"/>
        <w:ind w:left="1134" w:hanging="399"/>
        <w:jc w:val="left"/>
        <w:rPr>
          <w:rFonts w:ascii="宋体" w:hAnsi="宋体" w:eastAsia="宋体"/>
          <w:color w:val="000000"/>
          <w:sz w:val="24"/>
        </w:rPr>
      </w:pPr>
      <w:r>
        <w:rPr>
          <w:rFonts w:hint="eastAsia" w:ascii="宋体" w:hAnsi="宋体" w:eastAsia="宋体"/>
          <w:color w:val="000000"/>
          <w:sz w:val="24"/>
        </w:rPr>
        <w:t>充电桩的电源回路应</w:t>
      </w:r>
      <w:r>
        <w:rPr>
          <w:rFonts w:hint="eastAsia" w:ascii="宋体" w:hAnsi="宋体" w:eastAsia="宋体" w:cs="宋体"/>
          <w:color w:val="000000"/>
          <w:sz w:val="24"/>
        </w:rPr>
        <w:t>具备防雷保护功能，并且符合</w:t>
      </w:r>
      <w:r>
        <w:rPr>
          <w:rFonts w:ascii="宋体" w:hAnsi="宋体" w:eastAsia="宋体"/>
          <w:color w:val="000000"/>
          <w:sz w:val="24"/>
        </w:rPr>
        <w:t>GB/T 18487.2-2017电动车辆传导充电系统</w:t>
      </w:r>
      <w:r>
        <w:rPr>
          <w:rFonts w:hint="eastAsia" w:ascii="宋体" w:hAnsi="宋体" w:eastAsia="宋体"/>
          <w:color w:val="000000"/>
          <w:sz w:val="24"/>
        </w:rPr>
        <w:t>　第二部分：非车载传导供电设备电磁兼容要求</w:t>
      </w:r>
    </w:p>
    <w:p>
      <w:pPr>
        <w:widowControl/>
        <w:numPr>
          <w:ilvl w:val="0"/>
          <w:numId w:val="2"/>
        </w:numPr>
        <w:tabs>
          <w:tab w:val="left" w:pos="1134"/>
        </w:tabs>
        <w:spacing w:line="360" w:lineRule="auto"/>
        <w:ind w:left="1134" w:hanging="399"/>
        <w:jc w:val="left"/>
        <w:rPr>
          <w:rFonts w:ascii="宋体" w:hAnsi="宋体" w:eastAsia="宋体"/>
          <w:color w:val="000000"/>
          <w:sz w:val="24"/>
        </w:rPr>
      </w:pPr>
      <w:r>
        <w:rPr>
          <w:rFonts w:hint="eastAsia" w:ascii="宋体" w:hAnsi="宋体" w:eastAsia="宋体"/>
          <w:color w:val="000000"/>
          <w:sz w:val="24"/>
        </w:rPr>
        <w:t>充电桩应具备急停开关，能实现在充电过程中</w:t>
      </w:r>
      <w:r>
        <w:rPr>
          <w:rFonts w:ascii="宋体" w:hAnsi="宋体" w:eastAsia="宋体"/>
          <w:color w:val="000000"/>
          <w:sz w:val="24"/>
        </w:rPr>
        <w:t>100ms内紧急切断输出电源。</w:t>
      </w:r>
    </w:p>
    <w:p>
      <w:pPr>
        <w:widowControl/>
        <w:numPr>
          <w:ilvl w:val="0"/>
          <w:numId w:val="2"/>
        </w:numPr>
        <w:tabs>
          <w:tab w:val="left" w:pos="1134"/>
        </w:tabs>
        <w:spacing w:line="360" w:lineRule="auto"/>
        <w:jc w:val="left"/>
        <w:rPr>
          <w:rFonts w:ascii="宋体" w:hAnsi="宋体" w:eastAsia="宋体"/>
          <w:color w:val="000000"/>
          <w:sz w:val="24"/>
        </w:rPr>
      </w:pPr>
      <w:r>
        <w:rPr>
          <w:rFonts w:hint="eastAsia" w:ascii="宋体" w:hAnsi="宋体" w:eastAsia="宋体"/>
          <w:color w:val="000000"/>
          <w:sz w:val="24"/>
        </w:rPr>
        <w:t>在充电过程中出现连接异常时，充电桩应立即（</w:t>
      </w:r>
      <w:r>
        <w:rPr>
          <w:rFonts w:ascii="宋体" w:hAnsi="宋体" w:eastAsia="宋体"/>
          <w:color w:val="000000"/>
          <w:sz w:val="24"/>
        </w:rPr>
        <w:t>100ms内）自动切断输出电源。</w:t>
      </w:r>
    </w:p>
    <w:p>
      <w:pPr>
        <w:widowControl/>
        <w:numPr>
          <w:ilvl w:val="0"/>
          <w:numId w:val="2"/>
        </w:numPr>
        <w:tabs>
          <w:tab w:val="left" w:pos="1134"/>
        </w:tabs>
        <w:spacing w:line="360" w:lineRule="auto"/>
        <w:jc w:val="left"/>
        <w:rPr>
          <w:rFonts w:ascii="宋体" w:hAnsi="宋体" w:eastAsia="宋体"/>
          <w:color w:val="000000"/>
          <w:sz w:val="24"/>
        </w:rPr>
      </w:pPr>
      <w:r>
        <w:rPr>
          <w:rFonts w:hint="eastAsia" w:ascii="宋体" w:hAnsi="宋体" w:eastAsia="宋体"/>
          <w:color w:val="000000"/>
          <w:sz w:val="24"/>
        </w:rPr>
        <w:t>在停止充电时，充电桩应保证输出电源回路处于断开状态。</w:t>
      </w:r>
    </w:p>
    <w:p>
      <w:pPr>
        <w:widowControl/>
        <w:numPr>
          <w:ilvl w:val="0"/>
          <w:numId w:val="2"/>
        </w:numPr>
        <w:tabs>
          <w:tab w:val="left" w:pos="1134"/>
        </w:tabs>
        <w:spacing w:line="360" w:lineRule="auto"/>
        <w:jc w:val="left"/>
        <w:rPr>
          <w:rFonts w:ascii="宋体" w:hAnsi="宋体" w:eastAsia="宋体"/>
          <w:color w:val="000000"/>
          <w:sz w:val="24"/>
        </w:rPr>
      </w:pPr>
      <w:r>
        <w:rPr>
          <w:rFonts w:hint="eastAsia" w:ascii="宋体" w:hAnsi="宋体" w:eastAsia="宋体"/>
          <w:color w:val="000000"/>
          <w:sz w:val="24"/>
        </w:rPr>
        <w:t>剩余电流保护器宜采用</w:t>
      </w:r>
      <w:r>
        <w:rPr>
          <w:rFonts w:ascii="宋体" w:hAnsi="宋体" w:eastAsia="宋体"/>
          <w:color w:val="000000"/>
          <w:sz w:val="24"/>
        </w:rPr>
        <w:t>A型。</w:t>
      </w:r>
    </w:p>
    <w:p>
      <w:pPr>
        <w:widowControl/>
        <w:numPr>
          <w:ilvl w:val="0"/>
          <w:numId w:val="2"/>
        </w:numPr>
        <w:tabs>
          <w:tab w:val="left" w:pos="1134"/>
        </w:tabs>
        <w:spacing w:line="360" w:lineRule="auto"/>
        <w:jc w:val="left"/>
        <w:rPr>
          <w:rStyle w:val="30"/>
          <w:rFonts w:ascii="宋体" w:hAnsi="宋体" w:eastAsia="宋体"/>
          <w:color w:val="000000"/>
          <w:sz w:val="24"/>
          <w:szCs w:val="24"/>
        </w:rPr>
      </w:pPr>
      <w:r>
        <w:rPr>
          <w:rFonts w:hint="eastAsia" w:ascii="宋体" w:hAnsi="宋体" w:eastAsia="宋体"/>
          <w:color w:val="000000"/>
          <w:sz w:val="24"/>
        </w:rPr>
        <w:t>充电桩应具备保护接地导体连续性的持续检测功能，在失去保护接地导体连续性的情况下，应在</w:t>
      </w:r>
      <w:r>
        <w:rPr>
          <w:rFonts w:ascii="宋体" w:hAnsi="宋体" w:eastAsia="宋体"/>
          <w:color w:val="000000"/>
          <w:sz w:val="24"/>
        </w:rPr>
        <w:t>100ms内切断输出电源。</w:t>
      </w:r>
    </w:p>
    <w:p>
      <w:pPr>
        <w:pStyle w:val="5"/>
        <w:tabs>
          <w:tab w:val="left" w:pos="525"/>
          <w:tab w:val="left" w:pos="1140"/>
        </w:tabs>
        <w:spacing w:line="360" w:lineRule="auto"/>
        <w:rPr>
          <w:rFonts w:ascii="宋体" w:hAnsi="宋体"/>
          <w:color w:val="000000"/>
          <w:sz w:val="24"/>
        </w:rPr>
      </w:pPr>
      <w:r>
        <w:rPr>
          <w:rStyle w:val="30"/>
          <w:rFonts w:hint="eastAsia" w:ascii="宋体" w:hAnsi="宋体"/>
          <w:color w:val="000000"/>
          <w:sz w:val="24"/>
          <w:szCs w:val="24"/>
        </w:rPr>
        <w:t>（</w:t>
      </w:r>
      <w:r>
        <w:rPr>
          <w:rStyle w:val="30"/>
          <w:rFonts w:ascii="宋体" w:hAnsi="宋体"/>
          <w:color w:val="000000"/>
          <w:sz w:val="24"/>
          <w:szCs w:val="24"/>
        </w:rPr>
        <w:t>4</w:t>
      </w:r>
      <w:r>
        <w:rPr>
          <w:rStyle w:val="30"/>
          <w:rFonts w:hint="eastAsia" w:ascii="宋体" w:hAnsi="宋体"/>
          <w:color w:val="000000"/>
          <w:sz w:val="24"/>
          <w:szCs w:val="24"/>
        </w:rPr>
        <w:t>）自检功能：</w:t>
      </w:r>
      <w:r>
        <w:rPr>
          <w:rFonts w:hint="eastAsia" w:ascii="宋体" w:hAnsi="宋体"/>
          <w:color w:val="000000"/>
          <w:sz w:val="24"/>
        </w:rPr>
        <w:t>充电桩应具备自检及故障报警功能。</w:t>
      </w:r>
    </w:p>
    <w:p>
      <w:pPr>
        <w:outlineLvl w:val="2"/>
        <w:rPr>
          <w:rFonts w:ascii="宋体" w:hAnsi="宋体" w:eastAsia="宋体"/>
          <w:b/>
          <w:bCs/>
          <w:sz w:val="24"/>
        </w:rPr>
      </w:pPr>
      <w:bookmarkStart w:id="437" w:name="_Toc478404369"/>
      <w:bookmarkStart w:id="438" w:name="_Toc101790776"/>
      <w:bookmarkStart w:id="439" w:name="_Toc413504322"/>
      <w:r>
        <w:rPr>
          <w:rFonts w:ascii="宋体" w:hAnsi="宋体" w:eastAsia="宋体"/>
          <w:b/>
          <w:bCs/>
          <w:sz w:val="24"/>
        </w:rPr>
        <w:t>4</w:t>
      </w:r>
      <w:r>
        <w:rPr>
          <w:rFonts w:hint="eastAsia" w:ascii="宋体" w:hAnsi="宋体" w:eastAsia="宋体"/>
          <w:b/>
          <w:bCs/>
          <w:sz w:val="24"/>
        </w:rPr>
        <w:t>、性能要求</w:t>
      </w:r>
      <w:bookmarkEnd w:id="437"/>
      <w:bookmarkEnd w:id="438"/>
      <w:bookmarkEnd w:id="439"/>
    </w:p>
    <w:p>
      <w:pPr>
        <w:rPr>
          <w:rFonts w:ascii="宋体" w:hAnsi="宋体" w:eastAsia="宋体"/>
          <w:sz w:val="24"/>
        </w:rPr>
      </w:pPr>
      <w:bookmarkStart w:id="440" w:name="_Toc352274280"/>
      <w:r>
        <w:rPr>
          <w:rFonts w:ascii="宋体" w:hAnsi="宋体" w:eastAsia="宋体"/>
          <w:sz w:val="24"/>
        </w:rPr>
        <w:t>4.1 环境防护要求</w:t>
      </w:r>
    </w:p>
    <w:p>
      <w:pPr>
        <w:widowControl/>
        <w:numPr>
          <w:ilvl w:val="0"/>
          <w:numId w:val="3"/>
        </w:numPr>
        <w:tabs>
          <w:tab w:val="left" w:pos="1134"/>
        </w:tabs>
        <w:spacing w:line="360" w:lineRule="auto"/>
        <w:jc w:val="left"/>
        <w:rPr>
          <w:rFonts w:ascii="宋体" w:hAnsi="宋体" w:eastAsia="宋体"/>
          <w:color w:val="000000"/>
          <w:sz w:val="24"/>
        </w:rPr>
      </w:pPr>
      <w:r>
        <w:rPr>
          <w:rFonts w:ascii="宋体" w:hAnsi="宋体" w:eastAsia="宋体"/>
          <w:color w:val="000000"/>
          <w:sz w:val="24"/>
        </w:rPr>
        <w:t>IP防护等级：充电桩外壳防护等级不应低于IP54的规定。</w:t>
      </w:r>
    </w:p>
    <w:p>
      <w:pPr>
        <w:widowControl/>
        <w:numPr>
          <w:ilvl w:val="0"/>
          <w:numId w:val="3"/>
        </w:numPr>
        <w:tabs>
          <w:tab w:val="left" w:pos="1134"/>
        </w:tabs>
        <w:spacing w:line="360" w:lineRule="auto"/>
        <w:jc w:val="left"/>
        <w:rPr>
          <w:rFonts w:ascii="宋体" w:hAnsi="宋体" w:eastAsia="宋体"/>
          <w:color w:val="000000"/>
          <w:sz w:val="24"/>
        </w:rPr>
      </w:pPr>
      <w:bookmarkStart w:id="441" w:name="_Toc179863361"/>
      <w:r>
        <w:rPr>
          <w:rFonts w:hint="eastAsia" w:ascii="宋体" w:hAnsi="宋体" w:eastAsia="宋体"/>
          <w:color w:val="000000"/>
          <w:sz w:val="24"/>
        </w:rPr>
        <w:t>三防</w:t>
      </w:r>
      <w:r>
        <w:rPr>
          <w:rFonts w:ascii="宋体" w:hAnsi="宋体" w:eastAsia="宋体"/>
          <w:color w:val="000000"/>
          <w:sz w:val="24"/>
        </w:rPr>
        <w:t>(</w:t>
      </w:r>
      <w:r>
        <w:rPr>
          <w:rFonts w:hint="eastAsia" w:ascii="宋体" w:hAnsi="宋体" w:eastAsia="宋体"/>
          <w:color w:val="000000"/>
          <w:sz w:val="24"/>
        </w:rPr>
        <w:t>防潮湿，防盐雾</w:t>
      </w:r>
      <w:r>
        <w:rPr>
          <w:rFonts w:ascii="宋体" w:hAnsi="宋体" w:eastAsia="宋体"/>
          <w:color w:val="000000"/>
          <w:sz w:val="24"/>
        </w:rPr>
        <w:t>)</w:t>
      </w:r>
      <w:r>
        <w:rPr>
          <w:rFonts w:hint="eastAsia" w:ascii="宋体" w:hAnsi="宋体" w:eastAsia="宋体"/>
          <w:color w:val="000000"/>
          <w:sz w:val="24"/>
        </w:rPr>
        <w:t>保护</w:t>
      </w:r>
      <w:bookmarkEnd w:id="441"/>
      <w:r>
        <w:rPr>
          <w:rFonts w:hint="eastAsia" w:ascii="宋体" w:hAnsi="宋体" w:eastAsia="宋体"/>
          <w:color w:val="000000"/>
          <w:sz w:val="24"/>
        </w:rPr>
        <w:t>：</w:t>
      </w:r>
      <w:bookmarkStart w:id="442" w:name="_Toc179863362"/>
      <w:r>
        <w:rPr>
          <w:rFonts w:hint="eastAsia" w:ascii="宋体" w:hAnsi="宋体" w:eastAsia="宋体"/>
          <w:color w:val="000000"/>
          <w:sz w:val="24"/>
        </w:rPr>
        <w:t>充电桩内印刷线路板、接插件等部件应进行防潮湿、防霉变、防盐雾处理。</w:t>
      </w:r>
      <w:r>
        <w:rPr>
          <w:rFonts w:ascii="宋体" w:hAnsi="宋体" w:eastAsia="宋体"/>
          <w:color w:val="000000"/>
          <w:sz w:val="24"/>
        </w:rPr>
        <w:t xml:space="preserve"> </w:t>
      </w:r>
      <w:r>
        <w:rPr>
          <w:rFonts w:hint="eastAsia" w:ascii="宋体" w:hAnsi="宋体" w:eastAsia="宋体"/>
          <w:color w:val="000000"/>
          <w:sz w:val="24"/>
        </w:rPr>
        <w:t>防盐雾腐蚀能力应能满足</w:t>
      </w:r>
      <w:r>
        <w:rPr>
          <w:rFonts w:ascii="宋体" w:hAnsi="宋体" w:eastAsia="宋体"/>
          <w:color w:val="000000"/>
          <w:sz w:val="24"/>
        </w:rPr>
        <w:t>GB/T 4797.6—2013中图7的要求。</w:t>
      </w:r>
    </w:p>
    <w:p>
      <w:pPr>
        <w:widowControl/>
        <w:numPr>
          <w:ilvl w:val="0"/>
          <w:numId w:val="3"/>
        </w:numPr>
        <w:tabs>
          <w:tab w:val="left" w:pos="525"/>
          <w:tab w:val="left" w:pos="1134"/>
        </w:tabs>
        <w:spacing w:line="360" w:lineRule="auto"/>
        <w:jc w:val="left"/>
        <w:rPr>
          <w:rFonts w:ascii="宋体" w:hAnsi="宋体" w:eastAsia="宋体"/>
          <w:color w:val="000000"/>
          <w:kern w:val="21"/>
          <w:sz w:val="24"/>
        </w:rPr>
      </w:pPr>
      <w:r>
        <w:rPr>
          <w:rFonts w:hint="eastAsia" w:ascii="宋体" w:hAnsi="宋体" w:eastAsia="宋体"/>
          <w:color w:val="000000"/>
          <w:sz w:val="24"/>
        </w:rPr>
        <w:t>防</w:t>
      </w:r>
      <w:bookmarkEnd w:id="442"/>
      <w:r>
        <w:rPr>
          <w:rFonts w:hint="eastAsia" w:ascii="宋体" w:hAnsi="宋体" w:eastAsia="宋体"/>
          <w:color w:val="000000"/>
          <w:sz w:val="24"/>
        </w:rPr>
        <w:t>锈</w:t>
      </w:r>
      <w:r>
        <w:rPr>
          <w:rFonts w:ascii="宋体" w:hAnsi="宋体" w:eastAsia="宋体"/>
          <w:color w:val="000000"/>
          <w:sz w:val="24"/>
        </w:rPr>
        <w:t>(防氧化)保护：充电桩铁质外壳和暴露的铁质支架、零件应采用双重防锈措施，非铁质的金属外壳也应具有防氧化保护膜或进行防氧化处理。</w:t>
      </w:r>
    </w:p>
    <w:p>
      <w:pPr>
        <w:widowControl/>
        <w:numPr>
          <w:ilvl w:val="0"/>
          <w:numId w:val="3"/>
        </w:numPr>
        <w:tabs>
          <w:tab w:val="left" w:pos="525"/>
          <w:tab w:val="left" w:pos="1134"/>
        </w:tabs>
        <w:spacing w:line="360" w:lineRule="auto"/>
        <w:jc w:val="left"/>
        <w:rPr>
          <w:rFonts w:ascii="宋体" w:hAnsi="宋体" w:eastAsia="宋体"/>
          <w:color w:val="000000"/>
          <w:kern w:val="21"/>
          <w:sz w:val="24"/>
        </w:rPr>
      </w:pPr>
      <w:r>
        <w:rPr>
          <w:rFonts w:hint="eastAsia" w:ascii="宋体" w:hAnsi="宋体" w:eastAsia="宋体"/>
          <w:color w:val="000000"/>
          <w:kern w:val="21"/>
          <w:sz w:val="24"/>
        </w:rPr>
        <w:t>防盗保护：充电桩应具有必要的防盗措施。</w:t>
      </w:r>
    </w:p>
    <w:p>
      <w:pPr>
        <w:rPr>
          <w:rFonts w:ascii="宋体" w:hAnsi="宋体" w:eastAsia="宋体"/>
          <w:sz w:val="24"/>
        </w:rPr>
      </w:pPr>
      <w:r>
        <w:rPr>
          <w:rFonts w:ascii="宋体" w:hAnsi="宋体" w:eastAsia="宋体"/>
          <w:sz w:val="24"/>
        </w:rPr>
        <w:t>4.2 防护要求</w:t>
      </w:r>
    </w:p>
    <w:p>
      <w:pPr>
        <w:pStyle w:val="5"/>
        <w:numPr>
          <w:ilvl w:val="0"/>
          <w:numId w:val="4"/>
        </w:numPr>
        <w:tabs>
          <w:tab w:val="left" w:pos="525"/>
          <w:tab w:val="left" w:pos="1140"/>
        </w:tabs>
        <w:spacing w:line="360" w:lineRule="auto"/>
        <w:rPr>
          <w:rStyle w:val="30"/>
          <w:rFonts w:ascii="宋体" w:hAnsi="宋体"/>
          <w:color w:val="000000"/>
          <w:sz w:val="24"/>
          <w:szCs w:val="24"/>
        </w:rPr>
      </w:pPr>
      <w:r>
        <w:rPr>
          <w:rStyle w:val="30"/>
          <w:rFonts w:hint="eastAsia" w:ascii="宋体" w:hAnsi="宋体"/>
          <w:color w:val="000000"/>
          <w:sz w:val="24"/>
          <w:szCs w:val="24"/>
        </w:rPr>
        <w:t>允许温度</w:t>
      </w:r>
    </w:p>
    <w:p>
      <w:pPr>
        <w:pStyle w:val="5"/>
        <w:tabs>
          <w:tab w:val="left" w:pos="525"/>
          <w:tab w:val="left" w:pos="1140"/>
        </w:tabs>
        <w:spacing w:line="360" w:lineRule="auto"/>
        <w:ind w:left="480" w:firstLine="0"/>
        <w:rPr>
          <w:rStyle w:val="30"/>
          <w:rFonts w:ascii="宋体" w:hAnsi="宋体"/>
          <w:color w:val="000000"/>
          <w:sz w:val="24"/>
          <w:szCs w:val="24"/>
        </w:rPr>
      </w:pPr>
      <w:r>
        <w:rPr>
          <w:rStyle w:val="30"/>
          <w:rFonts w:hint="eastAsia" w:ascii="宋体" w:hAnsi="宋体"/>
          <w:color w:val="000000"/>
          <w:sz w:val="24"/>
          <w:szCs w:val="24"/>
        </w:rPr>
        <w:t>充电桩的表面温度应满足GB/T 18487.1-2015中11.6.3节要求。</w:t>
      </w:r>
    </w:p>
    <w:p>
      <w:pPr>
        <w:pStyle w:val="5"/>
        <w:numPr>
          <w:ilvl w:val="0"/>
          <w:numId w:val="4"/>
        </w:numPr>
        <w:tabs>
          <w:tab w:val="left" w:pos="525"/>
          <w:tab w:val="left" w:pos="1140"/>
        </w:tabs>
        <w:spacing w:line="360" w:lineRule="auto"/>
        <w:rPr>
          <w:rStyle w:val="30"/>
          <w:rFonts w:ascii="宋体" w:hAnsi="宋体"/>
          <w:color w:val="000000"/>
          <w:sz w:val="24"/>
          <w:szCs w:val="24"/>
        </w:rPr>
      </w:pPr>
      <w:r>
        <w:rPr>
          <w:rStyle w:val="30"/>
          <w:rFonts w:hint="eastAsia" w:ascii="宋体" w:hAnsi="宋体"/>
          <w:color w:val="000000"/>
          <w:sz w:val="24"/>
          <w:szCs w:val="24"/>
        </w:rPr>
        <w:t>电击防护要求</w:t>
      </w:r>
    </w:p>
    <w:p>
      <w:pPr>
        <w:ind w:firstLine="480" w:firstLineChars="200"/>
        <w:rPr>
          <w:rFonts w:ascii="宋体" w:hAnsi="宋体" w:eastAsia="宋体"/>
          <w:color w:val="000000"/>
          <w:sz w:val="24"/>
        </w:rPr>
      </w:pPr>
      <w:r>
        <w:rPr>
          <w:rFonts w:ascii="宋体" w:hAnsi="宋体" w:eastAsia="宋体"/>
          <w:color w:val="000000"/>
          <w:sz w:val="24"/>
        </w:rPr>
        <w:t>充电桩的电击防护要求应符合GB/T 18487.1-2015中第7章的要求</w:t>
      </w:r>
      <w:r>
        <w:rPr>
          <w:rFonts w:hint="eastAsia" w:ascii="宋体" w:hAnsi="宋体" w:eastAsia="宋体"/>
          <w:color w:val="000000"/>
          <w:sz w:val="24"/>
        </w:rPr>
        <w:t>。</w:t>
      </w:r>
    </w:p>
    <w:p>
      <w:pPr>
        <w:pStyle w:val="5"/>
        <w:numPr>
          <w:ilvl w:val="0"/>
          <w:numId w:val="4"/>
        </w:numPr>
        <w:tabs>
          <w:tab w:val="left" w:pos="525"/>
          <w:tab w:val="left" w:pos="1140"/>
        </w:tabs>
        <w:spacing w:line="360" w:lineRule="auto"/>
        <w:rPr>
          <w:rStyle w:val="30"/>
          <w:rFonts w:ascii="宋体" w:hAnsi="宋体"/>
          <w:color w:val="000000"/>
          <w:sz w:val="24"/>
          <w:szCs w:val="24"/>
        </w:rPr>
      </w:pPr>
      <w:r>
        <w:rPr>
          <w:rStyle w:val="30"/>
          <w:rFonts w:hint="eastAsia" w:ascii="宋体" w:hAnsi="宋体"/>
          <w:color w:val="000000"/>
          <w:sz w:val="24"/>
          <w:szCs w:val="24"/>
        </w:rPr>
        <w:t>电气间隙和爬电距离</w:t>
      </w:r>
    </w:p>
    <w:p>
      <w:pPr>
        <w:ind w:firstLine="480" w:firstLineChars="200"/>
        <w:rPr>
          <w:rFonts w:ascii="宋体" w:hAnsi="宋体" w:eastAsia="宋体"/>
          <w:color w:val="000000"/>
          <w:kern w:val="0"/>
          <w:sz w:val="24"/>
        </w:rPr>
      </w:pPr>
      <w:r>
        <w:rPr>
          <w:rFonts w:hint="eastAsia" w:ascii="宋体" w:hAnsi="宋体" w:eastAsia="宋体"/>
          <w:color w:val="000000"/>
          <w:kern w:val="0"/>
          <w:sz w:val="24"/>
        </w:rPr>
        <w:t>充电桩的电气间隙和爬电距离应符合下表的规定。</w:t>
      </w:r>
    </w:p>
    <w:p>
      <w:pPr>
        <w:spacing w:line="276" w:lineRule="auto"/>
        <w:jc w:val="center"/>
        <w:rPr>
          <w:rFonts w:ascii="宋体" w:hAnsi="宋体" w:eastAsia="宋体"/>
          <w:color w:val="000000"/>
          <w:kern w:val="0"/>
          <w:sz w:val="24"/>
        </w:rPr>
      </w:pPr>
      <w:r>
        <w:rPr>
          <w:rFonts w:hint="eastAsia" w:ascii="宋体" w:hAnsi="宋体" w:eastAsia="宋体"/>
          <w:color w:val="000000"/>
          <w:kern w:val="0"/>
          <w:sz w:val="24"/>
        </w:rPr>
        <w:t>电气间隙和爬电距离</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184"/>
        <w:gridCol w:w="2894"/>
        <w:gridCol w:w="30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184" w:type="dxa"/>
            <w:tcBorders>
              <w:top w:val="single" w:color="auto" w:sz="8" w:space="0"/>
              <w:bottom w:val="single" w:color="auto" w:sz="8" w:space="0"/>
            </w:tcBorders>
            <w:vAlign w:val="center"/>
          </w:tcPr>
          <w:p>
            <w:pPr>
              <w:spacing w:line="276" w:lineRule="auto"/>
              <w:jc w:val="center"/>
              <w:rPr>
                <w:rFonts w:ascii="宋体" w:hAnsi="宋体" w:eastAsia="宋体"/>
                <w:i/>
                <w:color w:val="000000"/>
                <w:kern w:val="0"/>
                <w:sz w:val="24"/>
              </w:rPr>
            </w:pPr>
            <w:r>
              <w:rPr>
                <w:rFonts w:hint="eastAsia" w:ascii="宋体" w:hAnsi="宋体" w:eastAsia="宋体"/>
                <w:color w:val="000000"/>
                <w:kern w:val="0"/>
                <w:sz w:val="24"/>
              </w:rPr>
              <w:t>额定绝缘电压</w:t>
            </w:r>
            <w:r>
              <w:rPr>
                <w:rFonts w:ascii="宋体" w:hAnsi="宋体" w:eastAsia="宋体"/>
                <w:color w:val="000000"/>
                <w:kern w:val="0"/>
                <w:sz w:val="24"/>
              </w:rPr>
              <w:t>Ui</w:t>
            </w:r>
          </w:p>
          <w:p>
            <w:pPr>
              <w:spacing w:line="276" w:lineRule="auto"/>
              <w:jc w:val="center"/>
              <w:rPr>
                <w:rFonts w:ascii="宋体" w:hAnsi="宋体" w:eastAsia="宋体"/>
                <w:color w:val="000000"/>
                <w:kern w:val="0"/>
                <w:sz w:val="24"/>
              </w:rPr>
            </w:pPr>
            <w:r>
              <w:rPr>
                <w:rFonts w:hint="eastAsia" w:ascii="宋体" w:hAnsi="宋体" w:eastAsia="宋体"/>
                <w:color w:val="000000"/>
                <w:kern w:val="0"/>
                <w:sz w:val="24"/>
              </w:rPr>
              <w:t>（</w:t>
            </w:r>
            <w:r>
              <w:rPr>
                <w:rFonts w:ascii="宋体" w:hAnsi="宋体" w:eastAsia="宋体"/>
                <w:color w:val="000000"/>
                <w:kern w:val="0"/>
                <w:sz w:val="24"/>
              </w:rPr>
              <w:t>V）</w:t>
            </w:r>
          </w:p>
        </w:tc>
        <w:tc>
          <w:tcPr>
            <w:tcW w:w="2894" w:type="dxa"/>
            <w:tcBorders>
              <w:top w:val="single" w:color="auto" w:sz="8" w:space="0"/>
              <w:bottom w:val="single" w:color="auto" w:sz="8" w:space="0"/>
            </w:tcBorders>
            <w:vAlign w:val="center"/>
          </w:tcPr>
          <w:p>
            <w:pPr>
              <w:spacing w:line="276" w:lineRule="auto"/>
              <w:jc w:val="center"/>
              <w:rPr>
                <w:rFonts w:ascii="宋体" w:hAnsi="宋体" w:eastAsia="宋体"/>
                <w:color w:val="000000"/>
                <w:kern w:val="0"/>
                <w:sz w:val="24"/>
              </w:rPr>
            </w:pPr>
            <w:r>
              <w:rPr>
                <w:rFonts w:hint="eastAsia" w:ascii="宋体" w:hAnsi="宋体" w:eastAsia="宋体"/>
                <w:color w:val="000000"/>
                <w:kern w:val="0"/>
                <w:sz w:val="24"/>
              </w:rPr>
              <w:t>电气间隙</w:t>
            </w:r>
          </w:p>
          <w:p>
            <w:pPr>
              <w:spacing w:line="276" w:lineRule="auto"/>
              <w:jc w:val="center"/>
              <w:rPr>
                <w:rFonts w:ascii="宋体" w:hAnsi="宋体" w:eastAsia="宋体"/>
                <w:color w:val="000000"/>
                <w:kern w:val="0"/>
                <w:sz w:val="24"/>
              </w:rPr>
            </w:pPr>
            <w:r>
              <w:rPr>
                <w:rFonts w:hint="eastAsia" w:ascii="宋体" w:hAnsi="宋体" w:eastAsia="宋体"/>
                <w:color w:val="000000"/>
                <w:kern w:val="0"/>
                <w:sz w:val="24"/>
              </w:rPr>
              <w:t>（</w:t>
            </w:r>
            <w:r>
              <w:rPr>
                <w:rFonts w:ascii="宋体" w:hAnsi="宋体" w:eastAsia="宋体"/>
                <w:color w:val="000000"/>
                <w:kern w:val="0"/>
                <w:sz w:val="24"/>
              </w:rPr>
              <w:t>mm）</w:t>
            </w:r>
          </w:p>
        </w:tc>
        <w:tc>
          <w:tcPr>
            <w:tcW w:w="3040" w:type="dxa"/>
            <w:tcBorders>
              <w:top w:val="single" w:color="auto" w:sz="8" w:space="0"/>
              <w:bottom w:val="single" w:color="auto" w:sz="8" w:space="0"/>
            </w:tcBorders>
            <w:vAlign w:val="center"/>
          </w:tcPr>
          <w:p>
            <w:pPr>
              <w:spacing w:line="276" w:lineRule="auto"/>
              <w:jc w:val="center"/>
              <w:rPr>
                <w:rFonts w:ascii="宋体" w:hAnsi="宋体" w:eastAsia="宋体"/>
                <w:color w:val="000000"/>
                <w:kern w:val="0"/>
                <w:sz w:val="24"/>
              </w:rPr>
            </w:pPr>
            <w:r>
              <w:rPr>
                <w:rFonts w:hint="eastAsia" w:ascii="宋体" w:hAnsi="宋体" w:eastAsia="宋体"/>
                <w:color w:val="000000"/>
                <w:kern w:val="0"/>
                <w:sz w:val="24"/>
              </w:rPr>
              <w:t>爬电距离</w:t>
            </w:r>
          </w:p>
          <w:p>
            <w:pPr>
              <w:spacing w:line="276" w:lineRule="auto"/>
              <w:jc w:val="center"/>
              <w:rPr>
                <w:rFonts w:ascii="宋体" w:hAnsi="宋体" w:eastAsia="宋体"/>
                <w:color w:val="000000"/>
                <w:kern w:val="0"/>
                <w:sz w:val="24"/>
              </w:rPr>
            </w:pPr>
            <w:r>
              <w:rPr>
                <w:rFonts w:hint="eastAsia" w:ascii="宋体" w:hAnsi="宋体" w:eastAsia="宋体"/>
                <w:color w:val="000000"/>
                <w:kern w:val="0"/>
                <w:sz w:val="24"/>
              </w:rPr>
              <w:t>（</w:t>
            </w:r>
            <w:r>
              <w:rPr>
                <w:rFonts w:ascii="宋体" w:hAnsi="宋体" w:eastAsia="宋体"/>
                <w:color w:val="000000"/>
                <w:kern w:val="0"/>
                <w:sz w:val="24"/>
              </w:rPr>
              <w:t>mm）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3184" w:type="dxa"/>
            <w:tcBorders>
              <w:top w:val="single" w:color="auto" w:sz="8" w:space="0"/>
              <w:bottom w:val="single" w:color="auto" w:sz="8" w:space="0"/>
            </w:tcBorders>
            <w:vAlign w:val="center"/>
          </w:tcPr>
          <w:p>
            <w:pPr>
              <w:spacing w:line="276" w:lineRule="auto"/>
              <w:jc w:val="center"/>
              <w:rPr>
                <w:rFonts w:ascii="宋体" w:hAnsi="宋体" w:eastAsia="宋体"/>
                <w:color w:val="000000"/>
                <w:sz w:val="24"/>
              </w:rPr>
            </w:pPr>
            <w:r>
              <w:rPr>
                <w:rFonts w:ascii="宋体" w:hAnsi="宋体" w:eastAsia="宋体"/>
                <w:i/>
                <w:color w:val="000000"/>
                <w:sz w:val="24"/>
              </w:rPr>
              <w:t>Ui</w:t>
            </w:r>
            <w:r>
              <w:rPr>
                <w:rFonts w:hint="eastAsia" w:ascii="宋体" w:hAnsi="宋体" w:eastAsia="宋体"/>
                <w:color w:val="000000"/>
                <w:sz w:val="24"/>
              </w:rPr>
              <w:t>≤</w:t>
            </w:r>
            <w:r>
              <w:rPr>
                <w:rFonts w:ascii="宋体" w:hAnsi="宋体" w:eastAsia="宋体"/>
                <w:color w:val="000000"/>
                <w:sz w:val="24"/>
              </w:rPr>
              <w:t>60</w:t>
            </w:r>
          </w:p>
        </w:tc>
        <w:tc>
          <w:tcPr>
            <w:tcW w:w="2894" w:type="dxa"/>
            <w:tcBorders>
              <w:top w:val="single" w:color="auto" w:sz="8" w:space="0"/>
              <w:bottom w:val="single" w:color="auto" w:sz="8" w:space="0"/>
            </w:tcBorders>
            <w:vAlign w:val="center"/>
          </w:tcPr>
          <w:p>
            <w:pPr>
              <w:spacing w:line="276" w:lineRule="auto"/>
              <w:jc w:val="center"/>
              <w:rPr>
                <w:rFonts w:ascii="宋体" w:hAnsi="宋体" w:eastAsia="宋体"/>
                <w:color w:val="000000"/>
                <w:sz w:val="24"/>
              </w:rPr>
            </w:pPr>
            <w:r>
              <w:rPr>
                <w:rFonts w:ascii="宋体" w:hAnsi="宋体" w:eastAsia="宋体"/>
                <w:color w:val="000000"/>
                <w:sz w:val="24"/>
              </w:rPr>
              <w:t>3</w:t>
            </w:r>
          </w:p>
        </w:tc>
        <w:tc>
          <w:tcPr>
            <w:tcW w:w="3040" w:type="dxa"/>
            <w:tcBorders>
              <w:top w:val="single" w:color="auto" w:sz="8" w:space="0"/>
              <w:bottom w:val="single" w:color="auto" w:sz="8" w:space="0"/>
            </w:tcBorders>
            <w:vAlign w:val="center"/>
          </w:tcPr>
          <w:p>
            <w:pPr>
              <w:spacing w:line="276" w:lineRule="auto"/>
              <w:jc w:val="center"/>
              <w:rPr>
                <w:rFonts w:ascii="宋体" w:hAnsi="宋体" w:eastAsia="宋体"/>
                <w:color w:val="000000"/>
                <w:sz w:val="24"/>
              </w:rPr>
            </w:pPr>
            <w:r>
              <w:rPr>
                <w:rFonts w:ascii="宋体" w:hAnsi="宋体" w:eastAsia="宋体"/>
                <w:color w:val="000000"/>
                <w:sz w:val="24"/>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3184" w:type="dxa"/>
            <w:tcBorders>
              <w:top w:val="single" w:color="auto" w:sz="8" w:space="0"/>
              <w:bottom w:val="single" w:color="auto" w:sz="8" w:space="0"/>
            </w:tcBorders>
            <w:vAlign w:val="center"/>
          </w:tcPr>
          <w:p>
            <w:pPr>
              <w:spacing w:line="276" w:lineRule="auto"/>
              <w:jc w:val="center"/>
              <w:rPr>
                <w:rFonts w:ascii="宋体" w:hAnsi="宋体" w:eastAsia="宋体"/>
                <w:color w:val="000000"/>
                <w:sz w:val="24"/>
              </w:rPr>
            </w:pPr>
            <w:r>
              <w:rPr>
                <w:rFonts w:ascii="宋体" w:hAnsi="宋体" w:eastAsia="宋体"/>
                <w:color w:val="000000"/>
                <w:sz w:val="24"/>
              </w:rPr>
              <w:t>60＜</w:t>
            </w:r>
            <w:r>
              <w:rPr>
                <w:rFonts w:ascii="宋体" w:hAnsi="宋体" w:eastAsia="宋体"/>
                <w:i/>
                <w:color w:val="000000"/>
                <w:sz w:val="24"/>
              </w:rPr>
              <w:t>Ui</w:t>
            </w:r>
            <w:r>
              <w:rPr>
                <w:rFonts w:hint="eastAsia" w:ascii="宋体" w:hAnsi="宋体" w:eastAsia="宋体"/>
                <w:color w:val="000000"/>
                <w:sz w:val="24"/>
              </w:rPr>
              <w:t>≤</w:t>
            </w:r>
            <w:r>
              <w:rPr>
                <w:rFonts w:ascii="宋体" w:hAnsi="宋体" w:eastAsia="宋体"/>
                <w:color w:val="000000"/>
                <w:sz w:val="24"/>
              </w:rPr>
              <w:t>300</w:t>
            </w:r>
          </w:p>
        </w:tc>
        <w:tc>
          <w:tcPr>
            <w:tcW w:w="2894" w:type="dxa"/>
            <w:tcBorders>
              <w:top w:val="single" w:color="auto" w:sz="8" w:space="0"/>
              <w:bottom w:val="single" w:color="auto" w:sz="8" w:space="0"/>
            </w:tcBorders>
            <w:vAlign w:val="center"/>
          </w:tcPr>
          <w:p>
            <w:pPr>
              <w:spacing w:line="276" w:lineRule="auto"/>
              <w:jc w:val="center"/>
              <w:rPr>
                <w:rFonts w:ascii="宋体" w:hAnsi="宋体" w:eastAsia="宋体"/>
                <w:color w:val="000000"/>
                <w:sz w:val="24"/>
              </w:rPr>
            </w:pPr>
            <w:r>
              <w:rPr>
                <w:rFonts w:ascii="宋体" w:hAnsi="宋体" w:eastAsia="宋体"/>
                <w:color w:val="000000"/>
                <w:sz w:val="24"/>
              </w:rPr>
              <w:t>5</w:t>
            </w:r>
          </w:p>
        </w:tc>
        <w:tc>
          <w:tcPr>
            <w:tcW w:w="3040" w:type="dxa"/>
            <w:tcBorders>
              <w:top w:val="single" w:color="auto" w:sz="8" w:space="0"/>
              <w:bottom w:val="single" w:color="auto" w:sz="8" w:space="0"/>
            </w:tcBorders>
            <w:vAlign w:val="center"/>
          </w:tcPr>
          <w:p>
            <w:pPr>
              <w:spacing w:line="276" w:lineRule="auto"/>
              <w:jc w:val="center"/>
              <w:rPr>
                <w:rFonts w:ascii="宋体" w:hAnsi="宋体" w:eastAsia="宋体"/>
                <w:color w:val="000000"/>
                <w:sz w:val="24"/>
              </w:rPr>
            </w:pPr>
            <w:r>
              <w:rPr>
                <w:rFonts w:ascii="宋体" w:hAnsi="宋体" w:eastAsia="宋体"/>
                <w:color w:val="000000"/>
                <w:sz w:val="24"/>
              </w:rPr>
              <w:t>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184" w:type="dxa"/>
            <w:tcBorders>
              <w:top w:val="single" w:color="auto" w:sz="8" w:space="0"/>
              <w:bottom w:val="single" w:color="auto" w:sz="8" w:space="0"/>
            </w:tcBorders>
            <w:vAlign w:val="center"/>
          </w:tcPr>
          <w:p>
            <w:pPr>
              <w:spacing w:line="276" w:lineRule="auto"/>
              <w:jc w:val="center"/>
              <w:rPr>
                <w:rFonts w:ascii="宋体" w:hAnsi="宋体" w:eastAsia="宋体"/>
                <w:color w:val="000000"/>
                <w:sz w:val="24"/>
              </w:rPr>
            </w:pPr>
            <w:r>
              <w:rPr>
                <w:rFonts w:ascii="宋体" w:hAnsi="宋体" w:eastAsia="宋体"/>
                <w:color w:val="000000"/>
                <w:sz w:val="24"/>
              </w:rPr>
              <w:t>300＜</w:t>
            </w:r>
            <w:r>
              <w:rPr>
                <w:rFonts w:ascii="宋体" w:hAnsi="宋体" w:eastAsia="宋体"/>
                <w:i/>
                <w:color w:val="000000"/>
                <w:sz w:val="24"/>
              </w:rPr>
              <w:t>Ui</w:t>
            </w:r>
            <w:r>
              <w:rPr>
                <w:rFonts w:hint="eastAsia" w:ascii="宋体" w:hAnsi="宋体" w:eastAsia="宋体"/>
                <w:color w:val="000000"/>
                <w:sz w:val="24"/>
              </w:rPr>
              <w:t>≤</w:t>
            </w:r>
            <w:r>
              <w:rPr>
                <w:rFonts w:ascii="宋体" w:hAnsi="宋体" w:eastAsia="宋体"/>
                <w:color w:val="000000"/>
                <w:sz w:val="24"/>
              </w:rPr>
              <w:t>700</w:t>
            </w:r>
          </w:p>
        </w:tc>
        <w:tc>
          <w:tcPr>
            <w:tcW w:w="2894" w:type="dxa"/>
            <w:tcBorders>
              <w:top w:val="single" w:color="auto" w:sz="8" w:space="0"/>
              <w:bottom w:val="single" w:color="auto" w:sz="8" w:space="0"/>
            </w:tcBorders>
            <w:vAlign w:val="center"/>
          </w:tcPr>
          <w:p>
            <w:pPr>
              <w:spacing w:line="276" w:lineRule="auto"/>
              <w:jc w:val="center"/>
              <w:rPr>
                <w:rFonts w:ascii="宋体" w:hAnsi="宋体" w:eastAsia="宋体"/>
                <w:color w:val="000000"/>
                <w:sz w:val="24"/>
              </w:rPr>
            </w:pPr>
            <w:r>
              <w:rPr>
                <w:rFonts w:ascii="宋体" w:hAnsi="宋体" w:eastAsia="宋体"/>
                <w:color w:val="000000"/>
                <w:sz w:val="24"/>
              </w:rPr>
              <w:t>8</w:t>
            </w:r>
          </w:p>
        </w:tc>
        <w:tc>
          <w:tcPr>
            <w:tcW w:w="3040" w:type="dxa"/>
            <w:tcBorders>
              <w:top w:val="single" w:color="auto" w:sz="8" w:space="0"/>
              <w:bottom w:val="single" w:color="auto" w:sz="8" w:space="0"/>
            </w:tcBorders>
            <w:vAlign w:val="center"/>
          </w:tcPr>
          <w:p>
            <w:pPr>
              <w:spacing w:line="276" w:lineRule="auto"/>
              <w:jc w:val="center"/>
              <w:rPr>
                <w:rFonts w:ascii="宋体" w:hAnsi="宋体" w:eastAsia="宋体"/>
                <w:color w:val="000000"/>
                <w:sz w:val="24"/>
              </w:rPr>
            </w:pPr>
            <w:r>
              <w:rPr>
                <w:rFonts w:ascii="宋体" w:hAnsi="宋体" w:eastAsia="宋体"/>
                <w:color w:val="000000"/>
                <w:sz w:val="24"/>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9118" w:type="dxa"/>
            <w:gridSpan w:val="3"/>
            <w:tcBorders>
              <w:top w:val="single" w:color="auto" w:sz="8" w:space="0"/>
              <w:bottom w:val="single" w:color="auto" w:sz="8" w:space="0"/>
            </w:tcBorders>
            <w:vAlign w:val="center"/>
          </w:tcPr>
          <w:p>
            <w:pPr>
              <w:spacing w:line="276" w:lineRule="auto"/>
              <w:rPr>
                <w:rFonts w:ascii="宋体" w:hAnsi="宋体" w:eastAsia="宋体"/>
                <w:color w:val="000000"/>
                <w:sz w:val="24"/>
              </w:rPr>
            </w:pPr>
            <w:r>
              <w:rPr>
                <w:rFonts w:hint="eastAsia" w:ascii="宋体" w:hAnsi="宋体" w:eastAsia="宋体"/>
                <w:color w:val="000000"/>
                <w:sz w:val="24"/>
              </w:rPr>
              <w:t>注</w:t>
            </w:r>
            <w:r>
              <w:rPr>
                <w:rFonts w:ascii="宋体" w:hAnsi="宋体" w:eastAsia="宋体"/>
                <w:color w:val="000000"/>
                <w:sz w:val="24"/>
              </w:rPr>
              <w:t>1：当主电路与控制电路或辅助电路的额定绝缘电压不一致时，其电气间隙和爬电距离可分别按其额定值选取。</w:t>
            </w:r>
          </w:p>
          <w:p>
            <w:pPr>
              <w:spacing w:line="276" w:lineRule="auto"/>
              <w:rPr>
                <w:rFonts w:ascii="宋体" w:hAnsi="宋体" w:eastAsia="宋体"/>
                <w:color w:val="000000"/>
                <w:sz w:val="24"/>
              </w:rPr>
            </w:pPr>
            <w:r>
              <w:rPr>
                <w:rFonts w:hint="eastAsia" w:ascii="宋体" w:hAnsi="宋体" w:eastAsia="宋体"/>
                <w:color w:val="000000"/>
                <w:sz w:val="24"/>
              </w:rPr>
              <w:t>注</w:t>
            </w:r>
            <w:r>
              <w:rPr>
                <w:rFonts w:ascii="宋体" w:hAnsi="宋体" w:eastAsia="宋体"/>
                <w:color w:val="000000"/>
                <w:sz w:val="24"/>
              </w:rPr>
              <w:t>2：具有不同额定值主电路或控制电路导电部分之间的电气间隙与爬电距离，应按最高额定绝缘电压选取。</w:t>
            </w:r>
          </w:p>
          <w:p>
            <w:pPr>
              <w:spacing w:line="276" w:lineRule="auto"/>
              <w:rPr>
                <w:rFonts w:ascii="宋体" w:hAnsi="宋体" w:eastAsia="宋体"/>
                <w:color w:val="000000"/>
                <w:sz w:val="24"/>
              </w:rPr>
            </w:pPr>
            <w:r>
              <w:rPr>
                <w:rFonts w:hint="eastAsia" w:ascii="宋体" w:hAnsi="宋体" w:eastAsia="宋体"/>
                <w:color w:val="000000"/>
                <w:sz w:val="24"/>
              </w:rPr>
              <w:t>注</w:t>
            </w:r>
            <w:r>
              <w:rPr>
                <w:rFonts w:ascii="宋体" w:hAnsi="宋体" w:eastAsia="宋体"/>
                <w:color w:val="000000"/>
                <w:sz w:val="24"/>
              </w:rPr>
              <w:t>3：小母线、汇流排或不同级的裸露的带电导体之间，以及裸露的带电导体与未经绝缘的不带电导体之间的电气间隙不小于 12 mm，爬电距离不小于 20 mm。</w:t>
            </w:r>
          </w:p>
          <w:p>
            <w:pPr>
              <w:spacing w:line="276" w:lineRule="auto"/>
              <w:rPr>
                <w:rFonts w:ascii="宋体" w:hAnsi="宋体" w:eastAsia="宋体"/>
                <w:color w:val="000000"/>
                <w:sz w:val="24"/>
              </w:rPr>
            </w:pPr>
            <w:r>
              <w:rPr>
                <w:rFonts w:hint="eastAsia" w:ascii="宋体" w:hAnsi="宋体" w:eastAsia="宋体"/>
                <w:color w:val="000000"/>
                <w:sz w:val="24"/>
              </w:rPr>
              <w:t>注</w:t>
            </w:r>
            <w:r>
              <w:rPr>
                <w:rFonts w:ascii="宋体" w:hAnsi="宋体" w:eastAsia="宋体"/>
                <w:color w:val="000000"/>
                <w:sz w:val="24"/>
              </w:rPr>
              <w:t>4：印制板的电气间隙和爬电距离参考 GB/T 16935.1。</w:t>
            </w:r>
          </w:p>
        </w:tc>
      </w:tr>
    </w:tbl>
    <w:p>
      <w:pPr>
        <w:rPr>
          <w:rFonts w:ascii="宋体" w:hAnsi="宋体" w:eastAsia="宋体"/>
          <w:sz w:val="24"/>
        </w:rPr>
      </w:pPr>
      <w:r>
        <w:rPr>
          <w:rFonts w:ascii="宋体" w:hAnsi="宋体" w:eastAsia="宋体"/>
          <w:sz w:val="24"/>
        </w:rPr>
        <w:t>4.3</w:t>
      </w:r>
      <w:r>
        <w:rPr>
          <w:rFonts w:hint="eastAsia" w:ascii="宋体" w:hAnsi="宋体" w:eastAsia="宋体"/>
          <w:sz w:val="24"/>
        </w:rPr>
        <w:t>绝缘性能要求</w:t>
      </w:r>
    </w:p>
    <w:p>
      <w:pPr>
        <w:widowControl/>
        <w:numPr>
          <w:ilvl w:val="0"/>
          <w:numId w:val="5"/>
        </w:numPr>
        <w:tabs>
          <w:tab w:val="left" w:pos="1134"/>
        </w:tabs>
        <w:spacing w:line="360" w:lineRule="auto"/>
        <w:ind w:left="714"/>
        <w:jc w:val="left"/>
        <w:rPr>
          <w:rFonts w:ascii="宋体" w:hAnsi="宋体" w:eastAsia="宋体"/>
          <w:color w:val="000000"/>
          <w:sz w:val="24"/>
        </w:rPr>
      </w:pPr>
      <w:r>
        <w:rPr>
          <w:rFonts w:hint="eastAsia" w:ascii="宋体" w:hAnsi="宋体" w:eastAsia="宋体"/>
          <w:color w:val="000000"/>
          <w:sz w:val="24"/>
        </w:rPr>
        <w:t>绝缘电阻：用开路电压为下表规定电压的测试仪器测量，充电桩非电气连接的各带电回路之间、各独立带电回路与地（金属外壳）之间绝缘电阻应大于等于</w:t>
      </w:r>
      <w:r>
        <w:rPr>
          <w:rFonts w:ascii="宋体" w:hAnsi="宋体" w:eastAsia="宋体"/>
          <w:color w:val="000000"/>
          <w:sz w:val="24"/>
        </w:rPr>
        <w:t>10MΩ</w:t>
      </w:r>
      <w:r>
        <w:rPr>
          <w:rFonts w:hint="eastAsia" w:ascii="宋体" w:hAnsi="宋体" w:eastAsia="宋体"/>
          <w:color w:val="000000"/>
          <w:sz w:val="24"/>
        </w:rPr>
        <w:t>。</w:t>
      </w:r>
    </w:p>
    <w:p>
      <w:pPr>
        <w:widowControl/>
        <w:numPr>
          <w:ilvl w:val="0"/>
          <w:numId w:val="5"/>
        </w:numPr>
        <w:tabs>
          <w:tab w:val="left" w:pos="1134"/>
        </w:tabs>
        <w:spacing w:line="360" w:lineRule="auto"/>
        <w:jc w:val="left"/>
        <w:rPr>
          <w:rFonts w:ascii="宋体" w:hAnsi="宋体" w:eastAsia="宋体"/>
          <w:color w:val="000000"/>
          <w:sz w:val="24"/>
        </w:rPr>
      </w:pPr>
      <w:r>
        <w:rPr>
          <w:rFonts w:hint="eastAsia" w:ascii="宋体" w:hAnsi="宋体" w:eastAsia="宋体"/>
          <w:color w:val="000000"/>
          <w:sz w:val="24"/>
        </w:rPr>
        <w:t>介电强度：充电桩非电气连接的各带电回路之间、各独立带电回路与地（金属外壳）之间，按其工作电压应能承受下表所规定历时</w:t>
      </w:r>
      <w:r>
        <w:rPr>
          <w:rFonts w:ascii="宋体" w:hAnsi="宋体" w:eastAsia="宋体"/>
          <w:color w:val="000000"/>
          <w:sz w:val="24"/>
        </w:rPr>
        <w:t>1 min的工频交流电压。试验过程中，试验部位不应出现绝缘击穿和闪络现象。试验过程中应无绝缘击穿和闪络现象。</w:t>
      </w:r>
    </w:p>
    <w:p>
      <w:pPr>
        <w:widowControl/>
        <w:numPr>
          <w:ilvl w:val="0"/>
          <w:numId w:val="5"/>
        </w:numPr>
        <w:tabs>
          <w:tab w:val="left" w:pos="1134"/>
        </w:tabs>
        <w:spacing w:line="360" w:lineRule="auto"/>
        <w:jc w:val="left"/>
        <w:rPr>
          <w:rFonts w:ascii="宋体" w:hAnsi="宋体" w:eastAsia="宋体"/>
          <w:color w:val="000000"/>
          <w:sz w:val="24"/>
        </w:rPr>
      </w:pPr>
      <w:r>
        <w:rPr>
          <w:rFonts w:hint="eastAsia" w:ascii="宋体" w:hAnsi="宋体" w:eastAsia="宋体"/>
          <w:color w:val="000000"/>
          <w:sz w:val="24"/>
        </w:rPr>
        <w:t>冲击耐压：充电桩各带电回路、各带电电路对地（金属外壳）之间，按其工作电压应能承受下表所规定标准雷电波的短时冲击电压试验。试验过程中，试验部位不应出现击穿放电。</w:t>
      </w:r>
    </w:p>
    <w:p>
      <w:pPr>
        <w:spacing w:line="276" w:lineRule="auto"/>
        <w:jc w:val="center"/>
        <w:rPr>
          <w:rFonts w:ascii="宋体" w:hAnsi="宋体" w:eastAsia="宋体"/>
          <w:color w:val="000000"/>
          <w:kern w:val="0"/>
          <w:sz w:val="24"/>
        </w:rPr>
      </w:pPr>
      <w:r>
        <w:rPr>
          <w:rFonts w:hint="eastAsia" w:ascii="宋体" w:hAnsi="宋体" w:eastAsia="宋体"/>
          <w:color w:val="000000"/>
          <w:kern w:val="0"/>
          <w:sz w:val="24"/>
        </w:rPr>
        <w:t>绝缘试验的试验等级</w:t>
      </w:r>
    </w:p>
    <w:tbl>
      <w:tblPr>
        <w:tblStyle w:val="16"/>
        <w:tblW w:w="90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155"/>
        <w:gridCol w:w="2728"/>
        <w:gridCol w:w="2155"/>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155" w:type="dxa"/>
            <w:vAlign w:val="center"/>
          </w:tcPr>
          <w:p>
            <w:pPr>
              <w:autoSpaceDE w:val="0"/>
              <w:autoSpaceDN w:val="0"/>
              <w:adjustRightInd w:val="0"/>
              <w:spacing w:line="276" w:lineRule="auto"/>
              <w:jc w:val="center"/>
              <w:rPr>
                <w:rFonts w:ascii="宋体" w:hAnsi="宋体" w:eastAsia="宋体"/>
                <w:color w:val="000000"/>
                <w:kern w:val="0"/>
                <w:sz w:val="24"/>
              </w:rPr>
            </w:pPr>
            <w:r>
              <w:rPr>
                <w:rFonts w:ascii="宋体" w:hAnsi="宋体" w:eastAsia="宋体"/>
                <w:color w:val="000000"/>
                <w:kern w:val="0"/>
                <w:sz w:val="24"/>
              </w:rPr>
              <w:t>额定绝缘电压Ui</w:t>
            </w:r>
          </w:p>
          <w:p>
            <w:pPr>
              <w:autoSpaceDE w:val="0"/>
              <w:autoSpaceDN w:val="0"/>
              <w:adjustRightInd w:val="0"/>
              <w:spacing w:line="276" w:lineRule="auto"/>
              <w:jc w:val="center"/>
              <w:rPr>
                <w:rFonts w:ascii="宋体" w:hAnsi="宋体" w:eastAsia="宋体"/>
                <w:color w:val="000000"/>
                <w:kern w:val="0"/>
                <w:sz w:val="24"/>
              </w:rPr>
            </w:pPr>
            <w:r>
              <w:rPr>
                <w:rFonts w:hint="eastAsia" w:ascii="宋体" w:hAnsi="宋体" w:eastAsia="宋体"/>
                <w:color w:val="000000"/>
                <w:kern w:val="0"/>
                <w:sz w:val="24"/>
              </w:rPr>
              <w:t>（</w:t>
            </w:r>
            <w:r>
              <w:rPr>
                <w:rFonts w:ascii="宋体" w:hAnsi="宋体" w:eastAsia="宋体"/>
                <w:color w:val="000000"/>
                <w:kern w:val="0"/>
                <w:sz w:val="24"/>
              </w:rPr>
              <w:t>V</w:t>
            </w:r>
            <w:r>
              <w:rPr>
                <w:rFonts w:hint="eastAsia" w:ascii="宋体" w:hAnsi="宋体" w:eastAsia="宋体"/>
                <w:color w:val="000000"/>
                <w:kern w:val="0"/>
                <w:sz w:val="24"/>
              </w:rPr>
              <w:t>）</w:t>
            </w:r>
          </w:p>
        </w:tc>
        <w:tc>
          <w:tcPr>
            <w:tcW w:w="2728" w:type="dxa"/>
            <w:vAlign w:val="center"/>
          </w:tcPr>
          <w:p>
            <w:pPr>
              <w:autoSpaceDE w:val="0"/>
              <w:autoSpaceDN w:val="0"/>
              <w:adjustRightInd w:val="0"/>
              <w:spacing w:line="276" w:lineRule="auto"/>
              <w:jc w:val="center"/>
              <w:rPr>
                <w:rFonts w:ascii="宋体" w:hAnsi="宋体" w:eastAsia="宋体"/>
                <w:color w:val="000000"/>
                <w:kern w:val="0"/>
                <w:sz w:val="24"/>
              </w:rPr>
            </w:pPr>
            <w:r>
              <w:rPr>
                <w:rFonts w:hint="eastAsia" w:ascii="宋体" w:hAnsi="宋体" w:eastAsia="宋体"/>
                <w:color w:val="000000"/>
                <w:kern w:val="0"/>
                <w:sz w:val="24"/>
              </w:rPr>
              <w:t>绝缘电阻测试仪器的电压等级</w:t>
            </w:r>
          </w:p>
          <w:p>
            <w:pPr>
              <w:autoSpaceDE w:val="0"/>
              <w:autoSpaceDN w:val="0"/>
              <w:adjustRightInd w:val="0"/>
              <w:spacing w:line="276" w:lineRule="auto"/>
              <w:jc w:val="center"/>
              <w:rPr>
                <w:rFonts w:ascii="宋体" w:hAnsi="宋体" w:eastAsia="宋体"/>
                <w:color w:val="000000"/>
                <w:kern w:val="0"/>
                <w:sz w:val="24"/>
              </w:rPr>
            </w:pPr>
            <w:r>
              <w:rPr>
                <w:rFonts w:hint="eastAsia" w:ascii="宋体" w:hAnsi="宋体" w:eastAsia="宋体"/>
                <w:color w:val="000000"/>
                <w:kern w:val="0"/>
                <w:sz w:val="24"/>
              </w:rPr>
              <w:t>（</w:t>
            </w:r>
            <w:r>
              <w:rPr>
                <w:rFonts w:ascii="宋体" w:hAnsi="宋体" w:eastAsia="宋体"/>
                <w:color w:val="000000"/>
                <w:kern w:val="0"/>
                <w:sz w:val="24"/>
              </w:rPr>
              <w:t>V）</w:t>
            </w:r>
          </w:p>
        </w:tc>
        <w:tc>
          <w:tcPr>
            <w:tcW w:w="2155" w:type="dxa"/>
            <w:vAlign w:val="center"/>
          </w:tcPr>
          <w:p>
            <w:pPr>
              <w:autoSpaceDE w:val="0"/>
              <w:autoSpaceDN w:val="0"/>
              <w:adjustRightInd w:val="0"/>
              <w:spacing w:line="276" w:lineRule="auto"/>
              <w:jc w:val="center"/>
              <w:rPr>
                <w:rFonts w:ascii="宋体" w:hAnsi="宋体" w:eastAsia="宋体"/>
                <w:color w:val="000000"/>
                <w:kern w:val="0"/>
                <w:sz w:val="24"/>
              </w:rPr>
            </w:pPr>
            <w:r>
              <w:rPr>
                <w:rFonts w:hint="eastAsia" w:ascii="宋体" w:hAnsi="宋体" w:eastAsia="宋体"/>
                <w:color w:val="000000"/>
                <w:kern w:val="0"/>
                <w:sz w:val="24"/>
              </w:rPr>
              <w:t>介电强度试验</w:t>
            </w:r>
            <w:r>
              <w:rPr>
                <w:rFonts w:ascii="宋体" w:hAnsi="宋体" w:eastAsia="宋体"/>
                <w:color w:val="000000"/>
                <w:kern w:val="0"/>
                <w:sz w:val="24"/>
              </w:rPr>
              <w:t>电压</w:t>
            </w:r>
          </w:p>
          <w:p>
            <w:pPr>
              <w:autoSpaceDE w:val="0"/>
              <w:autoSpaceDN w:val="0"/>
              <w:adjustRightInd w:val="0"/>
              <w:spacing w:line="276" w:lineRule="auto"/>
              <w:jc w:val="center"/>
              <w:rPr>
                <w:rFonts w:ascii="宋体" w:hAnsi="宋体" w:eastAsia="宋体"/>
                <w:color w:val="000000"/>
                <w:kern w:val="0"/>
                <w:sz w:val="24"/>
              </w:rPr>
            </w:pPr>
            <w:r>
              <w:rPr>
                <w:rFonts w:hint="eastAsia" w:ascii="宋体" w:hAnsi="宋体" w:eastAsia="宋体"/>
                <w:color w:val="000000"/>
                <w:kern w:val="0"/>
                <w:sz w:val="24"/>
              </w:rPr>
              <w:t>（</w:t>
            </w:r>
            <w:r>
              <w:rPr>
                <w:rFonts w:ascii="宋体" w:hAnsi="宋体" w:eastAsia="宋体"/>
                <w:color w:val="000000"/>
                <w:kern w:val="0"/>
                <w:sz w:val="24"/>
              </w:rPr>
              <w:t>kV</w:t>
            </w:r>
            <w:r>
              <w:rPr>
                <w:rFonts w:hint="eastAsia" w:ascii="宋体" w:hAnsi="宋体" w:eastAsia="宋体"/>
                <w:color w:val="000000"/>
                <w:kern w:val="0"/>
                <w:sz w:val="24"/>
              </w:rPr>
              <w:t>）</w:t>
            </w:r>
          </w:p>
        </w:tc>
        <w:tc>
          <w:tcPr>
            <w:tcW w:w="1978" w:type="dxa"/>
            <w:vAlign w:val="center"/>
          </w:tcPr>
          <w:p>
            <w:pPr>
              <w:autoSpaceDE w:val="0"/>
              <w:autoSpaceDN w:val="0"/>
              <w:adjustRightInd w:val="0"/>
              <w:spacing w:line="276" w:lineRule="auto"/>
              <w:jc w:val="center"/>
              <w:rPr>
                <w:rFonts w:ascii="宋体" w:hAnsi="宋体" w:eastAsia="宋体"/>
                <w:color w:val="000000"/>
                <w:kern w:val="0"/>
                <w:sz w:val="24"/>
              </w:rPr>
            </w:pPr>
            <w:r>
              <w:rPr>
                <w:rFonts w:ascii="宋体" w:hAnsi="宋体" w:eastAsia="宋体"/>
                <w:color w:val="000000"/>
                <w:kern w:val="0"/>
                <w:sz w:val="24"/>
              </w:rPr>
              <w:t>冲击</w:t>
            </w:r>
            <w:r>
              <w:rPr>
                <w:rFonts w:hint="eastAsia" w:ascii="宋体" w:hAnsi="宋体" w:eastAsia="宋体"/>
                <w:color w:val="000000"/>
                <w:kern w:val="0"/>
                <w:sz w:val="24"/>
              </w:rPr>
              <w:t>耐压试验</w:t>
            </w:r>
            <w:r>
              <w:rPr>
                <w:rFonts w:ascii="宋体" w:hAnsi="宋体" w:eastAsia="宋体"/>
                <w:color w:val="000000"/>
                <w:kern w:val="0"/>
                <w:sz w:val="24"/>
              </w:rPr>
              <w:t>电压</w:t>
            </w:r>
          </w:p>
          <w:p>
            <w:pPr>
              <w:autoSpaceDE w:val="0"/>
              <w:autoSpaceDN w:val="0"/>
              <w:adjustRightInd w:val="0"/>
              <w:spacing w:line="276" w:lineRule="auto"/>
              <w:jc w:val="center"/>
              <w:rPr>
                <w:rFonts w:ascii="宋体" w:hAnsi="宋体" w:eastAsia="宋体"/>
                <w:color w:val="000000"/>
                <w:kern w:val="0"/>
                <w:sz w:val="24"/>
              </w:rPr>
            </w:pPr>
            <w:r>
              <w:rPr>
                <w:rFonts w:hint="eastAsia" w:ascii="宋体" w:hAnsi="宋体" w:eastAsia="宋体"/>
                <w:color w:val="000000"/>
                <w:kern w:val="0"/>
                <w:sz w:val="24"/>
              </w:rPr>
              <w:t>（</w:t>
            </w:r>
            <w:r>
              <w:rPr>
                <w:rFonts w:ascii="宋体" w:hAnsi="宋体" w:eastAsia="宋体"/>
                <w:color w:val="000000"/>
                <w:kern w:val="0"/>
                <w:sz w:val="24"/>
              </w:rPr>
              <w:t>kV</w:t>
            </w:r>
            <w:r>
              <w:rPr>
                <w:rFonts w:hint="eastAsia" w:ascii="宋体" w:hAnsi="宋体" w:eastAsia="宋体"/>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155" w:type="dxa"/>
            <w:vAlign w:val="center"/>
          </w:tcPr>
          <w:p>
            <w:pPr>
              <w:spacing w:line="276" w:lineRule="auto"/>
              <w:jc w:val="center"/>
              <w:rPr>
                <w:rFonts w:ascii="宋体" w:hAnsi="宋体" w:eastAsia="宋体"/>
                <w:color w:val="000000"/>
                <w:sz w:val="24"/>
              </w:rPr>
            </w:pPr>
            <w:r>
              <w:rPr>
                <w:rFonts w:ascii="宋体" w:hAnsi="宋体" w:eastAsia="宋体"/>
                <w:color w:val="000000"/>
                <w:sz w:val="24"/>
              </w:rPr>
              <w:t>≤60</w:t>
            </w:r>
          </w:p>
        </w:tc>
        <w:tc>
          <w:tcPr>
            <w:tcW w:w="2728" w:type="dxa"/>
            <w:vAlign w:val="center"/>
          </w:tcPr>
          <w:p>
            <w:pPr>
              <w:spacing w:line="276" w:lineRule="auto"/>
              <w:jc w:val="center"/>
              <w:rPr>
                <w:rFonts w:ascii="宋体" w:hAnsi="宋体" w:eastAsia="宋体"/>
                <w:color w:val="000000"/>
                <w:sz w:val="24"/>
              </w:rPr>
            </w:pPr>
            <w:r>
              <w:rPr>
                <w:rFonts w:ascii="宋体" w:hAnsi="宋体" w:eastAsia="宋体"/>
                <w:color w:val="000000"/>
                <w:sz w:val="24"/>
              </w:rPr>
              <w:t>250</w:t>
            </w:r>
          </w:p>
        </w:tc>
        <w:tc>
          <w:tcPr>
            <w:tcW w:w="2155" w:type="dxa"/>
            <w:vAlign w:val="center"/>
          </w:tcPr>
          <w:p>
            <w:pPr>
              <w:spacing w:line="276" w:lineRule="auto"/>
              <w:jc w:val="center"/>
              <w:rPr>
                <w:rFonts w:ascii="宋体" w:hAnsi="宋体" w:eastAsia="宋体"/>
                <w:color w:val="000000"/>
                <w:sz w:val="24"/>
              </w:rPr>
            </w:pPr>
            <w:r>
              <w:rPr>
                <w:rFonts w:ascii="宋体" w:hAnsi="宋体" w:eastAsia="宋体"/>
                <w:color w:val="000000"/>
                <w:sz w:val="24"/>
              </w:rPr>
              <w:t>1.0</w:t>
            </w:r>
          </w:p>
        </w:tc>
        <w:tc>
          <w:tcPr>
            <w:tcW w:w="1978" w:type="dxa"/>
            <w:vAlign w:val="center"/>
          </w:tcPr>
          <w:p>
            <w:pPr>
              <w:spacing w:line="276" w:lineRule="auto"/>
              <w:jc w:val="center"/>
              <w:rPr>
                <w:rFonts w:ascii="宋体" w:hAnsi="宋体" w:eastAsia="宋体"/>
                <w:color w:val="000000"/>
                <w:sz w:val="24"/>
              </w:rPr>
            </w:pPr>
            <w:r>
              <w:rPr>
                <w:rFonts w:hint="eastAsia" w:ascii="宋体" w:hAnsi="宋体" w:eastAsia="宋体"/>
                <w:color w:val="000000"/>
                <w:sz w:val="24"/>
              </w:rPr>
              <w:t>±</w:t>
            </w:r>
            <w:r>
              <w:rPr>
                <w:rFonts w:ascii="宋体" w:hAnsi="宋体" w:eastAsia="宋体"/>
                <w:color w:val="00000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155" w:type="dxa"/>
            <w:vAlign w:val="center"/>
          </w:tcPr>
          <w:p>
            <w:pPr>
              <w:spacing w:line="276" w:lineRule="auto"/>
              <w:jc w:val="center"/>
              <w:rPr>
                <w:rFonts w:ascii="宋体" w:hAnsi="宋体" w:eastAsia="宋体"/>
                <w:color w:val="000000"/>
                <w:sz w:val="24"/>
              </w:rPr>
            </w:pPr>
            <w:r>
              <w:rPr>
                <w:rFonts w:ascii="宋体" w:hAnsi="宋体" w:eastAsia="宋体"/>
                <w:color w:val="000000"/>
                <w:sz w:val="24"/>
              </w:rPr>
              <w:t>60＜Ui≤300</w:t>
            </w:r>
          </w:p>
        </w:tc>
        <w:tc>
          <w:tcPr>
            <w:tcW w:w="2728" w:type="dxa"/>
            <w:vAlign w:val="center"/>
          </w:tcPr>
          <w:p>
            <w:pPr>
              <w:spacing w:line="276" w:lineRule="auto"/>
              <w:jc w:val="center"/>
              <w:rPr>
                <w:rFonts w:ascii="宋体" w:hAnsi="宋体" w:eastAsia="宋体"/>
                <w:color w:val="000000"/>
                <w:sz w:val="24"/>
              </w:rPr>
            </w:pPr>
            <w:r>
              <w:rPr>
                <w:rFonts w:ascii="宋体" w:hAnsi="宋体" w:eastAsia="宋体"/>
                <w:color w:val="000000"/>
                <w:sz w:val="24"/>
              </w:rPr>
              <w:t>500</w:t>
            </w:r>
          </w:p>
        </w:tc>
        <w:tc>
          <w:tcPr>
            <w:tcW w:w="2155" w:type="dxa"/>
            <w:vAlign w:val="center"/>
          </w:tcPr>
          <w:p>
            <w:pPr>
              <w:spacing w:line="276" w:lineRule="auto"/>
              <w:jc w:val="center"/>
              <w:rPr>
                <w:rFonts w:ascii="宋体" w:hAnsi="宋体" w:eastAsia="宋体"/>
                <w:color w:val="000000"/>
                <w:sz w:val="24"/>
              </w:rPr>
            </w:pPr>
            <w:r>
              <w:rPr>
                <w:rFonts w:ascii="宋体" w:hAnsi="宋体" w:eastAsia="宋体"/>
                <w:color w:val="000000"/>
                <w:sz w:val="24"/>
              </w:rPr>
              <w:t>2.0</w:t>
            </w:r>
          </w:p>
        </w:tc>
        <w:tc>
          <w:tcPr>
            <w:tcW w:w="1978" w:type="dxa"/>
            <w:vAlign w:val="center"/>
          </w:tcPr>
          <w:p>
            <w:pPr>
              <w:spacing w:line="276" w:lineRule="auto"/>
              <w:jc w:val="center"/>
              <w:rPr>
                <w:rFonts w:ascii="宋体" w:hAnsi="宋体" w:eastAsia="宋体"/>
                <w:color w:val="000000"/>
                <w:sz w:val="24"/>
              </w:rPr>
            </w:pPr>
            <w:r>
              <w:rPr>
                <w:rFonts w:hint="eastAsia" w:ascii="宋体" w:hAnsi="宋体" w:eastAsia="宋体"/>
                <w:color w:val="000000"/>
                <w:sz w:val="24"/>
              </w:rPr>
              <w:t>±</w:t>
            </w:r>
            <w:r>
              <w:rPr>
                <w:rFonts w:ascii="宋体" w:hAnsi="宋体" w:eastAsia="宋体"/>
                <w:color w:val="000000"/>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155" w:type="dxa"/>
            <w:vAlign w:val="center"/>
          </w:tcPr>
          <w:p>
            <w:pPr>
              <w:spacing w:line="276" w:lineRule="auto"/>
              <w:jc w:val="center"/>
              <w:rPr>
                <w:rFonts w:ascii="宋体" w:hAnsi="宋体" w:eastAsia="宋体"/>
                <w:color w:val="000000"/>
                <w:sz w:val="24"/>
              </w:rPr>
            </w:pPr>
            <w:r>
              <w:rPr>
                <w:rFonts w:ascii="宋体" w:hAnsi="宋体" w:eastAsia="宋体"/>
                <w:color w:val="000000"/>
                <w:sz w:val="24"/>
              </w:rPr>
              <w:t>300＜Ui≤700</w:t>
            </w:r>
          </w:p>
        </w:tc>
        <w:tc>
          <w:tcPr>
            <w:tcW w:w="2728" w:type="dxa"/>
            <w:vAlign w:val="center"/>
          </w:tcPr>
          <w:p>
            <w:pPr>
              <w:spacing w:line="276" w:lineRule="auto"/>
              <w:jc w:val="center"/>
              <w:rPr>
                <w:rFonts w:ascii="宋体" w:hAnsi="宋体" w:eastAsia="宋体"/>
                <w:color w:val="000000"/>
                <w:sz w:val="24"/>
              </w:rPr>
            </w:pPr>
            <w:r>
              <w:rPr>
                <w:rFonts w:ascii="宋体" w:hAnsi="宋体" w:eastAsia="宋体"/>
                <w:color w:val="000000"/>
                <w:sz w:val="24"/>
              </w:rPr>
              <w:t>1000</w:t>
            </w:r>
          </w:p>
        </w:tc>
        <w:tc>
          <w:tcPr>
            <w:tcW w:w="2155" w:type="dxa"/>
            <w:vAlign w:val="center"/>
          </w:tcPr>
          <w:p>
            <w:pPr>
              <w:spacing w:line="276" w:lineRule="auto"/>
              <w:jc w:val="center"/>
              <w:rPr>
                <w:rFonts w:ascii="宋体" w:hAnsi="宋体" w:eastAsia="宋体"/>
                <w:color w:val="000000"/>
                <w:sz w:val="24"/>
              </w:rPr>
            </w:pPr>
            <w:r>
              <w:rPr>
                <w:rFonts w:ascii="宋体" w:hAnsi="宋体" w:eastAsia="宋体"/>
                <w:color w:val="000000"/>
                <w:sz w:val="24"/>
              </w:rPr>
              <w:t>2.4</w:t>
            </w:r>
          </w:p>
        </w:tc>
        <w:tc>
          <w:tcPr>
            <w:tcW w:w="1978" w:type="dxa"/>
            <w:vAlign w:val="center"/>
          </w:tcPr>
          <w:p>
            <w:pPr>
              <w:spacing w:line="276" w:lineRule="auto"/>
              <w:jc w:val="center"/>
              <w:rPr>
                <w:rFonts w:ascii="宋体" w:hAnsi="宋体" w:eastAsia="宋体"/>
                <w:color w:val="000000"/>
                <w:sz w:val="24"/>
              </w:rPr>
            </w:pPr>
            <w:r>
              <w:rPr>
                <w:rFonts w:hint="eastAsia" w:ascii="宋体" w:hAnsi="宋体" w:eastAsia="宋体"/>
                <w:color w:val="000000"/>
                <w:sz w:val="24"/>
              </w:rPr>
              <w:t>±</w:t>
            </w:r>
            <w:r>
              <w:rPr>
                <w:rFonts w:ascii="宋体" w:hAnsi="宋体" w:eastAsia="宋体"/>
                <w:color w:val="000000"/>
                <w:sz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016" w:type="dxa"/>
            <w:gridSpan w:val="4"/>
            <w:vAlign w:val="center"/>
          </w:tcPr>
          <w:p>
            <w:pPr>
              <w:spacing w:line="276" w:lineRule="auto"/>
              <w:rPr>
                <w:rFonts w:ascii="宋体" w:hAnsi="宋体" w:eastAsia="宋体"/>
                <w:color w:val="000000"/>
                <w:sz w:val="24"/>
              </w:rPr>
            </w:pPr>
            <w:r>
              <w:rPr>
                <w:rFonts w:hint="eastAsia" w:ascii="宋体" w:hAnsi="宋体" w:eastAsia="宋体"/>
                <w:color w:val="000000"/>
                <w:sz w:val="24"/>
              </w:rPr>
              <w:t>注：出厂试验时，介电强度试验允许试验电压高于表中规定值的</w:t>
            </w:r>
            <w:r>
              <w:rPr>
                <w:rFonts w:ascii="宋体" w:hAnsi="宋体" w:eastAsia="宋体"/>
                <w:color w:val="000000"/>
                <w:sz w:val="24"/>
              </w:rPr>
              <w:t xml:space="preserve"> 10 %， </w:t>
            </w:r>
            <w:r>
              <w:rPr>
                <w:rFonts w:hint="eastAsia" w:ascii="宋体" w:hAnsi="宋体" w:eastAsia="宋体"/>
                <w:color w:val="000000"/>
                <w:sz w:val="24"/>
              </w:rPr>
              <w:t>试验时间</w:t>
            </w:r>
            <w:r>
              <w:rPr>
                <w:rFonts w:ascii="宋体" w:hAnsi="宋体" w:eastAsia="宋体"/>
                <w:color w:val="000000"/>
                <w:sz w:val="24"/>
              </w:rPr>
              <w:t xml:space="preserve"> 1 s。</w:t>
            </w:r>
          </w:p>
        </w:tc>
      </w:tr>
    </w:tbl>
    <w:p>
      <w:pPr>
        <w:rPr>
          <w:rFonts w:ascii="宋体" w:hAnsi="宋体" w:eastAsia="宋体"/>
          <w:sz w:val="24"/>
        </w:rPr>
      </w:pPr>
      <w:r>
        <w:rPr>
          <w:rFonts w:ascii="宋体" w:hAnsi="宋体" w:eastAsia="宋体"/>
          <w:sz w:val="24"/>
        </w:rPr>
        <w:t>4.4</w:t>
      </w:r>
      <w:r>
        <w:rPr>
          <w:rFonts w:hint="eastAsia" w:ascii="宋体" w:hAnsi="宋体" w:eastAsia="宋体"/>
          <w:sz w:val="24"/>
        </w:rPr>
        <w:t>机械强度</w:t>
      </w:r>
    </w:p>
    <w:p>
      <w:pPr>
        <w:pStyle w:val="5"/>
        <w:tabs>
          <w:tab w:val="left" w:pos="525"/>
          <w:tab w:val="left" w:pos="1140"/>
        </w:tabs>
        <w:spacing w:line="360" w:lineRule="auto"/>
        <w:rPr>
          <w:rFonts w:ascii="宋体" w:hAnsi="宋体"/>
          <w:color w:val="000000"/>
          <w:sz w:val="24"/>
        </w:rPr>
      </w:pPr>
      <w:r>
        <w:rPr>
          <w:rFonts w:hint="eastAsia" w:ascii="宋体" w:hAnsi="宋体"/>
          <w:color w:val="000000"/>
          <w:sz w:val="24"/>
        </w:rPr>
        <w:t>充电桩包装完好，按GB/T 2423.55-2006规定的方法进行试验，外壳应能承受剧烈冲击能量为</w:t>
      </w:r>
      <w:r>
        <w:rPr>
          <w:rFonts w:ascii="宋体" w:hAnsi="宋体"/>
          <w:color w:val="000000"/>
          <w:sz w:val="24"/>
        </w:rPr>
        <w:t>0.7</w:t>
      </w:r>
      <w:r>
        <w:rPr>
          <w:rFonts w:hint="eastAsia" w:ascii="宋体" w:hAnsi="宋体"/>
          <w:color w:val="000000"/>
          <w:sz w:val="24"/>
        </w:rPr>
        <w:t>J。试验结束后性能不应降低，充电桩的IP防护等级不受影响，门的操作和锁止点不受损坏，不会因变形而使带电部分和外壳相接触，并满足电气间隙和爬电距离的要求。</w:t>
      </w:r>
    </w:p>
    <w:p>
      <w:pPr>
        <w:rPr>
          <w:rFonts w:ascii="宋体" w:hAnsi="宋体" w:eastAsia="宋体"/>
          <w:sz w:val="24"/>
        </w:rPr>
      </w:pPr>
      <w:r>
        <w:rPr>
          <w:rFonts w:ascii="宋体" w:hAnsi="宋体" w:eastAsia="宋体"/>
          <w:sz w:val="24"/>
        </w:rPr>
        <w:t>4.5待机功耗</w:t>
      </w:r>
    </w:p>
    <w:p>
      <w:pPr>
        <w:pStyle w:val="5"/>
        <w:tabs>
          <w:tab w:val="left" w:pos="525"/>
          <w:tab w:val="left" w:pos="1140"/>
        </w:tabs>
        <w:spacing w:line="360" w:lineRule="auto"/>
        <w:rPr>
          <w:rStyle w:val="30"/>
          <w:rFonts w:ascii="宋体" w:hAnsi="宋体"/>
          <w:color w:val="000000"/>
          <w:sz w:val="24"/>
          <w:szCs w:val="24"/>
        </w:rPr>
      </w:pPr>
      <w:r>
        <w:rPr>
          <w:rFonts w:hint="eastAsia" w:ascii="宋体" w:hAnsi="宋体"/>
          <w:color w:val="000000"/>
          <w:sz w:val="24"/>
        </w:rPr>
        <w:t>在额定输入电压下，充电桩的待机功耗不应大于</w:t>
      </w:r>
      <w:r>
        <w:rPr>
          <w:rFonts w:ascii="宋体" w:hAnsi="宋体"/>
          <w:color w:val="000000"/>
          <w:sz w:val="24"/>
        </w:rPr>
        <w:t>15</w:t>
      </w:r>
      <w:r>
        <w:rPr>
          <w:rFonts w:hint="eastAsia" w:ascii="宋体" w:hAnsi="宋体"/>
          <w:color w:val="000000"/>
          <w:sz w:val="24"/>
        </w:rPr>
        <w:t>W。</w:t>
      </w:r>
    </w:p>
    <w:p>
      <w:pPr>
        <w:rPr>
          <w:rFonts w:ascii="宋体" w:hAnsi="宋体" w:eastAsia="宋体"/>
          <w:sz w:val="24"/>
        </w:rPr>
      </w:pPr>
      <w:bookmarkStart w:id="443" w:name="_Toc387646184"/>
      <w:bookmarkStart w:id="444" w:name="_Toc101790796"/>
      <w:bookmarkStart w:id="445" w:name="_Toc411176420"/>
      <w:bookmarkStart w:id="446" w:name="_Toc478404283"/>
      <w:r>
        <w:rPr>
          <w:rFonts w:ascii="宋体" w:hAnsi="宋体" w:eastAsia="宋体"/>
          <w:sz w:val="24"/>
        </w:rPr>
        <w:t>4.6</w:t>
      </w:r>
      <w:r>
        <w:rPr>
          <w:rFonts w:hint="eastAsia" w:ascii="宋体" w:hAnsi="宋体" w:eastAsia="宋体"/>
          <w:sz w:val="24"/>
        </w:rPr>
        <w:t>噪声</w:t>
      </w:r>
      <w:bookmarkEnd w:id="443"/>
      <w:bookmarkEnd w:id="444"/>
      <w:bookmarkEnd w:id="445"/>
      <w:bookmarkEnd w:id="446"/>
    </w:p>
    <w:p>
      <w:pPr>
        <w:pStyle w:val="5"/>
        <w:spacing w:line="360" w:lineRule="auto"/>
        <w:ind w:firstLine="480"/>
        <w:rPr>
          <w:rFonts w:ascii="宋体" w:hAnsi="宋体"/>
          <w:color w:val="000000"/>
          <w:sz w:val="24"/>
        </w:rPr>
      </w:pPr>
      <w:r>
        <w:rPr>
          <w:rFonts w:hint="eastAsia" w:ascii="宋体" w:hAnsi="宋体"/>
          <w:color w:val="000000"/>
          <w:sz w:val="24"/>
        </w:rPr>
        <w:t>充电桩的噪声最大值应≤</w:t>
      </w:r>
      <w:r>
        <w:rPr>
          <w:rFonts w:ascii="宋体" w:hAnsi="宋体"/>
          <w:color w:val="000000"/>
          <w:sz w:val="24"/>
        </w:rPr>
        <w:t>55</w:t>
      </w:r>
      <w:r>
        <w:rPr>
          <w:rFonts w:hint="eastAsia" w:ascii="宋体" w:hAnsi="宋体"/>
          <w:color w:val="000000"/>
          <w:sz w:val="24"/>
        </w:rPr>
        <w:t>dB。</w:t>
      </w:r>
    </w:p>
    <w:p>
      <w:pPr>
        <w:rPr>
          <w:rFonts w:ascii="宋体" w:hAnsi="宋体" w:eastAsia="宋体"/>
          <w:sz w:val="24"/>
        </w:rPr>
      </w:pPr>
      <w:r>
        <w:rPr>
          <w:rFonts w:ascii="宋体" w:hAnsi="宋体" w:eastAsia="宋体"/>
          <w:sz w:val="24"/>
        </w:rPr>
        <w:t>4.7</w:t>
      </w:r>
      <w:r>
        <w:rPr>
          <w:rFonts w:hint="eastAsia" w:ascii="宋体" w:hAnsi="宋体" w:eastAsia="宋体"/>
          <w:sz w:val="24"/>
        </w:rPr>
        <w:t>环境要求</w:t>
      </w:r>
    </w:p>
    <w:p>
      <w:pPr>
        <w:widowControl/>
        <w:numPr>
          <w:ilvl w:val="0"/>
          <w:numId w:val="6"/>
        </w:numPr>
        <w:tabs>
          <w:tab w:val="left" w:pos="1134"/>
        </w:tabs>
        <w:spacing w:line="360" w:lineRule="auto"/>
        <w:jc w:val="left"/>
        <w:rPr>
          <w:rFonts w:ascii="宋体" w:hAnsi="宋体" w:eastAsia="宋体"/>
          <w:color w:val="000000"/>
          <w:sz w:val="24"/>
        </w:rPr>
      </w:pPr>
      <w:r>
        <w:rPr>
          <w:rFonts w:hint="eastAsia" w:ascii="宋体" w:hAnsi="宋体" w:eastAsia="宋体"/>
          <w:color w:val="000000"/>
          <w:sz w:val="24"/>
        </w:rPr>
        <w:t>低温性能：按</w:t>
      </w:r>
      <w:r>
        <w:rPr>
          <w:rFonts w:ascii="宋体" w:hAnsi="宋体" w:eastAsia="宋体"/>
          <w:color w:val="000000"/>
          <w:sz w:val="24"/>
        </w:rPr>
        <w:t>GB/T2423.1-2008中试验Ad规定的方法进行试验，试验温度为7.1.1规定的下限值，</w:t>
      </w:r>
      <w:r>
        <w:rPr>
          <w:rFonts w:hint="eastAsia" w:ascii="宋体" w:hAnsi="宋体" w:eastAsia="宋体"/>
          <w:color w:val="000000"/>
          <w:sz w:val="24"/>
        </w:rPr>
        <w:t>充电桩应能正常启动。试验前、试验期间、试验后，充电桩应能正常工作。</w:t>
      </w:r>
    </w:p>
    <w:p>
      <w:pPr>
        <w:widowControl/>
        <w:numPr>
          <w:ilvl w:val="0"/>
          <w:numId w:val="6"/>
        </w:numPr>
        <w:tabs>
          <w:tab w:val="left" w:pos="1134"/>
        </w:tabs>
        <w:spacing w:line="360" w:lineRule="auto"/>
        <w:jc w:val="left"/>
        <w:rPr>
          <w:rFonts w:ascii="宋体" w:hAnsi="宋体" w:eastAsia="宋体"/>
          <w:color w:val="000000"/>
          <w:sz w:val="24"/>
        </w:rPr>
      </w:pPr>
      <w:r>
        <w:rPr>
          <w:rFonts w:hint="eastAsia" w:ascii="宋体" w:hAnsi="宋体" w:eastAsia="宋体"/>
          <w:color w:val="000000"/>
          <w:sz w:val="24"/>
        </w:rPr>
        <w:t>高温性能：按</w:t>
      </w:r>
      <w:r>
        <w:rPr>
          <w:rFonts w:ascii="宋体" w:hAnsi="宋体" w:eastAsia="宋体"/>
          <w:color w:val="000000"/>
          <w:sz w:val="24"/>
        </w:rPr>
        <w:t>GB/T2423.2-2008中试验Bd规定的方法进行试验，试验温度为7.1.1规定的上限值，待达到试验温度后启动充电桩，</w:t>
      </w:r>
      <w:r>
        <w:rPr>
          <w:rFonts w:hint="eastAsia" w:ascii="宋体" w:hAnsi="宋体" w:eastAsia="宋体"/>
          <w:color w:val="000000"/>
          <w:sz w:val="24"/>
        </w:rPr>
        <w:t>充电桩应能正常工作，试验温度持续</w:t>
      </w:r>
      <w:r>
        <w:rPr>
          <w:rFonts w:ascii="宋体" w:hAnsi="宋体" w:eastAsia="宋体"/>
          <w:color w:val="000000"/>
          <w:sz w:val="24"/>
        </w:rPr>
        <w:t>2小时。试验前、试验期间、试验后，</w:t>
      </w:r>
      <w:r>
        <w:rPr>
          <w:rFonts w:hint="eastAsia" w:ascii="宋体" w:hAnsi="宋体" w:eastAsia="宋体"/>
          <w:color w:val="000000"/>
          <w:sz w:val="24"/>
        </w:rPr>
        <w:t>充电桩应能正常工作。</w:t>
      </w:r>
    </w:p>
    <w:p>
      <w:pPr>
        <w:widowControl/>
        <w:numPr>
          <w:ilvl w:val="0"/>
          <w:numId w:val="6"/>
        </w:numPr>
        <w:tabs>
          <w:tab w:val="left" w:pos="1140"/>
        </w:tabs>
        <w:spacing w:line="360" w:lineRule="auto"/>
        <w:jc w:val="left"/>
        <w:rPr>
          <w:rFonts w:ascii="宋体" w:hAnsi="宋体" w:eastAsia="宋体"/>
          <w:color w:val="000000"/>
          <w:sz w:val="24"/>
        </w:rPr>
      </w:pPr>
      <w:r>
        <w:rPr>
          <w:rFonts w:hint="eastAsia" w:ascii="宋体" w:hAnsi="宋体" w:eastAsia="宋体"/>
          <w:color w:val="000000"/>
          <w:sz w:val="24"/>
        </w:rPr>
        <w:t>湿热性能：按</w:t>
      </w:r>
      <w:r>
        <w:rPr>
          <w:rFonts w:ascii="宋体" w:hAnsi="宋体" w:eastAsia="宋体"/>
          <w:color w:val="000000"/>
          <w:sz w:val="24"/>
        </w:rPr>
        <w:t>GB/T2423.4-2008中试验Db规定的方法进行试验，试验温度为（40±2）℃，循环次数为2次，在试验结束前2h进行介电强度试验和测试绝缘电阻，其中绝缘电阻不应小于1MΩ，介电强度按规定值的75％施加测量电压。试验结束后，恢复至正常大气条件，通电后</w:t>
      </w:r>
      <w:r>
        <w:rPr>
          <w:rFonts w:hint="eastAsia" w:ascii="宋体" w:hAnsi="宋体" w:eastAsia="宋体"/>
          <w:color w:val="000000"/>
          <w:sz w:val="24"/>
        </w:rPr>
        <w:t>充电桩应能正常工作。</w:t>
      </w:r>
    </w:p>
    <w:p>
      <w:pPr>
        <w:rPr>
          <w:rFonts w:ascii="宋体" w:hAnsi="宋体" w:eastAsia="宋体"/>
          <w:sz w:val="24"/>
        </w:rPr>
      </w:pPr>
      <w:r>
        <w:rPr>
          <w:rFonts w:ascii="宋体" w:hAnsi="宋体" w:eastAsia="宋体"/>
          <w:sz w:val="24"/>
        </w:rPr>
        <w:t>4.8</w:t>
      </w:r>
      <w:r>
        <w:rPr>
          <w:rFonts w:hint="eastAsia" w:ascii="宋体" w:hAnsi="宋体" w:eastAsia="宋体"/>
          <w:sz w:val="24"/>
        </w:rPr>
        <w:t>电磁兼容要求</w:t>
      </w:r>
    </w:p>
    <w:p>
      <w:pPr>
        <w:widowControl/>
        <w:numPr>
          <w:ilvl w:val="0"/>
          <w:numId w:val="7"/>
        </w:numPr>
        <w:tabs>
          <w:tab w:val="left" w:pos="1134"/>
        </w:tabs>
        <w:spacing w:line="360" w:lineRule="auto"/>
        <w:jc w:val="left"/>
        <w:rPr>
          <w:rFonts w:ascii="宋体" w:hAnsi="宋体" w:eastAsia="宋体"/>
          <w:color w:val="000000"/>
          <w:sz w:val="24"/>
        </w:rPr>
      </w:pPr>
      <w:bookmarkStart w:id="447" w:name="_Toc274433923"/>
      <w:bookmarkStart w:id="448" w:name="_Toc478404370"/>
      <w:bookmarkStart w:id="449" w:name="_Toc413504323"/>
      <w:bookmarkStart w:id="450" w:name="_Toc101790777"/>
      <w:r>
        <w:rPr>
          <w:rFonts w:hint="eastAsia" w:ascii="宋体" w:hAnsi="宋体" w:eastAsia="宋体"/>
          <w:color w:val="000000"/>
          <w:sz w:val="24"/>
        </w:rPr>
        <w:t>静电放电抗扰度</w:t>
      </w:r>
      <w:bookmarkEnd w:id="447"/>
      <w:r>
        <w:rPr>
          <w:rFonts w:hint="eastAsia" w:ascii="宋体" w:hAnsi="宋体" w:eastAsia="宋体"/>
          <w:color w:val="000000"/>
          <w:sz w:val="24"/>
        </w:rPr>
        <w:t>：</w:t>
      </w:r>
      <w:bookmarkStart w:id="451" w:name="_Toc274433924"/>
      <w:r>
        <w:rPr>
          <w:rFonts w:hint="eastAsia" w:ascii="宋体" w:hAnsi="宋体" w:eastAsia="宋体"/>
          <w:color w:val="000000"/>
          <w:sz w:val="24"/>
        </w:rPr>
        <w:t>充电桩应能承受</w:t>
      </w:r>
      <w:r>
        <w:rPr>
          <w:rFonts w:ascii="宋体" w:hAnsi="宋体" w:eastAsia="宋体"/>
          <w:color w:val="000000"/>
          <w:sz w:val="24"/>
        </w:rPr>
        <w:t>GB/T 18487.2-2017中规定的试验要求。</w:t>
      </w:r>
      <w:bookmarkEnd w:id="451"/>
    </w:p>
    <w:p>
      <w:pPr>
        <w:widowControl/>
        <w:numPr>
          <w:ilvl w:val="0"/>
          <w:numId w:val="7"/>
        </w:numPr>
        <w:tabs>
          <w:tab w:val="left" w:pos="1134"/>
        </w:tabs>
        <w:spacing w:line="360" w:lineRule="auto"/>
        <w:jc w:val="left"/>
        <w:rPr>
          <w:rFonts w:ascii="宋体" w:hAnsi="宋体" w:eastAsia="宋体"/>
          <w:color w:val="000000"/>
          <w:sz w:val="24"/>
        </w:rPr>
      </w:pPr>
      <w:bookmarkStart w:id="452" w:name="_Toc274433925"/>
      <w:r>
        <w:rPr>
          <w:rFonts w:hint="eastAsia" w:ascii="宋体" w:hAnsi="宋体" w:eastAsia="宋体"/>
          <w:color w:val="000000"/>
          <w:sz w:val="24"/>
        </w:rPr>
        <w:t>射频电磁场辐射抗扰度</w:t>
      </w:r>
      <w:bookmarkEnd w:id="452"/>
      <w:r>
        <w:rPr>
          <w:rFonts w:hint="eastAsia" w:ascii="宋体" w:hAnsi="宋体" w:eastAsia="宋体"/>
          <w:color w:val="000000"/>
          <w:sz w:val="24"/>
        </w:rPr>
        <w:t>：</w:t>
      </w:r>
      <w:bookmarkStart w:id="453" w:name="_Toc274433926"/>
      <w:r>
        <w:rPr>
          <w:rFonts w:hint="eastAsia" w:ascii="宋体" w:hAnsi="宋体" w:eastAsia="宋体"/>
          <w:color w:val="000000"/>
          <w:sz w:val="24"/>
        </w:rPr>
        <w:t>充电桩应能承受</w:t>
      </w:r>
      <w:r>
        <w:rPr>
          <w:rFonts w:ascii="宋体" w:hAnsi="宋体" w:eastAsia="宋体"/>
          <w:color w:val="000000"/>
          <w:sz w:val="24"/>
        </w:rPr>
        <w:t>GB/T 18487.2-2017中规定的试验要求。</w:t>
      </w:r>
      <w:bookmarkEnd w:id="453"/>
    </w:p>
    <w:p>
      <w:pPr>
        <w:widowControl/>
        <w:numPr>
          <w:ilvl w:val="0"/>
          <w:numId w:val="7"/>
        </w:numPr>
        <w:tabs>
          <w:tab w:val="left" w:pos="1134"/>
        </w:tabs>
        <w:spacing w:line="360" w:lineRule="auto"/>
        <w:jc w:val="left"/>
        <w:rPr>
          <w:rFonts w:ascii="宋体" w:hAnsi="宋体" w:eastAsia="宋体"/>
          <w:color w:val="000000"/>
          <w:sz w:val="24"/>
        </w:rPr>
      </w:pPr>
      <w:bookmarkStart w:id="454" w:name="_Toc274433927"/>
      <w:r>
        <w:rPr>
          <w:rFonts w:hint="eastAsia" w:ascii="宋体" w:hAnsi="宋体" w:eastAsia="宋体"/>
          <w:color w:val="000000"/>
          <w:sz w:val="24"/>
        </w:rPr>
        <w:t>电快速瞬变脉冲群抗扰度</w:t>
      </w:r>
      <w:bookmarkEnd w:id="454"/>
      <w:bookmarkStart w:id="455" w:name="_Toc274433928"/>
      <w:r>
        <w:rPr>
          <w:rFonts w:hint="eastAsia" w:ascii="宋体" w:hAnsi="宋体" w:eastAsia="宋体"/>
          <w:color w:val="000000"/>
          <w:sz w:val="24"/>
        </w:rPr>
        <w:t>：充电桩应能承受</w:t>
      </w:r>
      <w:r>
        <w:rPr>
          <w:rFonts w:ascii="宋体" w:hAnsi="宋体" w:eastAsia="宋体"/>
          <w:color w:val="000000"/>
          <w:sz w:val="24"/>
        </w:rPr>
        <w:t>GB/T 18487.2-2017中规定的试验要求。</w:t>
      </w:r>
      <w:bookmarkEnd w:id="455"/>
    </w:p>
    <w:p>
      <w:pPr>
        <w:widowControl/>
        <w:numPr>
          <w:ilvl w:val="0"/>
          <w:numId w:val="7"/>
        </w:numPr>
        <w:tabs>
          <w:tab w:val="left" w:pos="1134"/>
        </w:tabs>
        <w:spacing w:line="360" w:lineRule="auto"/>
        <w:jc w:val="left"/>
        <w:rPr>
          <w:rFonts w:ascii="宋体" w:hAnsi="宋体" w:eastAsia="宋体"/>
          <w:color w:val="000000"/>
          <w:sz w:val="24"/>
        </w:rPr>
      </w:pPr>
      <w:bookmarkStart w:id="456" w:name="_Toc274433929"/>
      <w:r>
        <w:rPr>
          <w:rFonts w:hint="eastAsia" w:ascii="宋体" w:hAnsi="宋体" w:eastAsia="宋体"/>
          <w:color w:val="000000"/>
          <w:sz w:val="24"/>
        </w:rPr>
        <w:t>浪涌（冲击）抗扰度</w:t>
      </w:r>
      <w:bookmarkEnd w:id="456"/>
      <w:bookmarkStart w:id="457" w:name="_Toc274433930"/>
      <w:r>
        <w:rPr>
          <w:rFonts w:hint="eastAsia" w:ascii="宋体" w:hAnsi="宋体" w:eastAsia="宋体"/>
          <w:color w:val="000000"/>
          <w:sz w:val="24"/>
        </w:rPr>
        <w:t>：充电桩应能承受</w:t>
      </w:r>
      <w:r>
        <w:rPr>
          <w:rFonts w:ascii="宋体" w:hAnsi="宋体" w:eastAsia="宋体"/>
          <w:color w:val="000000"/>
          <w:sz w:val="24"/>
        </w:rPr>
        <w:t>GB/T 18487.2-2017中规定的试验</w:t>
      </w:r>
      <w:bookmarkEnd w:id="457"/>
      <w:r>
        <w:rPr>
          <w:rFonts w:hint="eastAsia" w:ascii="宋体" w:hAnsi="宋体" w:eastAsia="宋体"/>
          <w:color w:val="000000"/>
          <w:sz w:val="24"/>
        </w:rPr>
        <w:t>要求。</w:t>
      </w:r>
    </w:p>
    <w:p>
      <w:pPr>
        <w:pStyle w:val="5"/>
        <w:numPr>
          <w:ilvl w:val="0"/>
          <w:numId w:val="7"/>
        </w:numPr>
        <w:tabs>
          <w:tab w:val="left" w:pos="1134"/>
        </w:tabs>
        <w:spacing w:line="360" w:lineRule="auto"/>
        <w:rPr>
          <w:rFonts w:ascii="宋体" w:hAnsi="宋体"/>
          <w:color w:val="000000"/>
          <w:sz w:val="24"/>
        </w:rPr>
      </w:pPr>
      <w:r>
        <w:rPr>
          <w:rFonts w:hint="eastAsia" w:ascii="宋体" w:hAnsi="宋体"/>
          <w:color w:val="000000"/>
          <w:sz w:val="24"/>
        </w:rPr>
        <w:t>电压</w:t>
      </w:r>
      <w:r>
        <w:rPr>
          <w:rFonts w:ascii="宋体" w:hAnsi="宋体"/>
          <w:color w:val="000000"/>
          <w:sz w:val="24"/>
        </w:rPr>
        <w:t>暂降、短时中断</w:t>
      </w:r>
      <w:r>
        <w:rPr>
          <w:rFonts w:hint="eastAsia" w:ascii="宋体" w:hAnsi="宋体"/>
          <w:color w:val="000000"/>
          <w:sz w:val="24"/>
        </w:rPr>
        <w:t>抗扰度</w:t>
      </w:r>
      <w:r>
        <w:rPr>
          <w:rFonts w:ascii="宋体" w:hAnsi="宋体"/>
          <w:color w:val="000000"/>
          <w:sz w:val="24"/>
        </w:rPr>
        <w:t>：充电</w:t>
      </w:r>
      <w:r>
        <w:rPr>
          <w:rFonts w:hint="eastAsia" w:ascii="宋体" w:hAnsi="宋体"/>
          <w:color w:val="000000"/>
          <w:sz w:val="24"/>
        </w:rPr>
        <w:t>桩</w:t>
      </w:r>
      <w:r>
        <w:rPr>
          <w:rFonts w:ascii="宋体" w:hAnsi="宋体"/>
          <w:color w:val="000000"/>
          <w:sz w:val="24"/>
        </w:rPr>
        <w:t>应能承受GB/T 18487.</w:t>
      </w:r>
      <w:r>
        <w:rPr>
          <w:rFonts w:hint="eastAsia" w:ascii="宋体" w:hAnsi="宋体"/>
          <w:color w:val="000000"/>
          <w:sz w:val="24"/>
        </w:rPr>
        <w:t>2-2017中</w:t>
      </w:r>
      <w:r>
        <w:rPr>
          <w:rFonts w:ascii="宋体" w:hAnsi="宋体"/>
          <w:color w:val="000000"/>
          <w:sz w:val="24"/>
        </w:rPr>
        <w:t>规定的</w:t>
      </w:r>
      <w:r>
        <w:rPr>
          <w:rFonts w:hint="eastAsia" w:ascii="宋体" w:hAnsi="宋体"/>
          <w:color w:val="000000"/>
          <w:sz w:val="24"/>
        </w:rPr>
        <w:t>电压</w:t>
      </w:r>
      <w:r>
        <w:rPr>
          <w:rFonts w:ascii="宋体" w:hAnsi="宋体"/>
          <w:color w:val="000000"/>
          <w:sz w:val="24"/>
        </w:rPr>
        <w:t>试验</w:t>
      </w:r>
      <w:r>
        <w:rPr>
          <w:rFonts w:hint="eastAsia" w:ascii="宋体" w:hAnsi="宋体"/>
          <w:color w:val="000000"/>
          <w:sz w:val="24"/>
        </w:rPr>
        <w:t>要求。</w:t>
      </w:r>
    </w:p>
    <w:p>
      <w:pPr>
        <w:pStyle w:val="5"/>
        <w:numPr>
          <w:ilvl w:val="0"/>
          <w:numId w:val="7"/>
        </w:numPr>
        <w:tabs>
          <w:tab w:val="left" w:pos="1134"/>
        </w:tabs>
        <w:spacing w:line="360" w:lineRule="auto"/>
        <w:rPr>
          <w:rFonts w:ascii="宋体" w:hAnsi="宋体"/>
          <w:color w:val="000000"/>
          <w:sz w:val="24"/>
        </w:rPr>
      </w:pPr>
      <w:bookmarkStart w:id="458" w:name="_Toc274433937"/>
      <w:r>
        <w:rPr>
          <w:rFonts w:ascii="宋体" w:hAnsi="宋体"/>
          <w:color w:val="000000"/>
          <w:sz w:val="24"/>
        </w:rPr>
        <w:t>传导和辐射发射限值要求</w:t>
      </w:r>
      <w:bookmarkEnd w:id="458"/>
      <w:bookmarkStart w:id="459" w:name="_Toc274433939"/>
      <w:r>
        <w:rPr>
          <w:rFonts w:ascii="宋体" w:hAnsi="宋体"/>
          <w:color w:val="000000"/>
          <w:sz w:val="24"/>
        </w:rPr>
        <w:t>：充电</w:t>
      </w:r>
      <w:r>
        <w:rPr>
          <w:rFonts w:hint="eastAsia" w:ascii="宋体" w:hAnsi="宋体"/>
          <w:color w:val="000000"/>
          <w:sz w:val="24"/>
        </w:rPr>
        <w:t>桩</w:t>
      </w:r>
      <w:r>
        <w:rPr>
          <w:rFonts w:ascii="宋体" w:hAnsi="宋体"/>
          <w:color w:val="000000"/>
          <w:sz w:val="24"/>
        </w:rPr>
        <w:t>的电源端口应符合</w:t>
      </w:r>
      <w:r>
        <w:rPr>
          <w:rFonts w:hint="eastAsia" w:ascii="宋体" w:hAnsi="宋体"/>
          <w:color w:val="000000"/>
          <w:sz w:val="24"/>
        </w:rPr>
        <w:t>下表</w:t>
      </w:r>
      <w:r>
        <w:rPr>
          <w:rFonts w:ascii="宋体" w:hAnsi="宋体"/>
          <w:color w:val="000000"/>
          <w:sz w:val="24"/>
        </w:rPr>
        <w:t>规定的传导发射限值，外壳端口应符合</w:t>
      </w:r>
      <w:r>
        <w:rPr>
          <w:rFonts w:hint="eastAsia" w:ascii="宋体" w:hAnsi="宋体"/>
          <w:color w:val="000000"/>
          <w:sz w:val="24"/>
        </w:rPr>
        <w:t>下表</w:t>
      </w:r>
      <w:r>
        <w:rPr>
          <w:rFonts w:ascii="宋体" w:hAnsi="宋体"/>
          <w:color w:val="000000"/>
          <w:sz w:val="24"/>
        </w:rPr>
        <w:t>规定的辐射发射限值。</w:t>
      </w:r>
      <w:bookmarkEnd w:id="459"/>
    </w:p>
    <w:p>
      <w:pPr>
        <w:pStyle w:val="32"/>
        <w:spacing w:beforeLines="0" w:after="161" w:afterLines="0" w:line="276" w:lineRule="auto"/>
        <w:rPr>
          <w:rFonts w:ascii="宋体" w:hAnsi="宋体" w:eastAsia="宋体"/>
          <w:color w:val="000000"/>
          <w:sz w:val="24"/>
          <w:szCs w:val="24"/>
        </w:rPr>
      </w:pPr>
      <w:r>
        <w:rPr>
          <w:rFonts w:hint="eastAsia" w:ascii="宋体" w:hAnsi="宋体" w:eastAsia="宋体"/>
          <w:color w:val="000000"/>
          <w:sz w:val="24"/>
          <w:szCs w:val="24"/>
        </w:rPr>
        <w:t>传导发射限值</w:t>
      </w:r>
    </w:p>
    <w:tbl>
      <w:tblPr>
        <w:tblStyle w:val="16"/>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2934"/>
        <w:gridCol w:w="2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7" w:type="dxa"/>
            <w:vMerge w:val="restart"/>
            <w:vAlign w:val="center"/>
          </w:tcPr>
          <w:p>
            <w:pPr>
              <w:spacing w:line="276" w:lineRule="auto"/>
              <w:jc w:val="center"/>
              <w:rPr>
                <w:rFonts w:ascii="宋体" w:hAnsi="宋体" w:eastAsia="宋体"/>
                <w:color w:val="000000"/>
                <w:w w:val="80"/>
                <w:sz w:val="24"/>
              </w:rPr>
            </w:pPr>
            <w:r>
              <w:rPr>
                <w:rFonts w:ascii="宋体" w:hAnsi="宋体" w:eastAsia="宋体"/>
                <w:color w:val="000000"/>
                <w:sz w:val="24"/>
              </w:rPr>
              <w:t>频率范围</w:t>
            </w:r>
            <w:r>
              <w:rPr>
                <w:rFonts w:hint="eastAsia" w:ascii="宋体" w:hAnsi="宋体" w:eastAsia="宋体"/>
                <w:color w:val="000000"/>
                <w:sz w:val="24"/>
              </w:rPr>
              <w:t>（</w:t>
            </w:r>
            <w:r>
              <w:rPr>
                <w:rFonts w:ascii="宋体" w:hAnsi="宋体" w:eastAsia="宋体"/>
                <w:color w:val="000000"/>
                <w:sz w:val="24"/>
              </w:rPr>
              <w:t>MHz</w:t>
            </w:r>
            <w:r>
              <w:rPr>
                <w:rFonts w:hint="eastAsia" w:ascii="宋体" w:hAnsi="宋体" w:eastAsia="宋体"/>
                <w:color w:val="000000"/>
                <w:sz w:val="24"/>
              </w:rPr>
              <w:t>）</w:t>
            </w:r>
          </w:p>
        </w:tc>
        <w:tc>
          <w:tcPr>
            <w:tcW w:w="5891" w:type="dxa"/>
            <w:gridSpan w:val="2"/>
            <w:vAlign w:val="center"/>
          </w:tcPr>
          <w:p>
            <w:pPr>
              <w:spacing w:line="276" w:lineRule="auto"/>
              <w:jc w:val="center"/>
              <w:rPr>
                <w:rFonts w:ascii="宋体" w:hAnsi="宋体" w:eastAsia="宋体"/>
                <w:color w:val="000000"/>
                <w:sz w:val="24"/>
              </w:rPr>
            </w:pPr>
            <w:r>
              <w:rPr>
                <w:rFonts w:ascii="宋体" w:hAnsi="宋体" w:eastAsia="宋体"/>
                <w:color w:val="000000"/>
                <w:sz w:val="24"/>
              </w:rPr>
              <w:t>发射限值dB(μV)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227" w:type="dxa"/>
            <w:vMerge w:val="continue"/>
            <w:vAlign w:val="center"/>
          </w:tcPr>
          <w:p>
            <w:pPr>
              <w:spacing w:line="276" w:lineRule="auto"/>
              <w:jc w:val="center"/>
              <w:rPr>
                <w:rFonts w:ascii="宋体" w:hAnsi="宋体" w:eastAsia="宋体"/>
                <w:color w:val="000000"/>
                <w:w w:val="80"/>
                <w:sz w:val="24"/>
              </w:rPr>
            </w:pPr>
          </w:p>
        </w:tc>
        <w:tc>
          <w:tcPr>
            <w:tcW w:w="2934" w:type="dxa"/>
            <w:vAlign w:val="center"/>
          </w:tcPr>
          <w:p>
            <w:pPr>
              <w:spacing w:line="276" w:lineRule="auto"/>
              <w:jc w:val="center"/>
              <w:rPr>
                <w:rFonts w:ascii="宋体" w:hAnsi="宋体" w:eastAsia="宋体"/>
                <w:color w:val="000000"/>
                <w:sz w:val="24"/>
              </w:rPr>
            </w:pPr>
            <w:r>
              <w:rPr>
                <w:rFonts w:ascii="宋体" w:hAnsi="宋体" w:eastAsia="宋体"/>
                <w:color w:val="000000"/>
                <w:sz w:val="24"/>
              </w:rPr>
              <w:t>准峰值</w:t>
            </w:r>
          </w:p>
        </w:tc>
        <w:tc>
          <w:tcPr>
            <w:tcW w:w="2957" w:type="dxa"/>
            <w:vAlign w:val="center"/>
          </w:tcPr>
          <w:p>
            <w:pPr>
              <w:spacing w:line="276" w:lineRule="auto"/>
              <w:jc w:val="center"/>
              <w:rPr>
                <w:rFonts w:ascii="宋体" w:hAnsi="宋体" w:eastAsia="宋体"/>
                <w:color w:val="000000"/>
                <w:sz w:val="24"/>
              </w:rPr>
            </w:pPr>
            <w:r>
              <w:rPr>
                <w:rFonts w:ascii="宋体" w:hAnsi="宋体" w:eastAsia="宋体"/>
                <w:color w:val="000000"/>
                <w:sz w:val="24"/>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227" w:type="dxa"/>
            <w:vAlign w:val="center"/>
          </w:tcPr>
          <w:p>
            <w:pPr>
              <w:spacing w:line="276" w:lineRule="auto"/>
              <w:jc w:val="center"/>
              <w:rPr>
                <w:rFonts w:ascii="宋体" w:hAnsi="宋体" w:eastAsia="宋体"/>
                <w:color w:val="000000"/>
                <w:sz w:val="24"/>
              </w:rPr>
            </w:pPr>
            <w:r>
              <w:rPr>
                <w:rFonts w:ascii="宋体" w:hAnsi="宋体" w:eastAsia="宋体"/>
                <w:color w:val="000000"/>
                <w:sz w:val="24"/>
              </w:rPr>
              <w:t>0.15～0.5（不含0.5）</w:t>
            </w:r>
          </w:p>
        </w:tc>
        <w:tc>
          <w:tcPr>
            <w:tcW w:w="2934" w:type="dxa"/>
            <w:vAlign w:val="center"/>
          </w:tcPr>
          <w:p>
            <w:pPr>
              <w:spacing w:line="276" w:lineRule="auto"/>
              <w:jc w:val="center"/>
              <w:rPr>
                <w:rFonts w:ascii="宋体" w:hAnsi="宋体" w:eastAsia="宋体"/>
                <w:color w:val="000000"/>
                <w:sz w:val="24"/>
              </w:rPr>
            </w:pPr>
            <w:r>
              <w:rPr>
                <w:rFonts w:ascii="宋体" w:hAnsi="宋体" w:eastAsia="宋体"/>
                <w:color w:val="000000"/>
                <w:sz w:val="24"/>
              </w:rPr>
              <w:t>66~56</w:t>
            </w:r>
          </w:p>
          <w:p>
            <w:pPr>
              <w:spacing w:line="276" w:lineRule="auto"/>
              <w:jc w:val="center"/>
              <w:rPr>
                <w:rFonts w:ascii="宋体" w:hAnsi="宋体" w:eastAsia="宋体"/>
                <w:color w:val="000000"/>
                <w:sz w:val="24"/>
              </w:rPr>
            </w:pPr>
            <w:r>
              <w:rPr>
                <w:rFonts w:hint="eastAsia" w:ascii="宋体" w:hAnsi="宋体" w:eastAsia="宋体"/>
                <w:color w:val="000000"/>
                <w:sz w:val="24"/>
              </w:rPr>
              <w:t>随频率对数</w:t>
            </w:r>
          </w:p>
          <w:p>
            <w:pPr>
              <w:spacing w:line="276" w:lineRule="auto"/>
              <w:jc w:val="center"/>
              <w:rPr>
                <w:rFonts w:ascii="宋体" w:hAnsi="宋体" w:eastAsia="宋体"/>
                <w:color w:val="000000"/>
                <w:sz w:val="24"/>
              </w:rPr>
            </w:pPr>
            <w:r>
              <w:rPr>
                <w:rFonts w:hint="eastAsia" w:ascii="宋体" w:hAnsi="宋体" w:eastAsia="宋体"/>
                <w:color w:val="000000"/>
                <w:sz w:val="24"/>
              </w:rPr>
              <w:t>线性减小</w:t>
            </w:r>
          </w:p>
        </w:tc>
        <w:tc>
          <w:tcPr>
            <w:tcW w:w="2957" w:type="dxa"/>
            <w:vAlign w:val="center"/>
          </w:tcPr>
          <w:p>
            <w:pPr>
              <w:spacing w:line="276" w:lineRule="auto"/>
              <w:jc w:val="center"/>
              <w:rPr>
                <w:rFonts w:ascii="宋体" w:hAnsi="宋体" w:eastAsia="宋体"/>
                <w:color w:val="000000"/>
                <w:sz w:val="24"/>
              </w:rPr>
            </w:pPr>
            <w:r>
              <w:rPr>
                <w:rFonts w:ascii="宋体" w:hAnsi="宋体" w:eastAsia="宋体"/>
                <w:color w:val="000000"/>
                <w:sz w:val="24"/>
              </w:rPr>
              <w:t>56~46</w:t>
            </w:r>
          </w:p>
          <w:p>
            <w:pPr>
              <w:spacing w:line="276" w:lineRule="auto"/>
              <w:jc w:val="center"/>
              <w:rPr>
                <w:rFonts w:ascii="宋体" w:hAnsi="宋体" w:eastAsia="宋体"/>
                <w:color w:val="000000"/>
                <w:sz w:val="24"/>
              </w:rPr>
            </w:pPr>
            <w:r>
              <w:rPr>
                <w:rFonts w:hint="eastAsia" w:ascii="宋体" w:hAnsi="宋体" w:eastAsia="宋体"/>
                <w:color w:val="000000"/>
                <w:sz w:val="24"/>
              </w:rPr>
              <w:t>随频率对数线</w:t>
            </w:r>
          </w:p>
          <w:p>
            <w:pPr>
              <w:spacing w:line="276" w:lineRule="auto"/>
              <w:jc w:val="center"/>
              <w:rPr>
                <w:rFonts w:ascii="宋体" w:hAnsi="宋体" w:eastAsia="宋体"/>
                <w:color w:val="000000"/>
                <w:sz w:val="24"/>
              </w:rPr>
            </w:pPr>
            <w:r>
              <w:rPr>
                <w:rFonts w:hint="eastAsia" w:ascii="宋体" w:hAnsi="宋体" w:eastAsia="宋体"/>
                <w:color w:val="000000"/>
                <w:sz w:val="24"/>
              </w:rPr>
              <w:t>性减小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3227" w:type="dxa"/>
            <w:vAlign w:val="center"/>
          </w:tcPr>
          <w:p>
            <w:pPr>
              <w:spacing w:line="276" w:lineRule="auto"/>
              <w:jc w:val="center"/>
              <w:rPr>
                <w:rFonts w:ascii="宋体" w:hAnsi="宋体" w:eastAsia="宋体"/>
                <w:color w:val="000000"/>
                <w:sz w:val="24"/>
              </w:rPr>
            </w:pPr>
            <w:r>
              <w:rPr>
                <w:rFonts w:ascii="宋体" w:hAnsi="宋体" w:eastAsia="宋体"/>
                <w:color w:val="000000"/>
                <w:sz w:val="24"/>
              </w:rPr>
              <w:t>0.5～5</w:t>
            </w:r>
          </w:p>
        </w:tc>
        <w:tc>
          <w:tcPr>
            <w:tcW w:w="2934" w:type="dxa"/>
            <w:vAlign w:val="center"/>
          </w:tcPr>
          <w:p>
            <w:pPr>
              <w:spacing w:line="276" w:lineRule="auto"/>
              <w:jc w:val="center"/>
              <w:rPr>
                <w:rFonts w:ascii="宋体" w:hAnsi="宋体" w:eastAsia="宋体"/>
                <w:color w:val="000000"/>
                <w:sz w:val="24"/>
              </w:rPr>
            </w:pPr>
            <w:r>
              <w:rPr>
                <w:rFonts w:ascii="宋体" w:hAnsi="宋体" w:eastAsia="宋体"/>
                <w:color w:val="000000"/>
                <w:sz w:val="24"/>
              </w:rPr>
              <w:t>56</w:t>
            </w:r>
          </w:p>
        </w:tc>
        <w:tc>
          <w:tcPr>
            <w:tcW w:w="2957" w:type="dxa"/>
            <w:vAlign w:val="center"/>
          </w:tcPr>
          <w:p>
            <w:pPr>
              <w:spacing w:line="276" w:lineRule="auto"/>
              <w:jc w:val="center"/>
              <w:rPr>
                <w:rFonts w:ascii="宋体" w:hAnsi="宋体" w:eastAsia="宋体"/>
                <w:color w:val="000000"/>
                <w:sz w:val="24"/>
              </w:rPr>
            </w:pPr>
            <w:r>
              <w:rPr>
                <w:rFonts w:ascii="宋体" w:hAnsi="宋体" w:eastAsia="宋体"/>
                <w:color w:val="000000"/>
                <w:sz w:val="24"/>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3227" w:type="dxa"/>
            <w:vAlign w:val="center"/>
          </w:tcPr>
          <w:p>
            <w:pPr>
              <w:spacing w:line="276" w:lineRule="auto"/>
              <w:jc w:val="center"/>
              <w:rPr>
                <w:rFonts w:ascii="宋体" w:hAnsi="宋体" w:eastAsia="宋体"/>
                <w:color w:val="000000"/>
                <w:sz w:val="24"/>
              </w:rPr>
            </w:pPr>
            <w:r>
              <w:rPr>
                <w:rFonts w:ascii="宋体" w:hAnsi="宋体" w:eastAsia="宋体"/>
                <w:color w:val="000000"/>
                <w:sz w:val="24"/>
              </w:rPr>
              <w:t>5～30</w:t>
            </w:r>
          </w:p>
        </w:tc>
        <w:tc>
          <w:tcPr>
            <w:tcW w:w="2934" w:type="dxa"/>
            <w:vAlign w:val="center"/>
          </w:tcPr>
          <w:p>
            <w:pPr>
              <w:spacing w:line="276" w:lineRule="auto"/>
              <w:jc w:val="center"/>
              <w:rPr>
                <w:rFonts w:ascii="宋体" w:hAnsi="宋体" w:eastAsia="宋体"/>
                <w:color w:val="000000"/>
                <w:sz w:val="24"/>
              </w:rPr>
            </w:pPr>
            <w:r>
              <w:rPr>
                <w:rFonts w:ascii="宋体" w:hAnsi="宋体" w:eastAsia="宋体"/>
                <w:color w:val="000000"/>
                <w:sz w:val="24"/>
              </w:rPr>
              <w:t>60</w:t>
            </w:r>
          </w:p>
        </w:tc>
        <w:tc>
          <w:tcPr>
            <w:tcW w:w="2957" w:type="dxa"/>
            <w:vAlign w:val="center"/>
          </w:tcPr>
          <w:p>
            <w:pPr>
              <w:spacing w:line="276" w:lineRule="auto"/>
              <w:jc w:val="center"/>
              <w:rPr>
                <w:rFonts w:ascii="宋体" w:hAnsi="宋体" w:eastAsia="宋体"/>
                <w:color w:val="000000"/>
                <w:sz w:val="24"/>
              </w:rPr>
            </w:pPr>
            <w:r>
              <w:rPr>
                <w:rFonts w:ascii="宋体" w:hAnsi="宋体" w:eastAsia="宋体"/>
                <w:color w:val="000000"/>
                <w:sz w:val="24"/>
              </w:rPr>
              <w:t>50</w:t>
            </w:r>
          </w:p>
        </w:tc>
      </w:tr>
    </w:tbl>
    <w:p>
      <w:pPr>
        <w:pStyle w:val="32"/>
        <w:spacing w:before="161" w:beforeLines="0" w:after="161" w:afterLines="0" w:line="276" w:lineRule="auto"/>
        <w:rPr>
          <w:rFonts w:ascii="宋体" w:hAnsi="宋体" w:eastAsia="宋体"/>
          <w:color w:val="000000"/>
          <w:sz w:val="24"/>
          <w:szCs w:val="24"/>
        </w:rPr>
      </w:pPr>
      <w:r>
        <w:rPr>
          <w:rFonts w:hint="eastAsia" w:ascii="宋体" w:hAnsi="宋体" w:eastAsia="宋体"/>
          <w:color w:val="000000"/>
          <w:sz w:val="24"/>
          <w:szCs w:val="24"/>
        </w:rPr>
        <w:t>辐射发射限值</w:t>
      </w:r>
    </w:p>
    <w:tbl>
      <w:tblPr>
        <w:tblStyle w:val="16"/>
        <w:tblW w:w="920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2"/>
        <w:gridCol w:w="3119"/>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2972" w:type="dxa"/>
            <w:vMerge w:val="restart"/>
            <w:vAlign w:val="center"/>
          </w:tcPr>
          <w:p>
            <w:pPr>
              <w:spacing w:line="276" w:lineRule="auto"/>
              <w:jc w:val="center"/>
              <w:rPr>
                <w:rFonts w:ascii="宋体" w:hAnsi="宋体" w:eastAsia="宋体"/>
                <w:color w:val="000000"/>
                <w:sz w:val="24"/>
              </w:rPr>
            </w:pPr>
            <w:r>
              <w:rPr>
                <w:rFonts w:ascii="宋体" w:hAnsi="宋体" w:eastAsia="宋体"/>
                <w:color w:val="000000"/>
                <w:sz w:val="24"/>
              </w:rPr>
              <w:t>频率范围</w:t>
            </w:r>
            <w:r>
              <w:rPr>
                <w:rFonts w:hint="eastAsia" w:ascii="宋体" w:hAnsi="宋体" w:eastAsia="宋体"/>
                <w:color w:val="000000"/>
                <w:sz w:val="24"/>
              </w:rPr>
              <w:t>（</w:t>
            </w:r>
            <w:r>
              <w:rPr>
                <w:rFonts w:ascii="宋体" w:hAnsi="宋体" w:eastAsia="宋体"/>
                <w:color w:val="000000"/>
                <w:sz w:val="24"/>
              </w:rPr>
              <w:t>MHz</w:t>
            </w:r>
            <w:r>
              <w:rPr>
                <w:rFonts w:hint="eastAsia" w:ascii="宋体" w:hAnsi="宋体" w:eastAsia="宋体"/>
                <w:color w:val="000000"/>
                <w:sz w:val="24"/>
              </w:rPr>
              <w:t>）</w:t>
            </w:r>
          </w:p>
        </w:tc>
        <w:tc>
          <w:tcPr>
            <w:tcW w:w="3119" w:type="dxa"/>
            <w:vAlign w:val="center"/>
          </w:tcPr>
          <w:p>
            <w:pPr>
              <w:spacing w:line="276" w:lineRule="auto"/>
              <w:jc w:val="center"/>
              <w:rPr>
                <w:rFonts w:ascii="宋体" w:hAnsi="宋体" w:eastAsia="宋体"/>
                <w:color w:val="000000"/>
                <w:sz w:val="24"/>
              </w:rPr>
            </w:pPr>
            <w:r>
              <w:rPr>
                <w:rFonts w:ascii="宋体" w:hAnsi="宋体" w:eastAsia="宋体"/>
                <w:color w:val="000000"/>
                <w:sz w:val="24"/>
              </w:rPr>
              <w:t>在10 m测量距离处辐射发射限值dB(μV/m)</w:t>
            </w:r>
          </w:p>
        </w:tc>
        <w:tc>
          <w:tcPr>
            <w:tcW w:w="3118" w:type="dxa"/>
            <w:vAlign w:val="center"/>
          </w:tcPr>
          <w:p>
            <w:pPr>
              <w:spacing w:line="276" w:lineRule="auto"/>
              <w:jc w:val="center"/>
              <w:rPr>
                <w:rFonts w:ascii="宋体" w:hAnsi="宋体" w:eastAsia="宋体"/>
                <w:color w:val="000000"/>
                <w:sz w:val="24"/>
              </w:rPr>
            </w:pPr>
            <w:r>
              <w:rPr>
                <w:rFonts w:ascii="宋体" w:hAnsi="宋体" w:eastAsia="宋体"/>
                <w:color w:val="000000"/>
                <w:sz w:val="24"/>
              </w:rPr>
              <w:t>在3 m测量距离处辐射发射限值dB(μV/m)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2972" w:type="dxa"/>
            <w:vMerge w:val="continue"/>
            <w:vAlign w:val="center"/>
          </w:tcPr>
          <w:p>
            <w:pPr>
              <w:spacing w:line="276" w:lineRule="auto"/>
              <w:jc w:val="center"/>
              <w:rPr>
                <w:rFonts w:ascii="宋体" w:hAnsi="宋体" w:eastAsia="宋体"/>
                <w:color w:val="000000"/>
                <w:sz w:val="24"/>
              </w:rPr>
            </w:pPr>
          </w:p>
        </w:tc>
        <w:tc>
          <w:tcPr>
            <w:tcW w:w="3119" w:type="dxa"/>
            <w:vAlign w:val="center"/>
          </w:tcPr>
          <w:p>
            <w:pPr>
              <w:spacing w:line="276" w:lineRule="auto"/>
              <w:jc w:val="center"/>
              <w:rPr>
                <w:rFonts w:ascii="宋体" w:hAnsi="宋体" w:eastAsia="宋体"/>
                <w:color w:val="000000"/>
                <w:sz w:val="24"/>
              </w:rPr>
            </w:pPr>
            <w:r>
              <w:rPr>
                <w:rFonts w:ascii="宋体" w:hAnsi="宋体" w:eastAsia="宋体"/>
                <w:color w:val="000000"/>
                <w:sz w:val="24"/>
              </w:rPr>
              <w:t>准峰值</w:t>
            </w:r>
          </w:p>
        </w:tc>
        <w:tc>
          <w:tcPr>
            <w:tcW w:w="3118" w:type="dxa"/>
            <w:vAlign w:val="center"/>
          </w:tcPr>
          <w:p>
            <w:pPr>
              <w:spacing w:line="276" w:lineRule="auto"/>
              <w:jc w:val="center"/>
              <w:rPr>
                <w:rFonts w:ascii="宋体" w:hAnsi="宋体" w:eastAsia="宋体"/>
                <w:color w:val="000000"/>
                <w:sz w:val="24"/>
              </w:rPr>
            </w:pPr>
            <w:r>
              <w:rPr>
                <w:rFonts w:ascii="宋体" w:hAnsi="宋体" w:eastAsia="宋体"/>
                <w:color w:val="000000"/>
                <w:sz w:val="24"/>
              </w:rPr>
              <w:t>准峰值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2972" w:type="dxa"/>
            <w:vAlign w:val="center"/>
          </w:tcPr>
          <w:p>
            <w:pPr>
              <w:spacing w:line="276" w:lineRule="auto"/>
              <w:jc w:val="center"/>
              <w:rPr>
                <w:rFonts w:ascii="宋体" w:hAnsi="宋体" w:eastAsia="宋体"/>
                <w:color w:val="000000"/>
                <w:sz w:val="24"/>
              </w:rPr>
            </w:pPr>
            <w:r>
              <w:rPr>
                <w:rFonts w:ascii="宋体" w:hAnsi="宋体" w:eastAsia="宋体"/>
                <w:color w:val="000000"/>
                <w:sz w:val="24"/>
              </w:rPr>
              <w:t>30～230</w:t>
            </w:r>
          </w:p>
        </w:tc>
        <w:tc>
          <w:tcPr>
            <w:tcW w:w="3119" w:type="dxa"/>
            <w:vAlign w:val="center"/>
          </w:tcPr>
          <w:p>
            <w:pPr>
              <w:autoSpaceDE w:val="0"/>
              <w:autoSpaceDN w:val="0"/>
              <w:adjustRightInd w:val="0"/>
              <w:spacing w:line="276" w:lineRule="auto"/>
              <w:jc w:val="center"/>
              <w:rPr>
                <w:rFonts w:ascii="宋体" w:hAnsi="宋体" w:eastAsia="宋体"/>
                <w:color w:val="000000"/>
                <w:kern w:val="0"/>
                <w:sz w:val="24"/>
              </w:rPr>
            </w:pPr>
            <w:r>
              <w:rPr>
                <w:rFonts w:ascii="宋体" w:hAnsi="宋体" w:eastAsia="宋体"/>
                <w:color w:val="000000"/>
                <w:kern w:val="0"/>
                <w:sz w:val="24"/>
              </w:rPr>
              <w:t>30</w:t>
            </w:r>
          </w:p>
        </w:tc>
        <w:tc>
          <w:tcPr>
            <w:tcW w:w="3118" w:type="dxa"/>
            <w:vAlign w:val="center"/>
          </w:tcPr>
          <w:p>
            <w:pPr>
              <w:autoSpaceDE w:val="0"/>
              <w:autoSpaceDN w:val="0"/>
              <w:adjustRightInd w:val="0"/>
              <w:spacing w:line="276" w:lineRule="auto"/>
              <w:jc w:val="center"/>
              <w:rPr>
                <w:rFonts w:ascii="宋体" w:hAnsi="宋体" w:eastAsia="宋体"/>
                <w:color w:val="000000"/>
                <w:kern w:val="0"/>
                <w:sz w:val="24"/>
              </w:rPr>
            </w:pPr>
            <w:r>
              <w:rPr>
                <w:rFonts w:ascii="宋体" w:hAnsi="宋体" w:eastAsia="宋体"/>
                <w:color w:val="000000"/>
                <w:kern w:val="0"/>
                <w:sz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972" w:type="dxa"/>
            <w:vAlign w:val="center"/>
          </w:tcPr>
          <w:p>
            <w:pPr>
              <w:spacing w:line="276" w:lineRule="auto"/>
              <w:jc w:val="center"/>
              <w:rPr>
                <w:rFonts w:ascii="宋体" w:hAnsi="宋体" w:eastAsia="宋体"/>
                <w:color w:val="000000"/>
                <w:sz w:val="24"/>
              </w:rPr>
            </w:pPr>
            <w:r>
              <w:rPr>
                <w:rFonts w:ascii="宋体" w:hAnsi="宋体" w:eastAsia="宋体"/>
                <w:color w:val="000000"/>
                <w:sz w:val="24"/>
              </w:rPr>
              <w:t>230～1000</w:t>
            </w:r>
          </w:p>
        </w:tc>
        <w:tc>
          <w:tcPr>
            <w:tcW w:w="3119" w:type="dxa"/>
            <w:vAlign w:val="center"/>
          </w:tcPr>
          <w:p>
            <w:pPr>
              <w:autoSpaceDE w:val="0"/>
              <w:autoSpaceDN w:val="0"/>
              <w:adjustRightInd w:val="0"/>
              <w:spacing w:line="276" w:lineRule="auto"/>
              <w:jc w:val="center"/>
              <w:rPr>
                <w:rFonts w:ascii="宋体" w:hAnsi="宋体" w:eastAsia="宋体"/>
                <w:color w:val="000000"/>
                <w:kern w:val="0"/>
                <w:sz w:val="24"/>
              </w:rPr>
            </w:pPr>
            <w:r>
              <w:rPr>
                <w:rFonts w:ascii="宋体" w:hAnsi="宋体" w:eastAsia="宋体"/>
                <w:color w:val="000000"/>
                <w:kern w:val="0"/>
                <w:sz w:val="24"/>
              </w:rPr>
              <w:t>37</w:t>
            </w:r>
          </w:p>
        </w:tc>
        <w:tc>
          <w:tcPr>
            <w:tcW w:w="3118" w:type="dxa"/>
            <w:vAlign w:val="center"/>
          </w:tcPr>
          <w:p>
            <w:pPr>
              <w:autoSpaceDE w:val="0"/>
              <w:autoSpaceDN w:val="0"/>
              <w:adjustRightInd w:val="0"/>
              <w:spacing w:line="276" w:lineRule="auto"/>
              <w:jc w:val="center"/>
              <w:rPr>
                <w:rFonts w:ascii="宋体" w:hAnsi="宋体" w:eastAsia="宋体"/>
                <w:color w:val="000000"/>
                <w:kern w:val="0"/>
                <w:sz w:val="24"/>
              </w:rPr>
            </w:pPr>
            <w:r>
              <w:rPr>
                <w:rFonts w:ascii="宋体" w:hAnsi="宋体" w:eastAsia="宋体"/>
                <w:color w:val="000000"/>
                <w:kern w:val="0"/>
                <w:sz w:val="24"/>
              </w:rPr>
              <w:t>47</w:t>
            </w:r>
          </w:p>
        </w:tc>
      </w:tr>
    </w:tbl>
    <w:p>
      <w:pPr>
        <w:outlineLvl w:val="2"/>
        <w:rPr>
          <w:rFonts w:ascii="宋体" w:hAnsi="宋体" w:eastAsia="宋体"/>
          <w:b/>
          <w:bCs/>
          <w:sz w:val="24"/>
        </w:rPr>
      </w:pPr>
      <w:r>
        <w:rPr>
          <w:rFonts w:ascii="宋体" w:hAnsi="宋体" w:eastAsia="宋体"/>
          <w:b/>
          <w:bCs/>
          <w:sz w:val="24"/>
        </w:rPr>
        <w:t>5</w:t>
      </w:r>
      <w:r>
        <w:rPr>
          <w:rFonts w:hint="eastAsia" w:ascii="宋体" w:hAnsi="宋体" w:eastAsia="宋体"/>
          <w:b/>
          <w:bCs/>
          <w:sz w:val="24"/>
        </w:rPr>
        <w:t>、其它要求</w:t>
      </w:r>
      <w:bookmarkEnd w:id="440"/>
      <w:bookmarkEnd w:id="448"/>
      <w:bookmarkEnd w:id="449"/>
      <w:bookmarkEnd w:id="450"/>
    </w:p>
    <w:p>
      <w:pPr>
        <w:rPr>
          <w:rFonts w:ascii="宋体" w:hAnsi="宋体" w:eastAsia="宋体"/>
          <w:sz w:val="24"/>
        </w:rPr>
      </w:pPr>
      <w:r>
        <w:rPr>
          <w:rFonts w:ascii="宋体" w:hAnsi="宋体" w:eastAsia="宋体"/>
          <w:sz w:val="24"/>
        </w:rPr>
        <w:t>5.1</w:t>
      </w:r>
      <w:r>
        <w:rPr>
          <w:rFonts w:hint="eastAsia" w:ascii="宋体" w:hAnsi="宋体" w:eastAsia="宋体"/>
          <w:sz w:val="24"/>
        </w:rPr>
        <w:t>充电连接装置</w:t>
      </w:r>
    </w:p>
    <w:p>
      <w:pPr>
        <w:widowControl/>
        <w:numPr>
          <w:ilvl w:val="0"/>
          <w:numId w:val="8"/>
        </w:numPr>
        <w:tabs>
          <w:tab w:val="left" w:pos="1134"/>
        </w:tabs>
        <w:spacing w:line="360" w:lineRule="auto"/>
        <w:jc w:val="left"/>
        <w:rPr>
          <w:rFonts w:ascii="宋体" w:hAnsi="宋体" w:eastAsia="宋体"/>
          <w:color w:val="000000"/>
          <w:sz w:val="24"/>
        </w:rPr>
      </w:pPr>
      <w:r>
        <w:rPr>
          <w:rFonts w:hint="eastAsia" w:ascii="宋体" w:hAnsi="宋体" w:eastAsia="宋体"/>
          <w:color w:val="000000"/>
          <w:sz w:val="24"/>
        </w:rPr>
        <w:t>交流充电</w:t>
      </w:r>
      <w:r>
        <w:rPr>
          <w:rFonts w:ascii="宋体" w:hAnsi="宋体" w:eastAsia="宋体"/>
          <w:color w:val="000000"/>
          <w:sz w:val="24"/>
        </w:rPr>
        <w:t>桩</w:t>
      </w:r>
      <w:r>
        <w:rPr>
          <w:rFonts w:hint="eastAsia" w:ascii="宋体" w:hAnsi="宋体" w:eastAsia="宋体"/>
          <w:color w:val="000000"/>
          <w:sz w:val="24"/>
        </w:rPr>
        <w:t>采用</w:t>
      </w:r>
      <w:r>
        <w:rPr>
          <w:rFonts w:ascii="宋体" w:hAnsi="宋体" w:eastAsia="宋体"/>
          <w:color w:val="000000"/>
          <w:sz w:val="24"/>
        </w:rPr>
        <w:t>GB/T18487.1-2015附录A中规定的充电模式3</w:t>
      </w:r>
      <w:r>
        <w:rPr>
          <w:rFonts w:hint="eastAsia" w:ascii="宋体" w:hAnsi="宋体" w:eastAsia="宋体"/>
          <w:color w:val="000000"/>
          <w:sz w:val="24"/>
        </w:rPr>
        <w:t>和连接方式</w:t>
      </w:r>
      <w:r>
        <w:rPr>
          <w:rFonts w:ascii="宋体" w:hAnsi="宋体" w:eastAsia="宋体"/>
          <w:color w:val="000000"/>
          <w:sz w:val="24"/>
        </w:rPr>
        <w:t>A、B、C对电动汽车进行充电，采用三相供电且电流大于32A时，应采用连接方式C。充电接口应满足GB/T20234.1-2015和GB/T20234.2-2015</w:t>
      </w:r>
      <w:r>
        <w:rPr>
          <w:rFonts w:hint="eastAsia" w:ascii="宋体" w:hAnsi="宋体" w:eastAsia="宋体"/>
          <w:color w:val="000000"/>
          <w:sz w:val="24"/>
        </w:rPr>
        <w:t>的规定。</w:t>
      </w:r>
    </w:p>
    <w:p>
      <w:pPr>
        <w:widowControl/>
        <w:numPr>
          <w:ilvl w:val="0"/>
          <w:numId w:val="8"/>
        </w:numPr>
        <w:tabs>
          <w:tab w:val="left" w:pos="1134"/>
        </w:tabs>
        <w:spacing w:line="360" w:lineRule="auto"/>
        <w:jc w:val="left"/>
        <w:rPr>
          <w:rFonts w:ascii="宋体" w:hAnsi="宋体" w:eastAsia="宋体"/>
          <w:color w:val="000000"/>
          <w:sz w:val="24"/>
        </w:rPr>
      </w:pPr>
      <w:r>
        <w:rPr>
          <w:rFonts w:hint="eastAsia" w:ascii="宋体" w:hAnsi="宋体" w:eastAsia="宋体"/>
          <w:color w:val="000000"/>
          <w:sz w:val="24"/>
        </w:rPr>
        <w:t>当</w:t>
      </w:r>
      <w:r>
        <w:rPr>
          <w:rFonts w:ascii="宋体" w:hAnsi="宋体" w:eastAsia="宋体"/>
          <w:color w:val="000000"/>
          <w:sz w:val="24"/>
        </w:rPr>
        <w:t>交流</w:t>
      </w:r>
      <w:r>
        <w:rPr>
          <w:rFonts w:hint="eastAsia" w:ascii="宋体" w:hAnsi="宋体" w:eastAsia="宋体"/>
          <w:color w:val="000000"/>
          <w:sz w:val="24"/>
        </w:rPr>
        <w:t>充电桩提供</w:t>
      </w:r>
      <w:r>
        <w:rPr>
          <w:rFonts w:ascii="宋体" w:hAnsi="宋体" w:eastAsia="宋体"/>
          <w:color w:val="000000"/>
          <w:sz w:val="24"/>
        </w:rPr>
        <w:t>GB/T20234.1-2015规定的连接方式A、B所适用的供电插座时，不提供充电电缆。供电插座的功能、结构尺寸应符合GB/T20234.2-2015</w:t>
      </w:r>
      <w:r>
        <w:rPr>
          <w:rFonts w:hint="eastAsia" w:ascii="宋体" w:hAnsi="宋体" w:eastAsia="宋体"/>
          <w:color w:val="000000"/>
          <w:sz w:val="24"/>
        </w:rPr>
        <w:t>的规定，技术性能应满足</w:t>
      </w:r>
      <w:r>
        <w:rPr>
          <w:rFonts w:ascii="宋体" w:hAnsi="宋体" w:eastAsia="宋体"/>
          <w:color w:val="000000"/>
          <w:sz w:val="24"/>
        </w:rPr>
        <w:t>GB/T20234.1-2015的规定。</w:t>
      </w:r>
    </w:p>
    <w:p>
      <w:pPr>
        <w:widowControl/>
        <w:numPr>
          <w:ilvl w:val="0"/>
          <w:numId w:val="8"/>
        </w:numPr>
        <w:tabs>
          <w:tab w:val="left" w:pos="1134"/>
        </w:tabs>
        <w:spacing w:line="360" w:lineRule="auto"/>
        <w:jc w:val="left"/>
        <w:rPr>
          <w:rFonts w:ascii="宋体" w:hAnsi="宋体" w:eastAsia="宋体"/>
          <w:color w:val="000000"/>
          <w:sz w:val="24"/>
        </w:rPr>
      </w:pPr>
      <w:r>
        <w:rPr>
          <w:rFonts w:hint="eastAsia" w:ascii="宋体" w:hAnsi="宋体" w:eastAsia="宋体"/>
          <w:color w:val="000000"/>
          <w:sz w:val="24"/>
        </w:rPr>
        <w:t>当</w:t>
      </w:r>
      <w:r>
        <w:rPr>
          <w:rFonts w:ascii="宋体" w:hAnsi="宋体" w:eastAsia="宋体"/>
          <w:color w:val="000000"/>
          <w:sz w:val="24"/>
        </w:rPr>
        <w:t>交流</w:t>
      </w:r>
      <w:r>
        <w:rPr>
          <w:rFonts w:hint="eastAsia" w:ascii="宋体" w:hAnsi="宋体" w:eastAsia="宋体"/>
          <w:color w:val="000000"/>
          <w:sz w:val="24"/>
        </w:rPr>
        <w:t>充电桩提供</w:t>
      </w:r>
      <w:r>
        <w:rPr>
          <w:rFonts w:ascii="宋体" w:hAnsi="宋体" w:eastAsia="宋体"/>
          <w:color w:val="000000"/>
          <w:sz w:val="24"/>
        </w:rPr>
        <w:t>GB/T20234.1-2015规定的连接方式C</w:t>
      </w:r>
      <w:r>
        <w:rPr>
          <w:rFonts w:hint="eastAsia" w:ascii="宋体" w:hAnsi="宋体" w:eastAsia="宋体"/>
          <w:color w:val="000000"/>
          <w:sz w:val="24"/>
        </w:rPr>
        <w:t>所适用的充电</w:t>
      </w:r>
      <w:r>
        <w:rPr>
          <w:rFonts w:ascii="宋体" w:hAnsi="宋体" w:eastAsia="宋体"/>
          <w:color w:val="000000"/>
          <w:sz w:val="24"/>
        </w:rPr>
        <w:t>电缆和</w:t>
      </w:r>
      <w:r>
        <w:rPr>
          <w:rFonts w:hint="eastAsia" w:ascii="宋体" w:hAnsi="宋体" w:eastAsia="宋体"/>
          <w:color w:val="000000"/>
          <w:sz w:val="24"/>
        </w:rPr>
        <w:t>车辆插头时，车辆插头的功能、结构尺寸应符合</w:t>
      </w:r>
      <w:r>
        <w:rPr>
          <w:rFonts w:ascii="宋体" w:hAnsi="宋体" w:eastAsia="宋体"/>
          <w:color w:val="000000"/>
          <w:sz w:val="24"/>
        </w:rPr>
        <w:t>GB/T20234.2-2015</w:t>
      </w:r>
      <w:r>
        <w:rPr>
          <w:rFonts w:hint="eastAsia" w:ascii="宋体" w:hAnsi="宋体" w:eastAsia="宋体"/>
          <w:color w:val="000000"/>
          <w:sz w:val="24"/>
        </w:rPr>
        <w:t>的规定，技术性能应满足</w:t>
      </w:r>
      <w:r>
        <w:rPr>
          <w:rFonts w:ascii="宋体" w:hAnsi="宋体" w:eastAsia="宋体"/>
          <w:color w:val="000000"/>
          <w:sz w:val="24"/>
        </w:rPr>
        <w:t>GB/T20234.1-2015的规定。</w:t>
      </w:r>
    </w:p>
    <w:p>
      <w:pPr>
        <w:rPr>
          <w:rFonts w:ascii="宋体" w:hAnsi="宋体" w:eastAsia="宋体"/>
          <w:sz w:val="24"/>
        </w:rPr>
      </w:pPr>
      <w:r>
        <w:rPr>
          <w:rFonts w:ascii="宋体" w:hAnsi="宋体" w:eastAsia="宋体"/>
          <w:sz w:val="24"/>
        </w:rPr>
        <w:t>5.2</w:t>
      </w:r>
      <w:r>
        <w:rPr>
          <w:rFonts w:hint="eastAsia" w:ascii="宋体" w:hAnsi="宋体" w:eastAsia="宋体"/>
          <w:sz w:val="24"/>
        </w:rPr>
        <w:t>充电桩体</w:t>
      </w:r>
    </w:p>
    <w:p>
      <w:pPr>
        <w:widowControl/>
        <w:numPr>
          <w:ilvl w:val="0"/>
          <w:numId w:val="9"/>
        </w:numPr>
        <w:tabs>
          <w:tab w:val="left" w:pos="315"/>
          <w:tab w:val="left" w:pos="1134"/>
        </w:tabs>
        <w:spacing w:line="360" w:lineRule="auto"/>
        <w:ind w:left="712" w:firstLine="23"/>
        <w:jc w:val="left"/>
        <w:rPr>
          <w:rFonts w:ascii="宋体" w:hAnsi="宋体" w:eastAsia="宋体"/>
          <w:color w:val="000000"/>
          <w:sz w:val="24"/>
        </w:rPr>
      </w:pPr>
      <w:r>
        <w:rPr>
          <w:rFonts w:hint="eastAsia" w:ascii="宋体" w:hAnsi="宋体" w:eastAsia="宋体"/>
          <w:color w:val="000000"/>
          <w:sz w:val="24"/>
        </w:rPr>
        <w:t>桩体应外观线条流畅、整体紧凑、简洁时尚，与安装地点</w:t>
      </w:r>
      <w:r>
        <w:rPr>
          <w:rFonts w:ascii="宋体" w:hAnsi="宋体" w:eastAsia="宋体"/>
          <w:color w:val="000000"/>
          <w:sz w:val="24"/>
        </w:rPr>
        <w:t>周边</w:t>
      </w:r>
      <w:r>
        <w:rPr>
          <w:rFonts w:hint="eastAsia" w:ascii="宋体" w:hAnsi="宋体" w:eastAsia="宋体"/>
          <w:color w:val="000000"/>
          <w:sz w:val="24"/>
        </w:rPr>
        <w:t>环境相协调。</w:t>
      </w:r>
    </w:p>
    <w:p>
      <w:pPr>
        <w:widowControl/>
        <w:numPr>
          <w:ilvl w:val="0"/>
          <w:numId w:val="9"/>
        </w:numPr>
        <w:tabs>
          <w:tab w:val="left" w:pos="315"/>
          <w:tab w:val="left" w:pos="1134"/>
        </w:tabs>
        <w:spacing w:line="360" w:lineRule="auto"/>
        <w:ind w:left="712" w:firstLine="23"/>
        <w:jc w:val="left"/>
        <w:rPr>
          <w:rFonts w:ascii="宋体" w:hAnsi="宋体" w:eastAsia="宋体"/>
          <w:color w:val="000000"/>
          <w:sz w:val="24"/>
        </w:rPr>
      </w:pPr>
      <w:r>
        <w:rPr>
          <w:rFonts w:hint="eastAsia" w:ascii="宋体" w:hAnsi="宋体" w:eastAsia="宋体"/>
          <w:color w:val="000000"/>
          <w:sz w:val="24"/>
        </w:rPr>
        <w:t>桩体</w:t>
      </w:r>
      <w:r>
        <w:rPr>
          <w:rFonts w:ascii="宋体" w:hAnsi="宋体" w:eastAsia="宋体"/>
          <w:color w:val="000000"/>
          <w:sz w:val="24"/>
        </w:rPr>
        <w:t>应具备安装4G</w:t>
      </w:r>
      <w:r>
        <w:rPr>
          <w:rFonts w:hint="eastAsia" w:ascii="宋体" w:hAnsi="宋体" w:eastAsia="宋体"/>
          <w:color w:val="000000"/>
          <w:sz w:val="24"/>
        </w:rPr>
        <w:t>通信模块</w:t>
      </w:r>
      <w:r>
        <w:rPr>
          <w:rFonts w:ascii="宋体" w:hAnsi="宋体" w:eastAsia="宋体"/>
          <w:color w:val="000000"/>
          <w:sz w:val="24"/>
        </w:rPr>
        <w:t>天线的位置，并</w:t>
      </w:r>
      <w:r>
        <w:rPr>
          <w:rFonts w:hint="eastAsia" w:ascii="宋体" w:hAnsi="宋体" w:eastAsia="宋体"/>
          <w:color w:val="000000"/>
          <w:sz w:val="24"/>
        </w:rPr>
        <w:t>确保壳体不</w:t>
      </w:r>
      <w:r>
        <w:rPr>
          <w:rFonts w:ascii="宋体" w:hAnsi="宋体" w:eastAsia="宋体"/>
          <w:color w:val="000000"/>
          <w:sz w:val="24"/>
        </w:rPr>
        <w:t>对</w:t>
      </w:r>
      <w:r>
        <w:rPr>
          <w:rFonts w:hint="eastAsia" w:ascii="宋体" w:hAnsi="宋体" w:eastAsia="宋体"/>
          <w:color w:val="000000"/>
          <w:sz w:val="24"/>
        </w:rPr>
        <w:t>通信模块接收</w:t>
      </w:r>
      <w:r>
        <w:rPr>
          <w:rFonts w:ascii="宋体" w:hAnsi="宋体" w:eastAsia="宋体"/>
          <w:color w:val="000000"/>
          <w:sz w:val="24"/>
        </w:rPr>
        <w:t>信号</w:t>
      </w:r>
      <w:r>
        <w:rPr>
          <w:rFonts w:hint="eastAsia" w:ascii="宋体" w:hAnsi="宋体" w:eastAsia="宋体"/>
          <w:color w:val="000000"/>
          <w:sz w:val="24"/>
        </w:rPr>
        <w:t>产生</w:t>
      </w:r>
      <w:r>
        <w:rPr>
          <w:rFonts w:ascii="宋体" w:hAnsi="宋体" w:eastAsia="宋体"/>
          <w:color w:val="000000"/>
          <w:sz w:val="24"/>
        </w:rPr>
        <w:t>负面影响。</w:t>
      </w:r>
    </w:p>
    <w:p>
      <w:pPr>
        <w:widowControl/>
        <w:numPr>
          <w:ilvl w:val="0"/>
          <w:numId w:val="9"/>
        </w:numPr>
        <w:tabs>
          <w:tab w:val="left" w:pos="315"/>
          <w:tab w:val="left" w:pos="1134"/>
        </w:tabs>
        <w:spacing w:line="360" w:lineRule="auto"/>
        <w:ind w:left="712" w:firstLine="23"/>
        <w:jc w:val="left"/>
        <w:rPr>
          <w:rFonts w:ascii="宋体" w:hAnsi="宋体" w:eastAsia="宋体"/>
          <w:color w:val="000000"/>
          <w:sz w:val="24"/>
        </w:rPr>
      </w:pPr>
      <w:r>
        <w:rPr>
          <w:rFonts w:hint="eastAsia" w:ascii="宋体" w:hAnsi="宋体" w:eastAsia="宋体"/>
          <w:color w:val="000000"/>
          <w:sz w:val="24"/>
        </w:rPr>
        <w:t>桩体内部线束，应</w:t>
      </w:r>
      <w:r>
        <w:rPr>
          <w:rFonts w:ascii="宋体" w:hAnsi="宋体" w:eastAsia="宋体"/>
          <w:color w:val="000000"/>
          <w:sz w:val="24"/>
        </w:rPr>
        <w:t>排布整齐、</w:t>
      </w:r>
      <w:r>
        <w:rPr>
          <w:rFonts w:hint="eastAsia" w:ascii="宋体" w:hAnsi="宋体" w:eastAsia="宋体"/>
          <w:color w:val="000000"/>
          <w:sz w:val="24"/>
        </w:rPr>
        <w:t>规整</w:t>
      </w:r>
      <w:r>
        <w:rPr>
          <w:rFonts w:ascii="宋体" w:hAnsi="宋体" w:eastAsia="宋体"/>
          <w:color w:val="000000"/>
          <w:sz w:val="24"/>
        </w:rPr>
        <w:t>，</w:t>
      </w:r>
      <w:r>
        <w:rPr>
          <w:rFonts w:hint="eastAsia" w:ascii="宋体" w:hAnsi="宋体" w:eastAsia="宋体"/>
          <w:color w:val="000000"/>
          <w:sz w:val="24"/>
        </w:rPr>
        <w:t>标识</w:t>
      </w:r>
      <w:r>
        <w:rPr>
          <w:rFonts w:ascii="宋体" w:hAnsi="宋体" w:eastAsia="宋体"/>
          <w:color w:val="000000"/>
          <w:sz w:val="24"/>
        </w:rPr>
        <w:t>清楚</w:t>
      </w:r>
      <w:r>
        <w:rPr>
          <w:rFonts w:hint="eastAsia" w:ascii="宋体" w:hAnsi="宋体" w:eastAsia="宋体"/>
          <w:color w:val="000000"/>
          <w:sz w:val="24"/>
        </w:rPr>
        <w:t>，</w:t>
      </w:r>
      <w:r>
        <w:rPr>
          <w:rFonts w:ascii="宋体" w:hAnsi="宋体" w:eastAsia="宋体"/>
          <w:color w:val="000000"/>
          <w:sz w:val="24"/>
        </w:rPr>
        <w:t>捆扎牢固。</w:t>
      </w:r>
    </w:p>
    <w:p>
      <w:pPr>
        <w:widowControl/>
        <w:numPr>
          <w:ilvl w:val="0"/>
          <w:numId w:val="9"/>
        </w:numPr>
        <w:tabs>
          <w:tab w:val="left" w:pos="315"/>
          <w:tab w:val="left" w:pos="1134"/>
        </w:tabs>
        <w:spacing w:line="360" w:lineRule="auto"/>
        <w:ind w:left="712" w:firstLine="23"/>
        <w:jc w:val="left"/>
        <w:rPr>
          <w:rFonts w:ascii="宋体" w:hAnsi="宋体" w:eastAsia="宋体"/>
          <w:color w:val="000000"/>
          <w:sz w:val="24"/>
        </w:rPr>
      </w:pPr>
      <w:r>
        <w:rPr>
          <w:rFonts w:hint="eastAsia" w:ascii="宋体" w:hAnsi="宋体" w:eastAsia="宋体"/>
          <w:color w:val="000000"/>
          <w:sz w:val="24"/>
        </w:rPr>
        <w:t>桩体内元器件应</w:t>
      </w:r>
      <w:r>
        <w:rPr>
          <w:rFonts w:ascii="宋体" w:hAnsi="宋体" w:eastAsia="宋体"/>
          <w:color w:val="000000"/>
          <w:sz w:val="24"/>
        </w:rPr>
        <w:t>布局</w:t>
      </w:r>
      <w:r>
        <w:rPr>
          <w:rFonts w:hint="eastAsia" w:ascii="宋体" w:hAnsi="宋体" w:eastAsia="宋体"/>
          <w:color w:val="000000"/>
          <w:sz w:val="24"/>
        </w:rPr>
        <w:t>合理，易耗</w:t>
      </w:r>
      <w:r>
        <w:rPr>
          <w:rFonts w:ascii="宋体" w:hAnsi="宋体" w:eastAsia="宋体"/>
          <w:color w:val="000000"/>
          <w:sz w:val="24"/>
        </w:rPr>
        <w:t>易损元件</w:t>
      </w:r>
      <w:r>
        <w:rPr>
          <w:rFonts w:hint="eastAsia" w:ascii="宋体" w:hAnsi="宋体" w:eastAsia="宋体"/>
          <w:color w:val="000000"/>
          <w:sz w:val="24"/>
        </w:rPr>
        <w:t>方便</w:t>
      </w:r>
      <w:r>
        <w:rPr>
          <w:rFonts w:ascii="宋体" w:hAnsi="宋体" w:eastAsia="宋体"/>
          <w:color w:val="000000"/>
          <w:sz w:val="24"/>
        </w:rPr>
        <w:t>更换。</w:t>
      </w:r>
    </w:p>
    <w:p>
      <w:pPr>
        <w:widowControl/>
        <w:numPr>
          <w:ilvl w:val="0"/>
          <w:numId w:val="9"/>
        </w:numPr>
        <w:tabs>
          <w:tab w:val="left" w:pos="315"/>
          <w:tab w:val="left" w:pos="1134"/>
        </w:tabs>
        <w:spacing w:line="360" w:lineRule="auto"/>
        <w:ind w:left="712" w:firstLine="23"/>
        <w:jc w:val="left"/>
        <w:rPr>
          <w:rFonts w:ascii="宋体" w:hAnsi="宋体" w:eastAsia="宋体"/>
          <w:color w:val="000000"/>
          <w:sz w:val="24"/>
        </w:rPr>
      </w:pPr>
      <w:r>
        <w:rPr>
          <w:rFonts w:hint="eastAsia" w:ascii="宋体" w:hAnsi="宋体" w:eastAsia="宋体"/>
          <w:color w:val="000000"/>
          <w:sz w:val="24"/>
        </w:rPr>
        <w:t>桩体安装</w:t>
      </w:r>
      <w:r>
        <w:rPr>
          <w:rFonts w:ascii="宋体" w:hAnsi="宋体" w:eastAsia="宋体"/>
          <w:color w:val="000000"/>
          <w:sz w:val="24"/>
        </w:rPr>
        <w:t>于户外时，应</w:t>
      </w:r>
      <w:r>
        <w:rPr>
          <w:rFonts w:hint="eastAsia" w:ascii="宋体" w:hAnsi="宋体" w:eastAsia="宋体"/>
          <w:color w:val="000000"/>
          <w:sz w:val="24"/>
        </w:rPr>
        <w:t>便于特殊</w:t>
      </w:r>
      <w:r>
        <w:rPr>
          <w:rFonts w:ascii="宋体" w:hAnsi="宋体" w:eastAsia="宋体"/>
          <w:color w:val="000000"/>
          <w:sz w:val="24"/>
        </w:rPr>
        <w:t>天气条件下的</w:t>
      </w:r>
      <w:r>
        <w:rPr>
          <w:rFonts w:hint="eastAsia" w:ascii="宋体" w:hAnsi="宋体" w:eastAsia="宋体"/>
          <w:color w:val="000000"/>
          <w:sz w:val="24"/>
        </w:rPr>
        <w:t>日常</w:t>
      </w:r>
      <w:r>
        <w:rPr>
          <w:rFonts w:ascii="宋体" w:hAnsi="宋体" w:eastAsia="宋体"/>
          <w:color w:val="000000"/>
          <w:sz w:val="24"/>
        </w:rPr>
        <w:t>维护。</w:t>
      </w:r>
    </w:p>
    <w:p>
      <w:pPr>
        <w:widowControl/>
        <w:numPr>
          <w:ilvl w:val="0"/>
          <w:numId w:val="9"/>
        </w:numPr>
        <w:tabs>
          <w:tab w:val="left" w:pos="315"/>
          <w:tab w:val="left" w:pos="1134"/>
        </w:tabs>
        <w:spacing w:line="360" w:lineRule="auto"/>
        <w:ind w:left="712" w:firstLine="23"/>
        <w:jc w:val="left"/>
        <w:rPr>
          <w:rFonts w:ascii="宋体" w:hAnsi="宋体" w:eastAsia="宋体"/>
          <w:color w:val="000000"/>
          <w:sz w:val="24"/>
        </w:rPr>
      </w:pPr>
      <w:r>
        <w:rPr>
          <w:rFonts w:hint="eastAsia" w:ascii="宋体" w:hAnsi="宋体" w:eastAsia="宋体"/>
          <w:color w:val="000000"/>
          <w:sz w:val="24"/>
        </w:rPr>
        <w:t>桩体应采用抗冲击力强、抗老化的材质。</w:t>
      </w:r>
    </w:p>
    <w:p>
      <w:pPr>
        <w:widowControl/>
        <w:numPr>
          <w:ilvl w:val="0"/>
          <w:numId w:val="9"/>
        </w:numPr>
        <w:tabs>
          <w:tab w:val="left" w:pos="315"/>
          <w:tab w:val="left" w:pos="1134"/>
        </w:tabs>
        <w:spacing w:line="360" w:lineRule="auto"/>
        <w:ind w:left="712" w:firstLine="23"/>
        <w:jc w:val="left"/>
        <w:rPr>
          <w:rFonts w:ascii="宋体" w:hAnsi="宋体" w:eastAsia="宋体"/>
          <w:color w:val="000000"/>
          <w:sz w:val="24"/>
        </w:rPr>
      </w:pPr>
      <w:r>
        <w:rPr>
          <w:rFonts w:hint="eastAsia" w:ascii="宋体" w:hAnsi="宋体" w:eastAsia="宋体"/>
          <w:color w:val="000000"/>
          <w:sz w:val="24"/>
        </w:rPr>
        <w:t>桩体表面涂覆色泽层应均匀光洁，不起泡、不龟裂、不脱落。</w:t>
      </w:r>
    </w:p>
    <w:p>
      <w:pPr>
        <w:widowControl/>
        <w:numPr>
          <w:ilvl w:val="0"/>
          <w:numId w:val="9"/>
        </w:numPr>
        <w:tabs>
          <w:tab w:val="left" w:pos="315"/>
          <w:tab w:val="left" w:pos="1134"/>
        </w:tabs>
        <w:spacing w:line="360" w:lineRule="auto"/>
        <w:ind w:left="712" w:firstLine="23"/>
        <w:jc w:val="left"/>
        <w:rPr>
          <w:rFonts w:ascii="宋体" w:hAnsi="宋体" w:eastAsia="宋体"/>
          <w:color w:val="000000"/>
          <w:sz w:val="24"/>
        </w:rPr>
      </w:pPr>
      <w:r>
        <w:rPr>
          <w:rFonts w:hint="eastAsia" w:ascii="宋体" w:hAnsi="宋体" w:eastAsia="宋体"/>
          <w:color w:val="000000"/>
          <w:sz w:val="24"/>
        </w:rPr>
        <w:t>非绝缘材料外壳应可靠接地，结构上应防止操作人员触及带电部件。</w:t>
      </w:r>
    </w:p>
    <w:p>
      <w:pPr>
        <w:widowControl/>
        <w:numPr>
          <w:ilvl w:val="0"/>
          <w:numId w:val="9"/>
        </w:numPr>
        <w:tabs>
          <w:tab w:val="left" w:pos="315"/>
          <w:tab w:val="left" w:pos="1134"/>
        </w:tabs>
        <w:spacing w:line="360" w:lineRule="auto"/>
        <w:ind w:left="712" w:firstLine="23"/>
        <w:jc w:val="left"/>
        <w:rPr>
          <w:rFonts w:ascii="宋体" w:hAnsi="宋体" w:eastAsia="宋体"/>
          <w:color w:val="000000"/>
          <w:sz w:val="24"/>
        </w:rPr>
      </w:pPr>
      <w:r>
        <w:rPr>
          <w:rFonts w:hint="eastAsia" w:ascii="宋体" w:hAnsi="宋体" w:eastAsia="宋体"/>
          <w:color w:val="000000"/>
          <w:sz w:val="24"/>
        </w:rPr>
        <w:t>人机交互的操作按键和显示界面应设置在便于人操作和查看的位置。</w:t>
      </w:r>
    </w:p>
    <w:p>
      <w:pPr>
        <w:rPr>
          <w:rFonts w:ascii="宋体" w:hAnsi="宋体" w:eastAsia="宋体"/>
          <w:sz w:val="24"/>
        </w:rPr>
      </w:pPr>
      <w:bookmarkStart w:id="460" w:name="_Toc428997287"/>
      <w:bookmarkStart w:id="461" w:name="_Toc387646189"/>
      <w:bookmarkStart w:id="462" w:name="_Toc411176425"/>
      <w:r>
        <w:rPr>
          <w:rFonts w:ascii="宋体" w:hAnsi="宋体" w:eastAsia="宋体"/>
          <w:sz w:val="24"/>
        </w:rPr>
        <w:t>5.3</w:t>
      </w:r>
      <w:r>
        <w:rPr>
          <w:rFonts w:hint="eastAsia" w:ascii="宋体" w:hAnsi="宋体" w:eastAsia="宋体"/>
          <w:sz w:val="24"/>
        </w:rPr>
        <w:t>可靠性指标</w:t>
      </w:r>
      <w:bookmarkEnd w:id="460"/>
      <w:bookmarkEnd w:id="461"/>
      <w:bookmarkEnd w:id="462"/>
    </w:p>
    <w:p>
      <w:pPr>
        <w:tabs>
          <w:tab w:val="left" w:pos="315"/>
          <w:tab w:val="left" w:pos="1134"/>
        </w:tabs>
        <w:ind w:firstLine="1200" w:firstLineChars="500"/>
        <w:rPr>
          <w:rFonts w:ascii="宋体" w:hAnsi="宋体" w:eastAsia="宋体"/>
          <w:color w:val="000000"/>
          <w:sz w:val="24"/>
        </w:rPr>
      </w:pPr>
      <w:r>
        <w:rPr>
          <w:rFonts w:hint="eastAsia" w:ascii="宋体" w:hAnsi="宋体" w:eastAsia="宋体"/>
          <w:color w:val="000000"/>
          <w:sz w:val="24"/>
        </w:rPr>
        <w:t>交流充电桩平均故障间隔时间（</w:t>
      </w:r>
      <w:r>
        <w:rPr>
          <w:rFonts w:ascii="宋体" w:hAnsi="宋体" w:eastAsia="宋体"/>
          <w:color w:val="000000"/>
          <w:sz w:val="24"/>
        </w:rPr>
        <w:t>MTBF）应大于等于10000h。</w:t>
      </w:r>
    </w:p>
    <w:p>
      <w:pPr>
        <w:wordWrap w:val="0"/>
        <w:spacing w:line="440" w:lineRule="exact"/>
        <w:rPr>
          <w:rFonts w:ascii="Times New Roman" w:hAnsi="Times New Roman" w:cs="Times New Roman"/>
          <w:b/>
          <w:bCs/>
          <w:kern w:val="0"/>
          <w:sz w:val="24"/>
        </w:rPr>
      </w:pPr>
    </w:p>
    <w:p>
      <w:pPr>
        <w:wordWrap w:val="0"/>
        <w:spacing w:line="440" w:lineRule="exact"/>
        <w:outlineLvl w:val="1"/>
        <w:rPr>
          <w:rFonts w:ascii="Times New Roman" w:hAnsi="Times New Roman" w:cs="Times New Roman"/>
          <w:b/>
          <w:bCs/>
          <w:kern w:val="0"/>
          <w:sz w:val="24"/>
        </w:rPr>
      </w:pPr>
      <w:r>
        <w:rPr>
          <w:rFonts w:hint="eastAsia" w:ascii="Times New Roman" w:hAnsi="Times New Roman" w:cs="Times New Roman"/>
          <w:b/>
          <w:bCs/>
          <w:kern w:val="0"/>
          <w:sz w:val="24"/>
        </w:rPr>
        <w:t>（三）直流一体式充电桩技术要求</w:t>
      </w:r>
    </w:p>
    <w:p>
      <w:pPr>
        <w:outlineLvl w:val="3"/>
        <w:rPr>
          <w:rFonts w:ascii="宋体" w:hAnsi="宋体" w:eastAsia="宋体"/>
          <w:b/>
          <w:bCs w:val="0"/>
          <w:sz w:val="24"/>
        </w:rPr>
      </w:pPr>
      <w:bookmarkStart w:id="463" w:name="_Toc142752162"/>
      <w:r>
        <w:rPr>
          <w:rFonts w:hint="default" w:ascii="宋体" w:hAnsi="宋体" w:eastAsia="宋体"/>
          <w:b/>
          <w:bCs w:val="0"/>
          <w:sz w:val="24"/>
        </w:rPr>
        <w:t>1、技术参数要求</w:t>
      </w:r>
    </w:p>
    <w:p>
      <w:pPr>
        <w:outlineLvl w:val="3"/>
        <w:rPr>
          <w:rFonts w:hint="default" w:ascii="宋体" w:hAnsi="宋体" w:eastAsia="宋体"/>
          <w:b/>
          <w:bCs w:val="0"/>
          <w:sz w:val="24"/>
        </w:rPr>
      </w:pPr>
      <w:r>
        <w:rPr>
          <w:rFonts w:ascii="宋体" w:hAnsi="宋体" w:eastAsia="宋体"/>
          <w:b/>
          <w:bCs w:val="0"/>
          <w:sz w:val="24"/>
        </w:rPr>
        <w:t>120kW/160kW/180kw</w:t>
      </w:r>
      <w:r>
        <w:rPr>
          <w:rFonts w:hint="default" w:ascii="宋体" w:hAnsi="宋体" w:eastAsia="宋体"/>
          <w:b/>
          <w:bCs w:val="0"/>
          <w:sz w:val="24"/>
        </w:rPr>
        <w:t>充电桩</w:t>
      </w:r>
    </w:p>
    <w:tbl>
      <w:tblPr>
        <w:tblStyle w:val="16"/>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439"/>
        <w:gridCol w:w="5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rPr>
                <w:rFonts w:ascii="宋体" w:hAnsi="宋体"/>
                <w:color w:val="000000"/>
                <w:kern w:val="0"/>
              </w:rPr>
            </w:pPr>
            <w:r>
              <w:rPr>
                <w:rFonts w:hint="eastAsia" w:ascii="宋体" w:hAnsi="宋体"/>
                <w:color w:val="000000"/>
                <w:kern w:val="0"/>
              </w:rPr>
              <w:t>序号</w:t>
            </w:r>
          </w:p>
        </w:tc>
        <w:tc>
          <w:tcPr>
            <w:tcW w:w="2439" w:type="dxa"/>
            <w:vAlign w:val="center"/>
          </w:tcPr>
          <w:p>
            <w:pPr>
              <w:rPr>
                <w:rFonts w:ascii="宋体" w:hAnsi="宋体"/>
                <w:color w:val="000000"/>
                <w:kern w:val="0"/>
              </w:rPr>
            </w:pPr>
            <w:r>
              <w:rPr>
                <w:rFonts w:hint="eastAsia" w:ascii="宋体" w:hAnsi="宋体"/>
                <w:color w:val="000000"/>
                <w:kern w:val="0"/>
              </w:rPr>
              <w:t>项目</w:t>
            </w:r>
          </w:p>
        </w:tc>
        <w:tc>
          <w:tcPr>
            <w:tcW w:w="5811" w:type="dxa"/>
            <w:vAlign w:val="center"/>
          </w:tcPr>
          <w:p>
            <w:pPr>
              <w:rPr>
                <w:rFonts w:ascii="宋体" w:hAnsi="宋体"/>
                <w:color w:val="000000"/>
                <w:kern w:val="0"/>
              </w:rPr>
            </w:pPr>
            <w:r>
              <w:rPr>
                <w:rFonts w:hint="eastAsia" w:ascii="宋体" w:hAnsi="宋体"/>
                <w:color w:val="000000"/>
                <w:kern w:val="0"/>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w:t>
            </w:r>
          </w:p>
        </w:tc>
        <w:tc>
          <w:tcPr>
            <w:tcW w:w="2439" w:type="dxa"/>
            <w:vAlign w:val="center"/>
          </w:tcPr>
          <w:p>
            <w:pPr>
              <w:rPr>
                <w:rFonts w:ascii="宋体" w:hAnsi="宋体"/>
                <w:color w:val="000000"/>
                <w:kern w:val="0"/>
              </w:rPr>
            </w:pPr>
            <w:r>
              <w:rPr>
                <w:rFonts w:hint="eastAsia" w:ascii="宋体" w:hAnsi="宋体"/>
                <w:color w:val="000000"/>
                <w:kern w:val="0"/>
              </w:rPr>
              <w:t>额定输入电压</w:t>
            </w:r>
          </w:p>
        </w:tc>
        <w:tc>
          <w:tcPr>
            <w:tcW w:w="5811" w:type="dxa"/>
            <w:vAlign w:val="center"/>
          </w:tcPr>
          <w:p>
            <w:pPr>
              <w:rPr>
                <w:rFonts w:ascii="宋体" w:hAnsi="宋体"/>
                <w:color w:val="000000"/>
                <w:kern w:val="0"/>
              </w:rPr>
            </w:pPr>
            <w:r>
              <w:rPr>
                <w:rFonts w:hint="eastAsia" w:ascii="宋体" w:hAnsi="宋体"/>
                <w:color w:val="000000"/>
                <w:kern w:val="0"/>
              </w:rPr>
              <w:t>三相380V（±15%）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w:t>
            </w:r>
          </w:p>
        </w:tc>
        <w:tc>
          <w:tcPr>
            <w:tcW w:w="2439" w:type="dxa"/>
            <w:vAlign w:val="center"/>
          </w:tcPr>
          <w:p>
            <w:pPr>
              <w:rPr>
                <w:rFonts w:ascii="宋体" w:hAnsi="宋体"/>
                <w:color w:val="000000"/>
                <w:kern w:val="0"/>
              </w:rPr>
            </w:pPr>
            <w:r>
              <w:rPr>
                <w:rFonts w:hint="eastAsia" w:ascii="宋体" w:hAnsi="宋体"/>
                <w:color w:val="000000"/>
                <w:kern w:val="0"/>
              </w:rPr>
              <w:t>交流输入频率</w:t>
            </w:r>
          </w:p>
        </w:tc>
        <w:tc>
          <w:tcPr>
            <w:tcW w:w="5811" w:type="dxa"/>
            <w:vAlign w:val="center"/>
          </w:tcPr>
          <w:p>
            <w:pPr>
              <w:rPr>
                <w:rFonts w:ascii="宋体" w:hAnsi="宋体"/>
                <w:color w:val="000000"/>
                <w:kern w:val="0"/>
              </w:rPr>
            </w:pPr>
            <w:r>
              <w:rPr>
                <w:rFonts w:hint="eastAsia" w:ascii="宋体" w:hAnsi="宋体"/>
                <w:color w:val="000000"/>
                <w:kern w:val="0"/>
              </w:rPr>
              <w:t>50Hz±1Hz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817" w:type="dxa"/>
            <w:vAlign w:val="center"/>
          </w:tcPr>
          <w:p>
            <w:pPr>
              <w:jc w:val="center"/>
              <w:rPr>
                <w:rFonts w:ascii="宋体" w:hAnsi="宋体"/>
                <w:color w:val="000000"/>
                <w:kern w:val="0"/>
              </w:rPr>
            </w:pPr>
            <w:r>
              <w:rPr>
                <w:rFonts w:hint="eastAsia" w:ascii="宋体" w:hAnsi="宋体"/>
                <w:color w:val="000000"/>
                <w:kern w:val="0"/>
              </w:rPr>
              <w:t>3</w:t>
            </w:r>
          </w:p>
        </w:tc>
        <w:tc>
          <w:tcPr>
            <w:tcW w:w="2439" w:type="dxa"/>
            <w:vAlign w:val="center"/>
          </w:tcPr>
          <w:p>
            <w:pPr>
              <w:rPr>
                <w:rFonts w:ascii="宋体" w:hAnsi="宋体"/>
                <w:color w:val="000000"/>
                <w:kern w:val="0"/>
              </w:rPr>
            </w:pPr>
            <w:r>
              <w:rPr>
                <w:rFonts w:hint="eastAsia" w:ascii="宋体" w:hAnsi="宋体"/>
                <w:color w:val="000000"/>
                <w:kern w:val="0"/>
              </w:rPr>
              <w:t>输出功率</w:t>
            </w:r>
          </w:p>
        </w:tc>
        <w:tc>
          <w:tcPr>
            <w:tcW w:w="5811" w:type="dxa"/>
            <w:vAlign w:val="center"/>
          </w:tcPr>
          <w:p>
            <w:pPr>
              <w:rPr>
                <w:rFonts w:hint="eastAsia" w:ascii="宋体" w:hAnsi="宋体"/>
                <w:color w:val="000000"/>
                <w:kern w:val="0"/>
              </w:rPr>
            </w:pPr>
            <w:r>
              <w:rPr>
                <w:rFonts w:ascii="宋体" w:hAnsi="宋体"/>
                <w:color w:val="000000"/>
                <w:kern w:val="0"/>
              </w:rPr>
              <w:t>120</w:t>
            </w:r>
            <w:r>
              <w:rPr>
                <w:rFonts w:hint="eastAsia" w:ascii="宋体" w:hAnsi="宋体"/>
                <w:color w:val="000000"/>
                <w:kern w:val="0"/>
              </w:rPr>
              <w:t>kW</w:t>
            </w:r>
            <w:r>
              <w:rPr>
                <w:rFonts w:ascii="宋体" w:hAnsi="宋体"/>
                <w:color w:val="000000"/>
                <w:kern w:val="0"/>
              </w:rPr>
              <w:t>/160kW</w:t>
            </w:r>
            <w:r>
              <w:rPr>
                <w:rFonts w:hint="eastAsia" w:ascii="宋体" w:hAnsi="宋体"/>
                <w:color w:val="000000"/>
                <w:kern w:val="0"/>
              </w:rPr>
              <w:t>/</w:t>
            </w:r>
            <w:r>
              <w:rPr>
                <w:rFonts w:ascii="宋体" w:hAnsi="宋体"/>
                <w:color w:val="000000"/>
                <w:kern w:val="0"/>
              </w:rPr>
              <w:t>180kw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4</w:t>
            </w:r>
          </w:p>
        </w:tc>
        <w:tc>
          <w:tcPr>
            <w:tcW w:w="2439" w:type="dxa"/>
            <w:vAlign w:val="center"/>
          </w:tcPr>
          <w:p>
            <w:pPr>
              <w:rPr>
                <w:rFonts w:ascii="宋体" w:hAnsi="宋体"/>
                <w:color w:val="000000"/>
                <w:kern w:val="0"/>
              </w:rPr>
            </w:pPr>
            <w:r>
              <w:rPr>
                <w:rFonts w:hint="eastAsia" w:ascii="宋体" w:hAnsi="宋体"/>
                <w:color w:val="000000"/>
                <w:kern w:val="0"/>
              </w:rPr>
              <w:t>结构形式</w:t>
            </w:r>
          </w:p>
        </w:tc>
        <w:tc>
          <w:tcPr>
            <w:tcW w:w="5811" w:type="dxa"/>
            <w:vAlign w:val="center"/>
          </w:tcPr>
          <w:p>
            <w:pPr>
              <w:rPr>
                <w:rFonts w:ascii="宋体" w:hAnsi="宋体"/>
                <w:color w:val="000000"/>
                <w:kern w:val="0"/>
              </w:rPr>
            </w:pPr>
            <w:r>
              <w:rPr>
                <w:rFonts w:hint="eastAsia" w:ascii="宋体" w:hAnsi="宋体"/>
                <w:color w:val="000000"/>
                <w:kern w:val="0"/>
              </w:rPr>
              <w:t>一体式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5</w:t>
            </w:r>
          </w:p>
        </w:tc>
        <w:tc>
          <w:tcPr>
            <w:tcW w:w="2439" w:type="dxa"/>
            <w:vAlign w:val="center"/>
          </w:tcPr>
          <w:p>
            <w:pPr>
              <w:rPr>
                <w:rFonts w:ascii="宋体" w:hAnsi="宋体"/>
                <w:color w:val="000000"/>
                <w:kern w:val="0"/>
              </w:rPr>
            </w:pPr>
            <w:r>
              <w:rPr>
                <w:rFonts w:hint="eastAsia" w:ascii="宋体" w:hAnsi="宋体"/>
                <w:color w:val="000000"/>
                <w:kern w:val="0"/>
              </w:rPr>
              <w:t>充电模块</w:t>
            </w:r>
          </w:p>
        </w:tc>
        <w:tc>
          <w:tcPr>
            <w:tcW w:w="5811" w:type="dxa"/>
            <w:vAlign w:val="center"/>
          </w:tcPr>
          <w:p>
            <w:pPr>
              <w:rPr>
                <w:rFonts w:ascii="宋体" w:hAnsi="宋体"/>
                <w:color w:val="000000"/>
                <w:kern w:val="0"/>
              </w:rPr>
            </w:pPr>
            <w:r>
              <w:rPr>
                <w:rFonts w:hint="eastAsia" w:ascii="宋体" w:hAnsi="宋体"/>
                <w:color w:val="000000"/>
                <w:kern w:val="0"/>
              </w:rPr>
              <w:t>≥30</w:t>
            </w:r>
            <w:r>
              <w:rPr>
                <w:rFonts w:ascii="宋体" w:hAnsi="宋体"/>
                <w:color w:val="000000"/>
                <w:kern w:val="0"/>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6</w:t>
            </w:r>
          </w:p>
        </w:tc>
        <w:tc>
          <w:tcPr>
            <w:tcW w:w="2439" w:type="dxa"/>
            <w:vAlign w:val="center"/>
          </w:tcPr>
          <w:p>
            <w:pPr>
              <w:rPr>
                <w:rFonts w:ascii="宋体" w:hAnsi="宋体"/>
                <w:color w:val="000000"/>
                <w:kern w:val="0"/>
              </w:rPr>
            </w:pPr>
            <w:r>
              <w:rPr>
                <w:rFonts w:hint="eastAsia" w:ascii="宋体" w:hAnsi="宋体"/>
                <w:color w:val="000000"/>
                <w:kern w:val="0"/>
              </w:rPr>
              <w:t>额定频率</w:t>
            </w:r>
          </w:p>
        </w:tc>
        <w:tc>
          <w:tcPr>
            <w:tcW w:w="5811" w:type="dxa"/>
            <w:vAlign w:val="center"/>
          </w:tcPr>
          <w:p>
            <w:pPr>
              <w:rPr>
                <w:rFonts w:ascii="宋体" w:hAnsi="宋体"/>
                <w:color w:val="000000"/>
                <w:kern w:val="0"/>
              </w:rPr>
            </w:pPr>
            <w:r>
              <w:rPr>
                <w:rFonts w:hint="eastAsia" w:ascii="宋体" w:hAnsi="宋体"/>
                <w:color w:val="000000"/>
                <w:kern w:val="0"/>
              </w:rPr>
              <w:t>50Hz±2%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7</w:t>
            </w:r>
          </w:p>
        </w:tc>
        <w:tc>
          <w:tcPr>
            <w:tcW w:w="2439" w:type="dxa"/>
            <w:vAlign w:val="center"/>
          </w:tcPr>
          <w:p>
            <w:pPr>
              <w:rPr>
                <w:rFonts w:ascii="宋体" w:hAnsi="宋体"/>
                <w:color w:val="000000"/>
                <w:kern w:val="0"/>
              </w:rPr>
            </w:pPr>
            <w:r>
              <w:rPr>
                <w:rFonts w:hint="eastAsia" w:ascii="宋体" w:hAnsi="宋体"/>
                <w:color w:val="000000"/>
                <w:kern w:val="0"/>
              </w:rPr>
              <w:t>标称输出电压</w:t>
            </w:r>
          </w:p>
        </w:tc>
        <w:tc>
          <w:tcPr>
            <w:tcW w:w="5811" w:type="dxa"/>
            <w:vAlign w:val="center"/>
          </w:tcPr>
          <w:p>
            <w:pPr>
              <w:rPr>
                <w:rFonts w:ascii="宋体" w:hAnsi="宋体"/>
                <w:color w:val="000000"/>
                <w:kern w:val="0"/>
              </w:rPr>
            </w:pPr>
            <w:r>
              <w:rPr>
                <w:rFonts w:hint="eastAsia" w:ascii="宋体" w:hAnsi="宋体"/>
                <w:color w:val="000000"/>
                <w:kern w:val="0"/>
              </w:rPr>
              <w:t>200V-</w:t>
            </w:r>
            <w:r>
              <w:rPr>
                <w:rFonts w:ascii="宋体" w:hAnsi="宋体"/>
                <w:color w:val="000000"/>
                <w:kern w:val="0"/>
              </w:rPr>
              <w:t>1000</w:t>
            </w:r>
            <w:r>
              <w:rPr>
                <w:rFonts w:hint="eastAsia" w:ascii="宋体" w:hAnsi="宋体"/>
                <w:color w:val="000000"/>
                <w:kern w:val="0"/>
              </w:rPr>
              <w:t>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8</w:t>
            </w:r>
          </w:p>
        </w:tc>
        <w:tc>
          <w:tcPr>
            <w:tcW w:w="2439" w:type="dxa"/>
            <w:vAlign w:val="center"/>
          </w:tcPr>
          <w:p>
            <w:pPr>
              <w:rPr>
                <w:rFonts w:ascii="宋体" w:hAnsi="宋体"/>
                <w:color w:val="000000"/>
                <w:kern w:val="0"/>
              </w:rPr>
            </w:pPr>
            <w:r>
              <w:rPr>
                <w:rFonts w:hint="eastAsia" w:ascii="宋体" w:hAnsi="宋体"/>
                <w:color w:val="000000"/>
                <w:kern w:val="0"/>
              </w:rPr>
              <w:t>恒功率输出范围</w:t>
            </w:r>
          </w:p>
        </w:tc>
        <w:tc>
          <w:tcPr>
            <w:tcW w:w="5811" w:type="dxa"/>
            <w:vAlign w:val="center"/>
          </w:tcPr>
          <w:p>
            <w:pPr>
              <w:rPr>
                <w:rFonts w:ascii="宋体" w:hAnsi="宋体"/>
                <w:color w:val="000000"/>
                <w:kern w:val="0"/>
              </w:rPr>
            </w:pPr>
            <w:r>
              <w:rPr>
                <w:rFonts w:hint="eastAsia" w:ascii="宋体" w:hAnsi="宋体"/>
                <w:color w:val="000000"/>
                <w:kern w:val="0"/>
              </w:rPr>
              <w:t>300V-</w:t>
            </w:r>
            <w:r>
              <w:rPr>
                <w:rFonts w:ascii="宋体" w:hAnsi="宋体"/>
                <w:color w:val="000000"/>
                <w:kern w:val="0"/>
              </w:rPr>
              <w:t>1000</w:t>
            </w:r>
            <w:r>
              <w:rPr>
                <w:rFonts w:hint="eastAsia" w:ascii="宋体" w:hAnsi="宋体"/>
                <w:color w:val="000000"/>
                <w:kern w:val="0"/>
              </w:rPr>
              <w:t>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9</w:t>
            </w:r>
          </w:p>
        </w:tc>
        <w:tc>
          <w:tcPr>
            <w:tcW w:w="2439" w:type="dxa"/>
            <w:vAlign w:val="center"/>
          </w:tcPr>
          <w:p>
            <w:pPr>
              <w:rPr>
                <w:rFonts w:ascii="宋体" w:hAnsi="宋体"/>
                <w:color w:val="000000"/>
                <w:kern w:val="0"/>
              </w:rPr>
            </w:pPr>
            <w:r>
              <w:rPr>
                <w:rFonts w:hint="eastAsia" w:ascii="宋体" w:hAnsi="宋体"/>
                <w:color w:val="000000"/>
                <w:kern w:val="0"/>
              </w:rPr>
              <w:t>低压辅助电源误差</w:t>
            </w:r>
          </w:p>
        </w:tc>
        <w:tc>
          <w:tcPr>
            <w:tcW w:w="5811" w:type="dxa"/>
            <w:vAlign w:val="center"/>
          </w:tcPr>
          <w:p>
            <w:pPr>
              <w:rPr>
                <w:rFonts w:ascii="宋体" w:hAnsi="宋体"/>
                <w:color w:val="000000"/>
                <w:kern w:val="0"/>
              </w:rPr>
            </w:pPr>
            <w:r>
              <w:rPr>
                <w:rFonts w:hint="eastAsia" w:ascii="宋体" w:hAnsi="宋体"/>
                <w:color w:val="000000"/>
                <w:kern w:val="0"/>
              </w:rPr>
              <w:t>≤±0.6V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10</w:t>
            </w:r>
          </w:p>
        </w:tc>
        <w:tc>
          <w:tcPr>
            <w:tcW w:w="2439" w:type="dxa"/>
            <w:vAlign w:val="center"/>
          </w:tcPr>
          <w:p>
            <w:pPr>
              <w:rPr>
                <w:rFonts w:ascii="宋体" w:hAnsi="宋体"/>
                <w:color w:val="000000"/>
                <w:kern w:val="0"/>
              </w:rPr>
            </w:pPr>
            <w:r>
              <w:rPr>
                <w:rFonts w:hint="eastAsia" w:ascii="宋体" w:hAnsi="宋体"/>
                <w:color w:val="000000"/>
                <w:kern w:val="0"/>
              </w:rPr>
              <w:t>▲稳流精度</w:t>
            </w:r>
          </w:p>
        </w:tc>
        <w:tc>
          <w:tcPr>
            <w:tcW w:w="5811" w:type="dxa"/>
            <w:vAlign w:val="center"/>
          </w:tcPr>
          <w:p>
            <w:pPr>
              <w:rPr>
                <w:rFonts w:ascii="宋体" w:hAnsi="宋体"/>
                <w:color w:val="000000"/>
                <w:kern w:val="0"/>
              </w:rPr>
            </w:pPr>
            <w:r>
              <w:rPr>
                <w:rFonts w:hint="eastAsia" w:ascii="宋体" w:hAnsi="宋体"/>
                <w:color w:val="000000"/>
                <w:kern w:val="0"/>
              </w:rPr>
              <w:t>≤±</w:t>
            </w:r>
            <w:r>
              <w:rPr>
                <w:rFonts w:ascii="宋体" w:hAnsi="宋体"/>
                <w:color w:val="000000"/>
                <w:kern w:val="0"/>
              </w:rPr>
              <w:t>0.3</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11</w:t>
            </w:r>
          </w:p>
        </w:tc>
        <w:tc>
          <w:tcPr>
            <w:tcW w:w="2439" w:type="dxa"/>
            <w:vAlign w:val="center"/>
          </w:tcPr>
          <w:p>
            <w:pPr>
              <w:rPr>
                <w:rFonts w:ascii="宋体" w:hAnsi="宋体"/>
                <w:color w:val="000000"/>
                <w:kern w:val="0"/>
              </w:rPr>
            </w:pPr>
            <w:r>
              <w:rPr>
                <w:rFonts w:hint="eastAsia" w:ascii="宋体" w:hAnsi="宋体"/>
                <w:color w:val="000000"/>
                <w:kern w:val="0"/>
              </w:rPr>
              <w:t>稳压精度</w:t>
            </w:r>
          </w:p>
        </w:tc>
        <w:tc>
          <w:tcPr>
            <w:tcW w:w="5811" w:type="dxa"/>
            <w:vAlign w:val="center"/>
          </w:tcPr>
          <w:p>
            <w:pPr>
              <w:rPr>
                <w:rFonts w:ascii="宋体" w:hAnsi="宋体"/>
                <w:color w:val="000000"/>
                <w:kern w:val="0"/>
              </w:rPr>
            </w:pPr>
            <w:r>
              <w:rPr>
                <w:rFonts w:hint="eastAsia" w:ascii="宋体" w:hAnsi="宋体"/>
                <w:color w:val="000000"/>
                <w:kern w:val="0"/>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17" w:type="dxa"/>
            <w:vAlign w:val="center"/>
          </w:tcPr>
          <w:p>
            <w:pPr>
              <w:jc w:val="center"/>
              <w:rPr>
                <w:rFonts w:ascii="宋体" w:hAnsi="宋体"/>
                <w:color w:val="000000"/>
                <w:kern w:val="0"/>
              </w:rPr>
            </w:pPr>
            <w:r>
              <w:rPr>
                <w:rFonts w:hint="eastAsia" w:ascii="宋体" w:hAnsi="宋体"/>
                <w:color w:val="000000"/>
                <w:kern w:val="0"/>
              </w:rPr>
              <w:t>12</w:t>
            </w:r>
          </w:p>
        </w:tc>
        <w:tc>
          <w:tcPr>
            <w:tcW w:w="2439" w:type="dxa"/>
            <w:vAlign w:val="center"/>
          </w:tcPr>
          <w:p>
            <w:pPr>
              <w:rPr>
                <w:rFonts w:ascii="宋体" w:hAnsi="宋体"/>
                <w:color w:val="000000"/>
                <w:kern w:val="0"/>
              </w:rPr>
            </w:pPr>
            <w:r>
              <w:rPr>
                <w:rFonts w:hint="eastAsia" w:ascii="宋体" w:hAnsi="宋体"/>
                <w:color w:val="000000"/>
                <w:kern w:val="0"/>
              </w:rPr>
              <w:t>电压纹波因数</w:t>
            </w:r>
          </w:p>
        </w:tc>
        <w:tc>
          <w:tcPr>
            <w:tcW w:w="5811" w:type="dxa"/>
            <w:vAlign w:val="center"/>
          </w:tcPr>
          <w:p>
            <w:pPr>
              <w:rPr>
                <w:rFonts w:ascii="宋体" w:hAnsi="宋体"/>
                <w:color w:val="000000"/>
                <w:kern w:val="0"/>
              </w:rPr>
            </w:pPr>
            <w:r>
              <w:rPr>
                <w:rFonts w:hint="eastAsia" w:ascii="宋体" w:hAnsi="宋体"/>
                <w:color w:val="000000"/>
                <w:kern w:val="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13</w:t>
            </w:r>
          </w:p>
        </w:tc>
        <w:tc>
          <w:tcPr>
            <w:tcW w:w="2439" w:type="dxa"/>
            <w:vAlign w:val="center"/>
          </w:tcPr>
          <w:p>
            <w:pPr>
              <w:rPr>
                <w:rFonts w:ascii="宋体" w:hAnsi="宋体"/>
                <w:color w:val="000000"/>
                <w:kern w:val="0"/>
              </w:rPr>
            </w:pPr>
            <w:r>
              <w:rPr>
                <w:rFonts w:hint="eastAsia" w:ascii="宋体" w:hAnsi="宋体"/>
                <w:color w:val="000000"/>
                <w:kern w:val="0"/>
              </w:rPr>
              <w:t>输出电流设定误差</w:t>
            </w:r>
          </w:p>
        </w:tc>
        <w:tc>
          <w:tcPr>
            <w:tcW w:w="5811" w:type="dxa"/>
            <w:vAlign w:val="center"/>
          </w:tcPr>
          <w:p>
            <w:pPr>
              <w:rPr>
                <w:rFonts w:ascii="宋体" w:hAnsi="宋体"/>
                <w:color w:val="000000"/>
                <w:kern w:val="0"/>
              </w:rPr>
            </w:pPr>
            <w:r>
              <w:rPr>
                <w:rFonts w:hint="eastAsia" w:ascii="宋体" w:hAnsi="宋体"/>
                <w:color w:val="000000"/>
                <w:kern w:val="0"/>
              </w:rPr>
              <w:t>电流＜30A时，≤±0.3A；电流≥30A时，≤±1%；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14</w:t>
            </w:r>
          </w:p>
        </w:tc>
        <w:tc>
          <w:tcPr>
            <w:tcW w:w="2439" w:type="dxa"/>
            <w:vAlign w:val="center"/>
          </w:tcPr>
          <w:p>
            <w:pPr>
              <w:rPr>
                <w:rFonts w:ascii="宋体" w:hAnsi="宋体"/>
                <w:color w:val="000000"/>
                <w:kern w:val="0"/>
              </w:rPr>
            </w:pPr>
            <w:r>
              <w:rPr>
                <w:rFonts w:hint="eastAsia" w:ascii="宋体" w:hAnsi="宋体"/>
                <w:color w:val="000000"/>
                <w:kern w:val="0"/>
              </w:rPr>
              <w:t>输出电压设定误差</w:t>
            </w:r>
          </w:p>
        </w:tc>
        <w:tc>
          <w:tcPr>
            <w:tcW w:w="5811" w:type="dxa"/>
            <w:vAlign w:val="center"/>
          </w:tcPr>
          <w:p>
            <w:pPr>
              <w:rPr>
                <w:rFonts w:ascii="宋体" w:hAnsi="宋体"/>
                <w:color w:val="000000"/>
                <w:kern w:val="0"/>
              </w:rPr>
            </w:pPr>
            <w:r>
              <w:rPr>
                <w:rFonts w:hint="eastAsia" w:ascii="宋体" w:hAnsi="宋体"/>
                <w:color w:val="000000"/>
                <w:kern w:val="0"/>
              </w:rPr>
              <w:t>≤±0.</w:t>
            </w:r>
            <w:r>
              <w:rPr>
                <w:rFonts w:ascii="宋体" w:hAnsi="宋体"/>
                <w:color w:val="000000"/>
                <w:kern w:val="0"/>
              </w:rPr>
              <w:t>5</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17" w:type="dxa"/>
            <w:vAlign w:val="center"/>
          </w:tcPr>
          <w:p>
            <w:pPr>
              <w:jc w:val="center"/>
              <w:rPr>
                <w:rFonts w:ascii="宋体" w:hAnsi="宋体"/>
                <w:color w:val="000000"/>
                <w:kern w:val="0"/>
              </w:rPr>
            </w:pPr>
            <w:r>
              <w:rPr>
                <w:rFonts w:hint="eastAsia" w:ascii="宋体" w:hAnsi="宋体"/>
                <w:color w:val="000000"/>
                <w:kern w:val="0"/>
              </w:rPr>
              <w:t>15</w:t>
            </w:r>
          </w:p>
        </w:tc>
        <w:tc>
          <w:tcPr>
            <w:tcW w:w="2439" w:type="dxa"/>
            <w:vAlign w:val="center"/>
          </w:tcPr>
          <w:p>
            <w:pPr>
              <w:rPr>
                <w:rFonts w:ascii="宋体" w:hAnsi="宋体"/>
                <w:color w:val="000000"/>
                <w:kern w:val="0"/>
              </w:rPr>
            </w:pPr>
            <w:r>
              <w:rPr>
                <w:rFonts w:hint="eastAsia" w:ascii="宋体" w:hAnsi="宋体"/>
                <w:color w:val="000000"/>
                <w:kern w:val="0"/>
              </w:rPr>
              <w:t>▲综合效率</w:t>
            </w:r>
          </w:p>
        </w:tc>
        <w:tc>
          <w:tcPr>
            <w:tcW w:w="5811" w:type="dxa"/>
            <w:vAlign w:val="center"/>
          </w:tcPr>
          <w:p>
            <w:pPr>
              <w:rPr>
                <w:rFonts w:ascii="宋体" w:hAnsi="宋体"/>
                <w:color w:val="000000"/>
                <w:kern w:val="0"/>
              </w:rPr>
            </w:pPr>
            <w:r>
              <w:rPr>
                <w:rFonts w:hint="eastAsia" w:ascii="宋体" w:hAnsi="宋体"/>
                <w:color w:val="000000"/>
                <w:kern w:val="0"/>
              </w:rPr>
              <w:t>输出功率20%≤P≤</w:t>
            </w:r>
            <w:r>
              <w:rPr>
                <w:rFonts w:ascii="宋体" w:hAnsi="宋体"/>
                <w:color w:val="000000"/>
                <w:kern w:val="0"/>
              </w:rPr>
              <w:t>10</w:t>
            </w:r>
            <w:r>
              <w:rPr>
                <w:rFonts w:hint="eastAsia" w:ascii="宋体" w:hAnsi="宋体"/>
                <w:color w:val="000000"/>
                <w:kern w:val="0"/>
              </w:rPr>
              <w:t>0%时，工作效率≥</w:t>
            </w:r>
            <w:r>
              <w:rPr>
                <w:rFonts w:ascii="宋体" w:hAnsi="宋体"/>
                <w:color w:val="000000"/>
                <w:kern w:val="0"/>
              </w:rPr>
              <w:t>92</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17" w:type="dxa"/>
            <w:vAlign w:val="center"/>
          </w:tcPr>
          <w:p>
            <w:pPr>
              <w:jc w:val="center"/>
              <w:rPr>
                <w:rFonts w:ascii="宋体" w:hAnsi="宋体"/>
                <w:color w:val="000000"/>
                <w:kern w:val="0"/>
              </w:rPr>
            </w:pPr>
            <w:r>
              <w:rPr>
                <w:rFonts w:hint="eastAsia" w:ascii="宋体" w:hAnsi="宋体"/>
                <w:color w:val="000000"/>
                <w:kern w:val="0"/>
              </w:rPr>
              <w:t>16</w:t>
            </w:r>
          </w:p>
        </w:tc>
        <w:tc>
          <w:tcPr>
            <w:tcW w:w="2439" w:type="dxa"/>
            <w:vAlign w:val="center"/>
          </w:tcPr>
          <w:p>
            <w:pPr>
              <w:rPr>
                <w:rFonts w:ascii="宋体" w:hAnsi="宋体"/>
                <w:color w:val="000000"/>
                <w:kern w:val="0"/>
              </w:rPr>
            </w:pPr>
            <w:r>
              <w:rPr>
                <w:rFonts w:hint="eastAsia" w:ascii="宋体" w:hAnsi="宋体"/>
                <w:color w:val="000000"/>
                <w:kern w:val="0"/>
              </w:rPr>
              <w:t>▲功率因数</w:t>
            </w:r>
          </w:p>
        </w:tc>
        <w:tc>
          <w:tcPr>
            <w:tcW w:w="5811" w:type="dxa"/>
            <w:vAlign w:val="center"/>
          </w:tcPr>
          <w:p>
            <w:pPr>
              <w:rPr>
                <w:rFonts w:ascii="宋体" w:hAnsi="宋体"/>
                <w:color w:val="000000"/>
                <w:kern w:val="0"/>
              </w:rPr>
            </w:pPr>
            <w:r>
              <w:rPr>
                <w:rFonts w:hint="eastAsia" w:ascii="宋体" w:hAnsi="宋体"/>
                <w:color w:val="000000"/>
                <w:kern w:val="0"/>
              </w:rPr>
              <w:t>输出功率20%≤P≤</w:t>
            </w:r>
            <w:r>
              <w:rPr>
                <w:rFonts w:ascii="宋体" w:hAnsi="宋体"/>
                <w:color w:val="000000"/>
                <w:kern w:val="0"/>
              </w:rPr>
              <w:t>10</w:t>
            </w:r>
            <w:r>
              <w:rPr>
                <w:rFonts w:hint="eastAsia" w:ascii="宋体" w:hAnsi="宋体"/>
                <w:color w:val="000000"/>
                <w:kern w:val="0"/>
              </w:rPr>
              <w:t>0%时，功率因数≥0.9</w:t>
            </w:r>
            <w:r>
              <w:rPr>
                <w:rFonts w:ascii="宋体" w:hAnsi="宋体"/>
                <w:color w:val="000000"/>
                <w:kern w:val="0"/>
              </w:rPr>
              <w:t>9</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17</w:t>
            </w:r>
          </w:p>
        </w:tc>
        <w:tc>
          <w:tcPr>
            <w:tcW w:w="2439" w:type="dxa"/>
            <w:vAlign w:val="center"/>
          </w:tcPr>
          <w:p>
            <w:pPr>
              <w:rPr>
                <w:rFonts w:ascii="宋体" w:hAnsi="宋体"/>
                <w:color w:val="000000"/>
                <w:kern w:val="0"/>
              </w:rPr>
            </w:pPr>
            <w:r>
              <w:rPr>
                <w:rFonts w:hint="eastAsia" w:ascii="宋体" w:hAnsi="宋体"/>
                <w:color w:val="000000"/>
                <w:kern w:val="0"/>
              </w:rPr>
              <w:t>▲待机功耗</w:t>
            </w:r>
          </w:p>
        </w:tc>
        <w:tc>
          <w:tcPr>
            <w:tcW w:w="5811" w:type="dxa"/>
            <w:vAlign w:val="center"/>
          </w:tcPr>
          <w:p>
            <w:pPr>
              <w:rPr>
                <w:rFonts w:ascii="宋体" w:hAnsi="宋体"/>
                <w:color w:val="000000"/>
                <w:kern w:val="0"/>
              </w:rPr>
            </w:pPr>
            <w:r>
              <w:rPr>
                <w:rFonts w:hint="eastAsia" w:ascii="宋体" w:hAnsi="宋体"/>
                <w:color w:val="000000"/>
                <w:kern w:val="0"/>
              </w:rPr>
              <w:t>≤1</w:t>
            </w:r>
            <w:r>
              <w:rPr>
                <w:rFonts w:ascii="宋体" w:hAnsi="宋体"/>
                <w:color w:val="000000"/>
                <w:kern w:val="0"/>
              </w:rPr>
              <w:t>0</w:t>
            </w:r>
            <w:r>
              <w:rPr>
                <w:rFonts w:hint="eastAsia" w:ascii="宋体" w:hAnsi="宋体"/>
                <w:color w:val="000000"/>
                <w:kern w:val="0"/>
              </w:rPr>
              <w:t>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18</w:t>
            </w:r>
          </w:p>
        </w:tc>
        <w:tc>
          <w:tcPr>
            <w:tcW w:w="2439" w:type="dxa"/>
            <w:vAlign w:val="center"/>
          </w:tcPr>
          <w:p>
            <w:pPr>
              <w:rPr>
                <w:rFonts w:ascii="宋体" w:hAnsi="宋体"/>
                <w:color w:val="000000"/>
                <w:kern w:val="0"/>
              </w:rPr>
            </w:pPr>
            <w:r>
              <w:rPr>
                <w:rFonts w:hint="eastAsia" w:ascii="宋体" w:hAnsi="宋体"/>
                <w:color w:val="000000"/>
                <w:kern w:val="0"/>
              </w:rPr>
              <w:t>噪声</w:t>
            </w:r>
          </w:p>
        </w:tc>
        <w:tc>
          <w:tcPr>
            <w:tcW w:w="5811" w:type="dxa"/>
            <w:vAlign w:val="center"/>
          </w:tcPr>
          <w:p>
            <w:pPr>
              <w:rPr>
                <w:rFonts w:ascii="宋体" w:hAnsi="宋体"/>
                <w:color w:val="000000"/>
                <w:kern w:val="0"/>
              </w:rPr>
            </w:pPr>
            <w:r>
              <w:rPr>
                <w:rFonts w:hint="eastAsia" w:ascii="宋体" w:hAnsi="宋体"/>
                <w:color w:val="000000"/>
                <w:kern w:val="0"/>
              </w:rPr>
              <w:t>≤</w:t>
            </w:r>
            <w:r>
              <w:rPr>
                <w:rFonts w:ascii="宋体" w:hAnsi="宋体"/>
                <w:color w:val="000000"/>
                <w:kern w:val="0"/>
              </w:rPr>
              <w:t>80</w:t>
            </w:r>
            <w:r>
              <w:rPr>
                <w:rFonts w:hint="eastAsia" w:ascii="宋体" w:hAnsi="宋体"/>
                <w:color w:val="000000"/>
                <w:kern w:val="0"/>
              </w:rPr>
              <w:t>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19</w:t>
            </w:r>
          </w:p>
        </w:tc>
        <w:tc>
          <w:tcPr>
            <w:tcW w:w="2439" w:type="dxa"/>
            <w:vAlign w:val="center"/>
          </w:tcPr>
          <w:p>
            <w:pPr>
              <w:rPr>
                <w:rFonts w:ascii="宋体" w:hAnsi="宋体"/>
                <w:color w:val="000000"/>
                <w:kern w:val="0"/>
              </w:rPr>
            </w:pPr>
            <w:r>
              <w:rPr>
                <w:rFonts w:hint="eastAsia" w:ascii="宋体" w:hAnsi="宋体"/>
                <w:color w:val="000000"/>
                <w:kern w:val="0"/>
              </w:rPr>
              <w:t>▲IP防护等级</w:t>
            </w:r>
          </w:p>
        </w:tc>
        <w:tc>
          <w:tcPr>
            <w:tcW w:w="5811" w:type="dxa"/>
            <w:vAlign w:val="center"/>
          </w:tcPr>
          <w:p>
            <w:pPr>
              <w:rPr>
                <w:rFonts w:ascii="宋体" w:hAnsi="宋体"/>
                <w:color w:val="000000"/>
                <w:kern w:val="0"/>
              </w:rPr>
            </w:pPr>
            <w:r>
              <w:rPr>
                <w:rFonts w:hint="eastAsia" w:ascii="宋体" w:hAnsi="宋体"/>
                <w:color w:val="000000"/>
                <w:kern w:val="0"/>
              </w:rPr>
              <w:t>IP5</w:t>
            </w:r>
            <w:r>
              <w:rPr>
                <w:rFonts w:ascii="宋体" w:hAnsi="宋体"/>
                <w:color w:val="000000"/>
                <w:kern w:val="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20</w:t>
            </w:r>
          </w:p>
        </w:tc>
        <w:tc>
          <w:tcPr>
            <w:tcW w:w="2439" w:type="dxa"/>
            <w:vAlign w:val="center"/>
          </w:tcPr>
          <w:p>
            <w:pPr>
              <w:rPr>
                <w:rFonts w:ascii="宋体" w:hAnsi="宋体"/>
                <w:color w:val="000000"/>
                <w:kern w:val="0"/>
              </w:rPr>
            </w:pPr>
            <w:r>
              <w:rPr>
                <w:rFonts w:hint="eastAsia" w:ascii="宋体" w:hAnsi="宋体"/>
                <w:color w:val="000000"/>
                <w:kern w:val="0"/>
              </w:rPr>
              <w:t>正常工作温度</w:t>
            </w:r>
          </w:p>
        </w:tc>
        <w:tc>
          <w:tcPr>
            <w:tcW w:w="5811" w:type="dxa"/>
            <w:vAlign w:val="center"/>
          </w:tcPr>
          <w:p>
            <w:pPr>
              <w:rPr>
                <w:rFonts w:ascii="宋体" w:hAnsi="宋体"/>
                <w:color w:val="000000"/>
                <w:kern w:val="0"/>
              </w:rPr>
            </w:pPr>
            <w:r>
              <w:rPr>
                <w:rFonts w:hint="eastAsia" w:ascii="宋体" w:hAnsi="宋体"/>
                <w:color w:val="000000"/>
                <w:kern w:val="0"/>
              </w:rPr>
              <w:t>-</w:t>
            </w:r>
            <w:r>
              <w:rPr>
                <w:rFonts w:ascii="宋体" w:hAnsi="宋体"/>
                <w:color w:val="000000"/>
                <w:kern w:val="0"/>
              </w:rPr>
              <w:t>20</w:t>
            </w:r>
            <w:r>
              <w:rPr>
                <w:rFonts w:hint="eastAsia" w:ascii="宋体" w:hAnsi="宋体"/>
                <w:color w:val="000000"/>
                <w:kern w:val="0"/>
              </w:rPr>
              <w:t>℃至</w:t>
            </w:r>
            <w:r>
              <w:rPr>
                <w:rFonts w:ascii="宋体" w:hAnsi="宋体"/>
                <w:color w:val="000000"/>
                <w:kern w:val="0"/>
              </w:rPr>
              <w:t>50</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21</w:t>
            </w:r>
          </w:p>
        </w:tc>
        <w:tc>
          <w:tcPr>
            <w:tcW w:w="2439" w:type="dxa"/>
            <w:vAlign w:val="center"/>
          </w:tcPr>
          <w:p>
            <w:pPr>
              <w:rPr>
                <w:rFonts w:ascii="宋体" w:hAnsi="宋体"/>
                <w:color w:val="000000"/>
                <w:kern w:val="0"/>
              </w:rPr>
            </w:pPr>
            <w:r>
              <w:rPr>
                <w:rFonts w:hint="eastAsia" w:ascii="宋体" w:hAnsi="宋体"/>
                <w:color w:val="000000"/>
                <w:kern w:val="0"/>
              </w:rPr>
              <w:t>高低温稳流</w:t>
            </w:r>
          </w:p>
        </w:tc>
        <w:tc>
          <w:tcPr>
            <w:tcW w:w="5811" w:type="dxa"/>
            <w:vAlign w:val="center"/>
          </w:tcPr>
          <w:p>
            <w:pPr>
              <w:rPr>
                <w:rFonts w:ascii="宋体" w:hAnsi="宋体"/>
                <w:color w:val="000000"/>
                <w:kern w:val="0"/>
              </w:rPr>
            </w:pPr>
            <w:r>
              <w:rPr>
                <w:rFonts w:hint="eastAsia" w:ascii="宋体" w:hAnsi="宋体"/>
                <w:color w:val="000000"/>
                <w:kern w:val="0"/>
              </w:rPr>
              <w:t>-</w:t>
            </w:r>
            <w:r>
              <w:rPr>
                <w:rFonts w:ascii="宋体" w:hAnsi="宋体"/>
                <w:color w:val="000000"/>
                <w:kern w:val="0"/>
              </w:rPr>
              <w:t>20</w:t>
            </w:r>
            <w:r>
              <w:rPr>
                <w:rFonts w:hint="eastAsia" w:ascii="宋体" w:hAnsi="宋体"/>
                <w:color w:val="000000"/>
                <w:kern w:val="0"/>
              </w:rPr>
              <w:t>℃时≤±1%；</w:t>
            </w:r>
            <w:r>
              <w:rPr>
                <w:rFonts w:ascii="宋体" w:hAnsi="宋体"/>
                <w:color w:val="000000"/>
                <w:kern w:val="0"/>
              </w:rPr>
              <w:t>50</w:t>
            </w:r>
            <w:r>
              <w:rPr>
                <w:rFonts w:hint="eastAsia" w:ascii="宋体" w:hAnsi="宋体"/>
                <w:color w:val="000000"/>
                <w:kern w:val="0"/>
              </w:rPr>
              <w:t>℃时≤±</w:t>
            </w:r>
            <w:r>
              <w:rPr>
                <w:rFonts w:ascii="宋体" w:hAnsi="宋体"/>
                <w:color w:val="000000"/>
                <w:kern w:val="0"/>
              </w:rPr>
              <w:t>1</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22</w:t>
            </w:r>
          </w:p>
        </w:tc>
        <w:tc>
          <w:tcPr>
            <w:tcW w:w="2439" w:type="dxa"/>
            <w:vAlign w:val="center"/>
          </w:tcPr>
          <w:p>
            <w:pPr>
              <w:rPr>
                <w:rFonts w:ascii="宋体" w:hAnsi="宋体"/>
              </w:rPr>
            </w:pPr>
            <w:r>
              <w:rPr>
                <w:rFonts w:hint="eastAsia" w:ascii="宋体" w:hAnsi="宋体"/>
              </w:rPr>
              <w:t>静电放电抗扰度</w:t>
            </w:r>
          </w:p>
        </w:tc>
        <w:tc>
          <w:tcPr>
            <w:tcW w:w="5811" w:type="dxa"/>
            <w:vAlign w:val="center"/>
          </w:tcPr>
          <w:p>
            <w:pPr>
              <w:rPr>
                <w:rFonts w:ascii="宋体" w:hAnsi="宋体"/>
                <w:color w:val="000000"/>
                <w:kern w:val="0"/>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23</w:t>
            </w:r>
          </w:p>
        </w:tc>
        <w:tc>
          <w:tcPr>
            <w:tcW w:w="2439" w:type="dxa"/>
            <w:vAlign w:val="center"/>
          </w:tcPr>
          <w:p>
            <w:pPr>
              <w:rPr>
                <w:rFonts w:ascii="宋体" w:hAnsi="宋体"/>
              </w:rPr>
            </w:pPr>
            <w:r>
              <w:rPr>
                <w:rFonts w:hint="eastAsia" w:ascii="宋体" w:hAnsi="宋体"/>
              </w:rPr>
              <w:t>射频电磁场辐射抗扰度</w:t>
            </w:r>
          </w:p>
        </w:tc>
        <w:tc>
          <w:tcPr>
            <w:tcW w:w="5811" w:type="dxa"/>
            <w:vAlign w:val="center"/>
          </w:tcPr>
          <w:p>
            <w:pPr>
              <w:rPr>
                <w:rFonts w:ascii="宋体" w:hAnsi="宋体"/>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24</w:t>
            </w:r>
          </w:p>
        </w:tc>
        <w:tc>
          <w:tcPr>
            <w:tcW w:w="2439" w:type="dxa"/>
            <w:vAlign w:val="center"/>
          </w:tcPr>
          <w:p>
            <w:pPr>
              <w:rPr>
                <w:rFonts w:ascii="宋体" w:hAnsi="宋体"/>
              </w:rPr>
            </w:pPr>
            <w:r>
              <w:rPr>
                <w:rFonts w:hint="eastAsia" w:ascii="宋体" w:hAnsi="宋体"/>
              </w:rPr>
              <w:t>工频磁场抗扰度</w:t>
            </w:r>
          </w:p>
        </w:tc>
        <w:tc>
          <w:tcPr>
            <w:tcW w:w="5811" w:type="dxa"/>
            <w:vAlign w:val="center"/>
          </w:tcPr>
          <w:p>
            <w:pPr>
              <w:rPr>
                <w:rFonts w:ascii="宋体" w:hAnsi="宋体"/>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25</w:t>
            </w:r>
          </w:p>
        </w:tc>
        <w:tc>
          <w:tcPr>
            <w:tcW w:w="2439" w:type="dxa"/>
            <w:vAlign w:val="center"/>
          </w:tcPr>
          <w:p>
            <w:pPr>
              <w:rPr>
                <w:rFonts w:ascii="宋体" w:hAnsi="宋体"/>
              </w:rPr>
            </w:pPr>
            <w:r>
              <w:rPr>
                <w:rFonts w:hint="eastAsia" w:ascii="宋体" w:hAnsi="宋体"/>
              </w:rPr>
              <w:t>电快速瞬变脉冲群抗扰度</w:t>
            </w:r>
          </w:p>
        </w:tc>
        <w:tc>
          <w:tcPr>
            <w:tcW w:w="5811" w:type="dxa"/>
            <w:vAlign w:val="center"/>
          </w:tcPr>
          <w:p>
            <w:pPr>
              <w:rPr>
                <w:rFonts w:ascii="宋体" w:hAnsi="宋体"/>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26</w:t>
            </w:r>
          </w:p>
        </w:tc>
        <w:tc>
          <w:tcPr>
            <w:tcW w:w="2439" w:type="dxa"/>
            <w:vAlign w:val="center"/>
          </w:tcPr>
          <w:p>
            <w:pPr>
              <w:rPr>
                <w:rFonts w:ascii="宋体" w:hAnsi="宋体"/>
              </w:rPr>
            </w:pPr>
            <w:r>
              <w:rPr>
                <w:rFonts w:hint="eastAsia" w:ascii="宋体" w:hAnsi="宋体"/>
              </w:rPr>
              <w:t>浪涌抗扰度</w:t>
            </w:r>
          </w:p>
        </w:tc>
        <w:tc>
          <w:tcPr>
            <w:tcW w:w="5811" w:type="dxa"/>
            <w:vAlign w:val="center"/>
          </w:tcPr>
          <w:p>
            <w:pPr>
              <w:rPr>
                <w:rFonts w:ascii="宋体" w:hAnsi="宋体"/>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817" w:type="dxa"/>
            <w:vAlign w:val="center"/>
          </w:tcPr>
          <w:p>
            <w:pPr>
              <w:jc w:val="center"/>
              <w:rPr>
                <w:rFonts w:ascii="宋体" w:hAnsi="宋体"/>
                <w:color w:val="000000"/>
                <w:kern w:val="0"/>
              </w:rPr>
            </w:pPr>
            <w:r>
              <w:rPr>
                <w:rFonts w:hint="eastAsia" w:ascii="宋体" w:hAnsi="宋体"/>
                <w:color w:val="000000"/>
                <w:kern w:val="0"/>
              </w:rPr>
              <w:t>27</w:t>
            </w:r>
          </w:p>
        </w:tc>
        <w:tc>
          <w:tcPr>
            <w:tcW w:w="2439" w:type="dxa"/>
            <w:vAlign w:val="center"/>
          </w:tcPr>
          <w:p>
            <w:pPr>
              <w:rPr>
                <w:rFonts w:ascii="宋体" w:hAnsi="宋体"/>
              </w:rPr>
            </w:pPr>
            <w:r>
              <w:rPr>
                <w:rFonts w:hint="eastAsia" w:ascii="宋体" w:hAnsi="宋体"/>
              </w:rPr>
              <w:t>射频场感应的传导骚扰抗扰度</w:t>
            </w:r>
          </w:p>
        </w:tc>
        <w:tc>
          <w:tcPr>
            <w:tcW w:w="5811" w:type="dxa"/>
            <w:vAlign w:val="center"/>
          </w:tcPr>
          <w:p>
            <w:pPr>
              <w:rPr>
                <w:rFonts w:ascii="宋体" w:hAnsi="宋体"/>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w:t>
            </w:r>
            <w:r>
              <w:rPr>
                <w:rFonts w:ascii="宋体" w:hAnsi="宋体"/>
                <w:color w:val="000000"/>
                <w:kern w:val="0"/>
              </w:rPr>
              <w:t>8</w:t>
            </w:r>
          </w:p>
        </w:tc>
        <w:tc>
          <w:tcPr>
            <w:tcW w:w="2439" w:type="dxa"/>
            <w:vAlign w:val="center"/>
          </w:tcPr>
          <w:p>
            <w:pPr>
              <w:rPr>
                <w:rFonts w:ascii="宋体" w:hAnsi="宋体"/>
                <w:color w:val="000000"/>
                <w:kern w:val="0"/>
              </w:rPr>
            </w:pPr>
            <w:r>
              <w:rPr>
                <w:rFonts w:hint="eastAsia" w:ascii="宋体" w:hAnsi="宋体"/>
                <w:color w:val="000000"/>
                <w:kern w:val="0"/>
              </w:rPr>
              <w:t>启动方式</w:t>
            </w:r>
          </w:p>
        </w:tc>
        <w:tc>
          <w:tcPr>
            <w:tcW w:w="5811" w:type="dxa"/>
            <w:vAlign w:val="center"/>
          </w:tcPr>
          <w:p>
            <w:pPr>
              <w:rPr>
                <w:rFonts w:ascii="宋体" w:hAnsi="宋体"/>
                <w:color w:val="000000"/>
                <w:kern w:val="0"/>
              </w:rPr>
            </w:pPr>
            <w:r>
              <w:rPr>
                <w:rFonts w:hint="eastAsia" w:ascii="宋体" w:hAnsi="宋体"/>
                <w:color w:val="000000"/>
                <w:kern w:val="0"/>
              </w:rPr>
              <w:t>刷卡启动、APP扫码启动、VIN码启动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817" w:type="dxa"/>
            <w:vAlign w:val="center"/>
          </w:tcPr>
          <w:p>
            <w:pPr>
              <w:jc w:val="center"/>
              <w:rPr>
                <w:rFonts w:ascii="宋体" w:hAnsi="宋体"/>
                <w:color w:val="000000"/>
                <w:kern w:val="0"/>
              </w:rPr>
            </w:pPr>
            <w:r>
              <w:rPr>
                <w:rFonts w:hint="eastAsia" w:ascii="宋体" w:hAnsi="宋体"/>
                <w:color w:val="000000"/>
                <w:kern w:val="0"/>
              </w:rPr>
              <w:t>2</w:t>
            </w:r>
            <w:r>
              <w:rPr>
                <w:rFonts w:ascii="宋体" w:hAnsi="宋体"/>
                <w:color w:val="000000"/>
                <w:kern w:val="0"/>
              </w:rPr>
              <w:t>9</w:t>
            </w:r>
          </w:p>
        </w:tc>
        <w:tc>
          <w:tcPr>
            <w:tcW w:w="2439" w:type="dxa"/>
            <w:vAlign w:val="center"/>
          </w:tcPr>
          <w:p>
            <w:pPr>
              <w:rPr>
                <w:rFonts w:ascii="宋体" w:hAnsi="宋体"/>
                <w:color w:val="000000"/>
                <w:kern w:val="0"/>
              </w:rPr>
            </w:pPr>
            <w:r>
              <w:rPr>
                <w:rFonts w:hint="eastAsia" w:ascii="宋体" w:hAnsi="宋体"/>
                <w:color w:val="000000"/>
                <w:kern w:val="0"/>
              </w:rPr>
              <w:t>通信协议</w:t>
            </w:r>
          </w:p>
        </w:tc>
        <w:tc>
          <w:tcPr>
            <w:tcW w:w="5811" w:type="dxa"/>
            <w:vAlign w:val="center"/>
          </w:tcPr>
          <w:p>
            <w:pPr>
              <w:rPr>
                <w:rFonts w:ascii="宋体" w:hAnsi="宋体"/>
                <w:color w:val="000000"/>
                <w:kern w:val="0"/>
              </w:rPr>
            </w:pPr>
            <w:r>
              <w:rPr>
                <w:rFonts w:hint="eastAsia" w:ascii="宋体" w:hAnsi="宋体"/>
                <w:color w:val="000000"/>
                <w:kern w:val="0"/>
              </w:rPr>
              <w:t>符合中华人民共和国工业和信息化部发布的新国标即《电动汽车非车载传导式充电机与电池管理系统之间的通信协议（GB/T 27930-2015）》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3</w:t>
            </w:r>
            <w:r>
              <w:rPr>
                <w:rFonts w:ascii="宋体" w:hAnsi="宋体"/>
                <w:color w:val="000000"/>
                <w:kern w:val="0"/>
              </w:rPr>
              <w:t>0</w:t>
            </w:r>
          </w:p>
        </w:tc>
        <w:tc>
          <w:tcPr>
            <w:tcW w:w="2439" w:type="dxa"/>
            <w:vAlign w:val="center"/>
          </w:tcPr>
          <w:p>
            <w:pPr>
              <w:rPr>
                <w:rFonts w:ascii="宋体" w:hAnsi="宋体"/>
                <w:color w:val="000000"/>
                <w:kern w:val="0"/>
              </w:rPr>
            </w:pPr>
            <w:r>
              <w:rPr>
                <w:rFonts w:hint="eastAsia" w:ascii="宋体" w:hAnsi="宋体"/>
                <w:color w:val="000000"/>
                <w:kern w:val="0"/>
              </w:rPr>
              <w:t>安装方式</w:t>
            </w:r>
          </w:p>
        </w:tc>
        <w:tc>
          <w:tcPr>
            <w:tcW w:w="5811" w:type="dxa"/>
            <w:vAlign w:val="center"/>
          </w:tcPr>
          <w:p>
            <w:pPr>
              <w:rPr>
                <w:rFonts w:ascii="宋体" w:hAnsi="宋体"/>
                <w:color w:val="000000"/>
                <w:kern w:val="0"/>
              </w:rPr>
            </w:pPr>
            <w:r>
              <w:rPr>
                <w:rFonts w:hint="eastAsia" w:ascii="宋体" w:hAnsi="宋体"/>
                <w:color w:val="000000"/>
                <w:kern w:val="0"/>
              </w:rPr>
              <w:t>落地式安装且提供安装技术支持及调试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3</w:t>
            </w:r>
            <w:r>
              <w:rPr>
                <w:rFonts w:ascii="宋体" w:hAnsi="宋体"/>
                <w:color w:val="000000"/>
                <w:kern w:val="0"/>
              </w:rPr>
              <w:t>1</w:t>
            </w:r>
          </w:p>
        </w:tc>
        <w:tc>
          <w:tcPr>
            <w:tcW w:w="2439" w:type="dxa"/>
            <w:vAlign w:val="center"/>
          </w:tcPr>
          <w:p>
            <w:pPr>
              <w:rPr>
                <w:rFonts w:ascii="宋体" w:hAnsi="宋体"/>
                <w:color w:val="000000"/>
                <w:kern w:val="0"/>
              </w:rPr>
            </w:pPr>
            <w:r>
              <w:rPr>
                <w:rFonts w:hint="eastAsia" w:ascii="宋体" w:hAnsi="宋体"/>
                <w:color w:val="000000"/>
                <w:kern w:val="0"/>
              </w:rPr>
              <w:t>通讯传输</w:t>
            </w:r>
          </w:p>
        </w:tc>
        <w:tc>
          <w:tcPr>
            <w:tcW w:w="5811" w:type="dxa"/>
            <w:vAlign w:val="center"/>
          </w:tcPr>
          <w:p>
            <w:pPr>
              <w:rPr>
                <w:rFonts w:ascii="宋体" w:hAnsi="宋体"/>
                <w:color w:val="000000"/>
                <w:kern w:val="0"/>
              </w:rPr>
            </w:pPr>
            <w:r>
              <w:rPr>
                <w:rFonts w:hint="eastAsia" w:ascii="宋体" w:hAnsi="宋体"/>
                <w:color w:val="000000"/>
                <w:kern w:val="0"/>
              </w:rPr>
              <w:t>4G、3G或2G无线网络传输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17" w:type="dxa"/>
            <w:vAlign w:val="center"/>
          </w:tcPr>
          <w:p>
            <w:pPr>
              <w:jc w:val="center"/>
              <w:rPr>
                <w:rFonts w:ascii="宋体" w:hAnsi="宋体"/>
                <w:color w:val="000000"/>
                <w:kern w:val="0"/>
              </w:rPr>
            </w:pPr>
            <w:r>
              <w:rPr>
                <w:rFonts w:hint="eastAsia" w:ascii="宋体" w:hAnsi="宋体"/>
                <w:color w:val="000000"/>
                <w:kern w:val="0"/>
              </w:rPr>
              <w:t>3</w:t>
            </w:r>
            <w:r>
              <w:rPr>
                <w:rFonts w:ascii="宋体" w:hAnsi="宋体"/>
                <w:color w:val="000000"/>
                <w:kern w:val="0"/>
              </w:rPr>
              <w:t>2</w:t>
            </w:r>
          </w:p>
        </w:tc>
        <w:tc>
          <w:tcPr>
            <w:tcW w:w="2439" w:type="dxa"/>
            <w:vAlign w:val="center"/>
          </w:tcPr>
          <w:p>
            <w:pPr>
              <w:rPr>
                <w:rFonts w:ascii="宋体" w:hAnsi="宋体"/>
                <w:color w:val="000000"/>
                <w:kern w:val="0"/>
              </w:rPr>
            </w:pPr>
            <w:r>
              <w:rPr>
                <w:rFonts w:hint="eastAsia" w:ascii="宋体" w:hAnsi="宋体"/>
                <w:color w:val="000000"/>
                <w:kern w:val="0"/>
              </w:rPr>
              <w:t>外形尺寸</w:t>
            </w:r>
          </w:p>
        </w:tc>
        <w:tc>
          <w:tcPr>
            <w:tcW w:w="5811" w:type="dxa"/>
            <w:vAlign w:val="center"/>
          </w:tcPr>
          <w:p>
            <w:pPr>
              <w:rPr>
                <w:rFonts w:ascii="宋体" w:hAnsi="宋体"/>
                <w:color w:val="000000"/>
                <w:kern w:val="0"/>
              </w:rPr>
            </w:pPr>
            <w:r>
              <w:rPr>
                <w:rFonts w:hint="eastAsia" w:ascii="宋体" w:hAnsi="宋体"/>
                <w:color w:val="000000"/>
                <w:kern w:val="0"/>
              </w:rPr>
              <w:t>不限（以不影响现场操作、设备维修、其他设备设施安装等为原则和前提，尽可能缩小占地面积）</w:t>
            </w:r>
          </w:p>
        </w:tc>
      </w:tr>
    </w:tbl>
    <w:p>
      <w:pPr>
        <w:widowControl/>
        <w:jc w:val="left"/>
        <w:rPr>
          <w:rFonts w:hint="eastAsia" w:ascii="宋体" w:hAnsi="宋体"/>
          <w:b/>
          <w:bCs/>
        </w:rPr>
      </w:pPr>
      <w:r>
        <w:rPr>
          <w:rFonts w:ascii="宋体" w:hAnsi="宋体"/>
          <w:b/>
          <w:bCs/>
        </w:rPr>
        <w:t>30kW</w:t>
      </w:r>
      <w:r>
        <w:rPr>
          <w:rFonts w:hint="eastAsia" w:ascii="宋体" w:hAnsi="宋体"/>
          <w:b/>
          <w:bCs/>
        </w:rPr>
        <w:t>充电桩</w:t>
      </w:r>
    </w:p>
    <w:tbl>
      <w:tblPr>
        <w:tblStyle w:val="16"/>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439"/>
        <w:gridCol w:w="5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rPr>
                <w:rFonts w:ascii="宋体" w:hAnsi="宋体"/>
                <w:color w:val="000000"/>
                <w:kern w:val="0"/>
              </w:rPr>
            </w:pPr>
            <w:r>
              <w:rPr>
                <w:rFonts w:hint="eastAsia" w:ascii="宋体" w:hAnsi="宋体"/>
                <w:color w:val="000000"/>
                <w:kern w:val="0"/>
              </w:rPr>
              <w:t>序号</w:t>
            </w:r>
          </w:p>
        </w:tc>
        <w:tc>
          <w:tcPr>
            <w:tcW w:w="2439" w:type="dxa"/>
            <w:vAlign w:val="center"/>
          </w:tcPr>
          <w:p>
            <w:pPr>
              <w:rPr>
                <w:rFonts w:ascii="宋体" w:hAnsi="宋体"/>
                <w:color w:val="000000"/>
                <w:kern w:val="0"/>
              </w:rPr>
            </w:pPr>
            <w:r>
              <w:rPr>
                <w:rFonts w:hint="eastAsia" w:ascii="宋体" w:hAnsi="宋体"/>
                <w:color w:val="000000"/>
                <w:kern w:val="0"/>
              </w:rPr>
              <w:t>项目</w:t>
            </w:r>
          </w:p>
        </w:tc>
        <w:tc>
          <w:tcPr>
            <w:tcW w:w="5811" w:type="dxa"/>
            <w:vAlign w:val="center"/>
          </w:tcPr>
          <w:p>
            <w:pPr>
              <w:rPr>
                <w:rFonts w:ascii="宋体" w:hAnsi="宋体"/>
                <w:color w:val="000000"/>
                <w:kern w:val="0"/>
              </w:rPr>
            </w:pPr>
            <w:r>
              <w:rPr>
                <w:rFonts w:hint="eastAsia" w:ascii="宋体" w:hAnsi="宋体"/>
                <w:color w:val="000000"/>
                <w:kern w:val="0"/>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w:t>
            </w:r>
          </w:p>
        </w:tc>
        <w:tc>
          <w:tcPr>
            <w:tcW w:w="2439" w:type="dxa"/>
            <w:vAlign w:val="center"/>
          </w:tcPr>
          <w:p>
            <w:pPr>
              <w:rPr>
                <w:rFonts w:ascii="宋体" w:hAnsi="宋体"/>
                <w:color w:val="000000"/>
                <w:kern w:val="0"/>
              </w:rPr>
            </w:pPr>
            <w:r>
              <w:rPr>
                <w:rFonts w:hint="eastAsia" w:ascii="宋体" w:hAnsi="宋体"/>
                <w:color w:val="000000"/>
                <w:kern w:val="0"/>
              </w:rPr>
              <w:t>额定输入电压</w:t>
            </w:r>
          </w:p>
        </w:tc>
        <w:tc>
          <w:tcPr>
            <w:tcW w:w="5811" w:type="dxa"/>
            <w:vAlign w:val="center"/>
          </w:tcPr>
          <w:p>
            <w:pPr>
              <w:rPr>
                <w:rFonts w:ascii="宋体" w:hAnsi="宋体"/>
                <w:color w:val="000000"/>
                <w:kern w:val="0"/>
              </w:rPr>
            </w:pPr>
            <w:r>
              <w:rPr>
                <w:rFonts w:hint="eastAsia" w:ascii="宋体" w:hAnsi="宋体"/>
                <w:color w:val="000000"/>
                <w:kern w:val="0"/>
              </w:rPr>
              <w:t>三相380V（±15%）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w:t>
            </w:r>
          </w:p>
        </w:tc>
        <w:tc>
          <w:tcPr>
            <w:tcW w:w="2439" w:type="dxa"/>
            <w:vAlign w:val="center"/>
          </w:tcPr>
          <w:p>
            <w:pPr>
              <w:rPr>
                <w:rFonts w:ascii="宋体" w:hAnsi="宋体"/>
                <w:color w:val="000000"/>
                <w:kern w:val="0"/>
              </w:rPr>
            </w:pPr>
            <w:r>
              <w:rPr>
                <w:rFonts w:hint="eastAsia" w:ascii="宋体" w:hAnsi="宋体"/>
                <w:color w:val="000000"/>
                <w:kern w:val="0"/>
              </w:rPr>
              <w:t>交流输入频率</w:t>
            </w:r>
          </w:p>
        </w:tc>
        <w:tc>
          <w:tcPr>
            <w:tcW w:w="5811" w:type="dxa"/>
            <w:vAlign w:val="center"/>
          </w:tcPr>
          <w:p>
            <w:pPr>
              <w:rPr>
                <w:rFonts w:ascii="宋体" w:hAnsi="宋体"/>
                <w:color w:val="000000"/>
                <w:kern w:val="0"/>
              </w:rPr>
            </w:pPr>
            <w:r>
              <w:rPr>
                <w:rFonts w:hint="eastAsia" w:ascii="宋体" w:hAnsi="宋体"/>
                <w:color w:val="000000"/>
                <w:kern w:val="0"/>
              </w:rPr>
              <w:t>50Hz±1Hz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3</w:t>
            </w:r>
          </w:p>
        </w:tc>
        <w:tc>
          <w:tcPr>
            <w:tcW w:w="2439" w:type="dxa"/>
            <w:vAlign w:val="center"/>
          </w:tcPr>
          <w:p>
            <w:pPr>
              <w:rPr>
                <w:rFonts w:ascii="宋体" w:hAnsi="宋体"/>
                <w:color w:val="000000"/>
                <w:kern w:val="0"/>
              </w:rPr>
            </w:pPr>
            <w:r>
              <w:rPr>
                <w:rFonts w:hint="eastAsia" w:ascii="宋体" w:hAnsi="宋体"/>
                <w:color w:val="000000"/>
                <w:kern w:val="0"/>
              </w:rPr>
              <w:t>输出功率</w:t>
            </w:r>
          </w:p>
        </w:tc>
        <w:tc>
          <w:tcPr>
            <w:tcW w:w="5811" w:type="dxa"/>
            <w:vAlign w:val="center"/>
          </w:tcPr>
          <w:p>
            <w:pPr>
              <w:rPr>
                <w:rFonts w:hint="eastAsia" w:ascii="宋体" w:hAnsi="宋体"/>
                <w:color w:val="000000"/>
                <w:kern w:val="0"/>
              </w:rPr>
            </w:pPr>
            <w:r>
              <w:rPr>
                <w:rFonts w:ascii="宋体" w:hAnsi="宋体"/>
                <w:color w:val="000000"/>
                <w:kern w:val="0"/>
              </w:rPr>
              <w:t>30kw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4</w:t>
            </w:r>
          </w:p>
        </w:tc>
        <w:tc>
          <w:tcPr>
            <w:tcW w:w="2439" w:type="dxa"/>
            <w:vAlign w:val="center"/>
          </w:tcPr>
          <w:p>
            <w:pPr>
              <w:rPr>
                <w:rFonts w:ascii="宋体" w:hAnsi="宋体"/>
                <w:color w:val="000000"/>
                <w:kern w:val="0"/>
              </w:rPr>
            </w:pPr>
            <w:r>
              <w:rPr>
                <w:rFonts w:hint="eastAsia" w:ascii="宋体" w:hAnsi="宋体"/>
                <w:color w:val="000000"/>
                <w:kern w:val="0"/>
              </w:rPr>
              <w:t>结构形式</w:t>
            </w:r>
          </w:p>
        </w:tc>
        <w:tc>
          <w:tcPr>
            <w:tcW w:w="5811" w:type="dxa"/>
            <w:vAlign w:val="center"/>
          </w:tcPr>
          <w:p>
            <w:pPr>
              <w:rPr>
                <w:rFonts w:ascii="宋体" w:hAnsi="宋体"/>
                <w:color w:val="000000"/>
                <w:kern w:val="0"/>
              </w:rPr>
            </w:pPr>
            <w:r>
              <w:rPr>
                <w:rFonts w:hint="eastAsia" w:ascii="宋体" w:hAnsi="宋体"/>
                <w:color w:val="000000"/>
                <w:kern w:val="0"/>
              </w:rPr>
              <w:t>一体式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5</w:t>
            </w:r>
          </w:p>
        </w:tc>
        <w:tc>
          <w:tcPr>
            <w:tcW w:w="2439" w:type="dxa"/>
            <w:vAlign w:val="center"/>
          </w:tcPr>
          <w:p>
            <w:pPr>
              <w:rPr>
                <w:rFonts w:ascii="宋体" w:hAnsi="宋体"/>
                <w:color w:val="000000"/>
                <w:kern w:val="0"/>
              </w:rPr>
            </w:pPr>
            <w:r>
              <w:rPr>
                <w:rFonts w:hint="eastAsia" w:ascii="宋体" w:hAnsi="宋体"/>
                <w:color w:val="000000"/>
                <w:kern w:val="0"/>
              </w:rPr>
              <w:t>充电模块</w:t>
            </w:r>
          </w:p>
        </w:tc>
        <w:tc>
          <w:tcPr>
            <w:tcW w:w="5811" w:type="dxa"/>
            <w:vAlign w:val="center"/>
          </w:tcPr>
          <w:p>
            <w:pPr>
              <w:rPr>
                <w:rFonts w:ascii="宋体" w:hAnsi="宋体"/>
                <w:color w:val="000000"/>
                <w:kern w:val="0"/>
              </w:rPr>
            </w:pPr>
            <w:r>
              <w:rPr>
                <w:rFonts w:hint="eastAsia" w:ascii="宋体" w:hAnsi="宋体"/>
                <w:color w:val="000000"/>
                <w:kern w:val="0"/>
              </w:rPr>
              <w:t>≥30</w:t>
            </w:r>
            <w:r>
              <w:rPr>
                <w:rFonts w:ascii="宋体" w:hAnsi="宋体"/>
                <w:color w:val="000000"/>
                <w:kern w:val="0"/>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6</w:t>
            </w:r>
          </w:p>
        </w:tc>
        <w:tc>
          <w:tcPr>
            <w:tcW w:w="2439" w:type="dxa"/>
            <w:vAlign w:val="center"/>
          </w:tcPr>
          <w:p>
            <w:pPr>
              <w:rPr>
                <w:rFonts w:ascii="宋体" w:hAnsi="宋体"/>
                <w:color w:val="000000"/>
                <w:kern w:val="0"/>
              </w:rPr>
            </w:pPr>
            <w:r>
              <w:rPr>
                <w:rFonts w:hint="eastAsia" w:ascii="宋体" w:hAnsi="宋体"/>
                <w:color w:val="000000"/>
                <w:kern w:val="0"/>
              </w:rPr>
              <w:t>额定频率</w:t>
            </w:r>
          </w:p>
        </w:tc>
        <w:tc>
          <w:tcPr>
            <w:tcW w:w="5811" w:type="dxa"/>
            <w:vAlign w:val="center"/>
          </w:tcPr>
          <w:p>
            <w:pPr>
              <w:rPr>
                <w:rFonts w:ascii="宋体" w:hAnsi="宋体"/>
                <w:color w:val="000000"/>
                <w:kern w:val="0"/>
              </w:rPr>
            </w:pPr>
            <w:r>
              <w:rPr>
                <w:rFonts w:hint="eastAsia" w:ascii="宋体" w:hAnsi="宋体"/>
                <w:color w:val="000000"/>
                <w:kern w:val="0"/>
              </w:rPr>
              <w:t>50Hz±2%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7</w:t>
            </w:r>
          </w:p>
        </w:tc>
        <w:tc>
          <w:tcPr>
            <w:tcW w:w="2439" w:type="dxa"/>
            <w:vAlign w:val="center"/>
          </w:tcPr>
          <w:p>
            <w:pPr>
              <w:rPr>
                <w:rFonts w:ascii="宋体" w:hAnsi="宋体"/>
                <w:color w:val="000000"/>
                <w:kern w:val="0"/>
              </w:rPr>
            </w:pPr>
            <w:r>
              <w:rPr>
                <w:rFonts w:hint="eastAsia" w:ascii="宋体" w:hAnsi="宋体"/>
                <w:color w:val="000000"/>
                <w:kern w:val="0"/>
              </w:rPr>
              <w:t>标称输出电压</w:t>
            </w:r>
          </w:p>
        </w:tc>
        <w:tc>
          <w:tcPr>
            <w:tcW w:w="5811" w:type="dxa"/>
            <w:vAlign w:val="center"/>
          </w:tcPr>
          <w:p>
            <w:pPr>
              <w:rPr>
                <w:rFonts w:ascii="宋体" w:hAnsi="宋体"/>
                <w:color w:val="000000"/>
                <w:kern w:val="0"/>
              </w:rPr>
            </w:pPr>
            <w:r>
              <w:rPr>
                <w:rFonts w:hint="eastAsia" w:ascii="宋体" w:hAnsi="宋体"/>
                <w:color w:val="000000"/>
                <w:kern w:val="0"/>
              </w:rPr>
              <w:t>200V-</w:t>
            </w:r>
            <w:r>
              <w:rPr>
                <w:rFonts w:ascii="宋体" w:hAnsi="宋体"/>
                <w:color w:val="000000"/>
                <w:kern w:val="0"/>
              </w:rPr>
              <w:t>1000</w:t>
            </w:r>
            <w:r>
              <w:rPr>
                <w:rFonts w:hint="eastAsia" w:ascii="宋体" w:hAnsi="宋体"/>
                <w:color w:val="000000"/>
                <w:kern w:val="0"/>
              </w:rPr>
              <w:t>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8</w:t>
            </w:r>
          </w:p>
        </w:tc>
        <w:tc>
          <w:tcPr>
            <w:tcW w:w="2439" w:type="dxa"/>
            <w:vAlign w:val="center"/>
          </w:tcPr>
          <w:p>
            <w:pPr>
              <w:rPr>
                <w:rFonts w:ascii="宋体" w:hAnsi="宋体"/>
                <w:color w:val="000000"/>
                <w:kern w:val="0"/>
              </w:rPr>
            </w:pPr>
            <w:r>
              <w:rPr>
                <w:rFonts w:hint="eastAsia" w:ascii="宋体" w:hAnsi="宋体"/>
                <w:color w:val="000000"/>
                <w:kern w:val="0"/>
              </w:rPr>
              <w:t>恒功率输出范围</w:t>
            </w:r>
          </w:p>
        </w:tc>
        <w:tc>
          <w:tcPr>
            <w:tcW w:w="5811" w:type="dxa"/>
            <w:vAlign w:val="center"/>
          </w:tcPr>
          <w:p>
            <w:pPr>
              <w:rPr>
                <w:rFonts w:ascii="宋体" w:hAnsi="宋体"/>
                <w:color w:val="000000"/>
                <w:kern w:val="0"/>
              </w:rPr>
            </w:pPr>
            <w:r>
              <w:rPr>
                <w:rFonts w:hint="eastAsia" w:ascii="宋体" w:hAnsi="宋体"/>
                <w:color w:val="000000"/>
                <w:kern w:val="0"/>
              </w:rPr>
              <w:t>300V-</w:t>
            </w:r>
            <w:r>
              <w:rPr>
                <w:rFonts w:ascii="宋体" w:hAnsi="宋体"/>
                <w:color w:val="000000"/>
                <w:kern w:val="0"/>
              </w:rPr>
              <w:t>1000</w:t>
            </w:r>
            <w:r>
              <w:rPr>
                <w:rFonts w:hint="eastAsia" w:ascii="宋体" w:hAnsi="宋体"/>
                <w:color w:val="000000"/>
                <w:kern w:val="0"/>
              </w:rPr>
              <w:t>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9</w:t>
            </w:r>
          </w:p>
        </w:tc>
        <w:tc>
          <w:tcPr>
            <w:tcW w:w="2439" w:type="dxa"/>
            <w:vAlign w:val="center"/>
          </w:tcPr>
          <w:p>
            <w:pPr>
              <w:rPr>
                <w:rFonts w:ascii="宋体" w:hAnsi="宋体"/>
                <w:color w:val="000000"/>
                <w:kern w:val="0"/>
              </w:rPr>
            </w:pPr>
            <w:r>
              <w:rPr>
                <w:rFonts w:hint="eastAsia" w:ascii="宋体" w:hAnsi="宋体"/>
                <w:color w:val="000000"/>
                <w:kern w:val="0"/>
              </w:rPr>
              <w:t>低压辅助电源误差</w:t>
            </w:r>
          </w:p>
        </w:tc>
        <w:tc>
          <w:tcPr>
            <w:tcW w:w="5811" w:type="dxa"/>
            <w:vAlign w:val="center"/>
          </w:tcPr>
          <w:p>
            <w:pPr>
              <w:rPr>
                <w:rFonts w:ascii="宋体" w:hAnsi="宋体"/>
                <w:color w:val="000000"/>
                <w:kern w:val="0"/>
              </w:rPr>
            </w:pPr>
            <w:r>
              <w:rPr>
                <w:rFonts w:hint="eastAsia" w:ascii="宋体" w:hAnsi="宋体"/>
                <w:color w:val="000000"/>
                <w:kern w:val="0"/>
              </w:rPr>
              <w:t>≤±0.6V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10</w:t>
            </w:r>
          </w:p>
        </w:tc>
        <w:tc>
          <w:tcPr>
            <w:tcW w:w="2439" w:type="dxa"/>
            <w:vAlign w:val="center"/>
          </w:tcPr>
          <w:p>
            <w:pPr>
              <w:rPr>
                <w:rFonts w:ascii="宋体" w:hAnsi="宋体"/>
                <w:color w:val="000000"/>
                <w:kern w:val="0"/>
              </w:rPr>
            </w:pPr>
            <w:r>
              <w:rPr>
                <w:rFonts w:hint="eastAsia" w:ascii="宋体" w:hAnsi="宋体"/>
                <w:color w:val="000000"/>
                <w:kern w:val="0"/>
              </w:rPr>
              <w:t>稳流精度</w:t>
            </w:r>
          </w:p>
        </w:tc>
        <w:tc>
          <w:tcPr>
            <w:tcW w:w="5811" w:type="dxa"/>
            <w:vAlign w:val="center"/>
          </w:tcPr>
          <w:p>
            <w:pPr>
              <w:rPr>
                <w:rFonts w:ascii="宋体" w:hAnsi="宋体"/>
                <w:color w:val="000000"/>
                <w:kern w:val="0"/>
              </w:rPr>
            </w:pPr>
            <w:r>
              <w:rPr>
                <w:rFonts w:hint="eastAsia" w:ascii="宋体" w:hAnsi="宋体"/>
                <w:color w:val="000000"/>
                <w:kern w:val="0"/>
              </w:rPr>
              <w:t>≤±</w:t>
            </w:r>
            <w:r>
              <w:rPr>
                <w:rFonts w:ascii="宋体" w:hAnsi="宋体"/>
                <w:color w:val="000000"/>
                <w:kern w:val="0"/>
              </w:rPr>
              <w:t>1</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11</w:t>
            </w:r>
          </w:p>
        </w:tc>
        <w:tc>
          <w:tcPr>
            <w:tcW w:w="2439" w:type="dxa"/>
            <w:vAlign w:val="center"/>
          </w:tcPr>
          <w:p>
            <w:pPr>
              <w:rPr>
                <w:rFonts w:ascii="宋体" w:hAnsi="宋体"/>
                <w:color w:val="000000"/>
                <w:kern w:val="0"/>
              </w:rPr>
            </w:pPr>
            <w:r>
              <w:rPr>
                <w:rFonts w:hint="eastAsia" w:ascii="宋体" w:hAnsi="宋体"/>
                <w:color w:val="000000"/>
                <w:kern w:val="0"/>
              </w:rPr>
              <w:t>稳压精度</w:t>
            </w:r>
          </w:p>
        </w:tc>
        <w:tc>
          <w:tcPr>
            <w:tcW w:w="5811" w:type="dxa"/>
            <w:vAlign w:val="center"/>
          </w:tcPr>
          <w:p>
            <w:pPr>
              <w:rPr>
                <w:rFonts w:ascii="宋体" w:hAnsi="宋体"/>
                <w:color w:val="000000"/>
                <w:kern w:val="0"/>
              </w:rPr>
            </w:pPr>
            <w:r>
              <w:rPr>
                <w:rFonts w:hint="eastAsia" w:ascii="宋体" w:hAnsi="宋体"/>
                <w:color w:val="000000"/>
                <w:kern w:val="0"/>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17" w:type="dxa"/>
            <w:vAlign w:val="center"/>
          </w:tcPr>
          <w:p>
            <w:pPr>
              <w:jc w:val="center"/>
              <w:rPr>
                <w:rFonts w:ascii="宋体" w:hAnsi="宋体"/>
                <w:color w:val="000000"/>
                <w:kern w:val="0"/>
              </w:rPr>
            </w:pPr>
            <w:r>
              <w:rPr>
                <w:rFonts w:hint="eastAsia" w:ascii="宋体" w:hAnsi="宋体"/>
                <w:color w:val="000000"/>
                <w:kern w:val="0"/>
              </w:rPr>
              <w:t>12</w:t>
            </w:r>
          </w:p>
        </w:tc>
        <w:tc>
          <w:tcPr>
            <w:tcW w:w="2439" w:type="dxa"/>
            <w:vAlign w:val="center"/>
          </w:tcPr>
          <w:p>
            <w:pPr>
              <w:rPr>
                <w:rFonts w:ascii="宋体" w:hAnsi="宋体"/>
                <w:color w:val="000000"/>
                <w:kern w:val="0"/>
              </w:rPr>
            </w:pPr>
            <w:r>
              <w:rPr>
                <w:rFonts w:hint="eastAsia" w:ascii="宋体" w:hAnsi="宋体"/>
                <w:color w:val="000000"/>
                <w:kern w:val="0"/>
              </w:rPr>
              <w:t>电压纹波因数</w:t>
            </w:r>
          </w:p>
        </w:tc>
        <w:tc>
          <w:tcPr>
            <w:tcW w:w="5811" w:type="dxa"/>
            <w:vAlign w:val="center"/>
          </w:tcPr>
          <w:p>
            <w:pPr>
              <w:rPr>
                <w:rFonts w:ascii="宋体" w:hAnsi="宋体"/>
                <w:color w:val="000000"/>
                <w:kern w:val="0"/>
              </w:rPr>
            </w:pPr>
            <w:r>
              <w:rPr>
                <w:rFonts w:hint="eastAsia" w:ascii="宋体" w:hAnsi="宋体"/>
                <w:color w:val="000000"/>
                <w:kern w:val="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13</w:t>
            </w:r>
          </w:p>
        </w:tc>
        <w:tc>
          <w:tcPr>
            <w:tcW w:w="2439" w:type="dxa"/>
            <w:vAlign w:val="center"/>
          </w:tcPr>
          <w:p>
            <w:pPr>
              <w:rPr>
                <w:rFonts w:ascii="宋体" w:hAnsi="宋体"/>
                <w:color w:val="000000"/>
                <w:kern w:val="0"/>
              </w:rPr>
            </w:pPr>
            <w:r>
              <w:rPr>
                <w:rFonts w:hint="eastAsia" w:ascii="宋体" w:hAnsi="宋体"/>
                <w:color w:val="000000"/>
                <w:kern w:val="0"/>
              </w:rPr>
              <w:t>输出电流设定误差</w:t>
            </w:r>
          </w:p>
        </w:tc>
        <w:tc>
          <w:tcPr>
            <w:tcW w:w="5811" w:type="dxa"/>
            <w:vAlign w:val="center"/>
          </w:tcPr>
          <w:p>
            <w:pPr>
              <w:rPr>
                <w:rFonts w:ascii="宋体" w:hAnsi="宋体"/>
                <w:color w:val="000000"/>
                <w:kern w:val="0"/>
              </w:rPr>
            </w:pPr>
            <w:r>
              <w:rPr>
                <w:rFonts w:hint="eastAsia" w:ascii="宋体" w:hAnsi="宋体"/>
                <w:color w:val="000000"/>
                <w:kern w:val="0"/>
              </w:rPr>
              <w:t>电流＜30A时，≤±0.3A；电流≥30A时，≤±1%；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14</w:t>
            </w:r>
          </w:p>
        </w:tc>
        <w:tc>
          <w:tcPr>
            <w:tcW w:w="2439" w:type="dxa"/>
            <w:vAlign w:val="center"/>
          </w:tcPr>
          <w:p>
            <w:pPr>
              <w:rPr>
                <w:rFonts w:ascii="宋体" w:hAnsi="宋体"/>
                <w:color w:val="000000"/>
                <w:kern w:val="0"/>
              </w:rPr>
            </w:pPr>
            <w:r>
              <w:rPr>
                <w:rFonts w:hint="eastAsia" w:ascii="宋体" w:hAnsi="宋体"/>
                <w:color w:val="000000"/>
                <w:kern w:val="0"/>
              </w:rPr>
              <w:t>输出电压设定误差</w:t>
            </w:r>
          </w:p>
        </w:tc>
        <w:tc>
          <w:tcPr>
            <w:tcW w:w="5811" w:type="dxa"/>
            <w:vAlign w:val="center"/>
          </w:tcPr>
          <w:p>
            <w:pPr>
              <w:rPr>
                <w:rFonts w:ascii="宋体" w:hAnsi="宋体"/>
                <w:color w:val="000000"/>
                <w:kern w:val="0"/>
              </w:rPr>
            </w:pPr>
            <w:r>
              <w:rPr>
                <w:rFonts w:hint="eastAsia" w:ascii="宋体" w:hAnsi="宋体"/>
                <w:color w:val="000000"/>
                <w:kern w:val="0"/>
              </w:rPr>
              <w:t>≤±0.</w:t>
            </w:r>
            <w:r>
              <w:rPr>
                <w:rFonts w:ascii="宋体" w:hAnsi="宋体"/>
                <w:color w:val="000000"/>
                <w:kern w:val="0"/>
              </w:rPr>
              <w:t>5</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17" w:type="dxa"/>
            <w:vAlign w:val="center"/>
          </w:tcPr>
          <w:p>
            <w:pPr>
              <w:jc w:val="center"/>
              <w:rPr>
                <w:rFonts w:ascii="宋体" w:hAnsi="宋体"/>
                <w:color w:val="000000"/>
                <w:kern w:val="0"/>
              </w:rPr>
            </w:pPr>
            <w:r>
              <w:rPr>
                <w:rFonts w:hint="eastAsia" w:ascii="宋体" w:hAnsi="宋体"/>
                <w:color w:val="000000"/>
                <w:kern w:val="0"/>
              </w:rPr>
              <w:t>15</w:t>
            </w:r>
          </w:p>
        </w:tc>
        <w:tc>
          <w:tcPr>
            <w:tcW w:w="2439" w:type="dxa"/>
            <w:vAlign w:val="center"/>
          </w:tcPr>
          <w:p>
            <w:pPr>
              <w:rPr>
                <w:rFonts w:ascii="宋体" w:hAnsi="宋体"/>
                <w:color w:val="000000"/>
                <w:kern w:val="0"/>
              </w:rPr>
            </w:pPr>
            <w:r>
              <w:rPr>
                <w:rFonts w:hint="eastAsia" w:ascii="宋体" w:hAnsi="宋体"/>
                <w:color w:val="000000"/>
                <w:kern w:val="0"/>
              </w:rPr>
              <w:t>▲综合效率</w:t>
            </w:r>
          </w:p>
        </w:tc>
        <w:tc>
          <w:tcPr>
            <w:tcW w:w="5811" w:type="dxa"/>
            <w:vAlign w:val="center"/>
          </w:tcPr>
          <w:p>
            <w:pPr>
              <w:rPr>
                <w:rFonts w:ascii="宋体" w:hAnsi="宋体"/>
                <w:color w:val="000000"/>
                <w:kern w:val="0"/>
              </w:rPr>
            </w:pPr>
            <w:r>
              <w:rPr>
                <w:rFonts w:hint="eastAsia" w:ascii="宋体" w:hAnsi="宋体"/>
                <w:color w:val="000000"/>
                <w:kern w:val="0"/>
              </w:rPr>
              <w:t>输出功率20%≤P≤</w:t>
            </w:r>
            <w:r>
              <w:rPr>
                <w:rFonts w:ascii="宋体" w:hAnsi="宋体"/>
                <w:color w:val="000000"/>
                <w:kern w:val="0"/>
              </w:rPr>
              <w:t>10</w:t>
            </w:r>
            <w:r>
              <w:rPr>
                <w:rFonts w:hint="eastAsia" w:ascii="宋体" w:hAnsi="宋体"/>
                <w:color w:val="000000"/>
                <w:kern w:val="0"/>
              </w:rPr>
              <w:t>0%时，工作效率≥</w:t>
            </w:r>
            <w:r>
              <w:rPr>
                <w:rFonts w:ascii="宋体" w:hAnsi="宋体"/>
                <w:color w:val="000000"/>
                <w:kern w:val="0"/>
              </w:rPr>
              <w:t>92</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17" w:type="dxa"/>
            <w:vAlign w:val="center"/>
          </w:tcPr>
          <w:p>
            <w:pPr>
              <w:jc w:val="center"/>
              <w:rPr>
                <w:rFonts w:ascii="宋体" w:hAnsi="宋体"/>
                <w:color w:val="000000"/>
                <w:kern w:val="0"/>
              </w:rPr>
            </w:pPr>
            <w:r>
              <w:rPr>
                <w:rFonts w:hint="eastAsia" w:ascii="宋体" w:hAnsi="宋体"/>
                <w:color w:val="000000"/>
                <w:kern w:val="0"/>
              </w:rPr>
              <w:t>16</w:t>
            </w:r>
          </w:p>
        </w:tc>
        <w:tc>
          <w:tcPr>
            <w:tcW w:w="2439" w:type="dxa"/>
            <w:vAlign w:val="center"/>
          </w:tcPr>
          <w:p>
            <w:pPr>
              <w:rPr>
                <w:rFonts w:ascii="宋体" w:hAnsi="宋体"/>
                <w:color w:val="000000"/>
                <w:kern w:val="0"/>
              </w:rPr>
            </w:pPr>
            <w:r>
              <w:rPr>
                <w:rFonts w:hint="eastAsia" w:ascii="宋体" w:hAnsi="宋体"/>
                <w:color w:val="000000"/>
                <w:kern w:val="0"/>
              </w:rPr>
              <w:t>▲功率因数</w:t>
            </w:r>
          </w:p>
        </w:tc>
        <w:tc>
          <w:tcPr>
            <w:tcW w:w="5811" w:type="dxa"/>
            <w:vAlign w:val="center"/>
          </w:tcPr>
          <w:p>
            <w:pPr>
              <w:rPr>
                <w:rFonts w:ascii="宋体" w:hAnsi="宋体"/>
                <w:color w:val="000000"/>
                <w:kern w:val="0"/>
              </w:rPr>
            </w:pPr>
            <w:r>
              <w:rPr>
                <w:rFonts w:hint="eastAsia" w:ascii="宋体" w:hAnsi="宋体"/>
                <w:color w:val="000000"/>
                <w:kern w:val="0"/>
              </w:rPr>
              <w:t>输出功率20%≤P≤</w:t>
            </w:r>
            <w:r>
              <w:rPr>
                <w:rFonts w:ascii="宋体" w:hAnsi="宋体"/>
                <w:color w:val="000000"/>
                <w:kern w:val="0"/>
              </w:rPr>
              <w:t>10</w:t>
            </w:r>
            <w:r>
              <w:rPr>
                <w:rFonts w:hint="eastAsia" w:ascii="宋体" w:hAnsi="宋体"/>
                <w:color w:val="000000"/>
                <w:kern w:val="0"/>
              </w:rPr>
              <w:t>0%时，功率因数≥0.9</w:t>
            </w:r>
            <w:r>
              <w:rPr>
                <w:rFonts w:ascii="宋体" w:hAnsi="宋体"/>
                <w:color w:val="000000"/>
                <w:kern w:val="0"/>
              </w:rPr>
              <w:t>8</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17</w:t>
            </w:r>
          </w:p>
        </w:tc>
        <w:tc>
          <w:tcPr>
            <w:tcW w:w="2439" w:type="dxa"/>
            <w:vAlign w:val="center"/>
          </w:tcPr>
          <w:p>
            <w:pPr>
              <w:rPr>
                <w:rFonts w:ascii="宋体" w:hAnsi="宋体"/>
                <w:color w:val="000000"/>
                <w:kern w:val="0"/>
              </w:rPr>
            </w:pPr>
            <w:r>
              <w:rPr>
                <w:rFonts w:hint="eastAsia" w:ascii="宋体" w:hAnsi="宋体"/>
                <w:color w:val="000000"/>
                <w:kern w:val="0"/>
              </w:rPr>
              <w:t>待机功耗</w:t>
            </w:r>
          </w:p>
        </w:tc>
        <w:tc>
          <w:tcPr>
            <w:tcW w:w="5811" w:type="dxa"/>
            <w:vAlign w:val="center"/>
          </w:tcPr>
          <w:p>
            <w:pPr>
              <w:rPr>
                <w:rFonts w:ascii="宋体" w:hAnsi="宋体"/>
                <w:color w:val="000000"/>
                <w:kern w:val="0"/>
              </w:rPr>
            </w:pPr>
            <w:r>
              <w:rPr>
                <w:rFonts w:hint="eastAsia" w:ascii="宋体" w:hAnsi="宋体"/>
                <w:color w:val="000000"/>
                <w:kern w:val="0"/>
              </w:rPr>
              <w:t>≤</w:t>
            </w:r>
            <w:r>
              <w:rPr>
                <w:rFonts w:ascii="宋体" w:hAnsi="宋体"/>
                <w:color w:val="000000"/>
                <w:kern w:val="0"/>
              </w:rPr>
              <w:t>40</w:t>
            </w:r>
            <w:r>
              <w:rPr>
                <w:rFonts w:hint="eastAsia" w:ascii="宋体" w:hAnsi="宋体"/>
                <w:color w:val="000000"/>
                <w:kern w:val="0"/>
              </w:rPr>
              <w:t>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18</w:t>
            </w:r>
          </w:p>
        </w:tc>
        <w:tc>
          <w:tcPr>
            <w:tcW w:w="2439" w:type="dxa"/>
            <w:vAlign w:val="center"/>
          </w:tcPr>
          <w:p>
            <w:pPr>
              <w:rPr>
                <w:rFonts w:ascii="宋体" w:hAnsi="宋体"/>
                <w:color w:val="000000"/>
                <w:kern w:val="0"/>
              </w:rPr>
            </w:pPr>
            <w:r>
              <w:rPr>
                <w:rFonts w:hint="eastAsia" w:ascii="宋体" w:hAnsi="宋体"/>
                <w:color w:val="000000"/>
                <w:kern w:val="0"/>
              </w:rPr>
              <w:t>噪声</w:t>
            </w:r>
          </w:p>
        </w:tc>
        <w:tc>
          <w:tcPr>
            <w:tcW w:w="5811" w:type="dxa"/>
            <w:vAlign w:val="center"/>
          </w:tcPr>
          <w:p>
            <w:pPr>
              <w:rPr>
                <w:rFonts w:ascii="宋体" w:hAnsi="宋体"/>
                <w:color w:val="000000"/>
                <w:kern w:val="0"/>
              </w:rPr>
            </w:pPr>
            <w:r>
              <w:rPr>
                <w:rFonts w:hint="eastAsia" w:ascii="宋体" w:hAnsi="宋体"/>
                <w:color w:val="000000"/>
                <w:kern w:val="0"/>
              </w:rPr>
              <w:t>≤</w:t>
            </w:r>
            <w:r>
              <w:rPr>
                <w:rFonts w:ascii="宋体" w:hAnsi="宋体"/>
                <w:color w:val="000000"/>
                <w:kern w:val="0"/>
              </w:rPr>
              <w:t>80</w:t>
            </w:r>
            <w:r>
              <w:rPr>
                <w:rFonts w:hint="eastAsia" w:ascii="宋体" w:hAnsi="宋体"/>
                <w:color w:val="000000"/>
                <w:kern w:val="0"/>
              </w:rPr>
              <w:t>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19</w:t>
            </w:r>
          </w:p>
        </w:tc>
        <w:tc>
          <w:tcPr>
            <w:tcW w:w="2439" w:type="dxa"/>
            <w:vAlign w:val="center"/>
          </w:tcPr>
          <w:p>
            <w:pPr>
              <w:rPr>
                <w:rFonts w:ascii="宋体" w:hAnsi="宋体"/>
                <w:color w:val="000000"/>
                <w:kern w:val="0"/>
              </w:rPr>
            </w:pPr>
            <w:r>
              <w:rPr>
                <w:rFonts w:hint="eastAsia" w:ascii="宋体" w:hAnsi="宋体"/>
                <w:color w:val="000000"/>
                <w:kern w:val="0"/>
              </w:rPr>
              <w:t>IP防护等级</w:t>
            </w:r>
          </w:p>
        </w:tc>
        <w:tc>
          <w:tcPr>
            <w:tcW w:w="5811" w:type="dxa"/>
            <w:vAlign w:val="center"/>
          </w:tcPr>
          <w:p>
            <w:pPr>
              <w:rPr>
                <w:rFonts w:ascii="宋体" w:hAnsi="宋体"/>
                <w:color w:val="000000"/>
                <w:kern w:val="0"/>
              </w:rPr>
            </w:pPr>
            <w:r>
              <w:rPr>
                <w:rFonts w:hint="eastAsia" w:ascii="宋体" w:hAnsi="宋体"/>
                <w:color w:val="000000"/>
                <w:kern w:val="0"/>
              </w:rPr>
              <w:t>IP5</w:t>
            </w:r>
            <w:r>
              <w:rPr>
                <w:rFonts w:ascii="宋体" w:hAnsi="宋体"/>
                <w:color w:val="000000"/>
                <w:kern w:val="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20</w:t>
            </w:r>
          </w:p>
        </w:tc>
        <w:tc>
          <w:tcPr>
            <w:tcW w:w="2439" w:type="dxa"/>
            <w:vAlign w:val="center"/>
          </w:tcPr>
          <w:p>
            <w:pPr>
              <w:rPr>
                <w:rFonts w:ascii="宋体" w:hAnsi="宋体"/>
                <w:color w:val="000000"/>
                <w:kern w:val="0"/>
              </w:rPr>
            </w:pPr>
            <w:r>
              <w:rPr>
                <w:rFonts w:hint="eastAsia" w:ascii="宋体" w:hAnsi="宋体"/>
                <w:color w:val="000000"/>
                <w:kern w:val="0"/>
              </w:rPr>
              <w:t>正常工作温度</w:t>
            </w:r>
          </w:p>
        </w:tc>
        <w:tc>
          <w:tcPr>
            <w:tcW w:w="5811" w:type="dxa"/>
            <w:vAlign w:val="center"/>
          </w:tcPr>
          <w:p>
            <w:pPr>
              <w:rPr>
                <w:rFonts w:ascii="宋体" w:hAnsi="宋体"/>
                <w:color w:val="000000"/>
                <w:kern w:val="0"/>
              </w:rPr>
            </w:pPr>
            <w:r>
              <w:rPr>
                <w:rFonts w:hint="eastAsia" w:ascii="宋体" w:hAnsi="宋体"/>
                <w:color w:val="000000"/>
                <w:kern w:val="0"/>
              </w:rPr>
              <w:t>-</w:t>
            </w:r>
            <w:r>
              <w:rPr>
                <w:rFonts w:ascii="宋体" w:hAnsi="宋体"/>
                <w:color w:val="000000"/>
                <w:kern w:val="0"/>
              </w:rPr>
              <w:t>20</w:t>
            </w:r>
            <w:r>
              <w:rPr>
                <w:rFonts w:hint="eastAsia" w:ascii="宋体" w:hAnsi="宋体"/>
                <w:color w:val="000000"/>
                <w:kern w:val="0"/>
              </w:rPr>
              <w:t>℃至</w:t>
            </w:r>
            <w:r>
              <w:rPr>
                <w:rFonts w:ascii="宋体" w:hAnsi="宋体"/>
                <w:color w:val="000000"/>
                <w:kern w:val="0"/>
              </w:rPr>
              <w:t>50</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21</w:t>
            </w:r>
          </w:p>
        </w:tc>
        <w:tc>
          <w:tcPr>
            <w:tcW w:w="2439" w:type="dxa"/>
            <w:vAlign w:val="center"/>
          </w:tcPr>
          <w:p>
            <w:pPr>
              <w:rPr>
                <w:rFonts w:ascii="宋体" w:hAnsi="宋体"/>
                <w:color w:val="000000"/>
                <w:kern w:val="0"/>
              </w:rPr>
            </w:pPr>
            <w:r>
              <w:rPr>
                <w:rFonts w:hint="eastAsia" w:ascii="宋体" w:hAnsi="宋体"/>
                <w:color w:val="000000"/>
                <w:kern w:val="0"/>
              </w:rPr>
              <w:t>高低温稳流</w:t>
            </w:r>
          </w:p>
        </w:tc>
        <w:tc>
          <w:tcPr>
            <w:tcW w:w="5811" w:type="dxa"/>
            <w:vAlign w:val="center"/>
          </w:tcPr>
          <w:p>
            <w:pPr>
              <w:rPr>
                <w:rFonts w:ascii="宋体" w:hAnsi="宋体"/>
                <w:color w:val="000000"/>
                <w:kern w:val="0"/>
              </w:rPr>
            </w:pPr>
            <w:r>
              <w:rPr>
                <w:rFonts w:hint="eastAsia" w:ascii="宋体" w:hAnsi="宋体"/>
                <w:color w:val="000000"/>
                <w:kern w:val="0"/>
              </w:rPr>
              <w:t>-</w:t>
            </w:r>
            <w:r>
              <w:rPr>
                <w:rFonts w:ascii="宋体" w:hAnsi="宋体"/>
                <w:color w:val="000000"/>
                <w:kern w:val="0"/>
              </w:rPr>
              <w:t>20</w:t>
            </w:r>
            <w:r>
              <w:rPr>
                <w:rFonts w:hint="eastAsia" w:ascii="宋体" w:hAnsi="宋体"/>
                <w:color w:val="000000"/>
                <w:kern w:val="0"/>
              </w:rPr>
              <w:t>℃时≤±1%；</w:t>
            </w:r>
            <w:r>
              <w:rPr>
                <w:rFonts w:ascii="宋体" w:hAnsi="宋体"/>
                <w:color w:val="000000"/>
                <w:kern w:val="0"/>
              </w:rPr>
              <w:t>50</w:t>
            </w:r>
            <w:r>
              <w:rPr>
                <w:rFonts w:hint="eastAsia" w:ascii="宋体" w:hAnsi="宋体"/>
                <w:color w:val="000000"/>
                <w:kern w:val="0"/>
              </w:rPr>
              <w:t>℃时≤±</w:t>
            </w:r>
            <w:r>
              <w:rPr>
                <w:rFonts w:ascii="宋体" w:hAnsi="宋体"/>
                <w:color w:val="000000"/>
                <w:kern w:val="0"/>
              </w:rPr>
              <w:t>1</w:t>
            </w:r>
            <w:r>
              <w:rPr>
                <w:rFonts w:hint="eastAsia" w:ascii="宋体" w:hAnsi="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22</w:t>
            </w:r>
          </w:p>
        </w:tc>
        <w:tc>
          <w:tcPr>
            <w:tcW w:w="2439" w:type="dxa"/>
            <w:vAlign w:val="center"/>
          </w:tcPr>
          <w:p>
            <w:pPr>
              <w:rPr>
                <w:rFonts w:ascii="宋体" w:hAnsi="宋体"/>
              </w:rPr>
            </w:pPr>
            <w:r>
              <w:rPr>
                <w:rFonts w:hint="eastAsia" w:ascii="宋体" w:hAnsi="宋体"/>
              </w:rPr>
              <w:t>静电放电抗扰度</w:t>
            </w:r>
          </w:p>
        </w:tc>
        <w:tc>
          <w:tcPr>
            <w:tcW w:w="5811" w:type="dxa"/>
            <w:vAlign w:val="center"/>
          </w:tcPr>
          <w:p>
            <w:pPr>
              <w:rPr>
                <w:rFonts w:ascii="宋体" w:hAnsi="宋体"/>
                <w:color w:val="000000"/>
                <w:kern w:val="0"/>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23</w:t>
            </w:r>
          </w:p>
        </w:tc>
        <w:tc>
          <w:tcPr>
            <w:tcW w:w="2439" w:type="dxa"/>
            <w:vAlign w:val="center"/>
          </w:tcPr>
          <w:p>
            <w:pPr>
              <w:rPr>
                <w:rFonts w:ascii="宋体" w:hAnsi="宋体"/>
              </w:rPr>
            </w:pPr>
            <w:r>
              <w:rPr>
                <w:rFonts w:hint="eastAsia" w:ascii="宋体" w:hAnsi="宋体"/>
              </w:rPr>
              <w:t>射频电磁场辐射抗扰度</w:t>
            </w:r>
          </w:p>
        </w:tc>
        <w:tc>
          <w:tcPr>
            <w:tcW w:w="5811" w:type="dxa"/>
            <w:vAlign w:val="center"/>
          </w:tcPr>
          <w:p>
            <w:pPr>
              <w:rPr>
                <w:rFonts w:ascii="宋体" w:hAnsi="宋体"/>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24</w:t>
            </w:r>
          </w:p>
        </w:tc>
        <w:tc>
          <w:tcPr>
            <w:tcW w:w="2439" w:type="dxa"/>
            <w:vAlign w:val="center"/>
          </w:tcPr>
          <w:p>
            <w:pPr>
              <w:rPr>
                <w:rFonts w:ascii="宋体" w:hAnsi="宋体"/>
              </w:rPr>
            </w:pPr>
            <w:r>
              <w:rPr>
                <w:rFonts w:hint="eastAsia" w:ascii="宋体" w:hAnsi="宋体"/>
              </w:rPr>
              <w:t>工频磁场抗扰度</w:t>
            </w:r>
          </w:p>
        </w:tc>
        <w:tc>
          <w:tcPr>
            <w:tcW w:w="5811" w:type="dxa"/>
            <w:vAlign w:val="center"/>
          </w:tcPr>
          <w:p>
            <w:pPr>
              <w:rPr>
                <w:rFonts w:ascii="宋体" w:hAnsi="宋体"/>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25</w:t>
            </w:r>
          </w:p>
        </w:tc>
        <w:tc>
          <w:tcPr>
            <w:tcW w:w="2439" w:type="dxa"/>
            <w:vAlign w:val="center"/>
          </w:tcPr>
          <w:p>
            <w:pPr>
              <w:rPr>
                <w:rFonts w:ascii="宋体" w:hAnsi="宋体"/>
              </w:rPr>
            </w:pPr>
            <w:r>
              <w:rPr>
                <w:rFonts w:hint="eastAsia" w:ascii="宋体" w:hAnsi="宋体"/>
              </w:rPr>
              <w:t>电快速瞬变脉冲群抗扰度</w:t>
            </w:r>
          </w:p>
        </w:tc>
        <w:tc>
          <w:tcPr>
            <w:tcW w:w="5811" w:type="dxa"/>
            <w:vAlign w:val="center"/>
          </w:tcPr>
          <w:p>
            <w:pPr>
              <w:rPr>
                <w:rFonts w:ascii="宋体" w:hAnsi="宋体"/>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26</w:t>
            </w:r>
          </w:p>
        </w:tc>
        <w:tc>
          <w:tcPr>
            <w:tcW w:w="2439" w:type="dxa"/>
            <w:vAlign w:val="center"/>
          </w:tcPr>
          <w:p>
            <w:pPr>
              <w:rPr>
                <w:rFonts w:ascii="宋体" w:hAnsi="宋体"/>
              </w:rPr>
            </w:pPr>
            <w:r>
              <w:rPr>
                <w:rFonts w:hint="eastAsia" w:ascii="宋体" w:hAnsi="宋体"/>
              </w:rPr>
              <w:t>浪涌抗扰度</w:t>
            </w:r>
          </w:p>
        </w:tc>
        <w:tc>
          <w:tcPr>
            <w:tcW w:w="5811" w:type="dxa"/>
            <w:vAlign w:val="center"/>
          </w:tcPr>
          <w:p>
            <w:pPr>
              <w:rPr>
                <w:rFonts w:ascii="宋体" w:hAnsi="宋体"/>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817" w:type="dxa"/>
            <w:vAlign w:val="center"/>
          </w:tcPr>
          <w:p>
            <w:pPr>
              <w:jc w:val="center"/>
              <w:rPr>
                <w:rFonts w:ascii="宋体" w:hAnsi="宋体"/>
                <w:color w:val="000000"/>
                <w:kern w:val="0"/>
              </w:rPr>
            </w:pPr>
            <w:r>
              <w:rPr>
                <w:rFonts w:hint="eastAsia" w:ascii="宋体" w:hAnsi="宋体"/>
                <w:color w:val="000000"/>
                <w:kern w:val="0"/>
              </w:rPr>
              <w:t>27</w:t>
            </w:r>
          </w:p>
        </w:tc>
        <w:tc>
          <w:tcPr>
            <w:tcW w:w="2439" w:type="dxa"/>
            <w:vAlign w:val="center"/>
          </w:tcPr>
          <w:p>
            <w:pPr>
              <w:rPr>
                <w:rFonts w:ascii="宋体" w:hAnsi="宋体"/>
              </w:rPr>
            </w:pPr>
            <w:r>
              <w:rPr>
                <w:rFonts w:hint="eastAsia" w:ascii="宋体" w:hAnsi="宋体"/>
              </w:rPr>
              <w:t>射频场感应的传导骚扰抗扰度</w:t>
            </w:r>
          </w:p>
        </w:tc>
        <w:tc>
          <w:tcPr>
            <w:tcW w:w="5811" w:type="dxa"/>
            <w:vAlign w:val="center"/>
          </w:tcPr>
          <w:p>
            <w:pPr>
              <w:rPr>
                <w:rFonts w:ascii="宋体" w:hAnsi="宋体"/>
              </w:rPr>
            </w:pPr>
            <w:r>
              <w:rPr>
                <w:rFonts w:hint="eastAsia" w:ascii="宋体" w:hAnsi="宋体"/>
                <w:color w:val="000000"/>
                <w:kern w:val="0"/>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2</w:t>
            </w:r>
            <w:r>
              <w:rPr>
                <w:rFonts w:ascii="宋体" w:hAnsi="宋体"/>
                <w:color w:val="000000"/>
                <w:kern w:val="0"/>
              </w:rPr>
              <w:t>8</w:t>
            </w:r>
          </w:p>
        </w:tc>
        <w:tc>
          <w:tcPr>
            <w:tcW w:w="2439" w:type="dxa"/>
            <w:vAlign w:val="center"/>
          </w:tcPr>
          <w:p>
            <w:pPr>
              <w:rPr>
                <w:rFonts w:ascii="宋体" w:hAnsi="宋体"/>
                <w:color w:val="000000"/>
                <w:kern w:val="0"/>
              </w:rPr>
            </w:pPr>
            <w:r>
              <w:rPr>
                <w:rFonts w:hint="eastAsia" w:ascii="宋体" w:hAnsi="宋体"/>
                <w:color w:val="000000"/>
                <w:kern w:val="0"/>
              </w:rPr>
              <w:t>启动方式</w:t>
            </w:r>
          </w:p>
        </w:tc>
        <w:tc>
          <w:tcPr>
            <w:tcW w:w="5811" w:type="dxa"/>
            <w:vAlign w:val="center"/>
          </w:tcPr>
          <w:p>
            <w:pPr>
              <w:rPr>
                <w:rFonts w:ascii="宋体" w:hAnsi="宋体"/>
                <w:color w:val="000000"/>
                <w:kern w:val="0"/>
              </w:rPr>
            </w:pPr>
            <w:r>
              <w:rPr>
                <w:rFonts w:hint="eastAsia" w:ascii="宋体" w:hAnsi="宋体"/>
                <w:color w:val="000000"/>
                <w:kern w:val="0"/>
              </w:rPr>
              <w:t>刷卡启动、APP扫码启动、VIN码启动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817" w:type="dxa"/>
            <w:vAlign w:val="center"/>
          </w:tcPr>
          <w:p>
            <w:pPr>
              <w:jc w:val="center"/>
              <w:rPr>
                <w:rFonts w:ascii="宋体" w:hAnsi="宋体"/>
                <w:color w:val="000000"/>
                <w:kern w:val="0"/>
              </w:rPr>
            </w:pPr>
            <w:r>
              <w:rPr>
                <w:rFonts w:hint="eastAsia" w:ascii="宋体" w:hAnsi="宋体"/>
                <w:color w:val="000000"/>
                <w:kern w:val="0"/>
              </w:rPr>
              <w:t>2</w:t>
            </w:r>
            <w:r>
              <w:rPr>
                <w:rFonts w:ascii="宋体" w:hAnsi="宋体"/>
                <w:color w:val="000000"/>
                <w:kern w:val="0"/>
              </w:rPr>
              <w:t>9</w:t>
            </w:r>
          </w:p>
        </w:tc>
        <w:tc>
          <w:tcPr>
            <w:tcW w:w="2439" w:type="dxa"/>
            <w:vAlign w:val="center"/>
          </w:tcPr>
          <w:p>
            <w:pPr>
              <w:rPr>
                <w:rFonts w:ascii="宋体" w:hAnsi="宋体"/>
                <w:color w:val="000000"/>
                <w:kern w:val="0"/>
              </w:rPr>
            </w:pPr>
            <w:r>
              <w:rPr>
                <w:rFonts w:hint="eastAsia" w:ascii="宋体" w:hAnsi="宋体"/>
                <w:color w:val="000000"/>
                <w:kern w:val="0"/>
              </w:rPr>
              <w:t>通信协议</w:t>
            </w:r>
          </w:p>
        </w:tc>
        <w:tc>
          <w:tcPr>
            <w:tcW w:w="5811" w:type="dxa"/>
            <w:vAlign w:val="center"/>
          </w:tcPr>
          <w:p>
            <w:pPr>
              <w:rPr>
                <w:rFonts w:ascii="宋体" w:hAnsi="宋体"/>
                <w:color w:val="000000"/>
                <w:kern w:val="0"/>
              </w:rPr>
            </w:pPr>
            <w:r>
              <w:rPr>
                <w:rFonts w:hint="eastAsia" w:ascii="宋体" w:hAnsi="宋体"/>
                <w:color w:val="000000"/>
                <w:kern w:val="0"/>
              </w:rPr>
              <w:t>符合中华人民共和国工业和信息化部发布的新国标即《电动汽车非车载传导式充电机与电池管理系统之间的通信协议（GB/T 27930-2015）》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3</w:t>
            </w:r>
            <w:r>
              <w:rPr>
                <w:rFonts w:ascii="宋体" w:hAnsi="宋体"/>
                <w:color w:val="000000"/>
                <w:kern w:val="0"/>
              </w:rPr>
              <w:t>0</w:t>
            </w:r>
          </w:p>
        </w:tc>
        <w:tc>
          <w:tcPr>
            <w:tcW w:w="2439" w:type="dxa"/>
            <w:vAlign w:val="center"/>
          </w:tcPr>
          <w:p>
            <w:pPr>
              <w:rPr>
                <w:rFonts w:ascii="宋体" w:hAnsi="宋体"/>
                <w:color w:val="000000"/>
                <w:kern w:val="0"/>
              </w:rPr>
            </w:pPr>
            <w:r>
              <w:rPr>
                <w:rFonts w:hint="eastAsia" w:ascii="宋体" w:hAnsi="宋体"/>
                <w:color w:val="000000"/>
                <w:kern w:val="0"/>
              </w:rPr>
              <w:t>安装方式</w:t>
            </w:r>
          </w:p>
        </w:tc>
        <w:tc>
          <w:tcPr>
            <w:tcW w:w="5811" w:type="dxa"/>
            <w:vAlign w:val="center"/>
          </w:tcPr>
          <w:p>
            <w:pPr>
              <w:rPr>
                <w:rFonts w:ascii="宋体" w:hAnsi="宋体"/>
                <w:color w:val="000000"/>
                <w:kern w:val="0"/>
              </w:rPr>
            </w:pPr>
            <w:r>
              <w:rPr>
                <w:rFonts w:hint="eastAsia" w:ascii="宋体" w:hAnsi="宋体"/>
                <w:color w:val="000000"/>
                <w:kern w:val="0"/>
              </w:rPr>
              <w:t>落地式安装且提供安装技术支持及调试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17" w:type="dxa"/>
            <w:vAlign w:val="center"/>
          </w:tcPr>
          <w:p>
            <w:pPr>
              <w:jc w:val="center"/>
              <w:rPr>
                <w:rFonts w:ascii="宋体" w:hAnsi="宋体"/>
                <w:color w:val="000000"/>
                <w:kern w:val="0"/>
              </w:rPr>
            </w:pPr>
            <w:r>
              <w:rPr>
                <w:rFonts w:hint="eastAsia" w:ascii="宋体" w:hAnsi="宋体"/>
                <w:color w:val="000000"/>
                <w:kern w:val="0"/>
              </w:rPr>
              <w:t>3</w:t>
            </w:r>
            <w:r>
              <w:rPr>
                <w:rFonts w:ascii="宋体" w:hAnsi="宋体"/>
                <w:color w:val="000000"/>
                <w:kern w:val="0"/>
              </w:rPr>
              <w:t>1</w:t>
            </w:r>
          </w:p>
        </w:tc>
        <w:tc>
          <w:tcPr>
            <w:tcW w:w="2439" w:type="dxa"/>
            <w:vAlign w:val="center"/>
          </w:tcPr>
          <w:p>
            <w:pPr>
              <w:rPr>
                <w:rFonts w:ascii="宋体" w:hAnsi="宋体"/>
                <w:color w:val="000000"/>
                <w:kern w:val="0"/>
              </w:rPr>
            </w:pPr>
            <w:r>
              <w:rPr>
                <w:rFonts w:hint="eastAsia" w:ascii="宋体" w:hAnsi="宋体"/>
                <w:color w:val="000000"/>
                <w:kern w:val="0"/>
              </w:rPr>
              <w:t>通讯传输</w:t>
            </w:r>
          </w:p>
        </w:tc>
        <w:tc>
          <w:tcPr>
            <w:tcW w:w="5811" w:type="dxa"/>
            <w:vAlign w:val="center"/>
          </w:tcPr>
          <w:p>
            <w:pPr>
              <w:rPr>
                <w:rFonts w:ascii="宋体" w:hAnsi="宋体"/>
                <w:color w:val="000000"/>
                <w:kern w:val="0"/>
              </w:rPr>
            </w:pPr>
            <w:r>
              <w:rPr>
                <w:rFonts w:hint="eastAsia" w:ascii="宋体" w:hAnsi="宋体"/>
                <w:color w:val="000000"/>
                <w:kern w:val="0"/>
              </w:rPr>
              <w:t>4G、3G或2G无线网络传输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17" w:type="dxa"/>
            <w:vAlign w:val="center"/>
          </w:tcPr>
          <w:p>
            <w:pPr>
              <w:jc w:val="center"/>
              <w:rPr>
                <w:rFonts w:ascii="宋体" w:hAnsi="宋体"/>
                <w:color w:val="000000"/>
                <w:kern w:val="0"/>
              </w:rPr>
            </w:pPr>
            <w:r>
              <w:rPr>
                <w:rFonts w:hint="eastAsia" w:ascii="宋体" w:hAnsi="宋体"/>
                <w:color w:val="000000"/>
                <w:kern w:val="0"/>
              </w:rPr>
              <w:t>3</w:t>
            </w:r>
            <w:r>
              <w:rPr>
                <w:rFonts w:ascii="宋体" w:hAnsi="宋体"/>
                <w:color w:val="000000"/>
                <w:kern w:val="0"/>
              </w:rPr>
              <w:t>2</w:t>
            </w:r>
          </w:p>
        </w:tc>
        <w:tc>
          <w:tcPr>
            <w:tcW w:w="2439" w:type="dxa"/>
            <w:vAlign w:val="center"/>
          </w:tcPr>
          <w:p>
            <w:pPr>
              <w:rPr>
                <w:rFonts w:ascii="宋体" w:hAnsi="宋体"/>
                <w:color w:val="000000"/>
                <w:kern w:val="0"/>
              </w:rPr>
            </w:pPr>
            <w:r>
              <w:rPr>
                <w:rFonts w:hint="eastAsia" w:ascii="宋体" w:hAnsi="宋体"/>
                <w:color w:val="000000"/>
                <w:kern w:val="0"/>
              </w:rPr>
              <w:t>外形尺寸</w:t>
            </w:r>
          </w:p>
        </w:tc>
        <w:tc>
          <w:tcPr>
            <w:tcW w:w="5811" w:type="dxa"/>
            <w:vAlign w:val="center"/>
          </w:tcPr>
          <w:p>
            <w:pPr>
              <w:rPr>
                <w:rFonts w:ascii="宋体" w:hAnsi="宋体"/>
                <w:color w:val="000000"/>
                <w:kern w:val="0"/>
              </w:rPr>
            </w:pPr>
            <w:r>
              <w:rPr>
                <w:rFonts w:hint="eastAsia" w:ascii="宋体" w:hAnsi="宋体"/>
                <w:color w:val="000000"/>
                <w:kern w:val="0"/>
              </w:rPr>
              <w:t>不限（以不影响现场操作、设备维修、其他设备设施安装等为原则和前提，尽可能缩小占地面积）</w:t>
            </w:r>
          </w:p>
        </w:tc>
      </w:tr>
    </w:tbl>
    <w:p>
      <w:pPr>
        <w:rPr>
          <w:rFonts w:hint="eastAsia" w:ascii="宋体" w:hAnsi="宋体"/>
          <w:b/>
          <w:bCs/>
        </w:rPr>
      </w:pPr>
    </w:p>
    <w:bookmarkEnd w:id="463"/>
    <w:p>
      <w:pPr>
        <w:outlineLvl w:val="2"/>
        <w:rPr>
          <w:rFonts w:ascii="宋体" w:hAnsi="宋体"/>
          <w:b/>
          <w:bCs/>
        </w:rPr>
      </w:pPr>
      <w:r>
        <w:rPr>
          <w:rFonts w:ascii="宋体" w:hAnsi="宋体"/>
          <w:b/>
          <w:bCs/>
        </w:rPr>
        <w:t>2</w:t>
      </w:r>
      <w:r>
        <w:rPr>
          <w:rFonts w:hint="eastAsia" w:ascii="宋体" w:hAnsi="宋体"/>
          <w:b/>
          <w:bCs/>
        </w:rPr>
        <w:t>、基本构成</w:t>
      </w:r>
    </w:p>
    <w:p>
      <w:pPr>
        <w:ind w:firstLine="411" w:firstLineChars="196"/>
        <w:rPr>
          <w:rFonts w:ascii="宋体" w:hAnsi="宋体"/>
          <w:bCs/>
        </w:rPr>
      </w:pPr>
      <w:r>
        <w:rPr>
          <w:rFonts w:hint="eastAsia" w:ascii="宋体" w:hAnsi="宋体"/>
          <w:bCs/>
        </w:rPr>
        <w:t>充电机为一体式构成形式。基本构成包括：功率单元、充电控制器、计量单元、充电接口、人机交互界面等。</w:t>
      </w:r>
    </w:p>
    <w:p>
      <w:pPr>
        <w:ind w:firstLine="411" w:firstLineChars="196"/>
        <w:rPr>
          <w:rFonts w:ascii="宋体" w:hAnsi="宋体"/>
          <w:bCs/>
        </w:rPr>
      </w:pPr>
      <w:r>
        <w:rPr>
          <w:rFonts w:hint="eastAsia" w:ascii="宋体" w:hAnsi="宋体"/>
          <w:bCs/>
        </w:rPr>
        <w:t>一体式充电机全部构成元件安装在同一个柜体内，采用一机双枪形式。</w:t>
      </w:r>
    </w:p>
    <w:p>
      <w:pPr>
        <w:outlineLvl w:val="2"/>
        <w:rPr>
          <w:rFonts w:ascii="宋体" w:hAnsi="宋体"/>
          <w:b/>
          <w:bCs/>
        </w:rPr>
      </w:pPr>
      <w:r>
        <w:rPr>
          <w:rFonts w:ascii="宋体" w:hAnsi="宋体"/>
          <w:b/>
          <w:bCs/>
        </w:rPr>
        <w:t>3</w:t>
      </w:r>
      <w:r>
        <w:rPr>
          <w:rFonts w:hint="eastAsia" w:ascii="宋体" w:hAnsi="宋体"/>
          <w:b/>
          <w:bCs/>
        </w:rPr>
        <w:t>、功能要求</w:t>
      </w:r>
    </w:p>
    <w:p>
      <w:pPr>
        <w:ind w:firstLine="420" w:firstLineChars="200"/>
        <w:rPr>
          <w:rFonts w:ascii="宋体" w:hAnsi="宋体"/>
          <w:bCs/>
        </w:rPr>
      </w:pPr>
      <w:r>
        <w:rPr>
          <w:rFonts w:ascii="宋体" w:hAnsi="宋体"/>
          <w:bCs/>
        </w:rPr>
        <w:t xml:space="preserve">3.1 </w:t>
      </w:r>
      <w:r>
        <w:rPr>
          <w:rFonts w:hint="eastAsia" w:ascii="宋体" w:hAnsi="宋体"/>
          <w:bCs/>
        </w:rPr>
        <w:t>充电</w:t>
      </w:r>
      <w:r>
        <w:rPr>
          <w:rFonts w:ascii="宋体" w:hAnsi="宋体"/>
          <w:bCs/>
        </w:rPr>
        <w:t>设定方式</w:t>
      </w:r>
    </w:p>
    <w:p>
      <w:pPr>
        <w:ind w:firstLine="411" w:firstLineChars="196"/>
        <w:rPr>
          <w:rFonts w:ascii="宋体" w:hAnsi="宋体"/>
          <w:bCs/>
        </w:rPr>
      </w:pPr>
      <w:r>
        <w:rPr>
          <w:rFonts w:hint="eastAsia" w:ascii="宋体" w:hAnsi="宋体"/>
          <w:bCs/>
        </w:rPr>
        <w:t>在充电过程中，充电机依据电动汽车电池管理系统提供的数据动态调整充电参数，执行相应动作，完成充电过程。</w:t>
      </w:r>
    </w:p>
    <w:p>
      <w:pPr>
        <w:ind w:firstLine="411" w:firstLineChars="196"/>
        <w:rPr>
          <w:rFonts w:ascii="宋体" w:hAnsi="宋体"/>
          <w:bCs/>
        </w:rPr>
      </w:pPr>
      <w:r>
        <w:rPr>
          <w:rFonts w:ascii="宋体" w:hAnsi="宋体"/>
          <w:bCs/>
        </w:rPr>
        <w:t xml:space="preserve">3.2 </w:t>
      </w:r>
      <w:r>
        <w:rPr>
          <w:rFonts w:hint="eastAsia" w:ascii="宋体" w:hAnsi="宋体"/>
          <w:bCs/>
        </w:rPr>
        <w:t>充电模式和连接方式</w:t>
      </w:r>
    </w:p>
    <w:p>
      <w:pPr>
        <w:ind w:firstLine="411" w:firstLineChars="196"/>
        <w:rPr>
          <w:rFonts w:ascii="宋体" w:hAnsi="宋体"/>
          <w:bCs/>
        </w:rPr>
      </w:pPr>
      <w:r>
        <w:rPr>
          <w:rFonts w:hint="eastAsia" w:ascii="宋体" w:hAnsi="宋体"/>
          <w:bCs/>
        </w:rPr>
        <w:t>充电机采用GB/T18487.1-2015附录B中规定的充电模式4和连接方式C对电动汽车进行充电。充电接口应满足GB/T20234.1-2015和 GB/T20234.3-2015的规定。</w:t>
      </w:r>
    </w:p>
    <w:p>
      <w:pPr>
        <w:ind w:firstLine="411" w:firstLineChars="196"/>
        <w:rPr>
          <w:rFonts w:ascii="宋体" w:hAnsi="宋体"/>
          <w:bCs/>
        </w:rPr>
      </w:pPr>
      <w:r>
        <w:rPr>
          <w:rFonts w:ascii="宋体" w:hAnsi="宋体"/>
          <w:bCs/>
        </w:rPr>
        <w:t xml:space="preserve">3.3 </w:t>
      </w:r>
      <w:r>
        <w:rPr>
          <w:rFonts w:hint="eastAsia" w:ascii="宋体" w:hAnsi="宋体"/>
          <w:bCs/>
        </w:rPr>
        <w:t>控制导引和充电控制</w:t>
      </w:r>
    </w:p>
    <w:p>
      <w:pPr>
        <w:ind w:firstLine="411" w:firstLineChars="196"/>
        <w:rPr>
          <w:rFonts w:ascii="宋体" w:hAnsi="宋体"/>
          <w:bCs/>
        </w:rPr>
      </w:pPr>
      <w:r>
        <w:rPr>
          <w:rFonts w:hint="eastAsia" w:ascii="宋体" w:hAnsi="宋体"/>
          <w:bCs/>
        </w:rPr>
        <w:t>充电机应具备控制导引功能。控制导引电路及控制原理应满足GB/T18487.1-2015附录B中的规定。</w:t>
      </w:r>
    </w:p>
    <w:p>
      <w:pPr>
        <w:ind w:firstLine="411" w:firstLineChars="196"/>
        <w:rPr>
          <w:rFonts w:ascii="宋体" w:hAnsi="宋体"/>
          <w:bCs/>
        </w:rPr>
      </w:pPr>
      <w:r>
        <w:rPr>
          <w:rFonts w:ascii="宋体" w:hAnsi="宋体"/>
          <w:bCs/>
        </w:rPr>
        <w:t xml:space="preserve">3.4 </w:t>
      </w:r>
      <w:r>
        <w:rPr>
          <w:rFonts w:hint="eastAsia" w:ascii="宋体" w:hAnsi="宋体"/>
          <w:bCs/>
        </w:rPr>
        <w:t>与电池管理系统通信功能</w:t>
      </w:r>
    </w:p>
    <w:p>
      <w:pPr>
        <w:ind w:firstLine="411" w:firstLineChars="196"/>
        <w:rPr>
          <w:rFonts w:ascii="宋体" w:hAnsi="宋体"/>
          <w:bCs/>
        </w:rPr>
      </w:pPr>
      <w:r>
        <w:rPr>
          <w:rFonts w:hint="eastAsia" w:ascii="宋体" w:hAnsi="宋体"/>
          <w:bCs/>
        </w:rPr>
        <w:t>充电机应具有与电池管理系统通信的CAN接口，获得电池管理系统的充电参数和充电实时数据。通信协议应能满足 GB/T 27930-2015的规定。</w:t>
      </w:r>
    </w:p>
    <w:p>
      <w:pPr>
        <w:ind w:firstLine="411" w:firstLineChars="196"/>
        <w:rPr>
          <w:rFonts w:ascii="宋体" w:hAnsi="宋体"/>
          <w:bCs/>
        </w:rPr>
      </w:pPr>
      <w:r>
        <w:rPr>
          <w:rFonts w:ascii="宋体" w:hAnsi="宋体"/>
          <w:bCs/>
        </w:rPr>
        <w:t>3.5</w:t>
      </w:r>
      <w:r>
        <w:rPr>
          <w:rFonts w:hint="eastAsia" w:ascii="宋体" w:hAnsi="宋体"/>
          <w:bCs/>
        </w:rPr>
        <w:t>计量功能</w:t>
      </w:r>
    </w:p>
    <w:p>
      <w:pPr>
        <w:ind w:firstLine="411" w:firstLineChars="196"/>
        <w:rPr>
          <w:rFonts w:ascii="宋体" w:hAnsi="宋体"/>
          <w:bCs/>
          <w:color w:val="000000"/>
        </w:rPr>
      </w:pPr>
      <w:r>
        <w:rPr>
          <w:rFonts w:hint="eastAsia" w:ascii="宋体" w:hAnsi="宋体"/>
          <w:bCs/>
        </w:rPr>
        <w:t>充电桩采用直流侧计量，应具有对每个充电接口输出电能进行计量的功能。</w:t>
      </w:r>
    </w:p>
    <w:p>
      <w:pPr>
        <w:outlineLvl w:val="2"/>
        <w:rPr>
          <w:rFonts w:ascii="宋体" w:hAnsi="宋体"/>
          <w:b/>
          <w:bCs/>
        </w:rPr>
      </w:pPr>
      <w:r>
        <w:rPr>
          <w:rFonts w:ascii="宋体" w:hAnsi="宋体"/>
          <w:b/>
          <w:bCs/>
        </w:rPr>
        <w:t>4</w:t>
      </w:r>
      <w:r>
        <w:rPr>
          <w:rFonts w:hint="eastAsia" w:ascii="宋体" w:hAnsi="宋体"/>
          <w:b/>
          <w:bCs/>
        </w:rPr>
        <w:t>、耐气候环境要求</w:t>
      </w:r>
    </w:p>
    <w:p>
      <w:pPr>
        <w:ind w:firstLine="411" w:firstLineChars="196"/>
        <w:rPr>
          <w:rFonts w:ascii="宋体" w:hAnsi="宋体"/>
          <w:bCs/>
        </w:rPr>
      </w:pPr>
      <w:r>
        <w:rPr>
          <w:rFonts w:ascii="宋体" w:hAnsi="宋体"/>
          <w:bCs/>
        </w:rPr>
        <w:t xml:space="preserve">4.1 </w:t>
      </w:r>
      <w:r>
        <w:rPr>
          <w:rFonts w:hint="eastAsia" w:ascii="宋体" w:hAnsi="宋体"/>
          <w:bCs/>
        </w:rPr>
        <w:t>防护等级</w:t>
      </w:r>
    </w:p>
    <w:p>
      <w:pPr>
        <w:ind w:firstLine="411" w:firstLineChars="196"/>
        <w:rPr>
          <w:rFonts w:ascii="宋体" w:hAnsi="宋体"/>
          <w:bCs/>
        </w:rPr>
      </w:pPr>
      <w:r>
        <w:rPr>
          <w:rFonts w:hint="eastAsia" w:ascii="宋体" w:hAnsi="宋体"/>
          <w:bCs/>
        </w:rPr>
        <w:t>充电机的柜体和桩体防护等级不应低于GB 4208-2008中IP32（室内）或IP5</w:t>
      </w:r>
      <w:r>
        <w:rPr>
          <w:rFonts w:ascii="宋体" w:hAnsi="宋体"/>
          <w:bCs/>
        </w:rPr>
        <w:t>4</w:t>
      </w:r>
      <w:r>
        <w:rPr>
          <w:rFonts w:hint="eastAsia" w:ascii="宋体" w:hAnsi="宋体"/>
          <w:bCs/>
        </w:rPr>
        <w:t>（室外）的规定。</w:t>
      </w:r>
    </w:p>
    <w:p>
      <w:pPr>
        <w:ind w:firstLine="411" w:firstLineChars="196"/>
        <w:rPr>
          <w:rFonts w:ascii="宋体" w:hAnsi="宋体"/>
          <w:bCs/>
        </w:rPr>
      </w:pPr>
      <w:r>
        <w:rPr>
          <w:rFonts w:ascii="宋体" w:hAnsi="宋体"/>
          <w:bCs/>
        </w:rPr>
        <w:t xml:space="preserve">4.2 </w:t>
      </w:r>
      <w:r>
        <w:rPr>
          <w:rFonts w:hint="eastAsia" w:ascii="宋体" w:hAnsi="宋体"/>
          <w:bCs/>
        </w:rPr>
        <w:t>三防（防潮湿，防霉变，防盐雾）保护</w:t>
      </w:r>
    </w:p>
    <w:p>
      <w:pPr>
        <w:ind w:firstLine="411" w:firstLineChars="196"/>
        <w:rPr>
          <w:rFonts w:ascii="宋体" w:hAnsi="宋体"/>
          <w:bCs/>
        </w:rPr>
      </w:pPr>
      <w:r>
        <w:rPr>
          <w:rFonts w:hint="eastAsia" w:ascii="宋体" w:hAnsi="宋体"/>
          <w:bCs/>
        </w:rPr>
        <w:t>充电机内印刷线路板、接插件等电路应进行防潮湿、防霉变、防盐雾处理。</w:t>
      </w:r>
    </w:p>
    <w:p>
      <w:pPr>
        <w:ind w:firstLine="411" w:firstLineChars="196"/>
        <w:rPr>
          <w:rFonts w:ascii="宋体" w:hAnsi="宋体"/>
          <w:bCs/>
        </w:rPr>
      </w:pPr>
      <w:r>
        <w:rPr>
          <w:rFonts w:ascii="宋体" w:hAnsi="宋体"/>
          <w:bCs/>
        </w:rPr>
        <w:t xml:space="preserve">4.3 </w:t>
      </w:r>
      <w:r>
        <w:rPr>
          <w:rFonts w:hint="eastAsia" w:ascii="宋体" w:hAnsi="宋体"/>
          <w:bCs/>
        </w:rPr>
        <w:t>防锈(防氧化)保护</w:t>
      </w:r>
    </w:p>
    <w:p>
      <w:pPr>
        <w:ind w:firstLine="411" w:firstLineChars="196"/>
        <w:rPr>
          <w:rFonts w:ascii="宋体" w:hAnsi="宋体"/>
          <w:bCs/>
        </w:rPr>
      </w:pPr>
      <w:r>
        <w:rPr>
          <w:rFonts w:hint="eastAsia" w:ascii="宋体" w:hAnsi="宋体"/>
          <w:bCs/>
        </w:rPr>
        <w:t>充电机铁质外壳和暴露在外的铁质支架、零件应采取双层防锈措施，非铁质的金属外壳也应具有防氧化保护膜或进行防氧化处理。</w:t>
      </w:r>
    </w:p>
    <w:p>
      <w:pPr>
        <w:outlineLvl w:val="2"/>
        <w:rPr>
          <w:rFonts w:ascii="宋体" w:hAnsi="宋体"/>
          <w:b/>
          <w:bCs/>
        </w:rPr>
      </w:pPr>
      <w:r>
        <w:rPr>
          <w:rFonts w:ascii="宋体" w:hAnsi="宋体"/>
          <w:b/>
          <w:bCs/>
        </w:rPr>
        <w:t>5</w:t>
      </w:r>
      <w:r>
        <w:rPr>
          <w:rFonts w:hint="eastAsia" w:ascii="宋体" w:hAnsi="宋体"/>
          <w:b/>
          <w:bCs/>
        </w:rPr>
        <w:t>、防护要求</w:t>
      </w:r>
    </w:p>
    <w:p>
      <w:pPr>
        <w:ind w:firstLine="411" w:firstLineChars="196"/>
        <w:rPr>
          <w:rFonts w:ascii="宋体" w:hAnsi="宋体"/>
          <w:bCs/>
        </w:rPr>
      </w:pPr>
      <w:r>
        <w:rPr>
          <w:rFonts w:ascii="宋体" w:hAnsi="宋体"/>
          <w:bCs/>
        </w:rPr>
        <w:t xml:space="preserve">5.1 </w:t>
      </w:r>
      <w:r>
        <w:rPr>
          <w:rFonts w:hint="eastAsia" w:ascii="宋体" w:hAnsi="宋体"/>
          <w:bCs/>
        </w:rPr>
        <w:t>允许温度</w:t>
      </w:r>
    </w:p>
    <w:p>
      <w:pPr>
        <w:ind w:firstLine="411" w:firstLineChars="196"/>
        <w:rPr>
          <w:rFonts w:ascii="宋体" w:hAnsi="宋体"/>
          <w:bCs/>
        </w:rPr>
      </w:pPr>
      <w:r>
        <w:rPr>
          <w:rFonts w:ascii="宋体" w:hAnsi="宋体"/>
          <w:bCs/>
        </w:rPr>
        <w:t>a</w:t>
      </w:r>
      <w:r>
        <w:rPr>
          <w:rFonts w:hint="eastAsia" w:ascii="宋体" w:hAnsi="宋体"/>
          <w:bCs/>
        </w:rPr>
        <w:t>)</w:t>
      </w:r>
      <w:r>
        <w:rPr>
          <w:rFonts w:hint="eastAsia" w:ascii="宋体" w:hAnsi="宋体"/>
          <w:bCs/>
        </w:rPr>
        <w:tab/>
      </w:r>
      <w:r>
        <w:rPr>
          <w:rFonts w:ascii="宋体" w:hAnsi="宋体"/>
          <w:bCs/>
        </w:rPr>
        <w:t>在40</w:t>
      </w:r>
      <w:r>
        <w:rPr>
          <w:rFonts w:hint="eastAsia" w:ascii="宋体" w:hAnsi="宋体"/>
          <w:bCs/>
        </w:rPr>
        <w:t>℃</w:t>
      </w:r>
      <w:r>
        <w:rPr>
          <w:rFonts w:ascii="宋体" w:hAnsi="宋体"/>
          <w:bCs/>
        </w:rPr>
        <w:t>环境温度下，充电机可用手接触部分允许的最高温度应为：</w:t>
      </w:r>
    </w:p>
    <w:p>
      <w:pPr>
        <w:ind w:firstLine="411" w:firstLineChars="196"/>
        <w:rPr>
          <w:rFonts w:ascii="宋体" w:hAnsi="宋体"/>
          <w:bCs/>
        </w:rPr>
      </w:pPr>
      <w:r>
        <w:rPr>
          <w:rFonts w:ascii="宋体" w:hAnsi="宋体"/>
          <w:bCs/>
        </w:rPr>
        <w:t>——金属部分，50</w:t>
      </w:r>
      <w:r>
        <w:rPr>
          <w:rFonts w:hint="eastAsia" w:ascii="宋体" w:hAnsi="宋体"/>
          <w:bCs/>
        </w:rPr>
        <w:t>℃</w:t>
      </w:r>
      <w:r>
        <w:rPr>
          <w:rFonts w:ascii="宋体" w:hAnsi="宋体"/>
          <w:bCs/>
        </w:rPr>
        <w:t>；</w:t>
      </w:r>
    </w:p>
    <w:p>
      <w:pPr>
        <w:ind w:firstLine="411" w:firstLineChars="196"/>
        <w:rPr>
          <w:rFonts w:ascii="宋体" w:hAnsi="宋体"/>
          <w:bCs/>
        </w:rPr>
      </w:pPr>
      <w:r>
        <w:rPr>
          <w:rFonts w:ascii="宋体" w:hAnsi="宋体"/>
          <w:bCs/>
        </w:rPr>
        <w:t>——非金属部分，60</w:t>
      </w:r>
      <w:r>
        <w:rPr>
          <w:rFonts w:hint="eastAsia" w:ascii="宋体" w:hAnsi="宋体"/>
          <w:bCs/>
        </w:rPr>
        <w:t>℃。</w:t>
      </w:r>
    </w:p>
    <w:p>
      <w:pPr>
        <w:ind w:firstLine="411" w:firstLineChars="196"/>
        <w:rPr>
          <w:rFonts w:ascii="宋体" w:hAnsi="宋体"/>
          <w:bCs/>
        </w:rPr>
      </w:pPr>
      <w:r>
        <w:rPr>
          <w:rFonts w:ascii="宋体" w:hAnsi="宋体"/>
          <w:bCs/>
        </w:rPr>
        <w:t>b</w:t>
      </w:r>
      <w:r>
        <w:rPr>
          <w:rFonts w:hint="eastAsia" w:ascii="宋体" w:hAnsi="宋体"/>
          <w:bCs/>
        </w:rPr>
        <w:t>)</w:t>
      </w:r>
      <w:r>
        <w:rPr>
          <w:rFonts w:hint="eastAsia" w:ascii="宋体" w:hAnsi="宋体"/>
          <w:bCs/>
        </w:rPr>
        <w:tab/>
      </w:r>
      <w:r>
        <w:rPr>
          <w:rFonts w:hint="eastAsia" w:ascii="宋体" w:hAnsi="宋体"/>
          <w:bCs/>
        </w:rPr>
        <w:t>可以用手接触但不必紧握的部分，在同样条件下允许的最高温度应为：</w:t>
      </w:r>
    </w:p>
    <w:p>
      <w:pPr>
        <w:ind w:firstLine="411" w:firstLineChars="196"/>
        <w:rPr>
          <w:rFonts w:ascii="宋体" w:hAnsi="宋体"/>
          <w:bCs/>
        </w:rPr>
      </w:pPr>
      <w:r>
        <w:rPr>
          <w:rFonts w:ascii="宋体" w:hAnsi="宋体"/>
          <w:bCs/>
        </w:rPr>
        <w:t>——金属部分，60</w:t>
      </w:r>
      <w:r>
        <w:rPr>
          <w:rFonts w:hint="eastAsia" w:ascii="宋体" w:hAnsi="宋体"/>
          <w:bCs/>
        </w:rPr>
        <w:t>℃</w:t>
      </w:r>
      <w:r>
        <w:rPr>
          <w:rFonts w:ascii="宋体" w:hAnsi="宋体"/>
          <w:bCs/>
        </w:rPr>
        <w:t>；</w:t>
      </w:r>
    </w:p>
    <w:p>
      <w:pPr>
        <w:ind w:firstLine="411" w:firstLineChars="196"/>
        <w:rPr>
          <w:rFonts w:ascii="宋体" w:hAnsi="宋体"/>
          <w:bCs/>
        </w:rPr>
      </w:pPr>
      <w:r>
        <w:rPr>
          <w:rFonts w:ascii="宋体" w:hAnsi="宋体"/>
          <w:bCs/>
        </w:rPr>
        <w:t>——非金属部分，85</w:t>
      </w:r>
      <w:r>
        <w:rPr>
          <w:rFonts w:hint="eastAsia" w:ascii="宋体" w:hAnsi="宋体"/>
          <w:bCs/>
        </w:rPr>
        <w:t>℃。</w:t>
      </w:r>
    </w:p>
    <w:p>
      <w:pPr>
        <w:ind w:firstLine="411" w:firstLineChars="196"/>
        <w:rPr>
          <w:rFonts w:ascii="宋体" w:hAnsi="宋体"/>
          <w:bCs/>
        </w:rPr>
      </w:pPr>
      <w:r>
        <w:rPr>
          <w:rFonts w:ascii="宋体" w:hAnsi="宋体"/>
          <w:bCs/>
        </w:rPr>
        <w:t xml:space="preserve">5.2 </w:t>
      </w:r>
      <w:r>
        <w:rPr>
          <w:rFonts w:hint="eastAsia" w:ascii="宋体" w:hAnsi="宋体"/>
          <w:bCs/>
        </w:rPr>
        <w:t>电击防护</w:t>
      </w:r>
    </w:p>
    <w:p>
      <w:pPr>
        <w:ind w:firstLine="411" w:firstLineChars="196"/>
        <w:rPr>
          <w:rFonts w:ascii="宋体" w:hAnsi="宋体"/>
          <w:bCs/>
        </w:rPr>
      </w:pPr>
      <w:r>
        <w:rPr>
          <w:rFonts w:ascii="宋体" w:hAnsi="宋体"/>
          <w:bCs/>
        </w:rPr>
        <w:t>充电机的电击防护应符合GB/T 18487.1-20</w:t>
      </w:r>
      <w:r>
        <w:rPr>
          <w:rFonts w:hint="eastAsia" w:ascii="宋体" w:hAnsi="宋体"/>
          <w:bCs/>
        </w:rPr>
        <w:t>15</w:t>
      </w:r>
      <w:r>
        <w:rPr>
          <w:rFonts w:ascii="宋体" w:hAnsi="宋体"/>
          <w:bCs/>
        </w:rPr>
        <w:t>中第</w:t>
      </w:r>
      <w:r>
        <w:rPr>
          <w:rFonts w:hint="eastAsia" w:ascii="宋体" w:hAnsi="宋体"/>
          <w:bCs/>
        </w:rPr>
        <w:t>7</w:t>
      </w:r>
      <w:r>
        <w:rPr>
          <w:rFonts w:ascii="宋体" w:hAnsi="宋体"/>
          <w:bCs/>
        </w:rPr>
        <w:t>章的要求。</w:t>
      </w:r>
    </w:p>
    <w:p>
      <w:pPr>
        <w:ind w:firstLine="411" w:firstLineChars="196"/>
        <w:rPr>
          <w:rFonts w:ascii="宋体" w:hAnsi="宋体"/>
          <w:bCs/>
        </w:rPr>
      </w:pPr>
      <w:r>
        <w:rPr>
          <w:rFonts w:ascii="宋体" w:hAnsi="宋体"/>
          <w:bCs/>
        </w:rPr>
        <w:t xml:space="preserve">5.3 </w:t>
      </w:r>
      <w:r>
        <w:rPr>
          <w:rFonts w:hint="eastAsia" w:ascii="宋体" w:hAnsi="宋体"/>
          <w:bCs/>
        </w:rPr>
        <w:t>电气间隙和爬电距离</w:t>
      </w:r>
    </w:p>
    <w:p>
      <w:pPr>
        <w:ind w:firstLine="411" w:firstLineChars="196"/>
        <w:rPr>
          <w:rFonts w:ascii="宋体" w:hAnsi="宋体"/>
          <w:bCs/>
        </w:rPr>
      </w:pPr>
      <w:r>
        <w:rPr>
          <w:rFonts w:ascii="宋体" w:hAnsi="宋体"/>
          <w:bCs/>
        </w:rPr>
        <w:t>充电机的电气间隙和爬电距离应符合表2的规定。</w:t>
      </w:r>
    </w:p>
    <w:p>
      <w:pPr>
        <w:pStyle w:val="32"/>
        <w:ind w:firstLine="480"/>
        <w:rPr>
          <w:rFonts w:ascii="宋体" w:hAnsi="宋体" w:eastAsia="宋体"/>
          <w:sz w:val="24"/>
          <w:szCs w:val="24"/>
        </w:rPr>
      </w:pPr>
      <w:r>
        <w:rPr>
          <w:rFonts w:ascii="宋体" w:hAnsi="宋体" w:eastAsia="宋体"/>
          <w:sz w:val="24"/>
          <w:szCs w:val="24"/>
        </w:rPr>
        <w:t>表2  电气间隙和爬电距离</w:t>
      </w:r>
    </w:p>
    <w:tbl>
      <w:tblPr>
        <w:tblStyle w:val="16"/>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185"/>
        <w:gridCol w:w="2893"/>
        <w:gridCol w:w="30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3185" w:type="dxa"/>
            <w:tcBorders>
              <w:top w:val="single" w:color="auto" w:sz="8" w:space="0"/>
              <w:bottom w:val="single" w:color="auto" w:sz="8" w:space="0"/>
            </w:tcBorders>
            <w:vAlign w:val="center"/>
          </w:tcPr>
          <w:p>
            <w:pPr>
              <w:jc w:val="center"/>
              <w:rPr>
                <w:rFonts w:ascii="宋体" w:hAnsi="宋体"/>
                <w:kern w:val="0"/>
              </w:rPr>
            </w:pPr>
            <w:r>
              <w:rPr>
                <w:rFonts w:ascii="宋体" w:hAnsi="宋体"/>
                <w:kern w:val="0"/>
              </w:rPr>
              <w:t>额定绝缘电压Ui（V）</w:t>
            </w:r>
          </w:p>
        </w:tc>
        <w:tc>
          <w:tcPr>
            <w:tcW w:w="2893" w:type="dxa"/>
            <w:tcBorders>
              <w:top w:val="single" w:color="auto" w:sz="8" w:space="0"/>
              <w:bottom w:val="single" w:color="auto" w:sz="8" w:space="0"/>
            </w:tcBorders>
            <w:vAlign w:val="center"/>
          </w:tcPr>
          <w:p>
            <w:pPr>
              <w:jc w:val="center"/>
              <w:rPr>
                <w:rFonts w:ascii="宋体" w:hAnsi="宋体"/>
                <w:kern w:val="0"/>
              </w:rPr>
            </w:pPr>
            <w:r>
              <w:rPr>
                <w:rFonts w:ascii="宋体" w:hAnsi="宋体"/>
                <w:kern w:val="0"/>
              </w:rPr>
              <w:t>电气间隙（mm）</w:t>
            </w:r>
          </w:p>
        </w:tc>
        <w:tc>
          <w:tcPr>
            <w:tcW w:w="3040" w:type="dxa"/>
            <w:tcBorders>
              <w:top w:val="single" w:color="auto" w:sz="8" w:space="0"/>
              <w:bottom w:val="single" w:color="auto" w:sz="8" w:space="0"/>
            </w:tcBorders>
            <w:vAlign w:val="center"/>
          </w:tcPr>
          <w:p>
            <w:pPr>
              <w:jc w:val="center"/>
              <w:rPr>
                <w:rFonts w:ascii="宋体" w:hAnsi="宋体"/>
                <w:kern w:val="0"/>
              </w:rPr>
            </w:pPr>
            <w:r>
              <w:rPr>
                <w:rFonts w:ascii="宋体" w:hAnsi="宋体"/>
                <w:kern w:val="0"/>
              </w:rPr>
              <w:t>爬电距离（mm）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3185" w:type="dxa"/>
            <w:tcBorders>
              <w:top w:val="single" w:color="auto" w:sz="8" w:space="0"/>
              <w:bottom w:val="single" w:color="auto" w:sz="8" w:space="0"/>
            </w:tcBorders>
            <w:vAlign w:val="center"/>
          </w:tcPr>
          <w:p>
            <w:pPr>
              <w:jc w:val="center"/>
              <w:rPr>
                <w:rFonts w:ascii="宋体" w:hAnsi="宋体"/>
              </w:rPr>
            </w:pPr>
            <w:r>
              <w:rPr>
                <w:rFonts w:ascii="宋体" w:hAnsi="宋体"/>
                <w:i/>
              </w:rPr>
              <w:t>Ui</w:t>
            </w:r>
            <w:r>
              <w:rPr>
                <w:rFonts w:ascii="宋体" w:hAnsi="宋体"/>
              </w:rPr>
              <w:t>≤60</w:t>
            </w:r>
          </w:p>
        </w:tc>
        <w:tc>
          <w:tcPr>
            <w:tcW w:w="2893" w:type="dxa"/>
            <w:tcBorders>
              <w:top w:val="single" w:color="auto" w:sz="8" w:space="0"/>
              <w:bottom w:val="single" w:color="auto" w:sz="8" w:space="0"/>
            </w:tcBorders>
            <w:vAlign w:val="center"/>
          </w:tcPr>
          <w:p>
            <w:pPr>
              <w:jc w:val="center"/>
              <w:rPr>
                <w:rFonts w:ascii="宋体" w:hAnsi="宋体"/>
              </w:rPr>
            </w:pPr>
            <w:r>
              <w:rPr>
                <w:rFonts w:ascii="宋体" w:hAnsi="宋体"/>
              </w:rPr>
              <w:t>3</w:t>
            </w:r>
            <w:r>
              <w:rPr>
                <w:rFonts w:hint="eastAsia" w:ascii="宋体" w:hAnsi="宋体"/>
              </w:rPr>
              <w:t>.0</w:t>
            </w:r>
          </w:p>
        </w:tc>
        <w:tc>
          <w:tcPr>
            <w:tcW w:w="3040" w:type="dxa"/>
            <w:tcBorders>
              <w:top w:val="single" w:color="auto" w:sz="8" w:space="0"/>
              <w:bottom w:val="single" w:color="auto" w:sz="8" w:space="0"/>
            </w:tcBorders>
            <w:vAlign w:val="center"/>
          </w:tcPr>
          <w:p>
            <w:pPr>
              <w:jc w:val="center"/>
              <w:rPr>
                <w:rFonts w:ascii="宋体" w:hAnsi="宋体"/>
              </w:rPr>
            </w:pPr>
            <w:r>
              <w:rPr>
                <w:rFonts w:ascii="宋体" w:hAnsi="宋体"/>
              </w:rPr>
              <w:t>3</w:t>
            </w:r>
            <w:r>
              <w:rPr>
                <w:rFonts w:hint="eastAsia" w:ascii="宋体" w:hAnsi="宋体"/>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3185" w:type="dxa"/>
            <w:tcBorders>
              <w:top w:val="single" w:color="auto" w:sz="8" w:space="0"/>
              <w:bottom w:val="single" w:color="auto" w:sz="8" w:space="0"/>
            </w:tcBorders>
            <w:vAlign w:val="center"/>
          </w:tcPr>
          <w:p>
            <w:pPr>
              <w:jc w:val="center"/>
              <w:rPr>
                <w:rFonts w:ascii="宋体" w:hAnsi="宋体"/>
              </w:rPr>
            </w:pPr>
            <w:r>
              <w:rPr>
                <w:rFonts w:ascii="宋体" w:hAnsi="宋体"/>
              </w:rPr>
              <w:t>60＜</w:t>
            </w:r>
            <w:r>
              <w:rPr>
                <w:rFonts w:ascii="宋体" w:hAnsi="宋体"/>
                <w:i/>
              </w:rPr>
              <w:t>Ui</w:t>
            </w:r>
            <w:r>
              <w:rPr>
                <w:rFonts w:ascii="宋体" w:hAnsi="宋体"/>
              </w:rPr>
              <w:t>≤300</w:t>
            </w:r>
          </w:p>
        </w:tc>
        <w:tc>
          <w:tcPr>
            <w:tcW w:w="2893" w:type="dxa"/>
            <w:tcBorders>
              <w:top w:val="single" w:color="auto" w:sz="8" w:space="0"/>
              <w:bottom w:val="single" w:color="auto" w:sz="8" w:space="0"/>
            </w:tcBorders>
            <w:vAlign w:val="center"/>
          </w:tcPr>
          <w:p>
            <w:pPr>
              <w:jc w:val="center"/>
              <w:rPr>
                <w:rFonts w:ascii="宋体" w:hAnsi="宋体"/>
              </w:rPr>
            </w:pPr>
            <w:r>
              <w:rPr>
                <w:rFonts w:ascii="宋体" w:hAnsi="宋体"/>
              </w:rPr>
              <w:t>5</w:t>
            </w:r>
            <w:r>
              <w:rPr>
                <w:rFonts w:hint="eastAsia" w:ascii="宋体" w:hAnsi="宋体"/>
              </w:rPr>
              <w:t>.0</w:t>
            </w:r>
          </w:p>
        </w:tc>
        <w:tc>
          <w:tcPr>
            <w:tcW w:w="3040" w:type="dxa"/>
            <w:tcBorders>
              <w:top w:val="single" w:color="auto" w:sz="8" w:space="0"/>
              <w:bottom w:val="single" w:color="auto" w:sz="8" w:space="0"/>
            </w:tcBorders>
            <w:vAlign w:val="center"/>
          </w:tcPr>
          <w:p>
            <w:pPr>
              <w:jc w:val="center"/>
              <w:rPr>
                <w:rFonts w:ascii="宋体" w:hAnsi="宋体"/>
              </w:rPr>
            </w:pPr>
            <w:r>
              <w:rPr>
                <w:rFonts w:ascii="宋体" w:hAnsi="宋体"/>
              </w:rPr>
              <w:t>6</w:t>
            </w:r>
            <w:r>
              <w:rPr>
                <w:rFonts w:hint="eastAsia" w:ascii="宋体" w:hAnsi="宋体"/>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3185" w:type="dxa"/>
            <w:tcBorders>
              <w:top w:val="single" w:color="auto" w:sz="8" w:space="0"/>
              <w:bottom w:val="single" w:color="auto" w:sz="8" w:space="0"/>
            </w:tcBorders>
            <w:vAlign w:val="center"/>
          </w:tcPr>
          <w:p>
            <w:pPr>
              <w:jc w:val="center"/>
              <w:rPr>
                <w:rFonts w:ascii="宋体" w:hAnsi="宋体"/>
              </w:rPr>
            </w:pPr>
            <w:r>
              <w:rPr>
                <w:rFonts w:ascii="宋体" w:hAnsi="宋体"/>
              </w:rPr>
              <w:t>300＜</w:t>
            </w:r>
            <w:r>
              <w:rPr>
                <w:rFonts w:ascii="宋体" w:hAnsi="宋体"/>
                <w:i/>
              </w:rPr>
              <w:t>Ui</w:t>
            </w:r>
            <w:r>
              <w:rPr>
                <w:rFonts w:ascii="宋体" w:hAnsi="宋体"/>
              </w:rPr>
              <w:t>≤700</w:t>
            </w:r>
          </w:p>
        </w:tc>
        <w:tc>
          <w:tcPr>
            <w:tcW w:w="2893" w:type="dxa"/>
            <w:tcBorders>
              <w:top w:val="single" w:color="auto" w:sz="8" w:space="0"/>
              <w:bottom w:val="single" w:color="auto" w:sz="8" w:space="0"/>
            </w:tcBorders>
            <w:vAlign w:val="center"/>
          </w:tcPr>
          <w:p>
            <w:pPr>
              <w:jc w:val="center"/>
              <w:rPr>
                <w:rFonts w:ascii="宋体" w:hAnsi="宋体"/>
              </w:rPr>
            </w:pPr>
            <w:r>
              <w:rPr>
                <w:rFonts w:ascii="宋体" w:hAnsi="宋体"/>
              </w:rPr>
              <w:t>8</w:t>
            </w:r>
            <w:r>
              <w:rPr>
                <w:rFonts w:hint="eastAsia" w:ascii="宋体" w:hAnsi="宋体"/>
              </w:rPr>
              <w:t>.0</w:t>
            </w:r>
          </w:p>
        </w:tc>
        <w:tc>
          <w:tcPr>
            <w:tcW w:w="3040" w:type="dxa"/>
            <w:tcBorders>
              <w:top w:val="single" w:color="auto" w:sz="8" w:space="0"/>
              <w:bottom w:val="single" w:color="auto" w:sz="8" w:space="0"/>
            </w:tcBorders>
            <w:vAlign w:val="center"/>
          </w:tcPr>
          <w:p>
            <w:pPr>
              <w:jc w:val="center"/>
              <w:rPr>
                <w:rFonts w:ascii="宋体" w:hAnsi="宋体"/>
              </w:rPr>
            </w:pPr>
            <w:r>
              <w:rPr>
                <w:rFonts w:ascii="宋体" w:hAnsi="宋体"/>
              </w:rPr>
              <w:t>10</w:t>
            </w:r>
            <w:r>
              <w:rPr>
                <w:rFonts w:hint="eastAsia" w:ascii="宋体" w:hAnsi="宋体"/>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9118" w:type="dxa"/>
            <w:gridSpan w:val="3"/>
            <w:tcBorders>
              <w:top w:val="single" w:color="auto" w:sz="8" w:space="0"/>
              <w:bottom w:val="single" w:color="auto" w:sz="8" w:space="0"/>
            </w:tcBorders>
            <w:vAlign w:val="center"/>
          </w:tcPr>
          <w:p>
            <w:pPr>
              <w:rPr>
                <w:rFonts w:ascii="宋体" w:hAnsi="宋体"/>
              </w:rPr>
            </w:pPr>
            <w:r>
              <w:rPr>
                <w:rFonts w:ascii="宋体" w:hAnsi="宋体"/>
              </w:rPr>
              <w:t>注1：当主电路与控制电路或辅助电路的额定绝缘电压不一致时，其电气间隙和爬电距离可分别按其额定值选取。</w:t>
            </w:r>
          </w:p>
          <w:p>
            <w:pPr>
              <w:rPr>
                <w:rFonts w:ascii="宋体" w:hAnsi="宋体"/>
              </w:rPr>
            </w:pPr>
            <w:r>
              <w:rPr>
                <w:rFonts w:ascii="宋体" w:hAnsi="宋体"/>
              </w:rPr>
              <w:t>注2：具有不同额定值主电路或控制电路导电部分之间的电气间隙与爬电距离，应按最高额定绝缘电压选取。</w:t>
            </w:r>
          </w:p>
          <w:p>
            <w:pPr>
              <w:rPr>
                <w:rFonts w:ascii="宋体" w:hAnsi="宋体"/>
              </w:rPr>
            </w:pPr>
            <w:r>
              <w:rPr>
                <w:rFonts w:hint="eastAsia" w:ascii="宋体" w:hAnsi="宋体"/>
              </w:rPr>
              <w:t>注3：小母线、汇流排或不同级的裸露的带电导体之间，以及裸露的带电导体与未经绝缘的不带电导体之间的电气间隙不小于12mm，爬电距离不小于20mm。</w:t>
            </w:r>
          </w:p>
        </w:tc>
      </w:tr>
    </w:tbl>
    <w:p>
      <w:pPr>
        <w:ind w:firstLine="411" w:firstLineChars="196"/>
        <w:rPr>
          <w:rFonts w:ascii="宋体" w:hAnsi="宋体"/>
          <w:bCs/>
        </w:rPr>
      </w:pPr>
    </w:p>
    <w:p>
      <w:pPr>
        <w:ind w:firstLine="411" w:firstLineChars="196"/>
        <w:rPr>
          <w:rFonts w:ascii="宋体" w:hAnsi="宋体"/>
          <w:bCs/>
        </w:rPr>
      </w:pPr>
      <w:r>
        <w:rPr>
          <w:rFonts w:ascii="宋体" w:hAnsi="宋体"/>
          <w:bCs/>
        </w:rPr>
        <w:t xml:space="preserve">5.4 </w:t>
      </w:r>
      <w:r>
        <w:rPr>
          <w:rFonts w:hint="eastAsia" w:ascii="宋体" w:hAnsi="宋体"/>
          <w:bCs/>
        </w:rPr>
        <w:t>接地要求</w:t>
      </w:r>
    </w:p>
    <w:p>
      <w:pPr>
        <w:ind w:firstLine="411" w:firstLineChars="196"/>
        <w:rPr>
          <w:rFonts w:ascii="宋体" w:hAnsi="宋体"/>
          <w:bCs/>
        </w:rPr>
      </w:pPr>
      <w:r>
        <w:rPr>
          <w:rFonts w:hint="eastAsia" w:ascii="宋体" w:hAnsi="宋体"/>
          <w:bCs/>
        </w:rPr>
        <w:t>充电机的接地要求应能满足以下的规定：</w:t>
      </w:r>
    </w:p>
    <w:p>
      <w:pPr>
        <w:ind w:firstLine="411" w:firstLineChars="196"/>
        <w:rPr>
          <w:rFonts w:ascii="宋体" w:hAnsi="宋体"/>
          <w:bCs/>
        </w:rPr>
      </w:pPr>
      <w:r>
        <w:rPr>
          <w:rFonts w:hint="eastAsia" w:ascii="宋体" w:hAnsi="宋体"/>
          <w:bCs/>
        </w:rPr>
        <w:t>a)</w:t>
      </w:r>
      <w:r>
        <w:rPr>
          <w:rFonts w:hint="eastAsia" w:ascii="宋体" w:hAnsi="宋体"/>
          <w:bCs/>
        </w:rPr>
        <w:tab/>
      </w:r>
      <w:r>
        <w:rPr>
          <w:rFonts w:hint="eastAsia" w:ascii="宋体" w:hAnsi="宋体"/>
          <w:bCs/>
        </w:rPr>
        <w:t>充电机金属壳体应设置接地螺栓，其直径不得小于6mm，并应有接地标志。</w:t>
      </w:r>
    </w:p>
    <w:p>
      <w:pPr>
        <w:ind w:firstLine="411" w:firstLineChars="196"/>
        <w:rPr>
          <w:rFonts w:ascii="宋体" w:hAnsi="宋体"/>
          <w:bCs/>
        </w:rPr>
      </w:pPr>
      <w:r>
        <w:rPr>
          <w:rFonts w:hint="eastAsia" w:ascii="宋体" w:hAnsi="宋体"/>
          <w:bCs/>
        </w:rPr>
        <w:t>b)</w:t>
      </w:r>
      <w:r>
        <w:rPr>
          <w:rFonts w:hint="eastAsia" w:ascii="宋体" w:hAnsi="宋体"/>
          <w:bCs/>
        </w:rPr>
        <w:tab/>
      </w:r>
      <w:r>
        <w:rPr>
          <w:rFonts w:hint="eastAsia" w:ascii="宋体" w:hAnsi="宋体"/>
          <w:bCs/>
        </w:rPr>
        <w:t>所有作为隔离带电导体的金属隔板、电气元件的金属外壳以及金属手柄等均应有效接地，连续性电阻不应大于0.1Ω。</w:t>
      </w:r>
    </w:p>
    <w:p>
      <w:pPr>
        <w:ind w:firstLine="411" w:firstLineChars="196"/>
        <w:rPr>
          <w:rFonts w:ascii="宋体" w:hAnsi="宋体"/>
          <w:bCs/>
        </w:rPr>
      </w:pPr>
      <w:r>
        <w:rPr>
          <w:rFonts w:hint="eastAsia" w:ascii="宋体" w:hAnsi="宋体"/>
          <w:bCs/>
        </w:rPr>
        <w:t>c)</w:t>
      </w:r>
      <w:r>
        <w:rPr>
          <w:rFonts w:hint="eastAsia" w:ascii="宋体" w:hAnsi="宋体"/>
          <w:bCs/>
        </w:rPr>
        <w:tab/>
      </w:r>
      <w:r>
        <w:rPr>
          <w:rFonts w:hint="eastAsia" w:ascii="宋体" w:hAnsi="宋体"/>
          <w:bCs/>
        </w:rPr>
        <w:t>充电机的门、盖板、覆板和类似部件，应采用保护导体将这些部件和充电机主体框架连接，此保护导体的截面积不得小于2.5mm</w:t>
      </w:r>
      <w:r>
        <w:rPr>
          <w:rFonts w:ascii="宋体" w:hAnsi="宋体"/>
          <w:bCs/>
          <w:vertAlign w:val="superscript"/>
        </w:rPr>
        <w:t>22</w:t>
      </w:r>
      <w:r>
        <w:rPr>
          <w:rFonts w:hint="eastAsia" w:ascii="宋体" w:hAnsi="宋体"/>
          <w:bCs/>
        </w:rPr>
        <w:t>。</w:t>
      </w:r>
    </w:p>
    <w:p>
      <w:pPr>
        <w:ind w:firstLine="411" w:firstLineChars="196"/>
        <w:rPr>
          <w:rFonts w:ascii="宋体" w:hAnsi="宋体"/>
          <w:bCs/>
        </w:rPr>
      </w:pPr>
      <w:r>
        <w:rPr>
          <w:rFonts w:hint="eastAsia" w:ascii="宋体" w:hAnsi="宋体"/>
          <w:bCs/>
        </w:rPr>
        <w:t>d)</w:t>
      </w:r>
      <w:r>
        <w:rPr>
          <w:rFonts w:hint="eastAsia" w:ascii="宋体" w:hAnsi="宋体"/>
          <w:bCs/>
        </w:rPr>
        <w:tab/>
      </w:r>
      <w:r>
        <w:rPr>
          <w:rFonts w:hint="eastAsia" w:ascii="宋体" w:hAnsi="宋体"/>
          <w:bCs/>
        </w:rPr>
        <w:t>接地母线和柜体之间的所有连接应躲开（或穿透绝缘层）喷漆层，以保证有效的电气连接。</w:t>
      </w:r>
    </w:p>
    <w:p>
      <w:pPr>
        <w:outlineLvl w:val="2"/>
        <w:rPr>
          <w:rFonts w:ascii="宋体" w:hAnsi="宋体"/>
          <w:b/>
          <w:bCs/>
        </w:rPr>
      </w:pPr>
      <w:r>
        <w:rPr>
          <w:rFonts w:ascii="宋体" w:hAnsi="宋体"/>
          <w:b/>
          <w:bCs/>
        </w:rPr>
        <w:t>6</w:t>
      </w:r>
      <w:r>
        <w:rPr>
          <w:rFonts w:hint="eastAsia" w:ascii="宋体" w:hAnsi="宋体"/>
          <w:b/>
          <w:bCs/>
        </w:rPr>
        <w:t>、</w:t>
      </w:r>
      <w:r>
        <w:rPr>
          <w:rFonts w:ascii="宋体" w:hAnsi="宋体"/>
          <w:b/>
          <w:bCs/>
        </w:rPr>
        <w:t>绝缘性能</w:t>
      </w:r>
    </w:p>
    <w:p>
      <w:pPr>
        <w:ind w:firstLine="411" w:firstLineChars="196"/>
        <w:rPr>
          <w:rFonts w:ascii="宋体" w:hAnsi="宋体"/>
          <w:bCs/>
        </w:rPr>
      </w:pPr>
      <w:r>
        <w:rPr>
          <w:rFonts w:ascii="宋体" w:hAnsi="宋体"/>
          <w:bCs/>
        </w:rPr>
        <w:t xml:space="preserve">6.1 </w:t>
      </w:r>
      <w:r>
        <w:rPr>
          <w:rFonts w:hint="eastAsia" w:ascii="宋体" w:hAnsi="宋体"/>
          <w:bCs/>
        </w:rPr>
        <w:t>绝缘电阻</w:t>
      </w:r>
    </w:p>
    <w:p>
      <w:pPr>
        <w:ind w:firstLine="411" w:firstLineChars="196"/>
        <w:rPr>
          <w:rFonts w:ascii="宋体" w:hAnsi="宋体"/>
          <w:bCs/>
        </w:rPr>
      </w:pPr>
      <w:r>
        <w:rPr>
          <w:rFonts w:hint="eastAsia" w:ascii="宋体" w:hAnsi="宋体"/>
          <w:bCs/>
        </w:rPr>
        <w:t>用开路电压为表3规定电压的测试仪器测量，充电机非电气连接的各带电回路之间、各独立带电回路与地（金属外壳）之间绝缘电阻不应小于10MΩ。</w:t>
      </w:r>
    </w:p>
    <w:p>
      <w:pPr>
        <w:ind w:firstLine="411" w:firstLineChars="196"/>
        <w:rPr>
          <w:rFonts w:ascii="宋体" w:hAnsi="宋体"/>
          <w:bCs/>
        </w:rPr>
      </w:pPr>
      <w:r>
        <w:rPr>
          <w:rFonts w:ascii="宋体" w:hAnsi="宋体"/>
          <w:bCs/>
        </w:rPr>
        <w:t>6</w:t>
      </w:r>
      <w:r>
        <w:rPr>
          <w:rFonts w:hint="eastAsia" w:ascii="宋体" w:hAnsi="宋体"/>
          <w:bCs/>
        </w:rPr>
        <w:t>.2</w:t>
      </w:r>
      <w:r>
        <w:rPr>
          <w:rFonts w:ascii="宋体" w:hAnsi="宋体"/>
          <w:bCs/>
        </w:rPr>
        <w:t xml:space="preserve"> </w:t>
      </w:r>
      <w:r>
        <w:rPr>
          <w:rFonts w:hint="eastAsia" w:ascii="宋体" w:hAnsi="宋体"/>
          <w:bCs/>
        </w:rPr>
        <w:t>工频耐压</w:t>
      </w:r>
    </w:p>
    <w:p>
      <w:pPr>
        <w:ind w:firstLine="411" w:firstLineChars="196"/>
        <w:rPr>
          <w:rFonts w:ascii="宋体" w:hAnsi="宋体"/>
          <w:bCs/>
        </w:rPr>
      </w:pPr>
      <w:r>
        <w:rPr>
          <w:rFonts w:hint="eastAsia" w:ascii="宋体" w:hAnsi="宋体"/>
          <w:bCs/>
        </w:rPr>
        <w:t>充电机非电气连接的各带电回路之间、各独立带电回路与地（金属外壳）之间，按其工作电压应能承受表3所规定历时1 min的工频耐压试验（也可采用直流电压，试验电压为交流电压有效值的1.4倍）。试验过程中应无绝缘击穿和闪络现象。</w:t>
      </w:r>
    </w:p>
    <w:p>
      <w:pPr>
        <w:ind w:firstLine="411" w:firstLineChars="196"/>
        <w:rPr>
          <w:rFonts w:ascii="宋体" w:hAnsi="宋体"/>
          <w:bCs/>
        </w:rPr>
      </w:pPr>
      <w:r>
        <w:rPr>
          <w:rFonts w:ascii="宋体" w:hAnsi="宋体"/>
          <w:bCs/>
        </w:rPr>
        <w:t>6</w:t>
      </w:r>
      <w:r>
        <w:rPr>
          <w:rFonts w:hint="eastAsia" w:ascii="宋体" w:hAnsi="宋体"/>
          <w:bCs/>
        </w:rPr>
        <w:t>.3</w:t>
      </w:r>
      <w:r>
        <w:rPr>
          <w:rFonts w:ascii="宋体" w:hAnsi="宋体"/>
          <w:bCs/>
        </w:rPr>
        <w:t xml:space="preserve"> </w:t>
      </w:r>
      <w:r>
        <w:rPr>
          <w:rFonts w:hint="eastAsia" w:ascii="宋体" w:hAnsi="宋体"/>
          <w:bCs/>
        </w:rPr>
        <w:t>冲击电压</w:t>
      </w:r>
    </w:p>
    <w:p>
      <w:pPr>
        <w:ind w:firstLine="411" w:firstLineChars="196"/>
        <w:rPr>
          <w:rFonts w:ascii="宋体" w:hAnsi="宋体"/>
          <w:bCs/>
        </w:rPr>
      </w:pPr>
      <w:r>
        <w:rPr>
          <w:rFonts w:hint="eastAsia" w:ascii="宋体" w:hAnsi="宋体"/>
          <w:bCs/>
        </w:rPr>
        <w:t>充电机各带电回路、各带电电路对地（金属外壳）之间，按其工作电压应能承受表3所规定标准雷电波的短时冲击电压试验。试验过程中应无击穿放电。</w:t>
      </w:r>
    </w:p>
    <w:p>
      <w:pPr>
        <w:pStyle w:val="32"/>
        <w:ind w:firstLine="480"/>
        <w:rPr>
          <w:rFonts w:ascii="宋体" w:hAnsi="宋体" w:eastAsia="宋体"/>
          <w:sz w:val="24"/>
          <w:szCs w:val="24"/>
        </w:rPr>
      </w:pPr>
      <w:r>
        <w:rPr>
          <w:rFonts w:hint="eastAsia" w:ascii="宋体" w:hAnsi="宋体" w:eastAsia="宋体"/>
          <w:sz w:val="24"/>
          <w:szCs w:val="24"/>
        </w:rPr>
        <w:t>表3  绝缘试验的试验等级</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231"/>
        <w:gridCol w:w="2652"/>
        <w:gridCol w:w="2157"/>
        <w:gridCol w:w="1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1" w:hRule="atLeast"/>
          <w:jc w:val="center"/>
        </w:trPr>
        <w:tc>
          <w:tcPr>
            <w:tcW w:w="2231" w:type="dxa"/>
            <w:vAlign w:val="center"/>
          </w:tcPr>
          <w:p>
            <w:pPr>
              <w:autoSpaceDE w:val="0"/>
              <w:autoSpaceDN w:val="0"/>
              <w:adjustRightInd w:val="0"/>
              <w:jc w:val="center"/>
              <w:rPr>
                <w:rFonts w:ascii="宋体" w:hAnsi="宋体"/>
                <w:kern w:val="0"/>
              </w:rPr>
            </w:pPr>
            <w:r>
              <w:rPr>
                <w:rFonts w:ascii="宋体" w:hAnsi="宋体"/>
                <w:kern w:val="0"/>
              </w:rPr>
              <w:t>额定绝缘电压Ui（V）</w:t>
            </w:r>
          </w:p>
        </w:tc>
        <w:tc>
          <w:tcPr>
            <w:tcW w:w="2652" w:type="dxa"/>
            <w:vAlign w:val="center"/>
          </w:tcPr>
          <w:p>
            <w:pPr>
              <w:autoSpaceDE w:val="0"/>
              <w:autoSpaceDN w:val="0"/>
              <w:adjustRightInd w:val="0"/>
              <w:jc w:val="center"/>
              <w:rPr>
                <w:rFonts w:ascii="宋体" w:hAnsi="宋体"/>
                <w:kern w:val="0"/>
              </w:rPr>
            </w:pPr>
            <w:r>
              <w:rPr>
                <w:rFonts w:ascii="宋体" w:hAnsi="宋体"/>
                <w:kern w:val="0"/>
              </w:rPr>
              <w:t>绝缘电阻测试仪器的电压等级（V）</w:t>
            </w:r>
          </w:p>
        </w:tc>
        <w:tc>
          <w:tcPr>
            <w:tcW w:w="2157" w:type="dxa"/>
            <w:vAlign w:val="center"/>
          </w:tcPr>
          <w:p>
            <w:pPr>
              <w:autoSpaceDE w:val="0"/>
              <w:autoSpaceDN w:val="0"/>
              <w:adjustRightInd w:val="0"/>
              <w:jc w:val="center"/>
              <w:rPr>
                <w:rFonts w:ascii="宋体" w:hAnsi="宋体"/>
                <w:kern w:val="0"/>
              </w:rPr>
            </w:pPr>
            <w:r>
              <w:rPr>
                <w:rFonts w:ascii="宋体" w:hAnsi="宋体"/>
                <w:kern w:val="0"/>
              </w:rPr>
              <w:t>工频耐压试验电压（kV）</w:t>
            </w:r>
          </w:p>
        </w:tc>
        <w:tc>
          <w:tcPr>
            <w:tcW w:w="1956" w:type="dxa"/>
            <w:vAlign w:val="center"/>
          </w:tcPr>
          <w:p>
            <w:pPr>
              <w:autoSpaceDE w:val="0"/>
              <w:autoSpaceDN w:val="0"/>
              <w:adjustRightInd w:val="0"/>
              <w:jc w:val="center"/>
              <w:rPr>
                <w:rFonts w:ascii="宋体" w:hAnsi="宋体"/>
                <w:kern w:val="0"/>
              </w:rPr>
            </w:pPr>
            <w:r>
              <w:rPr>
                <w:rFonts w:ascii="宋体" w:hAnsi="宋体"/>
                <w:kern w:val="0"/>
              </w:rPr>
              <w:t>冲击耐压试验电压（kV）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2231" w:type="dxa"/>
            <w:vAlign w:val="center"/>
          </w:tcPr>
          <w:p>
            <w:pPr>
              <w:autoSpaceDE w:val="0"/>
              <w:autoSpaceDN w:val="0"/>
              <w:adjustRightInd w:val="0"/>
              <w:snapToGrid w:val="0"/>
              <w:jc w:val="center"/>
              <w:rPr>
                <w:rFonts w:ascii="宋体" w:hAnsi="宋体"/>
              </w:rPr>
            </w:pPr>
            <w:r>
              <w:rPr>
                <w:rFonts w:hint="eastAsia" w:ascii="宋体" w:hAnsi="宋体"/>
              </w:rPr>
              <w:t>≤ 60</w:t>
            </w:r>
          </w:p>
        </w:tc>
        <w:tc>
          <w:tcPr>
            <w:tcW w:w="2652" w:type="dxa"/>
            <w:vAlign w:val="center"/>
          </w:tcPr>
          <w:p>
            <w:pPr>
              <w:autoSpaceDE w:val="0"/>
              <w:autoSpaceDN w:val="0"/>
              <w:adjustRightInd w:val="0"/>
              <w:snapToGrid w:val="0"/>
              <w:jc w:val="center"/>
              <w:rPr>
                <w:rFonts w:ascii="宋体" w:hAnsi="宋体"/>
              </w:rPr>
            </w:pPr>
            <w:r>
              <w:rPr>
                <w:rFonts w:hint="eastAsia" w:ascii="宋体" w:hAnsi="宋体"/>
              </w:rPr>
              <w:t>250</w:t>
            </w:r>
          </w:p>
        </w:tc>
        <w:tc>
          <w:tcPr>
            <w:tcW w:w="2157" w:type="dxa"/>
            <w:vAlign w:val="center"/>
          </w:tcPr>
          <w:p>
            <w:pPr>
              <w:autoSpaceDE w:val="0"/>
              <w:autoSpaceDN w:val="0"/>
              <w:adjustRightInd w:val="0"/>
              <w:snapToGrid w:val="0"/>
              <w:jc w:val="center"/>
              <w:rPr>
                <w:rFonts w:ascii="宋体" w:hAnsi="宋体"/>
              </w:rPr>
            </w:pPr>
            <w:r>
              <w:rPr>
                <w:rFonts w:hint="eastAsia" w:ascii="宋体" w:hAnsi="宋体"/>
              </w:rPr>
              <w:t>1.0(1.4)</w:t>
            </w:r>
          </w:p>
        </w:tc>
        <w:tc>
          <w:tcPr>
            <w:tcW w:w="1956" w:type="dxa"/>
            <w:vAlign w:val="center"/>
          </w:tcPr>
          <w:p>
            <w:pPr>
              <w:autoSpaceDE w:val="0"/>
              <w:autoSpaceDN w:val="0"/>
              <w:adjustRightInd w:val="0"/>
              <w:snapToGrid w:val="0"/>
              <w:jc w:val="center"/>
              <w:rPr>
                <w:rFonts w:ascii="宋体" w:hAnsi="宋体"/>
              </w:rPr>
            </w:pPr>
            <w:r>
              <w:rPr>
                <w:rFonts w:hint="eastAsia" w:ascii="宋体" w:hAnsi="宋体"/>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1" w:type="dxa"/>
            <w:vAlign w:val="center"/>
          </w:tcPr>
          <w:p>
            <w:pPr>
              <w:autoSpaceDE w:val="0"/>
              <w:autoSpaceDN w:val="0"/>
              <w:adjustRightInd w:val="0"/>
              <w:snapToGrid w:val="0"/>
              <w:jc w:val="center"/>
              <w:rPr>
                <w:rFonts w:ascii="宋体" w:hAnsi="宋体"/>
              </w:rPr>
            </w:pPr>
            <w:r>
              <w:rPr>
                <w:rFonts w:hint="eastAsia" w:ascii="宋体" w:hAnsi="宋体"/>
              </w:rPr>
              <w:t>60 ＜ U</w:t>
            </w:r>
            <w:r>
              <w:rPr>
                <w:rFonts w:hint="eastAsia" w:ascii="宋体" w:hAnsi="宋体"/>
                <w:vertAlign w:val="subscript"/>
              </w:rPr>
              <w:t xml:space="preserve">I </w:t>
            </w:r>
            <w:r>
              <w:rPr>
                <w:rFonts w:hint="eastAsia" w:ascii="宋体" w:hAnsi="宋体"/>
              </w:rPr>
              <w:t>≤ 300</w:t>
            </w:r>
          </w:p>
        </w:tc>
        <w:tc>
          <w:tcPr>
            <w:tcW w:w="2652" w:type="dxa"/>
            <w:vAlign w:val="center"/>
          </w:tcPr>
          <w:p>
            <w:pPr>
              <w:autoSpaceDE w:val="0"/>
              <w:autoSpaceDN w:val="0"/>
              <w:adjustRightInd w:val="0"/>
              <w:snapToGrid w:val="0"/>
              <w:jc w:val="center"/>
              <w:rPr>
                <w:rFonts w:ascii="宋体" w:hAnsi="宋体"/>
              </w:rPr>
            </w:pPr>
            <w:r>
              <w:rPr>
                <w:rFonts w:hint="eastAsia" w:ascii="宋体" w:hAnsi="宋体"/>
              </w:rPr>
              <w:t>500</w:t>
            </w:r>
          </w:p>
        </w:tc>
        <w:tc>
          <w:tcPr>
            <w:tcW w:w="2157" w:type="dxa"/>
            <w:vAlign w:val="center"/>
          </w:tcPr>
          <w:p>
            <w:pPr>
              <w:autoSpaceDE w:val="0"/>
              <w:autoSpaceDN w:val="0"/>
              <w:adjustRightInd w:val="0"/>
              <w:snapToGrid w:val="0"/>
              <w:jc w:val="center"/>
              <w:rPr>
                <w:rFonts w:ascii="宋体" w:hAnsi="宋体"/>
              </w:rPr>
            </w:pPr>
            <w:r>
              <w:rPr>
                <w:rFonts w:hint="eastAsia" w:ascii="宋体" w:hAnsi="宋体"/>
              </w:rPr>
              <w:t>2.0(2.8)</w:t>
            </w:r>
          </w:p>
        </w:tc>
        <w:tc>
          <w:tcPr>
            <w:tcW w:w="1956" w:type="dxa"/>
            <w:vAlign w:val="center"/>
          </w:tcPr>
          <w:p>
            <w:pPr>
              <w:autoSpaceDE w:val="0"/>
              <w:autoSpaceDN w:val="0"/>
              <w:adjustRightInd w:val="0"/>
              <w:snapToGrid w:val="0"/>
              <w:jc w:val="center"/>
              <w:rPr>
                <w:rFonts w:ascii="宋体" w:hAnsi="宋体"/>
              </w:rPr>
            </w:pPr>
            <w:r>
              <w:rPr>
                <w:rFonts w:hint="eastAsia" w:ascii="宋体" w:hAnsi="宋体"/>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1" w:type="dxa"/>
            <w:vAlign w:val="center"/>
          </w:tcPr>
          <w:p>
            <w:pPr>
              <w:autoSpaceDE w:val="0"/>
              <w:autoSpaceDN w:val="0"/>
              <w:adjustRightInd w:val="0"/>
              <w:snapToGrid w:val="0"/>
              <w:jc w:val="center"/>
              <w:rPr>
                <w:rFonts w:ascii="宋体" w:hAnsi="宋体"/>
              </w:rPr>
            </w:pPr>
            <w:r>
              <w:rPr>
                <w:rFonts w:hint="eastAsia" w:ascii="宋体" w:hAnsi="宋体"/>
              </w:rPr>
              <w:t>300 ＜ U</w:t>
            </w:r>
            <w:r>
              <w:rPr>
                <w:rFonts w:hint="eastAsia" w:ascii="宋体" w:hAnsi="宋体"/>
                <w:vertAlign w:val="subscript"/>
              </w:rPr>
              <w:t xml:space="preserve">I </w:t>
            </w:r>
            <w:r>
              <w:rPr>
                <w:rFonts w:hint="eastAsia" w:ascii="宋体" w:hAnsi="宋体"/>
              </w:rPr>
              <w:t>≤ 700</w:t>
            </w:r>
          </w:p>
        </w:tc>
        <w:tc>
          <w:tcPr>
            <w:tcW w:w="2652" w:type="dxa"/>
            <w:vAlign w:val="center"/>
          </w:tcPr>
          <w:p>
            <w:pPr>
              <w:autoSpaceDE w:val="0"/>
              <w:autoSpaceDN w:val="0"/>
              <w:adjustRightInd w:val="0"/>
              <w:snapToGrid w:val="0"/>
              <w:jc w:val="center"/>
              <w:rPr>
                <w:rFonts w:ascii="宋体" w:hAnsi="宋体"/>
              </w:rPr>
            </w:pPr>
            <w:r>
              <w:rPr>
                <w:rFonts w:hint="eastAsia" w:ascii="宋体" w:hAnsi="宋体"/>
              </w:rPr>
              <w:t>1000</w:t>
            </w:r>
          </w:p>
        </w:tc>
        <w:tc>
          <w:tcPr>
            <w:tcW w:w="2157" w:type="dxa"/>
            <w:vAlign w:val="center"/>
          </w:tcPr>
          <w:p>
            <w:pPr>
              <w:autoSpaceDE w:val="0"/>
              <w:autoSpaceDN w:val="0"/>
              <w:adjustRightInd w:val="0"/>
              <w:snapToGrid w:val="0"/>
              <w:jc w:val="center"/>
              <w:rPr>
                <w:rFonts w:ascii="宋体" w:hAnsi="宋体"/>
              </w:rPr>
            </w:pPr>
            <w:r>
              <w:rPr>
                <w:rFonts w:hint="eastAsia" w:ascii="宋体" w:hAnsi="宋体"/>
              </w:rPr>
              <w:t>2.4(3.36)</w:t>
            </w:r>
          </w:p>
        </w:tc>
        <w:tc>
          <w:tcPr>
            <w:tcW w:w="1956" w:type="dxa"/>
            <w:vAlign w:val="center"/>
          </w:tcPr>
          <w:p>
            <w:pPr>
              <w:autoSpaceDE w:val="0"/>
              <w:autoSpaceDN w:val="0"/>
              <w:adjustRightInd w:val="0"/>
              <w:snapToGrid w:val="0"/>
              <w:jc w:val="center"/>
              <w:rPr>
                <w:rFonts w:ascii="宋体" w:hAnsi="宋体"/>
              </w:rPr>
            </w:pPr>
            <w:r>
              <w:rPr>
                <w:rFonts w:hint="eastAsia" w:ascii="宋体" w:hAnsi="宋体"/>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1" w:type="dxa"/>
            <w:vAlign w:val="center"/>
          </w:tcPr>
          <w:p>
            <w:pPr>
              <w:autoSpaceDE w:val="0"/>
              <w:autoSpaceDN w:val="0"/>
              <w:adjustRightInd w:val="0"/>
              <w:snapToGrid w:val="0"/>
              <w:jc w:val="center"/>
              <w:rPr>
                <w:rFonts w:ascii="宋体" w:hAnsi="宋体"/>
              </w:rPr>
            </w:pPr>
            <w:r>
              <w:rPr>
                <w:rFonts w:hint="eastAsia" w:ascii="宋体" w:hAnsi="宋体"/>
              </w:rPr>
              <w:t>700 ＜ UI ≤ 950</w:t>
            </w:r>
          </w:p>
        </w:tc>
        <w:tc>
          <w:tcPr>
            <w:tcW w:w="2652" w:type="dxa"/>
            <w:vAlign w:val="center"/>
          </w:tcPr>
          <w:p>
            <w:pPr>
              <w:autoSpaceDE w:val="0"/>
              <w:autoSpaceDN w:val="0"/>
              <w:adjustRightInd w:val="0"/>
              <w:snapToGrid w:val="0"/>
              <w:jc w:val="center"/>
              <w:rPr>
                <w:rFonts w:ascii="宋体" w:hAnsi="宋体"/>
              </w:rPr>
            </w:pPr>
            <w:r>
              <w:rPr>
                <w:rFonts w:ascii="宋体" w:hAnsi="宋体"/>
              </w:rPr>
              <w:t>1000</w:t>
            </w:r>
          </w:p>
        </w:tc>
        <w:tc>
          <w:tcPr>
            <w:tcW w:w="2157" w:type="dxa"/>
            <w:vAlign w:val="center"/>
          </w:tcPr>
          <w:p>
            <w:pPr>
              <w:autoSpaceDE w:val="0"/>
              <w:autoSpaceDN w:val="0"/>
              <w:adjustRightInd w:val="0"/>
              <w:snapToGrid w:val="0"/>
              <w:jc w:val="center"/>
              <w:rPr>
                <w:rFonts w:ascii="宋体" w:hAnsi="宋体"/>
              </w:rPr>
            </w:pPr>
            <w:r>
              <w:rPr>
                <w:rFonts w:hint="eastAsia" w:ascii="宋体" w:hAnsi="宋体"/>
              </w:rPr>
              <w:t>2×UI +1.0</w:t>
            </w:r>
          </w:p>
          <w:p>
            <w:pPr>
              <w:autoSpaceDE w:val="0"/>
              <w:autoSpaceDN w:val="0"/>
              <w:adjustRightInd w:val="0"/>
              <w:snapToGrid w:val="0"/>
              <w:jc w:val="center"/>
              <w:rPr>
                <w:rFonts w:ascii="宋体" w:hAnsi="宋体"/>
              </w:rPr>
            </w:pPr>
            <w:r>
              <w:rPr>
                <w:rFonts w:hint="eastAsia" w:ascii="宋体" w:hAnsi="宋体"/>
              </w:rPr>
              <w:t>(2.8×UI +1.4)</w:t>
            </w:r>
          </w:p>
        </w:tc>
        <w:tc>
          <w:tcPr>
            <w:tcW w:w="1956" w:type="dxa"/>
            <w:vAlign w:val="center"/>
          </w:tcPr>
          <w:p>
            <w:pPr>
              <w:autoSpaceDE w:val="0"/>
              <w:autoSpaceDN w:val="0"/>
              <w:adjustRightInd w:val="0"/>
              <w:snapToGrid w:val="0"/>
              <w:jc w:val="center"/>
              <w:rPr>
                <w:rFonts w:ascii="宋体" w:hAnsi="宋体"/>
              </w:rPr>
            </w:pPr>
            <w:r>
              <w:rPr>
                <w:rFonts w:hint="eastAsia" w:ascii="宋体" w:hAnsi="宋体"/>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5" w:hRule="atLeast"/>
          <w:jc w:val="center"/>
        </w:trPr>
        <w:tc>
          <w:tcPr>
            <w:tcW w:w="8996" w:type="dxa"/>
            <w:gridSpan w:val="4"/>
            <w:vAlign w:val="center"/>
          </w:tcPr>
          <w:p>
            <w:pPr>
              <w:jc w:val="center"/>
              <w:rPr>
                <w:rFonts w:ascii="宋体" w:hAnsi="宋体"/>
              </w:rPr>
            </w:pPr>
            <w:r>
              <w:rPr>
                <w:rFonts w:ascii="宋体" w:hAnsi="宋体"/>
              </w:rPr>
              <w:t>注：括号内数据为直流介质强度试验值。</w:t>
            </w:r>
          </w:p>
        </w:tc>
      </w:tr>
    </w:tbl>
    <w:p>
      <w:pPr>
        <w:ind w:firstLine="411" w:firstLineChars="196"/>
        <w:rPr>
          <w:rFonts w:ascii="宋体" w:hAnsi="宋体"/>
          <w:bCs/>
        </w:rPr>
      </w:pPr>
    </w:p>
    <w:p>
      <w:pPr>
        <w:outlineLvl w:val="2"/>
        <w:rPr>
          <w:rFonts w:ascii="宋体" w:hAnsi="宋体"/>
          <w:b/>
          <w:bCs/>
        </w:rPr>
      </w:pPr>
      <w:r>
        <w:rPr>
          <w:rFonts w:ascii="宋体" w:hAnsi="宋体"/>
          <w:b/>
          <w:bCs/>
        </w:rPr>
        <w:t>7</w:t>
      </w:r>
      <w:r>
        <w:rPr>
          <w:rFonts w:hint="eastAsia" w:ascii="宋体" w:hAnsi="宋体"/>
          <w:b/>
          <w:bCs/>
        </w:rPr>
        <w:t>、</w:t>
      </w:r>
      <w:r>
        <w:rPr>
          <w:rFonts w:ascii="宋体" w:hAnsi="宋体"/>
          <w:b/>
          <w:bCs/>
        </w:rPr>
        <w:t>安全要求</w:t>
      </w:r>
    </w:p>
    <w:p>
      <w:pPr>
        <w:ind w:firstLine="411" w:firstLineChars="196"/>
        <w:rPr>
          <w:rFonts w:ascii="宋体" w:hAnsi="宋体"/>
          <w:bCs/>
        </w:rPr>
      </w:pPr>
      <w:r>
        <w:rPr>
          <w:rFonts w:hint="eastAsia" w:ascii="宋体" w:hAnsi="宋体"/>
          <w:bCs/>
        </w:rPr>
        <w:t>充电机的安全性要求应满足GB/T 18487.1-2015附录B中对应的描述及技术参数要求。</w:t>
      </w:r>
    </w:p>
    <w:p>
      <w:pPr>
        <w:ind w:firstLine="411" w:firstLineChars="196"/>
        <w:rPr>
          <w:rFonts w:ascii="宋体" w:hAnsi="宋体"/>
          <w:bCs/>
        </w:rPr>
      </w:pPr>
      <w:r>
        <w:rPr>
          <w:rFonts w:ascii="宋体" w:hAnsi="宋体"/>
          <w:bCs/>
        </w:rPr>
        <w:t>7</w:t>
      </w:r>
      <w:r>
        <w:rPr>
          <w:rFonts w:hint="eastAsia" w:ascii="宋体" w:hAnsi="宋体"/>
          <w:bCs/>
        </w:rPr>
        <w:t>.</w:t>
      </w:r>
      <w:r>
        <w:rPr>
          <w:rFonts w:ascii="宋体" w:hAnsi="宋体"/>
          <w:bCs/>
        </w:rPr>
        <w:t xml:space="preserve">1 </w:t>
      </w:r>
      <w:r>
        <w:rPr>
          <w:rFonts w:hint="eastAsia" w:ascii="宋体" w:hAnsi="宋体"/>
          <w:bCs/>
        </w:rPr>
        <w:t>充电机应具备电源输入侧的过压保护和欠压保护。</w:t>
      </w:r>
    </w:p>
    <w:p>
      <w:pPr>
        <w:ind w:firstLine="411" w:firstLineChars="196"/>
        <w:rPr>
          <w:rFonts w:ascii="宋体" w:hAnsi="宋体"/>
          <w:bCs/>
        </w:rPr>
      </w:pPr>
      <w:r>
        <w:rPr>
          <w:rFonts w:ascii="宋体" w:hAnsi="宋体"/>
          <w:bCs/>
        </w:rPr>
        <w:t>7</w:t>
      </w:r>
      <w:r>
        <w:rPr>
          <w:rFonts w:hint="eastAsia" w:ascii="宋体" w:hAnsi="宋体"/>
          <w:bCs/>
        </w:rPr>
        <w:t>.2</w:t>
      </w:r>
      <w:r>
        <w:rPr>
          <w:rFonts w:ascii="宋体" w:hAnsi="宋体"/>
          <w:bCs/>
        </w:rPr>
        <w:t xml:space="preserve"> </w:t>
      </w:r>
      <w:r>
        <w:rPr>
          <w:rFonts w:hint="eastAsia" w:ascii="宋体" w:hAnsi="宋体"/>
          <w:bCs/>
        </w:rPr>
        <w:t>充电机应具备输出过压保护。</w:t>
      </w:r>
    </w:p>
    <w:p>
      <w:pPr>
        <w:ind w:firstLine="411" w:firstLineChars="196"/>
        <w:rPr>
          <w:rFonts w:ascii="宋体" w:hAnsi="宋体"/>
          <w:bCs/>
        </w:rPr>
      </w:pPr>
      <w:r>
        <w:rPr>
          <w:rFonts w:ascii="宋体" w:hAnsi="宋体"/>
          <w:bCs/>
        </w:rPr>
        <w:t>7</w:t>
      </w:r>
      <w:r>
        <w:rPr>
          <w:rFonts w:hint="eastAsia" w:ascii="宋体" w:hAnsi="宋体"/>
          <w:bCs/>
        </w:rPr>
        <w:t>.3</w:t>
      </w:r>
      <w:r>
        <w:rPr>
          <w:rFonts w:ascii="宋体" w:hAnsi="宋体"/>
          <w:bCs/>
        </w:rPr>
        <w:t xml:space="preserve"> </w:t>
      </w:r>
      <w:r>
        <w:rPr>
          <w:rFonts w:hint="eastAsia" w:ascii="宋体" w:hAnsi="宋体"/>
          <w:bCs/>
        </w:rPr>
        <w:t>充电机应具备输出过电流和短路保护。</w:t>
      </w:r>
    </w:p>
    <w:p>
      <w:pPr>
        <w:ind w:firstLine="411" w:firstLineChars="196"/>
        <w:rPr>
          <w:rFonts w:ascii="宋体" w:hAnsi="宋体"/>
          <w:bCs/>
        </w:rPr>
      </w:pPr>
      <w:r>
        <w:rPr>
          <w:rFonts w:ascii="宋体" w:hAnsi="宋体"/>
          <w:bCs/>
        </w:rPr>
        <w:t>7</w:t>
      </w:r>
      <w:r>
        <w:rPr>
          <w:rFonts w:hint="eastAsia" w:ascii="宋体" w:hAnsi="宋体"/>
          <w:bCs/>
        </w:rPr>
        <w:t>.4</w:t>
      </w:r>
      <w:r>
        <w:rPr>
          <w:rFonts w:ascii="宋体" w:hAnsi="宋体"/>
          <w:bCs/>
        </w:rPr>
        <w:t xml:space="preserve"> </w:t>
      </w:r>
      <w:r>
        <w:rPr>
          <w:rFonts w:hint="eastAsia" w:ascii="宋体" w:hAnsi="宋体"/>
          <w:bCs/>
        </w:rPr>
        <w:t>充电机应具备内部过温保护，当内部温度达到保护值时，采取降功率或停止输出。</w:t>
      </w:r>
    </w:p>
    <w:p>
      <w:pPr>
        <w:ind w:firstLine="411" w:firstLineChars="196"/>
        <w:rPr>
          <w:rFonts w:ascii="宋体" w:hAnsi="宋体"/>
          <w:bCs/>
        </w:rPr>
      </w:pPr>
      <w:r>
        <w:rPr>
          <w:rFonts w:ascii="宋体" w:hAnsi="宋体"/>
          <w:bCs/>
        </w:rPr>
        <w:t>7</w:t>
      </w:r>
      <w:r>
        <w:rPr>
          <w:rFonts w:hint="eastAsia" w:ascii="宋体" w:hAnsi="宋体"/>
          <w:bCs/>
        </w:rPr>
        <w:t>.5</w:t>
      </w:r>
      <w:r>
        <w:rPr>
          <w:rFonts w:ascii="宋体" w:hAnsi="宋体"/>
          <w:bCs/>
        </w:rPr>
        <w:t xml:space="preserve"> </w:t>
      </w:r>
      <w:r>
        <w:rPr>
          <w:rFonts w:hint="eastAsia" w:ascii="宋体" w:hAnsi="宋体"/>
          <w:bCs/>
        </w:rPr>
        <w:t>充电机的绝缘检测功能应与车辆绝缘检测功能相配合。</w:t>
      </w:r>
    </w:p>
    <w:p>
      <w:pPr>
        <w:ind w:firstLine="411" w:firstLineChars="196"/>
        <w:rPr>
          <w:rFonts w:ascii="宋体" w:hAnsi="宋体"/>
          <w:bCs/>
        </w:rPr>
      </w:pPr>
      <w:r>
        <w:rPr>
          <w:rFonts w:ascii="宋体" w:hAnsi="宋体"/>
          <w:bCs/>
        </w:rPr>
        <w:t>7</w:t>
      </w:r>
      <w:r>
        <w:rPr>
          <w:rFonts w:hint="eastAsia" w:ascii="宋体" w:hAnsi="宋体"/>
          <w:bCs/>
        </w:rPr>
        <w:t>.6</w:t>
      </w:r>
      <w:r>
        <w:rPr>
          <w:rFonts w:ascii="宋体" w:hAnsi="宋体"/>
          <w:bCs/>
        </w:rPr>
        <w:t xml:space="preserve"> </w:t>
      </w:r>
      <w:r>
        <w:rPr>
          <w:rFonts w:hint="eastAsia" w:ascii="宋体" w:hAnsi="宋体"/>
          <w:bCs/>
        </w:rPr>
        <w:t>充电过程中当发生下列情况时，充电机应能在100ms内断开直流输出接触器，且直流输出电压应在1s内下降至60V以下。</w:t>
      </w:r>
    </w:p>
    <w:p>
      <w:pPr>
        <w:ind w:firstLine="411" w:firstLineChars="196"/>
        <w:rPr>
          <w:rFonts w:ascii="宋体" w:hAnsi="宋体"/>
          <w:bCs/>
        </w:rPr>
      </w:pPr>
      <w:r>
        <w:rPr>
          <w:rFonts w:hint="eastAsia" w:ascii="宋体" w:hAnsi="宋体"/>
          <w:bCs/>
        </w:rPr>
        <w:t>a)</w:t>
      </w:r>
      <w:r>
        <w:rPr>
          <w:rFonts w:hint="eastAsia" w:ascii="宋体" w:hAnsi="宋体"/>
          <w:bCs/>
        </w:rPr>
        <w:tab/>
      </w:r>
      <w:r>
        <w:rPr>
          <w:rFonts w:hint="eastAsia" w:ascii="宋体" w:hAnsi="宋体"/>
          <w:bCs/>
        </w:rPr>
        <w:t>启动急停开关；</w:t>
      </w:r>
    </w:p>
    <w:p>
      <w:pPr>
        <w:ind w:firstLine="411" w:firstLineChars="196"/>
        <w:rPr>
          <w:rFonts w:ascii="宋体" w:hAnsi="宋体"/>
          <w:bCs/>
        </w:rPr>
      </w:pPr>
      <w:r>
        <w:rPr>
          <w:rFonts w:hint="eastAsia" w:ascii="宋体" w:hAnsi="宋体"/>
          <w:bCs/>
        </w:rPr>
        <w:t>b)</w:t>
      </w:r>
      <w:r>
        <w:rPr>
          <w:rFonts w:hint="eastAsia" w:ascii="宋体" w:hAnsi="宋体"/>
          <w:bCs/>
        </w:rPr>
        <w:tab/>
      </w:r>
      <w:r>
        <w:rPr>
          <w:rFonts w:hint="eastAsia" w:ascii="宋体" w:hAnsi="宋体"/>
          <w:bCs/>
        </w:rPr>
        <w:t>控制导引故障。</w:t>
      </w:r>
    </w:p>
    <w:p>
      <w:pPr>
        <w:ind w:firstLine="411" w:firstLineChars="196"/>
        <w:rPr>
          <w:rFonts w:ascii="宋体" w:hAnsi="宋体"/>
          <w:bCs/>
        </w:rPr>
      </w:pPr>
      <w:r>
        <w:rPr>
          <w:rFonts w:ascii="宋体" w:hAnsi="宋体"/>
          <w:bCs/>
        </w:rPr>
        <w:t>7</w:t>
      </w:r>
      <w:r>
        <w:rPr>
          <w:rFonts w:hint="eastAsia" w:ascii="宋体" w:hAnsi="宋体"/>
          <w:bCs/>
        </w:rPr>
        <w:t>.7</w:t>
      </w:r>
      <w:r>
        <w:rPr>
          <w:rFonts w:ascii="宋体" w:hAnsi="宋体"/>
          <w:bCs/>
        </w:rPr>
        <w:t xml:space="preserve"> </w:t>
      </w:r>
      <w:r>
        <w:rPr>
          <w:rFonts w:hint="eastAsia" w:ascii="宋体" w:hAnsi="宋体"/>
          <w:bCs/>
        </w:rPr>
        <w:t>充电机在启动充电时应人工确认启动。</w:t>
      </w:r>
    </w:p>
    <w:p>
      <w:pPr>
        <w:ind w:firstLine="411" w:firstLineChars="196"/>
        <w:rPr>
          <w:rFonts w:ascii="宋体" w:hAnsi="宋体"/>
          <w:bCs/>
        </w:rPr>
      </w:pPr>
      <w:r>
        <w:rPr>
          <w:rFonts w:ascii="宋体" w:hAnsi="宋体"/>
          <w:bCs/>
        </w:rPr>
        <w:t>7</w:t>
      </w:r>
      <w:r>
        <w:rPr>
          <w:rFonts w:hint="eastAsia" w:ascii="宋体" w:hAnsi="宋体"/>
          <w:bCs/>
        </w:rPr>
        <w:t>.8</w:t>
      </w:r>
      <w:r>
        <w:rPr>
          <w:rFonts w:ascii="宋体" w:hAnsi="宋体"/>
          <w:bCs/>
        </w:rPr>
        <w:t xml:space="preserve"> </w:t>
      </w:r>
      <w:r>
        <w:rPr>
          <w:rFonts w:hint="eastAsia" w:ascii="宋体" w:hAnsi="宋体"/>
          <w:bCs/>
        </w:rPr>
        <w:t>充电机应具备软启动功能，软启动时间为3s～8s。</w:t>
      </w:r>
    </w:p>
    <w:p>
      <w:pPr>
        <w:ind w:firstLine="411" w:firstLineChars="196"/>
        <w:rPr>
          <w:rFonts w:ascii="宋体" w:hAnsi="宋体"/>
          <w:bCs/>
        </w:rPr>
      </w:pPr>
      <w:r>
        <w:rPr>
          <w:rFonts w:ascii="宋体" w:hAnsi="宋体"/>
          <w:bCs/>
        </w:rPr>
        <w:t>7</w:t>
      </w:r>
      <w:r>
        <w:rPr>
          <w:rFonts w:hint="eastAsia" w:ascii="宋体" w:hAnsi="宋体"/>
          <w:bCs/>
        </w:rPr>
        <w:t>.9</w:t>
      </w:r>
      <w:r>
        <w:rPr>
          <w:rFonts w:ascii="宋体" w:hAnsi="宋体"/>
          <w:bCs/>
        </w:rPr>
        <w:t xml:space="preserve"> </w:t>
      </w:r>
      <w:r>
        <w:rPr>
          <w:rFonts w:hint="eastAsia" w:ascii="宋体" w:hAnsi="宋体"/>
          <w:bCs/>
        </w:rPr>
        <w:t>充电机应具备限制冲击电流功能，冲击电流不应超过额定输入电流的110%。</w:t>
      </w:r>
    </w:p>
    <w:p>
      <w:pPr>
        <w:ind w:firstLine="411" w:firstLineChars="196"/>
        <w:rPr>
          <w:rFonts w:ascii="宋体" w:hAnsi="宋体"/>
          <w:bCs/>
        </w:rPr>
      </w:pPr>
      <w:r>
        <w:rPr>
          <w:rFonts w:ascii="宋体" w:hAnsi="宋体"/>
          <w:bCs/>
        </w:rPr>
        <w:t>7</w:t>
      </w:r>
      <w:r>
        <w:rPr>
          <w:rFonts w:hint="eastAsia" w:ascii="宋体" w:hAnsi="宋体"/>
          <w:bCs/>
        </w:rPr>
        <w:t>.10</w:t>
      </w:r>
      <w:r>
        <w:rPr>
          <w:rFonts w:ascii="宋体" w:hAnsi="宋体"/>
          <w:bCs/>
        </w:rPr>
        <w:t xml:space="preserve"> </w:t>
      </w:r>
      <w:r>
        <w:rPr>
          <w:rFonts w:hint="eastAsia" w:ascii="宋体" w:hAnsi="宋体"/>
          <w:bCs/>
        </w:rPr>
        <w:t>充电机应具备电池反接保护功能。</w:t>
      </w:r>
    </w:p>
    <w:p>
      <w:pPr>
        <w:ind w:firstLine="411" w:firstLineChars="196"/>
        <w:rPr>
          <w:rFonts w:ascii="宋体" w:hAnsi="宋体"/>
          <w:bCs/>
        </w:rPr>
      </w:pPr>
      <w:r>
        <w:rPr>
          <w:rFonts w:ascii="宋体" w:hAnsi="宋体"/>
          <w:bCs/>
        </w:rPr>
        <w:t>7</w:t>
      </w:r>
      <w:r>
        <w:rPr>
          <w:rFonts w:hint="eastAsia" w:ascii="宋体" w:hAnsi="宋体"/>
          <w:bCs/>
        </w:rPr>
        <w:t>.11</w:t>
      </w:r>
      <w:r>
        <w:rPr>
          <w:rFonts w:ascii="宋体" w:hAnsi="宋体"/>
          <w:bCs/>
        </w:rPr>
        <w:t xml:space="preserve"> </w:t>
      </w:r>
      <w:r>
        <w:rPr>
          <w:rFonts w:hint="eastAsia" w:ascii="宋体" w:hAnsi="宋体"/>
          <w:bCs/>
        </w:rPr>
        <w:t>充电机在自动充电前，应具有电池电压检测功能。</w:t>
      </w:r>
    </w:p>
    <w:p>
      <w:pPr>
        <w:ind w:firstLine="411" w:firstLineChars="196"/>
        <w:rPr>
          <w:rFonts w:ascii="宋体" w:hAnsi="宋体"/>
          <w:bCs/>
        </w:rPr>
      </w:pPr>
      <w:r>
        <w:rPr>
          <w:rFonts w:ascii="宋体" w:hAnsi="宋体"/>
          <w:bCs/>
        </w:rPr>
        <w:t>7</w:t>
      </w:r>
      <w:r>
        <w:rPr>
          <w:rFonts w:hint="eastAsia" w:ascii="宋体" w:hAnsi="宋体"/>
          <w:bCs/>
        </w:rPr>
        <w:t>.12</w:t>
      </w:r>
      <w:r>
        <w:rPr>
          <w:rFonts w:ascii="宋体" w:hAnsi="宋体"/>
          <w:bCs/>
        </w:rPr>
        <w:t xml:space="preserve"> </w:t>
      </w:r>
      <w:r>
        <w:rPr>
          <w:rFonts w:hint="eastAsia" w:ascii="宋体" w:hAnsi="宋体"/>
          <w:bCs/>
        </w:rPr>
        <w:t>在充电过程中，充电机应具有明显的状态指示和文字提示，防止人员误操作。</w:t>
      </w:r>
    </w:p>
    <w:p>
      <w:pPr>
        <w:ind w:firstLine="411" w:firstLineChars="196"/>
        <w:rPr>
          <w:rFonts w:ascii="宋体" w:hAnsi="宋体"/>
          <w:bCs/>
        </w:rPr>
      </w:pPr>
      <w:r>
        <w:rPr>
          <w:rFonts w:ascii="宋体" w:hAnsi="宋体"/>
          <w:bCs/>
        </w:rPr>
        <w:t>7</w:t>
      </w:r>
      <w:r>
        <w:rPr>
          <w:rFonts w:hint="eastAsia" w:ascii="宋体" w:hAnsi="宋体"/>
          <w:bCs/>
        </w:rPr>
        <w:t>.13</w:t>
      </w:r>
      <w:r>
        <w:rPr>
          <w:rFonts w:ascii="宋体" w:hAnsi="宋体"/>
          <w:bCs/>
        </w:rPr>
        <w:t xml:space="preserve"> </w:t>
      </w:r>
      <w:r>
        <w:rPr>
          <w:rFonts w:hint="eastAsia" w:ascii="宋体" w:hAnsi="宋体"/>
          <w:bCs/>
        </w:rPr>
        <w:t>充电机在充电过程中应具有防止充电连接器意外脱落的锁止装置，直流充电时，车辆接口应具有锁止功能，该锁止功能应符合GB/T20234.1的相关要求。车辆插头端应安装机械锁止装置，供电设备应能判断机械锁是否可靠锁止。车辆插头应安装电子锁止装置，电子锁处于锁止位置时，机械锁应无法操作，供电设备应能判断电子锁是否可靠锁止。当机械锁或电子锁未可靠锁止时，供电设备应停止充电或不启动充电。直流充电车辆接口锁止装置工作示例参见GB/T18487.1-2015附录C。</w:t>
      </w:r>
    </w:p>
    <w:p>
      <w:pPr>
        <w:ind w:firstLine="411" w:firstLineChars="196"/>
        <w:rPr>
          <w:rFonts w:ascii="宋体" w:hAnsi="宋体"/>
          <w:bCs/>
        </w:rPr>
      </w:pPr>
      <w:r>
        <w:rPr>
          <w:rFonts w:ascii="宋体" w:hAnsi="宋体"/>
          <w:bCs/>
        </w:rPr>
        <w:t>7</w:t>
      </w:r>
      <w:r>
        <w:rPr>
          <w:rFonts w:hint="eastAsia" w:ascii="宋体" w:hAnsi="宋体"/>
          <w:bCs/>
        </w:rPr>
        <w:t>.14</w:t>
      </w:r>
      <w:r>
        <w:rPr>
          <w:rFonts w:ascii="宋体" w:hAnsi="宋体"/>
          <w:bCs/>
        </w:rPr>
        <w:t xml:space="preserve"> </w:t>
      </w:r>
      <w:r>
        <w:rPr>
          <w:rFonts w:hint="eastAsia" w:ascii="宋体" w:hAnsi="宋体"/>
          <w:bCs/>
        </w:rPr>
        <w:t>充电机应具备防止电池电流倒灌功能。</w:t>
      </w:r>
    </w:p>
    <w:p>
      <w:pPr>
        <w:ind w:firstLine="411" w:firstLineChars="196"/>
        <w:rPr>
          <w:rFonts w:ascii="宋体" w:hAnsi="宋体"/>
          <w:bCs/>
        </w:rPr>
      </w:pPr>
      <w:r>
        <w:rPr>
          <w:rFonts w:ascii="宋体" w:hAnsi="宋体"/>
          <w:bCs/>
        </w:rPr>
        <w:t>7</w:t>
      </w:r>
      <w:r>
        <w:rPr>
          <w:rFonts w:hint="eastAsia" w:ascii="宋体" w:hAnsi="宋体"/>
          <w:bCs/>
        </w:rPr>
        <w:t>.15</w:t>
      </w:r>
      <w:r>
        <w:rPr>
          <w:rFonts w:ascii="宋体" w:hAnsi="宋体"/>
          <w:bCs/>
        </w:rPr>
        <w:t xml:space="preserve"> </w:t>
      </w:r>
      <w:r>
        <w:rPr>
          <w:rFonts w:hint="eastAsia" w:ascii="宋体" w:hAnsi="宋体"/>
          <w:bCs/>
        </w:rPr>
        <w:t>充电机应具备预充电功能。当充电机检测到电动汽车直流接触器闭合后，充电机应检测电池端电压；充电机检测到电池端电压后需进行预充，将功率模块输出电压升到与电池端电压测量值之差小于10V后，方可闭合充电机输出接触器。</w:t>
      </w:r>
    </w:p>
    <w:p>
      <w:pPr>
        <w:ind w:firstLine="411" w:firstLineChars="196"/>
        <w:rPr>
          <w:rFonts w:ascii="宋体" w:hAnsi="宋体"/>
          <w:bCs/>
        </w:rPr>
      </w:pPr>
      <w:r>
        <w:rPr>
          <w:rFonts w:ascii="宋体" w:hAnsi="宋体"/>
          <w:bCs/>
        </w:rPr>
        <w:t>7</w:t>
      </w:r>
      <w:r>
        <w:rPr>
          <w:rFonts w:hint="eastAsia" w:ascii="宋体" w:hAnsi="宋体"/>
          <w:bCs/>
        </w:rPr>
        <w:t>.16</w:t>
      </w:r>
      <w:r>
        <w:rPr>
          <w:rFonts w:ascii="宋体" w:hAnsi="宋体"/>
          <w:bCs/>
        </w:rPr>
        <w:t xml:space="preserve"> </w:t>
      </w:r>
      <w:r>
        <w:rPr>
          <w:rFonts w:hint="eastAsia" w:ascii="宋体" w:hAnsi="宋体"/>
          <w:bCs/>
        </w:rPr>
        <w:t>充电机在每个充电周期内进行接触器触点烧结检测。当检测到接触器触点出现粘连的情况后，充电机不得继续工作。</w:t>
      </w:r>
    </w:p>
    <w:p>
      <w:pPr>
        <w:ind w:firstLine="411" w:firstLineChars="196"/>
        <w:rPr>
          <w:rFonts w:ascii="宋体" w:hAnsi="宋体"/>
          <w:bCs/>
        </w:rPr>
      </w:pPr>
      <w:r>
        <w:rPr>
          <w:rFonts w:ascii="宋体" w:hAnsi="宋体"/>
          <w:bCs/>
        </w:rPr>
        <w:t>7</w:t>
      </w:r>
      <w:r>
        <w:rPr>
          <w:rFonts w:hint="eastAsia" w:ascii="宋体" w:hAnsi="宋体"/>
          <w:bCs/>
        </w:rPr>
        <w:t>.17</w:t>
      </w:r>
      <w:r>
        <w:rPr>
          <w:rFonts w:ascii="宋体" w:hAnsi="宋体"/>
          <w:bCs/>
        </w:rPr>
        <w:t xml:space="preserve"> </w:t>
      </w:r>
      <w:r>
        <w:rPr>
          <w:rFonts w:hint="eastAsia" w:ascii="宋体" w:hAnsi="宋体"/>
          <w:bCs/>
        </w:rPr>
        <w:t>充电机必须保证充电机输出接触器闭合发生在车辆直流充电接触器闭合之后，其时间间隔不得低于500ms。</w:t>
      </w:r>
    </w:p>
    <w:p>
      <w:pPr>
        <w:ind w:firstLine="411" w:firstLineChars="196"/>
        <w:rPr>
          <w:rFonts w:ascii="宋体" w:hAnsi="宋体"/>
          <w:bCs/>
        </w:rPr>
      </w:pPr>
      <w:r>
        <w:rPr>
          <w:rFonts w:ascii="宋体" w:hAnsi="宋体"/>
          <w:bCs/>
        </w:rPr>
        <w:t>7</w:t>
      </w:r>
      <w:r>
        <w:rPr>
          <w:rFonts w:hint="eastAsia" w:ascii="宋体" w:hAnsi="宋体"/>
          <w:bCs/>
        </w:rPr>
        <w:t>.18</w:t>
      </w:r>
      <w:r>
        <w:rPr>
          <w:rFonts w:ascii="宋体" w:hAnsi="宋体"/>
          <w:bCs/>
        </w:rPr>
        <w:t xml:space="preserve"> </w:t>
      </w:r>
      <w:r>
        <w:rPr>
          <w:rFonts w:hint="eastAsia" w:ascii="宋体" w:hAnsi="宋体"/>
          <w:bCs/>
        </w:rPr>
        <w:t>充电机在充电停止状态下，应保证直流输出回路处于断开状态。</w:t>
      </w:r>
    </w:p>
    <w:p>
      <w:pPr>
        <w:outlineLvl w:val="2"/>
        <w:rPr>
          <w:rFonts w:ascii="宋体" w:hAnsi="宋体"/>
          <w:b/>
          <w:bCs/>
        </w:rPr>
      </w:pPr>
      <w:r>
        <w:rPr>
          <w:rFonts w:ascii="宋体" w:hAnsi="宋体"/>
          <w:b/>
          <w:bCs/>
        </w:rPr>
        <w:t>8</w:t>
      </w:r>
      <w:r>
        <w:rPr>
          <w:rFonts w:hint="eastAsia" w:ascii="宋体" w:hAnsi="宋体"/>
          <w:b/>
          <w:bCs/>
        </w:rPr>
        <w:t>、充电输出要求</w:t>
      </w:r>
    </w:p>
    <w:p>
      <w:pPr>
        <w:ind w:firstLine="411" w:firstLineChars="196"/>
        <w:rPr>
          <w:rFonts w:ascii="宋体" w:hAnsi="宋体"/>
          <w:bCs/>
        </w:rPr>
      </w:pPr>
      <w:r>
        <w:rPr>
          <w:rFonts w:ascii="宋体" w:hAnsi="宋体"/>
          <w:bCs/>
        </w:rPr>
        <w:t>8</w:t>
      </w:r>
      <w:r>
        <w:rPr>
          <w:rFonts w:hint="eastAsia" w:ascii="宋体" w:hAnsi="宋体"/>
          <w:bCs/>
        </w:rPr>
        <w:t>.</w:t>
      </w:r>
      <w:r>
        <w:rPr>
          <w:rFonts w:ascii="宋体" w:hAnsi="宋体"/>
          <w:bCs/>
        </w:rPr>
        <w:t xml:space="preserve">1 </w:t>
      </w:r>
      <w:r>
        <w:rPr>
          <w:rFonts w:hint="eastAsia" w:ascii="宋体" w:hAnsi="宋体"/>
          <w:bCs/>
        </w:rPr>
        <w:t>输出电压误差</w:t>
      </w:r>
    </w:p>
    <w:p>
      <w:pPr>
        <w:ind w:firstLine="411" w:firstLineChars="196"/>
        <w:rPr>
          <w:rFonts w:ascii="宋体" w:hAnsi="宋体"/>
          <w:bCs/>
        </w:rPr>
      </w:pPr>
      <w:r>
        <w:rPr>
          <w:rFonts w:hint="eastAsia" w:ascii="宋体" w:hAnsi="宋体"/>
          <w:bCs/>
        </w:rPr>
        <w:t>在恒压状态下，直流输出电压设定在规定的相应调节范围内，充电机的输出电压误差不应超过±0.5％。</w:t>
      </w:r>
    </w:p>
    <w:p>
      <w:pPr>
        <w:ind w:firstLine="411" w:firstLineChars="196"/>
        <w:rPr>
          <w:rFonts w:ascii="宋体" w:hAnsi="宋体"/>
          <w:bCs/>
        </w:rPr>
      </w:pPr>
      <w:r>
        <w:rPr>
          <w:rFonts w:ascii="宋体" w:hAnsi="宋体"/>
          <w:bCs/>
        </w:rPr>
        <w:t>8</w:t>
      </w:r>
      <w:r>
        <w:rPr>
          <w:rFonts w:hint="eastAsia" w:ascii="宋体" w:hAnsi="宋体"/>
          <w:bCs/>
        </w:rPr>
        <w:t>.2</w:t>
      </w:r>
      <w:r>
        <w:rPr>
          <w:rFonts w:ascii="宋体" w:hAnsi="宋体"/>
          <w:bCs/>
        </w:rPr>
        <w:t xml:space="preserve"> </w:t>
      </w:r>
      <w:r>
        <w:rPr>
          <w:rFonts w:hint="eastAsia" w:ascii="宋体" w:hAnsi="宋体"/>
          <w:bCs/>
        </w:rPr>
        <w:t>输出电流误差</w:t>
      </w:r>
    </w:p>
    <w:p>
      <w:pPr>
        <w:ind w:firstLine="411" w:firstLineChars="196"/>
        <w:rPr>
          <w:rFonts w:ascii="宋体" w:hAnsi="宋体"/>
          <w:bCs/>
        </w:rPr>
      </w:pPr>
      <w:r>
        <w:rPr>
          <w:rFonts w:hint="eastAsia" w:ascii="宋体" w:hAnsi="宋体"/>
          <w:bCs/>
        </w:rPr>
        <w:t>在恒流状态下，输出直流电流设定在规定的额定值的20%～100%范围内，在设定的直流输出电流≥30A时，充电机的输出电流误差不应超过±1%；在设定的输出电流&lt;30A时，充电机的输出电流误差不应超过±0.3A。</w:t>
      </w:r>
    </w:p>
    <w:p>
      <w:pPr>
        <w:ind w:firstLine="411" w:firstLineChars="196"/>
        <w:rPr>
          <w:rFonts w:ascii="宋体" w:hAnsi="宋体"/>
          <w:bCs/>
        </w:rPr>
      </w:pPr>
      <w:r>
        <w:rPr>
          <w:rFonts w:ascii="宋体" w:hAnsi="宋体"/>
          <w:bCs/>
        </w:rPr>
        <w:t>8</w:t>
      </w:r>
      <w:r>
        <w:rPr>
          <w:rFonts w:hint="eastAsia" w:ascii="宋体" w:hAnsi="宋体"/>
          <w:bCs/>
        </w:rPr>
        <w:t>.3</w:t>
      </w:r>
      <w:r>
        <w:rPr>
          <w:rFonts w:ascii="宋体" w:hAnsi="宋体"/>
          <w:bCs/>
        </w:rPr>
        <w:t xml:space="preserve"> </w:t>
      </w:r>
      <w:r>
        <w:rPr>
          <w:rFonts w:hint="eastAsia" w:ascii="宋体" w:hAnsi="宋体"/>
          <w:bCs/>
        </w:rPr>
        <w:t>稳压精度</w:t>
      </w:r>
    </w:p>
    <w:p>
      <w:pPr>
        <w:ind w:firstLine="411" w:firstLineChars="196"/>
        <w:rPr>
          <w:rFonts w:ascii="宋体" w:hAnsi="宋体"/>
          <w:bCs/>
        </w:rPr>
      </w:pPr>
      <w:r>
        <w:rPr>
          <w:rFonts w:hint="eastAsia" w:ascii="宋体" w:hAnsi="宋体"/>
          <w:bCs/>
        </w:rPr>
        <w:t>当交流电源电压在额定值的±15%范围内变化，直流输出电流在规定的额定值的0～100%范围内变化时，输出直流电压在规定的相应调节范围内任一数值上，充电机的输出电压稳压精度不应超过±0.5%。</w:t>
      </w:r>
    </w:p>
    <w:p>
      <w:pPr>
        <w:ind w:firstLine="411" w:firstLineChars="196"/>
        <w:rPr>
          <w:rFonts w:ascii="宋体" w:hAnsi="宋体"/>
          <w:bCs/>
        </w:rPr>
      </w:pPr>
      <w:r>
        <w:rPr>
          <w:rFonts w:ascii="宋体" w:hAnsi="宋体"/>
          <w:bCs/>
        </w:rPr>
        <w:t>8</w:t>
      </w:r>
      <w:r>
        <w:rPr>
          <w:rFonts w:hint="eastAsia" w:ascii="宋体" w:hAnsi="宋体"/>
          <w:bCs/>
        </w:rPr>
        <w:t>.4</w:t>
      </w:r>
      <w:r>
        <w:rPr>
          <w:rFonts w:ascii="宋体" w:hAnsi="宋体"/>
          <w:bCs/>
        </w:rPr>
        <w:t xml:space="preserve"> </w:t>
      </w:r>
      <w:r>
        <w:rPr>
          <w:rFonts w:hint="eastAsia" w:ascii="宋体" w:hAnsi="宋体"/>
          <w:bCs/>
        </w:rPr>
        <w:t>稳流精度</w:t>
      </w:r>
    </w:p>
    <w:p>
      <w:pPr>
        <w:ind w:firstLine="411" w:firstLineChars="196"/>
        <w:rPr>
          <w:rFonts w:ascii="宋体" w:hAnsi="宋体"/>
          <w:bCs/>
        </w:rPr>
      </w:pPr>
      <w:r>
        <w:rPr>
          <w:rFonts w:hint="eastAsia" w:ascii="宋体" w:hAnsi="宋体"/>
          <w:bCs/>
        </w:rPr>
        <w:t>当交流电源电压在额定值的±15%范围内变化，直流输出电压在规定的相应范围内变化时，直流输出电流在规定的额定值的20%～100%范围内任一数值上，充电机的输出电流稳流精度不应超过±1%。</w:t>
      </w:r>
    </w:p>
    <w:p>
      <w:pPr>
        <w:ind w:firstLine="411" w:firstLineChars="196"/>
        <w:rPr>
          <w:rFonts w:ascii="宋体" w:hAnsi="宋体"/>
          <w:bCs/>
        </w:rPr>
      </w:pPr>
      <w:r>
        <w:rPr>
          <w:rFonts w:ascii="宋体" w:hAnsi="宋体"/>
          <w:bCs/>
        </w:rPr>
        <w:t>8</w:t>
      </w:r>
      <w:r>
        <w:rPr>
          <w:rFonts w:hint="eastAsia" w:ascii="宋体" w:hAnsi="宋体"/>
          <w:bCs/>
        </w:rPr>
        <w:t>.5</w:t>
      </w:r>
      <w:r>
        <w:rPr>
          <w:rFonts w:ascii="宋体" w:hAnsi="宋体"/>
          <w:bCs/>
        </w:rPr>
        <w:t xml:space="preserve"> </w:t>
      </w:r>
      <w:r>
        <w:rPr>
          <w:rFonts w:hint="eastAsia" w:ascii="宋体" w:hAnsi="宋体"/>
          <w:bCs/>
        </w:rPr>
        <w:t>纹波系数</w:t>
      </w:r>
    </w:p>
    <w:p>
      <w:pPr>
        <w:ind w:firstLine="411" w:firstLineChars="196"/>
        <w:rPr>
          <w:rFonts w:ascii="宋体" w:hAnsi="宋体"/>
          <w:bCs/>
        </w:rPr>
      </w:pPr>
      <w:r>
        <w:rPr>
          <w:rFonts w:hint="eastAsia" w:ascii="宋体" w:hAnsi="宋体"/>
          <w:bCs/>
        </w:rPr>
        <w:t>当交流电源电压在额定值的±15%范围内变化，直流输出电流在规定的额定值的0～100%范围内变化时，直流输出电压在规定的相应调节范围任一数值上，充电机的输出纹波有效值系数不应超过±0.5%，纹波峰值系数不应超过±1%。</w:t>
      </w:r>
    </w:p>
    <w:p>
      <w:pPr>
        <w:ind w:firstLine="411" w:firstLineChars="196"/>
        <w:rPr>
          <w:rFonts w:ascii="宋体" w:hAnsi="宋体"/>
          <w:bCs/>
        </w:rPr>
      </w:pPr>
      <w:r>
        <w:rPr>
          <w:rFonts w:ascii="宋体" w:hAnsi="宋体"/>
          <w:bCs/>
        </w:rPr>
        <w:t>8</w:t>
      </w:r>
      <w:r>
        <w:rPr>
          <w:rFonts w:hint="eastAsia" w:ascii="宋体" w:hAnsi="宋体"/>
          <w:bCs/>
        </w:rPr>
        <w:t>.6</w:t>
      </w:r>
      <w:r>
        <w:rPr>
          <w:rFonts w:ascii="宋体" w:hAnsi="宋体"/>
          <w:bCs/>
        </w:rPr>
        <w:t xml:space="preserve"> </w:t>
      </w:r>
      <w:r>
        <w:rPr>
          <w:rFonts w:hint="eastAsia" w:ascii="宋体" w:hAnsi="宋体"/>
          <w:bCs/>
        </w:rPr>
        <w:t>限压、限流特性</w:t>
      </w:r>
    </w:p>
    <w:p>
      <w:pPr>
        <w:ind w:firstLine="411" w:firstLineChars="196"/>
        <w:rPr>
          <w:rFonts w:ascii="宋体" w:hAnsi="宋体"/>
          <w:bCs/>
        </w:rPr>
      </w:pPr>
      <w:r>
        <w:rPr>
          <w:rFonts w:hint="eastAsia" w:ascii="宋体" w:hAnsi="宋体"/>
          <w:bCs/>
        </w:rPr>
        <w:t>a)</w:t>
      </w:r>
      <w:r>
        <w:rPr>
          <w:rFonts w:hint="eastAsia" w:ascii="宋体" w:hAnsi="宋体"/>
          <w:bCs/>
        </w:rPr>
        <w:tab/>
      </w:r>
      <w:r>
        <w:rPr>
          <w:rFonts w:hint="eastAsia" w:ascii="宋体" w:hAnsi="宋体"/>
          <w:bCs/>
        </w:rPr>
        <w:t>充电机在恒流状态下运行时，当直流输出电压超过限压整定值时，应能立即进入恒压充电状态，自动限制其输出电压的增加。</w:t>
      </w:r>
    </w:p>
    <w:p>
      <w:pPr>
        <w:ind w:firstLine="411" w:firstLineChars="196"/>
        <w:rPr>
          <w:rFonts w:ascii="宋体" w:hAnsi="宋体"/>
          <w:bCs/>
        </w:rPr>
      </w:pPr>
      <w:r>
        <w:rPr>
          <w:rFonts w:hint="eastAsia" w:ascii="宋体" w:hAnsi="宋体"/>
          <w:bCs/>
        </w:rPr>
        <w:t>b)</w:t>
      </w:r>
      <w:r>
        <w:rPr>
          <w:rFonts w:hint="eastAsia" w:ascii="宋体" w:hAnsi="宋体"/>
          <w:bCs/>
        </w:rPr>
        <w:tab/>
      </w:r>
      <w:r>
        <w:rPr>
          <w:rFonts w:hint="eastAsia" w:ascii="宋体" w:hAnsi="宋体"/>
          <w:bCs/>
        </w:rPr>
        <w:t>充电机在恒压状态下运行时，当直流输出电流超过限流整定值时，应能立即进入限流充电状态，自动限制其输出电流的增加。</w:t>
      </w:r>
    </w:p>
    <w:p>
      <w:pPr>
        <w:ind w:firstLine="411" w:firstLineChars="196"/>
        <w:rPr>
          <w:rFonts w:ascii="宋体" w:hAnsi="宋体"/>
          <w:bCs/>
        </w:rPr>
      </w:pPr>
      <w:r>
        <w:rPr>
          <w:rFonts w:ascii="宋体" w:hAnsi="宋体"/>
          <w:bCs/>
        </w:rPr>
        <w:t>8</w:t>
      </w:r>
      <w:r>
        <w:rPr>
          <w:rFonts w:hint="eastAsia" w:ascii="宋体" w:hAnsi="宋体"/>
          <w:bCs/>
        </w:rPr>
        <w:t>.7</w:t>
      </w:r>
      <w:r>
        <w:rPr>
          <w:rFonts w:ascii="宋体" w:hAnsi="宋体"/>
          <w:bCs/>
        </w:rPr>
        <w:t xml:space="preserve"> </w:t>
      </w:r>
      <w:r>
        <w:rPr>
          <w:rFonts w:hint="eastAsia" w:ascii="宋体" w:hAnsi="宋体"/>
          <w:bCs/>
        </w:rPr>
        <w:t>输出响应要求</w:t>
      </w:r>
    </w:p>
    <w:p>
      <w:pPr>
        <w:ind w:firstLine="411" w:firstLineChars="196"/>
        <w:rPr>
          <w:rFonts w:ascii="宋体" w:hAnsi="宋体"/>
          <w:bCs/>
        </w:rPr>
      </w:pPr>
      <w:r>
        <w:rPr>
          <w:rFonts w:hint="eastAsia" w:ascii="宋体" w:hAnsi="宋体"/>
          <w:bCs/>
        </w:rPr>
        <w:t>在充电阶段，车辆向充电机实时发送电池充电需求参数，充电机应最长在1s以内将充电电压和充电电流调整到与车辆发送的电池充电需求命令值相一致，充电机根据电池充电需求参数实时调整充电电压和充电电流。</w:t>
      </w:r>
    </w:p>
    <w:p>
      <w:pPr>
        <w:outlineLvl w:val="2"/>
        <w:rPr>
          <w:rFonts w:ascii="宋体" w:hAnsi="宋体"/>
          <w:b/>
          <w:bCs/>
        </w:rPr>
      </w:pPr>
      <w:r>
        <w:rPr>
          <w:rFonts w:ascii="宋体" w:hAnsi="宋体"/>
          <w:b/>
          <w:bCs/>
        </w:rPr>
        <w:t>9</w:t>
      </w:r>
      <w:r>
        <w:rPr>
          <w:rFonts w:hint="eastAsia" w:ascii="宋体" w:hAnsi="宋体"/>
          <w:b/>
          <w:bCs/>
        </w:rPr>
        <w:t>、待机功耗</w:t>
      </w:r>
    </w:p>
    <w:p>
      <w:pPr>
        <w:ind w:firstLine="411" w:firstLineChars="196"/>
        <w:rPr>
          <w:rFonts w:ascii="宋体" w:hAnsi="宋体"/>
          <w:bCs/>
        </w:rPr>
      </w:pPr>
      <w:r>
        <w:rPr>
          <w:rFonts w:hint="eastAsia" w:ascii="宋体" w:hAnsi="宋体"/>
          <w:bCs/>
        </w:rPr>
        <w:t>在额定输入电压下，当充电机处于待机状态时，其整机功耗不应大于≤N*50W（N表示车辆接口数量）。</w:t>
      </w:r>
    </w:p>
    <w:p>
      <w:pPr>
        <w:outlineLvl w:val="2"/>
        <w:rPr>
          <w:rFonts w:ascii="宋体" w:hAnsi="宋体"/>
          <w:b/>
          <w:bCs/>
        </w:rPr>
      </w:pPr>
      <w:r>
        <w:rPr>
          <w:rFonts w:ascii="宋体" w:hAnsi="宋体"/>
          <w:b/>
          <w:bCs/>
        </w:rPr>
        <w:t>10</w:t>
      </w:r>
      <w:r>
        <w:rPr>
          <w:rFonts w:hint="eastAsia" w:ascii="宋体" w:hAnsi="宋体"/>
          <w:b/>
          <w:bCs/>
        </w:rPr>
        <w:t>、效率和功率因数</w:t>
      </w:r>
    </w:p>
    <w:p>
      <w:pPr>
        <w:ind w:firstLine="411" w:firstLineChars="196"/>
        <w:rPr>
          <w:rFonts w:ascii="宋体" w:hAnsi="宋体"/>
          <w:bCs/>
        </w:rPr>
      </w:pPr>
      <w:r>
        <w:rPr>
          <w:rFonts w:hint="eastAsia" w:ascii="宋体" w:hAnsi="宋体"/>
          <w:bCs/>
        </w:rPr>
        <w:t>在额定输入电压及直流输出电压限制在规定的相应调节范围内，调节输出电流使输出功率在20%～100%之间变化，充电机效率和功率因数不应低于表</w:t>
      </w:r>
      <w:r>
        <w:rPr>
          <w:rFonts w:ascii="宋体" w:hAnsi="宋体"/>
          <w:bCs/>
        </w:rPr>
        <w:t>4</w:t>
      </w:r>
      <w:r>
        <w:rPr>
          <w:rFonts w:hint="eastAsia" w:ascii="宋体" w:hAnsi="宋体"/>
          <w:bCs/>
        </w:rPr>
        <w:t>的要求。</w:t>
      </w:r>
    </w:p>
    <w:p>
      <w:pPr>
        <w:spacing w:before="156" w:beforeLines="50" w:after="156" w:afterLines="50"/>
        <w:jc w:val="center"/>
        <w:rPr>
          <w:rFonts w:ascii="宋体" w:hAnsi="宋体"/>
          <w:kern w:val="0"/>
        </w:rPr>
      </w:pPr>
      <w:r>
        <w:rPr>
          <w:rFonts w:hint="eastAsia" w:ascii="宋体" w:hAnsi="宋体"/>
          <w:kern w:val="0"/>
        </w:rPr>
        <w:t>表</w:t>
      </w:r>
      <w:r>
        <w:rPr>
          <w:rFonts w:ascii="宋体" w:hAnsi="宋体"/>
          <w:kern w:val="0"/>
        </w:rPr>
        <w:t>4</w:t>
      </w:r>
      <w:r>
        <w:rPr>
          <w:rFonts w:hint="eastAsia" w:ascii="宋体" w:hAnsi="宋体"/>
          <w:kern w:val="0"/>
        </w:rPr>
        <w:t xml:space="preserve">  充电机效率和功率因数</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79"/>
        <w:gridCol w:w="3215"/>
        <w:gridCol w:w="27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2" w:hRule="atLeast"/>
          <w:jc w:val="center"/>
        </w:trPr>
        <w:tc>
          <w:tcPr>
            <w:tcW w:w="3179" w:type="dxa"/>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输出功率</w:t>
            </w:r>
          </w:p>
        </w:tc>
        <w:tc>
          <w:tcPr>
            <w:tcW w:w="3215" w:type="dxa"/>
            <w:tcBorders>
              <w:right w:val="single" w:color="auto" w:sz="4" w:space="0"/>
            </w:tcBorders>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功率因数</w:t>
            </w:r>
          </w:p>
        </w:tc>
        <w:tc>
          <w:tcPr>
            <w:tcW w:w="2724" w:type="dxa"/>
            <w:tcBorders>
              <w:left w:val="single" w:color="auto" w:sz="4" w:space="0"/>
            </w:tcBorders>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效率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 w:hRule="atLeast"/>
          <w:jc w:val="center"/>
        </w:trPr>
        <w:tc>
          <w:tcPr>
            <w:tcW w:w="3179" w:type="dxa"/>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20%≤Po</w:t>
            </w:r>
            <w:r>
              <w:rPr>
                <w:rFonts w:hint="eastAsia" w:ascii="宋体" w:hAnsi="宋体"/>
                <w:kern w:val="0"/>
              </w:rPr>
              <w:t>≤</w:t>
            </w:r>
            <w:r>
              <w:rPr>
                <w:rFonts w:ascii="宋体" w:hAnsi="宋体"/>
                <w:kern w:val="0"/>
              </w:rPr>
              <w:t>50%</w:t>
            </w:r>
          </w:p>
        </w:tc>
        <w:tc>
          <w:tcPr>
            <w:tcW w:w="3215" w:type="dxa"/>
            <w:tcBorders>
              <w:right w:val="single" w:color="auto" w:sz="4" w:space="0"/>
            </w:tcBorders>
            <w:vAlign w:val="center"/>
          </w:tcPr>
          <w:p>
            <w:pPr>
              <w:jc w:val="center"/>
              <w:rPr>
                <w:rFonts w:ascii="宋体" w:hAnsi="宋体"/>
                <w:kern w:val="0"/>
              </w:rPr>
            </w:pPr>
            <w:r>
              <w:rPr>
                <w:rFonts w:ascii="宋体" w:hAnsi="宋体"/>
                <w:kern w:val="0"/>
              </w:rPr>
              <w:t>0.95</w:t>
            </w:r>
          </w:p>
        </w:tc>
        <w:tc>
          <w:tcPr>
            <w:tcW w:w="2724" w:type="dxa"/>
            <w:tcBorders>
              <w:left w:val="single" w:color="auto" w:sz="4" w:space="0"/>
            </w:tcBorders>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 w:hRule="atLeast"/>
          <w:jc w:val="center"/>
        </w:trPr>
        <w:tc>
          <w:tcPr>
            <w:tcW w:w="3179" w:type="dxa"/>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50%</w:t>
            </w:r>
            <w:r>
              <w:rPr>
                <w:rFonts w:hint="eastAsia" w:ascii="宋体" w:hAnsi="宋体"/>
                <w:kern w:val="0"/>
              </w:rPr>
              <w:t>＜</w:t>
            </w:r>
            <w:r>
              <w:rPr>
                <w:rFonts w:ascii="宋体" w:hAnsi="宋体"/>
                <w:kern w:val="0"/>
              </w:rPr>
              <w:t>Po≤100%</w:t>
            </w:r>
          </w:p>
        </w:tc>
        <w:tc>
          <w:tcPr>
            <w:tcW w:w="3215" w:type="dxa"/>
            <w:tcBorders>
              <w:right w:val="single" w:color="auto" w:sz="4" w:space="0"/>
            </w:tcBorders>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0.98</w:t>
            </w:r>
          </w:p>
        </w:tc>
        <w:tc>
          <w:tcPr>
            <w:tcW w:w="2724" w:type="dxa"/>
            <w:tcBorders>
              <w:left w:val="single" w:color="auto" w:sz="4" w:space="0"/>
            </w:tcBorders>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93%</w:t>
            </w:r>
          </w:p>
        </w:tc>
      </w:tr>
    </w:tbl>
    <w:p>
      <w:pPr>
        <w:ind w:firstLine="411" w:firstLineChars="196"/>
        <w:rPr>
          <w:rFonts w:ascii="宋体" w:hAnsi="宋体"/>
          <w:bCs/>
        </w:rPr>
      </w:pPr>
    </w:p>
    <w:p>
      <w:pPr>
        <w:outlineLvl w:val="2"/>
        <w:rPr>
          <w:rFonts w:ascii="宋体" w:hAnsi="宋体"/>
          <w:b/>
          <w:bCs/>
        </w:rPr>
      </w:pPr>
      <w:r>
        <w:rPr>
          <w:rFonts w:ascii="宋体" w:hAnsi="宋体"/>
          <w:b/>
          <w:bCs/>
        </w:rPr>
        <w:t>11</w:t>
      </w:r>
      <w:r>
        <w:rPr>
          <w:rFonts w:hint="eastAsia" w:ascii="宋体" w:hAnsi="宋体"/>
          <w:b/>
          <w:bCs/>
        </w:rPr>
        <w:t>、噪声</w:t>
      </w:r>
    </w:p>
    <w:p>
      <w:pPr>
        <w:ind w:firstLine="411" w:firstLineChars="196"/>
        <w:rPr>
          <w:rFonts w:ascii="宋体" w:hAnsi="宋体"/>
          <w:bCs/>
        </w:rPr>
      </w:pPr>
      <w:r>
        <w:rPr>
          <w:rFonts w:hint="eastAsia" w:ascii="宋体" w:hAnsi="宋体"/>
          <w:bCs/>
        </w:rPr>
        <w:t>充电机的噪声最大值应不大于</w:t>
      </w:r>
      <w:r>
        <w:rPr>
          <w:rFonts w:ascii="宋体" w:hAnsi="宋体"/>
          <w:bCs/>
        </w:rPr>
        <w:t>80</w:t>
      </w:r>
      <w:r>
        <w:rPr>
          <w:rFonts w:hint="eastAsia" w:ascii="宋体" w:hAnsi="宋体"/>
          <w:bCs/>
        </w:rPr>
        <w:t>dB。</w:t>
      </w:r>
    </w:p>
    <w:p>
      <w:pPr>
        <w:outlineLvl w:val="2"/>
        <w:rPr>
          <w:rFonts w:ascii="宋体" w:hAnsi="宋体"/>
          <w:b/>
          <w:bCs/>
        </w:rPr>
      </w:pPr>
      <w:r>
        <w:rPr>
          <w:rFonts w:ascii="宋体" w:hAnsi="宋体"/>
          <w:b/>
          <w:bCs/>
        </w:rPr>
        <w:t>12</w:t>
      </w:r>
      <w:r>
        <w:rPr>
          <w:rFonts w:hint="eastAsia" w:ascii="宋体" w:hAnsi="宋体"/>
          <w:b/>
          <w:bCs/>
        </w:rPr>
        <w:t>、温升</w:t>
      </w:r>
    </w:p>
    <w:p>
      <w:pPr>
        <w:ind w:firstLine="411" w:firstLineChars="196"/>
        <w:rPr>
          <w:rFonts w:ascii="宋体" w:hAnsi="宋体"/>
          <w:bCs/>
        </w:rPr>
      </w:pPr>
      <w:r>
        <w:rPr>
          <w:rFonts w:hint="eastAsia" w:ascii="宋体" w:hAnsi="宋体"/>
          <w:bCs/>
        </w:rPr>
        <w:t>正常试验条件下，交流输入为额定值，在额定负载下长期连续运行，充电机内部各发热元器件及各部位的温升不应超过表</w:t>
      </w:r>
      <w:r>
        <w:rPr>
          <w:rFonts w:ascii="宋体" w:hAnsi="宋体"/>
          <w:bCs/>
        </w:rPr>
        <w:t>5</w:t>
      </w:r>
      <w:r>
        <w:rPr>
          <w:rFonts w:hint="eastAsia" w:ascii="宋体" w:hAnsi="宋体"/>
          <w:bCs/>
        </w:rPr>
        <w:t>中的规定。</w:t>
      </w:r>
    </w:p>
    <w:p>
      <w:pPr>
        <w:pStyle w:val="32"/>
        <w:spacing w:before="0" w:beforeLines="0"/>
        <w:ind w:firstLine="480"/>
        <w:rPr>
          <w:rFonts w:ascii="宋体" w:hAnsi="宋体" w:eastAsia="宋体"/>
          <w:sz w:val="24"/>
          <w:szCs w:val="24"/>
        </w:rPr>
      </w:pPr>
      <w:r>
        <w:rPr>
          <w:rFonts w:hint="eastAsia" w:ascii="宋体" w:hAnsi="宋体" w:eastAsia="宋体"/>
          <w:sz w:val="24"/>
          <w:szCs w:val="24"/>
        </w:rPr>
        <w:t>表</w:t>
      </w:r>
      <w:r>
        <w:rPr>
          <w:rFonts w:ascii="宋体" w:hAnsi="宋体" w:eastAsia="宋体"/>
          <w:sz w:val="24"/>
          <w:szCs w:val="24"/>
        </w:rPr>
        <w:t>5</w:t>
      </w:r>
      <w:r>
        <w:rPr>
          <w:rFonts w:hint="eastAsia" w:ascii="宋体" w:hAnsi="宋体" w:eastAsia="宋体"/>
          <w:sz w:val="24"/>
          <w:szCs w:val="24"/>
        </w:rPr>
        <w:t xml:space="preserve"> 充电机各部件极限温升</w:t>
      </w:r>
    </w:p>
    <w:tbl>
      <w:tblPr>
        <w:tblStyle w:val="16"/>
        <w:tblW w:w="9118" w:type="dxa"/>
        <w:jc w:val="center"/>
        <w:tblLayout w:type="fixed"/>
        <w:tblCellMar>
          <w:top w:w="0" w:type="dxa"/>
          <w:left w:w="108" w:type="dxa"/>
          <w:bottom w:w="0" w:type="dxa"/>
          <w:right w:w="108" w:type="dxa"/>
        </w:tblCellMar>
      </w:tblPr>
      <w:tblGrid>
        <w:gridCol w:w="5303"/>
        <w:gridCol w:w="3815"/>
      </w:tblGrid>
      <w:tr>
        <w:tblPrEx>
          <w:tblCellMar>
            <w:top w:w="0" w:type="dxa"/>
            <w:left w:w="108" w:type="dxa"/>
            <w:bottom w:w="0" w:type="dxa"/>
            <w:right w:w="108" w:type="dxa"/>
          </w:tblCellMar>
        </w:tblPrEx>
        <w:trPr>
          <w:trHeight w:val="124"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ascii="宋体" w:hAnsi="宋体"/>
                <w:kern w:val="0"/>
              </w:rPr>
              <w:t>部 件 或 器 件</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ascii="宋体" w:hAnsi="宋体"/>
                <w:kern w:val="0"/>
              </w:rPr>
              <w:t>极 限 温 升（K）</w:t>
            </w:r>
          </w:p>
        </w:tc>
      </w:tr>
      <w:tr>
        <w:tblPrEx>
          <w:tblCellMar>
            <w:top w:w="0" w:type="dxa"/>
            <w:left w:w="108" w:type="dxa"/>
            <w:bottom w:w="0" w:type="dxa"/>
            <w:right w:w="108" w:type="dxa"/>
          </w:tblCellMar>
        </w:tblPrEx>
        <w:trPr>
          <w:trHeight w:val="186"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动力电源输入端子</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5</w:t>
            </w:r>
            <w:r>
              <w:rPr>
                <w:rFonts w:ascii="宋体" w:hAnsi="宋体"/>
                <w:kern w:val="0"/>
              </w:rPr>
              <w:t>0</w:t>
            </w:r>
          </w:p>
        </w:tc>
      </w:tr>
      <w:tr>
        <w:tblPrEx>
          <w:tblCellMar>
            <w:top w:w="0" w:type="dxa"/>
            <w:left w:w="108" w:type="dxa"/>
            <w:bottom w:w="0" w:type="dxa"/>
            <w:right w:w="108" w:type="dxa"/>
          </w:tblCellMar>
        </w:tblPrEx>
        <w:trPr>
          <w:trHeight w:val="186"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输入断路器、接触器接线端子</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5</w:t>
            </w:r>
            <w:r>
              <w:rPr>
                <w:rFonts w:ascii="宋体" w:hAnsi="宋体"/>
                <w:kern w:val="0"/>
              </w:rPr>
              <w:t>0</w:t>
            </w:r>
          </w:p>
        </w:tc>
      </w:tr>
      <w:tr>
        <w:tblPrEx>
          <w:tblCellMar>
            <w:top w:w="0" w:type="dxa"/>
            <w:left w:w="108" w:type="dxa"/>
            <w:bottom w:w="0" w:type="dxa"/>
            <w:right w:w="108" w:type="dxa"/>
          </w:tblCellMar>
        </w:tblPrEx>
        <w:trPr>
          <w:trHeight w:val="186"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塑料绝缘线</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2</w:t>
            </w:r>
            <w:r>
              <w:rPr>
                <w:rFonts w:ascii="宋体" w:hAnsi="宋体"/>
                <w:kern w:val="0"/>
              </w:rPr>
              <w:t>5</w:t>
            </w:r>
          </w:p>
        </w:tc>
      </w:tr>
      <w:tr>
        <w:tblPrEx>
          <w:tblCellMar>
            <w:top w:w="0" w:type="dxa"/>
            <w:left w:w="108" w:type="dxa"/>
            <w:bottom w:w="0" w:type="dxa"/>
            <w:right w:w="108" w:type="dxa"/>
          </w:tblCellMar>
        </w:tblPrEx>
        <w:trPr>
          <w:trHeight w:val="211"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充电模块输入输出连接端子</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5</w:t>
            </w:r>
            <w:r>
              <w:rPr>
                <w:rFonts w:ascii="宋体" w:hAnsi="宋体"/>
                <w:kern w:val="0"/>
              </w:rPr>
              <w:t>0</w:t>
            </w:r>
          </w:p>
        </w:tc>
      </w:tr>
      <w:tr>
        <w:tblPrEx>
          <w:tblCellMar>
            <w:top w:w="0" w:type="dxa"/>
            <w:left w:w="108" w:type="dxa"/>
            <w:bottom w:w="0" w:type="dxa"/>
            <w:right w:w="108" w:type="dxa"/>
          </w:tblCellMar>
        </w:tblPrEx>
        <w:trPr>
          <w:trHeight w:val="161"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功率电阻</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2</w:t>
            </w:r>
            <w:r>
              <w:rPr>
                <w:rFonts w:ascii="宋体" w:hAnsi="宋体"/>
                <w:kern w:val="0"/>
              </w:rPr>
              <w:t>5</w:t>
            </w:r>
            <w:r>
              <w:rPr>
                <w:rFonts w:hint="eastAsia" w:ascii="宋体" w:hAnsi="宋体"/>
                <w:kern w:val="0"/>
              </w:rPr>
              <w:t>（距外表3</w:t>
            </w:r>
            <w:r>
              <w:rPr>
                <w:rFonts w:ascii="宋体" w:hAnsi="宋体"/>
                <w:kern w:val="0"/>
              </w:rPr>
              <w:t>0mm</w:t>
            </w:r>
            <w:r>
              <w:rPr>
                <w:rFonts w:hint="eastAsia" w:ascii="宋体" w:hAnsi="宋体"/>
                <w:kern w:val="0"/>
              </w:rPr>
              <w:t>处空间）</w:t>
            </w:r>
          </w:p>
        </w:tc>
      </w:tr>
      <w:tr>
        <w:tblPrEx>
          <w:tblCellMar>
            <w:top w:w="0" w:type="dxa"/>
            <w:left w:w="108" w:type="dxa"/>
            <w:bottom w:w="0" w:type="dxa"/>
            <w:right w:w="108" w:type="dxa"/>
          </w:tblCellMar>
        </w:tblPrEx>
        <w:trPr>
          <w:trHeight w:val="111"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电流采样分流器端子连接处</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7</w:t>
            </w:r>
            <w:r>
              <w:rPr>
                <w:rFonts w:ascii="宋体" w:hAnsi="宋体"/>
                <w:kern w:val="0"/>
              </w:rPr>
              <w:t>0</w:t>
            </w:r>
          </w:p>
        </w:tc>
      </w:tr>
      <w:tr>
        <w:tblPrEx>
          <w:tblCellMar>
            <w:top w:w="0" w:type="dxa"/>
            <w:left w:w="108" w:type="dxa"/>
            <w:bottom w:w="0" w:type="dxa"/>
            <w:right w:w="108" w:type="dxa"/>
          </w:tblCellMar>
        </w:tblPrEx>
        <w:trPr>
          <w:trHeight w:val="644"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熔断器端子连接处</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7</w:t>
            </w:r>
            <w:r>
              <w:rPr>
                <w:rFonts w:ascii="宋体" w:hAnsi="宋体"/>
                <w:kern w:val="0"/>
              </w:rPr>
              <w:t>0</w:t>
            </w:r>
          </w:p>
        </w:tc>
      </w:tr>
      <w:tr>
        <w:tblPrEx>
          <w:tblCellMar>
            <w:top w:w="0" w:type="dxa"/>
            <w:left w:w="108" w:type="dxa"/>
            <w:bottom w:w="0" w:type="dxa"/>
            <w:right w:w="108" w:type="dxa"/>
          </w:tblCellMar>
        </w:tblPrEx>
        <w:trPr>
          <w:trHeight w:val="644"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直流接触器外壳与极柱</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5</w:t>
            </w:r>
            <w:r>
              <w:rPr>
                <w:rFonts w:ascii="宋体" w:hAnsi="宋体"/>
                <w:kern w:val="0"/>
              </w:rPr>
              <w:t>0</w:t>
            </w:r>
          </w:p>
        </w:tc>
      </w:tr>
      <w:tr>
        <w:tblPrEx>
          <w:tblCellMar>
            <w:top w:w="0" w:type="dxa"/>
            <w:left w:w="108" w:type="dxa"/>
            <w:bottom w:w="0" w:type="dxa"/>
            <w:right w:w="108" w:type="dxa"/>
          </w:tblCellMar>
        </w:tblPrEx>
        <w:trPr>
          <w:trHeight w:val="644"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直流输出接线端子</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5</w:t>
            </w:r>
            <w:r>
              <w:rPr>
                <w:rFonts w:ascii="宋体" w:hAnsi="宋体"/>
                <w:kern w:val="0"/>
              </w:rPr>
              <w:t>0</w:t>
            </w:r>
          </w:p>
        </w:tc>
      </w:tr>
    </w:tbl>
    <w:p>
      <w:pPr>
        <w:rPr>
          <w:rFonts w:ascii="宋体" w:hAnsi="宋体"/>
          <w:bCs/>
        </w:rPr>
      </w:pPr>
    </w:p>
    <w:p>
      <w:pPr>
        <w:outlineLvl w:val="2"/>
        <w:rPr>
          <w:rFonts w:ascii="宋体" w:hAnsi="宋体"/>
          <w:b/>
          <w:bCs/>
        </w:rPr>
      </w:pPr>
      <w:r>
        <w:rPr>
          <w:rFonts w:ascii="宋体" w:hAnsi="宋体"/>
          <w:b/>
          <w:bCs/>
        </w:rPr>
        <w:t>13</w:t>
      </w:r>
      <w:r>
        <w:rPr>
          <w:rFonts w:hint="eastAsia" w:ascii="宋体" w:hAnsi="宋体"/>
          <w:b/>
          <w:bCs/>
        </w:rPr>
        <w:t>、高低温和湿热性能</w:t>
      </w:r>
    </w:p>
    <w:p>
      <w:pPr>
        <w:ind w:firstLine="411" w:firstLineChars="196"/>
        <w:rPr>
          <w:rFonts w:ascii="宋体" w:hAnsi="宋体"/>
          <w:bCs/>
        </w:rPr>
      </w:pPr>
      <w:r>
        <w:rPr>
          <w:rFonts w:ascii="宋体" w:hAnsi="宋体"/>
          <w:bCs/>
        </w:rPr>
        <w:t>13</w:t>
      </w:r>
      <w:r>
        <w:rPr>
          <w:rFonts w:hint="eastAsia" w:ascii="宋体" w:hAnsi="宋体"/>
          <w:bCs/>
        </w:rPr>
        <w:t>.1</w:t>
      </w:r>
      <w:r>
        <w:rPr>
          <w:rFonts w:ascii="宋体" w:hAnsi="宋体"/>
          <w:bCs/>
        </w:rPr>
        <w:t xml:space="preserve"> </w:t>
      </w:r>
      <w:r>
        <w:rPr>
          <w:rFonts w:hint="eastAsia" w:ascii="宋体" w:hAnsi="宋体"/>
          <w:bCs/>
        </w:rPr>
        <w:t>低温性能</w:t>
      </w:r>
    </w:p>
    <w:p>
      <w:pPr>
        <w:ind w:firstLine="411" w:firstLineChars="196"/>
        <w:rPr>
          <w:rFonts w:ascii="宋体" w:hAnsi="宋体"/>
          <w:bCs/>
        </w:rPr>
      </w:pPr>
      <w:r>
        <w:rPr>
          <w:rFonts w:hint="eastAsia" w:ascii="宋体" w:hAnsi="宋体"/>
          <w:bCs/>
        </w:rPr>
        <w:t>按GB/T 2423.1-2008中试验Ad规定的方法进行试验，试验温度为规定的下限值，待达到试验温度后启动充电机，充电机应能正常工作。试验温度持续2小时后，测试充电机的稳流精度应符合的规定。</w:t>
      </w:r>
    </w:p>
    <w:p>
      <w:pPr>
        <w:ind w:firstLine="411" w:firstLineChars="196"/>
        <w:rPr>
          <w:rFonts w:ascii="宋体" w:hAnsi="宋体"/>
          <w:bCs/>
        </w:rPr>
      </w:pPr>
      <w:r>
        <w:rPr>
          <w:rFonts w:ascii="宋体" w:hAnsi="宋体"/>
          <w:bCs/>
        </w:rPr>
        <w:t>13</w:t>
      </w:r>
      <w:r>
        <w:rPr>
          <w:rFonts w:hint="eastAsia" w:ascii="宋体" w:hAnsi="宋体"/>
          <w:bCs/>
        </w:rPr>
        <w:t>.2 高温性能</w:t>
      </w:r>
    </w:p>
    <w:p>
      <w:pPr>
        <w:ind w:firstLine="411" w:firstLineChars="196"/>
        <w:rPr>
          <w:rFonts w:ascii="宋体" w:hAnsi="宋体"/>
          <w:bCs/>
        </w:rPr>
      </w:pPr>
      <w:r>
        <w:rPr>
          <w:rFonts w:hint="eastAsia" w:ascii="宋体" w:hAnsi="宋体"/>
          <w:bCs/>
        </w:rPr>
        <w:t>按GB/T 2423.2-2008中试验Bd规定的方法进行试验，试验温度为规定的上限值，待达到试验温度后启动充电机，充电机应能正常工作。试验温度持续2小时后，测试充电机的稳流精度应符合的规定。</w:t>
      </w:r>
    </w:p>
    <w:p>
      <w:pPr>
        <w:ind w:firstLine="411" w:firstLineChars="196"/>
        <w:rPr>
          <w:rFonts w:ascii="宋体" w:hAnsi="宋体"/>
          <w:bCs/>
        </w:rPr>
      </w:pPr>
      <w:r>
        <w:rPr>
          <w:rFonts w:ascii="宋体" w:hAnsi="宋体"/>
          <w:bCs/>
        </w:rPr>
        <w:t>13</w:t>
      </w:r>
      <w:r>
        <w:rPr>
          <w:rFonts w:hint="eastAsia" w:ascii="宋体" w:hAnsi="宋体"/>
          <w:bCs/>
        </w:rPr>
        <w:t>.3</w:t>
      </w:r>
      <w:r>
        <w:rPr>
          <w:rFonts w:ascii="宋体" w:hAnsi="宋体"/>
          <w:bCs/>
        </w:rPr>
        <w:t xml:space="preserve"> </w:t>
      </w:r>
      <w:r>
        <w:rPr>
          <w:rFonts w:hint="eastAsia" w:ascii="宋体" w:hAnsi="宋体"/>
          <w:bCs/>
        </w:rPr>
        <w:t>湿热性能</w:t>
      </w:r>
    </w:p>
    <w:p>
      <w:pPr>
        <w:ind w:firstLine="411" w:firstLineChars="196"/>
        <w:rPr>
          <w:rFonts w:ascii="宋体" w:hAnsi="宋体"/>
          <w:bCs/>
        </w:rPr>
      </w:pPr>
      <w:r>
        <w:rPr>
          <w:rFonts w:hint="eastAsia" w:ascii="宋体" w:hAnsi="宋体"/>
          <w:bCs/>
        </w:rPr>
        <w:t>按GB/T 2423.4-2008中试验Db规定的方法进行试验，试验温度为（40±2）℃，循环次数为2次，在试验结束前2h进行绝缘电阻和介电强度检测，其中绝缘电阻不应小于1MΩ，介电强度按表3规定值的75％施加测量电压。试验结束后，恢复至正常大气条件，通电后检查充电机各项功能应正常。</w:t>
      </w:r>
    </w:p>
    <w:p>
      <w:pPr>
        <w:outlineLvl w:val="2"/>
        <w:rPr>
          <w:rFonts w:ascii="宋体" w:hAnsi="宋体"/>
          <w:b/>
          <w:bCs/>
        </w:rPr>
      </w:pPr>
      <w:r>
        <w:rPr>
          <w:rFonts w:ascii="宋体" w:hAnsi="宋体"/>
          <w:b/>
          <w:bCs/>
        </w:rPr>
        <w:t>14</w:t>
      </w:r>
      <w:r>
        <w:rPr>
          <w:rFonts w:hint="eastAsia" w:ascii="宋体" w:hAnsi="宋体"/>
          <w:b/>
          <w:bCs/>
        </w:rPr>
        <w:t>、机械强度</w:t>
      </w:r>
    </w:p>
    <w:p>
      <w:pPr>
        <w:ind w:firstLine="411" w:firstLineChars="196"/>
        <w:rPr>
          <w:rFonts w:ascii="宋体" w:hAnsi="宋体"/>
          <w:bCs/>
        </w:rPr>
      </w:pPr>
      <w:r>
        <w:rPr>
          <w:rFonts w:hint="eastAsia" w:ascii="宋体" w:hAnsi="宋体"/>
          <w:bCs/>
        </w:rPr>
        <w:t>按GB/T 2423.55-2006规定的方法进行试验，剧烈冲击能量为20J（5kg，在0.4m）。试验结束后，充电机的IP等级不受影响，绝缘性能不应降低，门的操作和锁止点不应损坏。</w:t>
      </w:r>
    </w:p>
    <w:p>
      <w:pPr>
        <w:outlineLvl w:val="2"/>
        <w:rPr>
          <w:rFonts w:ascii="宋体" w:hAnsi="宋体"/>
          <w:b/>
          <w:bCs/>
        </w:rPr>
      </w:pPr>
      <w:r>
        <w:rPr>
          <w:rFonts w:ascii="宋体" w:hAnsi="宋体"/>
          <w:b/>
          <w:bCs/>
        </w:rPr>
        <w:t>15</w:t>
      </w:r>
      <w:r>
        <w:rPr>
          <w:rFonts w:hint="eastAsia" w:ascii="宋体" w:hAnsi="宋体"/>
          <w:b/>
          <w:bCs/>
        </w:rPr>
        <w:t>、电磁兼容</w:t>
      </w:r>
    </w:p>
    <w:p>
      <w:pPr>
        <w:ind w:firstLine="411" w:firstLineChars="196"/>
        <w:rPr>
          <w:rFonts w:ascii="宋体" w:hAnsi="宋体"/>
          <w:bCs/>
        </w:rPr>
      </w:pPr>
      <w:r>
        <w:rPr>
          <w:rFonts w:ascii="宋体" w:hAnsi="宋体"/>
          <w:bCs/>
        </w:rPr>
        <w:t>16</w:t>
      </w:r>
      <w:r>
        <w:rPr>
          <w:rFonts w:hint="eastAsia" w:ascii="宋体" w:hAnsi="宋体"/>
          <w:bCs/>
        </w:rPr>
        <w:t>.1</w:t>
      </w:r>
      <w:r>
        <w:rPr>
          <w:rFonts w:hint="eastAsia" w:ascii="宋体" w:hAnsi="宋体"/>
          <w:bCs/>
        </w:rPr>
        <w:tab/>
      </w:r>
      <w:r>
        <w:rPr>
          <w:rFonts w:hint="eastAsia" w:ascii="宋体" w:hAnsi="宋体"/>
          <w:bCs/>
        </w:rPr>
        <w:t>抗扰度要求</w:t>
      </w:r>
    </w:p>
    <w:p>
      <w:pPr>
        <w:ind w:firstLine="411" w:firstLineChars="196"/>
        <w:rPr>
          <w:rFonts w:ascii="宋体" w:hAnsi="宋体"/>
          <w:bCs/>
        </w:rPr>
      </w:pPr>
      <w:r>
        <w:rPr>
          <w:rFonts w:hint="eastAsia" w:ascii="宋体" w:hAnsi="宋体"/>
          <w:bCs/>
        </w:rPr>
        <w:t>a)</w:t>
      </w:r>
      <w:r>
        <w:rPr>
          <w:rFonts w:hint="eastAsia" w:ascii="宋体" w:hAnsi="宋体"/>
          <w:bCs/>
        </w:rPr>
        <w:tab/>
      </w:r>
      <w:r>
        <w:rPr>
          <w:rFonts w:hint="eastAsia" w:ascii="宋体" w:hAnsi="宋体"/>
          <w:bCs/>
        </w:rPr>
        <w:t>静电放电抗扰度：充电机应能承受GB/T 17626.2-2006中第5章规定的试验等级为3级的静电放电抗扰度试验。</w:t>
      </w:r>
    </w:p>
    <w:p>
      <w:pPr>
        <w:ind w:firstLine="411" w:firstLineChars="196"/>
        <w:rPr>
          <w:rFonts w:ascii="宋体" w:hAnsi="宋体"/>
          <w:bCs/>
        </w:rPr>
      </w:pPr>
      <w:r>
        <w:rPr>
          <w:rFonts w:hint="eastAsia" w:ascii="宋体" w:hAnsi="宋体"/>
          <w:bCs/>
        </w:rPr>
        <w:t>b)</w:t>
      </w:r>
      <w:r>
        <w:rPr>
          <w:rFonts w:hint="eastAsia" w:ascii="宋体" w:hAnsi="宋体"/>
          <w:bCs/>
        </w:rPr>
        <w:tab/>
      </w:r>
      <w:r>
        <w:rPr>
          <w:rFonts w:hint="eastAsia" w:ascii="宋体" w:hAnsi="宋体"/>
          <w:bCs/>
        </w:rPr>
        <w:t>射频电磁场辐射抗扰度：充电机应能承受GB/T 17626.3-2006中第5章规定的试验等级为3级的射频电磁场辐射抗扰度试验。</w:t>
      </w:r>
    </w:p>
    <w:p>
      <w:pPr>
        <w:ind w:firstLine="411" w:firstLineChars="196"/>
        <w:rPr>
          <w:rFonts w:ascii="宋体" w:hAnsi="宋体"/>
          <w:bCs/>
        </w:rPr>
      </w:pPr>
      <w:r>
        <w:rPr>
          <w:rFonts w:hint="eastAsia" w:ascii="宋体" w:hAnsi="宋体"/>
          <w:bCs/>
        </w:rPr>
        <w:t>c)</w:t>
      </w:r>
      <w:r>
        <w:rPr>
          <w:rFonts w:hint="eastAsia" w:ascii="宋体" w:hAnsi="宋体"/>
          <w:bCs/>
        </w:rPr>
        <w:tab/>
      </w:r>
      <w:r>
        <w:rPr>
          <w:rFonts w:hint="eastAsia" w:ascii="宋体" w:hAnsi="宋体"/>
          <w:bCs/>
        </w:rPr>
        <w:t>电快速瞬变脉冲群抗扰度 ：充电机应能承受GB/T 17626.4-2008中第5章规定的试验等级为3级的电快速瞬变脉冲群抗扰度试验。</w:t>
      </w:r>
    </w:p>
    <w:p>
      <w:pPr>
        <w:ind w:firstLine="411" w:firstLineChars="196"/>
        <w:rPr>
          <w:rFonts w:ascii="宋体" w:hAnsi="宋体"/>
          <w:bCs/>
        </w:rPr>
      </w:pPr>
      <w:r>
        <w:rPr>
          <w:rFonts w:hint="eastAsia" w:ascii="宋体" w:hAnsi="宋体"/>
          <w:bCs/>
        </w:rPr>
        <w:t>d)</w:t>
      </w:r>
      <w:r>
        <w:rPr>
          <w:rFonts w:hint="eastAsia" w:ascii="宋体" w:hAnsi="宋体"/>
          <w:bCs/>
        </w:rPr>
        <w:tab/>
      </w:r>
      <w:r>
        <w:rPr>
          <w:rFonts w:hint="eastAsia" w:ascii="宋体" w:hAnsi="宋体"/>
          <w:bCs/>
        </w:rPr>
        <w:t>浪涌（冲击）抗扰度：充电机应能承受GB/T 17626.5-2008中第5章规定的试验等级为3级的浪涌（冲击）抗扰度试验。</w:t>
      </w:r>
    </w:p>
    <w:p>
      <w:pPr>
        <w:ind w:firstLine="411" w:firstLineChars="196"/>
        <w:rPr>
          <w:rFonts w:ascii="宋体" w:hAnsi="宋体"/>
          <w:bCs/>
        </w:rPr>
      </w:pPr>
      <w:r>
        <w:rPr>
          <w:rFonts w:hint="eastAsia" w:ascii="宋体" w:hAnsi="宋体"/>
          <w:bCs/>
        </w:rPr>
        <w:t>e)</w:t>
      </w:r>
      <w:r>
        <w:rPr>
          <w:rFonts w:hint="eastAsia" w:ascii="宋体" w:hAnsi="宋体"/>
          <w:bCs/>
        </w:rPr>
        <w:tab/>
      </w:r>
      <w:r>
        <w:rPr>
          <w:rFonts w:hint="eastAsia" w:ascii="宋体" w:hAnsi="宋体"/>
          <w:bCs/>
        </w:rPr>
        <w:t>电压暂降、短时中断抗扰度：充电机应能承受GB/T 17626.11-2008中第5章规定的电压试验等级在0%、40%、70%的额定工作电压的电压暂降、短时中断抗扰度试验。</w:t>
      </w:r>
    </w:p>
    <w:p>
      <w:pPr>
        <w:ind w:firstLine="411" w:firstLineChars="196"/>
        <w:rPr>
          <w:rFonts w:ascii="宋体" w:hAnsi="宋体"/>
          <w:bCs/>
        </w:rPr>
      </w:pPr>
      <w:r>
        <w:rPr>
          <w:rFonts w:ascii="宋体" w:hAnsi="宋体"/>
          <w:bCs/>
        </w:rPr>
        <w:t>16</w:t>
      </w:r>
      <w:r>
        <w:rPr>
          <w:rFonts w:hint="eastAsia" w:ascii="宋体" w:hAnsi="宋体"/>
          <w:bCs/>
        </w:rPr>
        <w:t>.2</w:t>
      </w:r>
      <w:r>
        <w:rPr>
          <w:rFonts w:hint="eastAsia" w:ascii="宋体" w:hAnsi="宋体"/>
          <w:bCs/>
        </w:rPr>
        <w:tab/>
      </w:r>
      <w:r>
        <w:rPr>
          <w:rFonts w:hint="eastAsia" w:ascii="宋体" w:hAnsi="宋体"/>
          <w:bCs/>
        </w:rPr>
        <w:t>电磁发射限制要求</w:t>
      </w:r>
    </w:p>
    <w:p>
      <w:pPr>
        <w:ind w:firstLine="411" w:firstLineChars="196"/>
        <w:rPr>
          <w:rFonts w:ascii="宋体" w:hAnsi="宋体"/>
          <w:bCs/>
        </w:rPr>
      </w:pPr>
      <w:r>
        <w:rPr>
          <w:rFonts w:hint="eastAsia" w:ascii="宋体" w:hAnsi="宋体"/>
          <w:bCs/>
        </w:rPr>
        <w:t>a)</w:t>
      </w:r>
      <w:r>
        <w:rPr>
          <w:rFonts w:hint="eastAsia" w:ascii="宋体" w:hAnsi="宋体"/>
          <w:bCs/>
        </w:rPr>
        <w:tab/>
      </w:r>
      <w:r>
        <w:rPr>
          <w:rFonts w:hint="eastAsia" w:ascii="宋体" w:hAnsi="宋体"/>
          <w:bCs/>
        </w:rPr>
        <w:t>传导和辐射发射限值要求：充电机的电源端口应符合表</w:t>
      </w:r>
      <w:r>
        <w:rPr>
          <w:rFonts w:ascii="宋体" w:hAnsi="宋体"/>
          <w:bCs/>
        </w:rPr>
        <w:t>6</w:t>
      </w:r>
      <w:r>
        <w:rPr>
          <w:rFonts w:hint="eastAsia" w:ascii="宋体" w:hAnsi="宋体"/>
          <w:bCs/>
        </w:rPr>
        <w:t>规定的传导发射限值，外壳端口应符合表</w:t>
      </w:r>
      <w:r>
        <w:rPr>
          <w:rFonts w:ascii="宋体" w:hAnsi="宋体"/>
          <w:bCs/>
        </w:rPr>
        <w:t>7</w:t>
      </w:r>
      <w:r>
        <w:rPr>
          <w:rFonts w:hint="eastAsia" w:ascii="宋体" w:hAnsi="宋体"/>
          <w:bCs/>
        </w:rPr>
        <w:t>规定的辐射发射限值。</w:t>
      </w:r>
    </w:p>
    <w:p>
      <w:pPr>
        <w:pStyle w:val="32"/>
        <w:spacing w:before="0" w:beforeLines="0"/>
        <w:ind w:firstLine="480"/>
        <w:rPr>
          <w:rFonts w:ascii="宋体" w:hAnsi="宋体" w:eastAsia="宋体"/>
          <w:sz w:val="24"/>
          <w:szCs w:val="24"/>
        </w:rPr>
      </w:pPr>
      <w:r>
        <w:rPr>
          <w:rFonts w:hint="eastAsia" w:ascii="宋体" w:hAnsi="宋体" w:eastAsia="宋体"/>
          <w:sz w:val="24"/>
          <w:szCs w:val="24"/>
        </w:rPr>
        <w:t>表</w:t>
      </w:r>
      <w:r>
        <w:rPr>
          <w:rFonts w:ascii="宋体" w:hAnsi="宋体" w:eastAsia="宋体"/>
          <w:sz w:val="24"/>
          <w:szCs w:val="24"/>
        </w:rPr>
        <w:t>6</w:t>
      </w:r>
      <w:r>
        <w:rPr>
          <w:rFonts w:hint="eastAsia" w:ascii="宋体" w:hAnsi="宋体" w:eastAsia="宋体"/>
          <w:sz w:val="24"/>
          <w:szCs w:val="24"/>
        </w:rPr>
        <w:t xml:space="preserve">  传导发射限值</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2934"/>
        <w:gridCol w:w="2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7" w:type="dxa"/>
            <w:vMerge w:val="restart"/>
            <w:vAlign w:val="center"/>
          </w:tcPr>
          <w:p>
            <w:pPr>
              <w:jc w:val="center"/>
              <w:rPr>
                <w:rFonts w:ascii="宋体" w:hAnsi="宋体"/>
                <w:w w:val="80"/>
              </w:rPr>
            </w:pPr>
            <w:r>
              <w:rPr>
                <w:rFonts w:ascii="宋体" w:hAnsi="宋体"/>
              </w:rPr>
              <w:t>频率范围</w:t>
            </w:r>
            <w:r>
              <w:rPr>
                <w:rFonts w:hint="eastAsia" w:ascii="宋体" w:hAnsi="宋体"/>
              </w:rPr>
              <w:t>（</w:t>
            </w:r>
            <w:r>
              <w:rPr>
                <w:rFonts w:ascii="宋体" w:hAnsi="宋体"/>
              </w:rPr>
              <w:t>MHz</w:t>
            </w:r>
            <w:r>
              <w:rPr>
                <w:rFonts w:hint="eastAsia" w:ascii="宋体" w:hAnsi="宋体"/>
              </w:rPr>
              <w:t>）</w:t>
            </w:r>
          </w:p>
        </w:tc>
        <w:tc>
          <w:tcPr>
            <w:tcW w:w="5891" w:type="dxa"/>
            <w:gridSpan w:val="2"/>
            <w:vAlign w:val="center"/>
          </w:tcPr>
          <w:p>
            <w:pPr>
              <w:jc w:val="center"/>
              <w:rPr>
                <w:rFonts w:ascii="宋体" w:hAnsi="宋体"/>
              </w:rPr>
            </w:pPr>
            <w:r>
              <w:rPr>
                <w:rFonts w:ascii="宋体" w:hAnsi="宋体"/>
              </w:rPr>
              <w:t>发射限值dB(μV)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227" w:type="dxa"/>
            <w:vMerge w:val="continue"/>
            <w:vAlign w:val="center"/>
          </w:tcPr>
          <w:p>
            <w:pPr>
              <w:jc w:val="center"/>
              <w:rPr>
                <w:rFonts w:ascii="宋体" w:hAnsi="宋体"/>
                <w:w w:val="80"/>
              </w:rPr>
            </w:pPr>
          </w:p>
        </w:tc>
        <w:tc>
          <w:tcPr>
            <w:tcW w:w="2934" w:type="dxa"/>
            <w:vAlign w:val="center"/>
          </w:tcPr>
          <w:p>
            <w:pPr>
              <w:jc w:val="center"/>
              <w:rPr>
                <w:rFonts w:ascii="宋体" w:hAnsi="宋体"/>
              </w:rPr>
            </w:pPr>
            <w:r>
              <w:rPr>
                <w:rFonts w:ascii="宋体" w:hAnsi="宋体"/>
              </w:rPr>
              <w:t>准峰值</w:t>
            </w:r>
          </w:p>
        </w:tc>
        <w:tc>
          <w:tcPr>
            <w:tcW w:w="2957" w:type="dxa"/>
            <w:vAlign w:val="center"/>
          </w:tcPr>
          <w:p>
            <w:pPr>
              <w:jc w:val="center"/>
              <w:rPr>
                <w:rFonts w:ascii="宋体" w:hAnsi="宋体"/>
              </w:rPr>
            </w:pPr>
            <w:r>
              <w:rPr>
                <w:rFonts w:ascii="宋体" w:hAnsi="宋体"/>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227" w:type="dxa"/>
            <w:vAlign w:val="center"/>
          </w:tcPr>
          <w:p>
            <w:pPr>
              <w:jc w:val="center"/>
              <w:rPr>
                <w:rFonts w:ascii="宋体" w:hAnsi="宋体"/>
              </w:rPr>
            </w:pPr>
            <w:r>
              <w:rPr>
                <w:rFonts w:ascii="宋体" w:hAnsi="宋体"/>
              </w:rPr>
              <w:t>0.15～0.5（不含0.5）</w:t>
            </w:r>
          </w:p>
        </w:tc>
        <w:tc>
          <w:tcPr>
            <w:tcW w:w="2934" w:type="dxa"/>
            <w:vAlign w:val="center"/>
          </w:tcPr>
          <w:p>
            <w:pPr>
              <w:jc w:val="center"/>
              <w:rPr>
                <w:rFonts w:ascii="宋体" w:hAnsi="宋体"/>
              </w:rPr>
            </w:pPr>
            <w:r>
              <w:rPr>
                <w:rFonts w:ascii="宋体" w:hAnsi="宋体"/>
              </w:rPr>
              <w:t>79</w:t>
            </w:r>
          </w:p>
        </w:tc>
        <w:tc>
          <w:tcPr>
            <w:tcW w:w="2957" w:type="dxa"/>
            <w:vAlign w:val="center"/>
          </w:tcPr>
          <w:p>
            <w:pPr>
              <w:jc w:val="center"/>
              <w:rPr>
                <w:rFonts w:ascii="宋体" w:hAnsi="宋体"/>
              </w:rPr>
            </w:pPr>
            <w:r>
              <w:rPr>
                <w:rFonts w:ascii="宋体" w:hAnsi="宋体"/>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3227" w:type="dxa"/>
            <w:vAlign w:val="center"/>
          </w:tcPr>
          <w:p>
            <w:pPr>
              <w:jc w:val="center"/>
              <w:rPr>
                <w:rFonts w:ascii="宋体" w:hAnsi="宋体"/>
              </w:rPr>
            </w:pPr>
            <w:r>
              <w:rPr>
                <w:rFonts w:ascii="宋体" w:hAnsi="宋体"/>
              </w:rPr>
              <w:t>0.5～30</w:t>
            </w:r>
          </w:p>
        </w:tc>
        <w:tc>
          <w:tcPr>
            <w:tcW w:w="2934" w:type="dxa"/>
            <w:vAlign w:val="center"/>
          </w:tcPr>
          <w:p>
            <w:pPr>
              <w:jc w:val="center"/>
              <w:rPr>
                <w:rFonts w:ascii="宋体" w:hAnsi="宋体"/>
              </w:rPr>
            </w:pPr>
            <w:r>
              <w:rPr>
                <w:rFonts w:ascii="宋体" w:hAnsi="宋体"/>
              </w:rPr>
              <w:t>73</w:t>
            </w:r>
          </w:p>
        </w:tc>
        <w:tc>
          <w:tcPr>
            <w:tcW w:w="2957" w:type="dxa"/>
            <w:vAlign w:val="center"/>
          </w:tcPr>
          <w:p>
            <w:pPr>
              <w:jc w:val="center"/>
              <w:rPr>
                <w:rFonts w:ascii="宋体" w:hAnsi="宋体"/>
              </w:rPr>
            </w:pPr>
            <w:r>
              <w:rPr>
                <w:rFonts w:ascii="宋体" w:hAnsi="宋体"/>
              </w:rPr>
              <w:t>60</w:t>
            </w:r>
          </w:p>
        </w:tc>
      </w:tr>
    </w:tbl>
    <w:p>
      <w:pPr>
        <w:pStyle w:val="32"/>
        <w:ind w:firstLine="480"/>
        <w:rPr>
          <w:rFonts w:ascii="宋体" w:hAnsi="宋体" w:eastAsia="宋体"/>
          <w:sz w:val="24"/>
          <w:szCs w:val="24"/>
        </w:rPr>
      </w:pPr>
      <w:r>
        <w:rPr>
          <w:rFonts w:hint="eastAsia" w:ascii="宋体" w:hAnsi="宋体" w:eastAsia="宋体"/>
          <w:sz w:val="24"/>
          <w:szCs w:val="24"/>
        </w:rPr>
        <w:t>表</w:t>
      </w:r>
      <w:r>
        <w:rPr>
          <w:rFonts w:ascii="宋体" w:hAnsi="宋体" w:eastAsia="宋体"/>
          <w:sz w:val="24"/>
          <w:szCs w:val="24"/>
        </w:rPr>
        <w:t>7</w:t>
      </w:r>
      <w:r>
        <w:rPr>
          <w:rFonts w:hint="eastAsia" w:ascii="宋体" w:hAnsi="宋体" w:eastAsia="宋体"/>
          <w:sz w:val="24"/>
          <w:szCs w:val="24"/>
        </w:rPr>
        <w:t xml:space="preserve">  辐射发射限值</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5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227" w:type="dxa"/>
            <w:vMerge w:val="restart"/>
            <w:vAlign w:val="center"/>
          </w:tcPr>
          <w:p>
            <w:pPr>
              <w:jc w:val="center"/>
              <w:rPr>
                <w:rFonts w:ascii="宋体" w:hAnsi="宋体"/>
              </w:rPr>
            </w:pPr>
            <w:r>
              <w:rPr>
                <w:rFonts w:ascii="宋体" w:hAnsi="宋体"/>
              </w:rPr>
              <w:t>频率范围</w:t>
            </w:r>
            <w:r>
              <w:rPr>
                <w:rFonts w:hint="eastAsia" w:ascii="宋体" w:hAnsi="宋体"/>
              </w:rPr>
              <w:t>（</w:t>
            </w:r>
            <w:r>
              <w:rPr>
                <w:rFonts w:ascii="宋体" w:hAnsi="宋体"/>
              </w:rPr>
              <w:t>MHz</w:t>
            </w:r>
            <w:r>
              <w:rPr>
                <w:rFonts w:hint="eastAsia" w:ascii="宋体" w:hAnsi="宋体"/>
              </w:rPr>
              <w:t>）</w:t>
            </w:r>
          </w:p>
        </w:tc>
        <w:tc>
          <w:tcPr>
            <w:tcW w:w="5891" w:type="dxa"/>
            <w:vAlign w:val="center"/>
          </w:tcPr>
          <w:p>
            <w:pPr>
              <w:jc w:val="center"/>
              <w:rPr>
                <w:rFonts w:ascii="宋体" w:hAnsi="宋体"/>
              </w:rPr>
            </w:pPr>
            <w:r>
              <w:rPr>
                <w:rFonts w:ascii="宋体" w:hAnsi="宋体"/>
              </w:rPr>
              <w:t>在10 m测量距离处辐射发射限值dB(μV/m)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3227" w:type="dxa"/>
            <w:vMerge w:val="continue"/>
            <w:vAlign w:val="center"/>
          </w:tcPr>
          <w:p>
            <w:pPr>
              <w:jc w:val="center"/>
              <w:rPr>
                <w:rFonts w:ascii="宋体" w:hAnsi="宋体"/>
              </w:rPr>
            </w:pPr>
          </w:p>
        </w:tc>
        <w:tc>
          <w:tcPr>
            <w:tcW w:w="5891" w:type="dxa"/>
            <w:vAlign w:val="center"/>
          </w:tcPr>
          <w:p>
            <w:pPr>
              <w:jc w:val="center"/>
              <w:rPr>
                <w:rFonts w:ascii="宋体" w:hAnsi="宋体"/>
              </w:rPr>
            </w:pPr>
            <w:r>
              <w:rPr>
                <w:rFonts w:ascii="宋体" w:hAnsi="宋体"/>
              </w:rPr>
              <w:t>准峰值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227" w:type="dxa"/>
            <w:vAlign w:val="center"/>
          </w:tcPr>
          <w:p>
            <w:pPr>
              <w:jc w:val="center"/>
              <w:rPr>
                <w:rFonts w:ascii="宋体" w:hAnsi="宋体"/>
              </w:rPr>
            </w:pPr>
            <w:r>
              <w:rPr>
                <w:rFonts w:ascii="宋体" w:hAnsi="宋体"/>
              </w:rPr>
              <w:t>30～230</w:t>
            </w:r>
          </w:p>
        </w:tc>
        <w:tc>
          <w:tcPr>
            <w:tcW w:w="5891" w:type="dxa"/>
            <w:vAlign w:val="center"/>
          </w:tcPr>
          <w:p>
            <w:pPr>
              <w:autoSpaceDE w:val="0"/>
              <w:autoSpaceDN w:val="0"/>
              <w:adjustRightInd w:val="0"/>
              <w:jc w:val="center"/>
              <w:rPr>
                <w:rFonts w:ascii="宋体" w:hAnsi="宋体"/>
                <w:kern w:val="0"/>
              </w:rPr>
            </w:pPr>
            <w:r>
              <w:rPr>
                <w:rFonts w:ascii="宋体" w:hAnsi="宋体"/>
                <w:kern w:val="0"/>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3227" w:type="dxa"/>
            <w:vAlign w:val="center"/>
          </w:tcPr>
          <w:p>
            <w:pPr>
              <w:jc w:val="center"/>
              <w:rPr>
                <w:rFonts w:ascii="宋体" w:hAnsi="宋体"/>
              </w:rPr>
            </w:pPr>
            <w:r>
              <w:rPr>
                <w:rFonts w:ascii="宋体" w:hAnsi="宋体"/>
              </w:rPr>
              <w:t>230～1000（不含230）</w:t>
            </w:r>
          </w:p>
        </w:tc>
        <w:tc>
          <w:tcPr>
            <w:tcW w:w="5891" w:type="dxa"/>
            <w:vAlign w:val="center"/>
          </w:tcPr>
          <w:p>
            <w:pPr>
              <w:autoSpaceDE w:val="0"/>
              <w:autoSpaceDN w:val="0"/>
              <w:adjustRightInd w:val="0"/>
              <w:jc w:val="center"/>
              <w:rPr>
                <w:rFonts w:ascii="宋体" w:hAnsi="宋体"/>
                <w:kern w:val="0"/>
              </w:rPr>
            </w:pPr>
            <w:r>
              <w:rPr>
                <w:rFonts w:ascii="宋体" w:hAnsi="宋体"/>
                <w:kern w:val="0"/>
              </w:rPr>
              <w:t>47</w:t>
            </w:r>
          </w:p>
        </w:tc>
      </w:tr>
    </w:tbl>
    <w:p>
      <w:pPr>
        <w:ind w:firstLine="411" w:firstLineChars="196"/>
        <w:rPr>
          <w:rFonts w:ascii="宋体" w:hAnsi="宋体"/>
          <w:bCs/>
        </w:rPr>
      </w:pPr>
    </w:p>
    <w:p>
      <w:pPr>
        <w:ind w:firstLine="411" w:firstLineChars="196"/>
        <w:rPr>
          <w:rFonts w:ascii="宋体" w:hAnsi="宋体"/>
          <w:bCs/>
        </w:rPr>
      </w:pPr>
      <w:r>
        <w:rPr>
          <w:rFonts w:hint="eastAsia" w:ascii="宋体" w:hAnsi="宋体"/>
          <w:bCs/>
        </w:rPr>
        <w:t>b)</w:t>
      </w:r>
      <w:r>
        <w:rPr>
          <w:rFonts w:hint="eastAsia" w:ascii="宋体" w:hAnsi="宋体"/>
          <w:bCs/>
        </w:rPr>
        <w:tab/>
      </w:r>
      <w:r>
        <w:rPr>
          <w:rFonts w:hint="eastAsia" w:ascii="宋体" w:hAnsi="宋体"/>
          <w:bCs/>
        </w:rPr>
        <w:t>谐波电流限值要求：当输出功率为额定功率的50%～100%时，充电机总谐波电流含有率不应大于8%。</w:t>
      </w:r>
    </w:p>
    <w:p>
      <w:pPr>
        <w:outlineLvl w:val="2"/>
        <w:rPr>
          <w:rFonts w:ascii="宋体" w:hAnsi="宋体"/>
          <w:b/>
          <w:bCs/>
        </w:rPr>
      </w:pPr>
      <w:r>
        <w:rPr>
          <w:rFonts w:ascii="宋体" w:hAnsi="宋体"/>
          <w:b/>
          <w:bCs/>
        </w:rPr>
        <w:t>16</w:t>
      </w:r>
      <w:r>
        <w:rPr>
          <w:rFonts w:hint="eastAsia" w:ascii="宋体" w:hAnsi="宋体"/>
          <w:b/>
          <w:bCs/>
        </w:rPr>
        <w:t>、可靠性指标</w:t>
      </w:r>
    </w:p>
    <w:p>
      <w:pPr>
        <w:ind w:firstLine="411" w:firstLineChars="196"/>
        <w:rPr>
          <w:rFonts w:ascii="宋体" w:hAnsi="宋体"/>
          <w:bCs/>
        </w:rPr>
      </w:pPr>
      <w:r>
        <w:rPr>
          <w:rFonts w:hint="eastAsia" w:ascii="宋体" w:hAnsi="宋体"/>
          <w:bCs/>
        </w:rPr>
        <w:t>充电机平均故障间隔时间（MTBF）应大于等于26280h。</w:t>
      </w:r>
    </w:p>
    <w:p>
      <w:pPr>
        <w:outlineLvl w:val="2"/>
        <w:rPr>
          <w:rFonts w:ascii="宋体" w:hAnsi="宋体"/>
          <w:b/>
          <w:bCs/>
        </w:rPr>
      </w:pPr>
      <w:r>
        <w:rPr>
          <w:rFonts w:ascii="宋体" w:hAnsi="宋体"/>
          <w:b/>
          <w:bCs/>
        </w:rPr>
        <w:t>17</w:t>
      </w:r>
      <w:r>
        <w:rPr>
          <w:rFonts w:hint="eastAsia" w:ascii="宋体" w:hAnsi="宋体"/>
          <w:b/>
          <w:bCs/>
        </w:rPr>
        <w:t>、充电机柜体（桩体）要求</w:t>
      </w:r>
    </w:p>
    <w:p>
      <w:pPr>
        <w:ind w:firstLine="411" w:firstLineChars="196"/>
        <w:rPr>
          <w:rFonts w:ascii="宋体" w:hAnsi="宋体"/>
          <w:bCs/>
        </w:rPr>
      </w:pPr>
      <w:r>
        <w:rPr>
          <w:rFonts w:hint="eastAsia" w:ascii="宋体" w:hAnsi="宋体"/>
          <w:bCs/>
        </w:rPr>
        <w:t>a)</w:t>
      </w:r>
      <w:r>
        <w:rPr>
          <w:rFonts w:hint="eastAsia" w:ascii="宋体" w:hAnsi="宋体"/>
          <w:bCs/>
        </w:rPr>
        <w:tab/>
      </w:r>
      <w:r>
        <w:rPr>
          <w:rFonts w:hint="eastAsia" w:ascii="宋体" w:hAnsi="宋体"/>
          <w:bCs/>
        </w:rPr>
        <w:t>充电机柜体（桩体）应外观线条流畅、整体紧凑、简洁时尚，与安装地点周边环境相协调。</w:t>
      </w:r>
    </w:p>
    <w:p>
      <w:pPr>
        <w:ind w:firstLine="411" w:firstLineChars="196"/>
        <w:rPr>
          <w:rFonts w:ascii="宋体" w:hAnsi="宋体"/>
          <w:bCs/>
        </w:rPr>
      </w:pPr>
      <w:r>
        <w:rPr>
          <w:rFonts w:hint="eastAsia" w:ascii="宋体" w:hAnsi="宋体"/>
          <w:bCs/>
        </w:rPr>
        <w:t>b)</w:t>
      </w:r>
      <w:r>
        <w:rPr>
          <w:rFonts w:hint="eastAsia" w:ascii="宋体" w:hAnsi="宋体"/>
          <w:bCs/>
        </w:rPr>
        <w:tab/>
      </w:r>
      <w:r>
        <w:rPr>
          <w:rFonts w:hint="eastAsia" w:ascii="宋体" w:hAnsi="宋体"/>
          <w:bCs/>
        </w:rPr>
        <w:t>充电机柜体（桩体）应具备安装4G模块天线的位置，并确保壳体不对通信模块或定位模块接收信号产生负面影响。</w:t>
      </w:r>
    </w:p>
    <w:p>
      <w:pPr>
        <w:ind w:firstLine="411" w:firstLineChars="196"/>
        <w:rPr>
          <w:rFonts w:ascii="宋体" w:hAnsi="宋体"/>
          <w:bCs/>
        </w:rPr>
      </w:pPr>
      <w:r>
        <w:rPr>
          <w:rFonts w:hint="eastAsia" w:ascii="宋体" w:hAnsi="宋体"/>
          <w:bCs/>
        </w:rPr>
        <w:t>c)</w:t>
      </w:r>
      <w:r>
        <w:rPr>
          <w:rFonts w:hint="eastAsia" w:ascii="宋体" w:hAnsi="宋体"/>
          <w:bCs/>
        </w:rPr>
        <w:tab/>
      </w:r>
      <w:r>
        <w:rPr>
          <w:rFonts w:hint="eastAsia" w:ascii="宋体" w:hAnsi="宋体"/>
          <w:bCs/>
        </w:rPr>
        <w:t>充电机柜体（桩体）的非接触M</w:t>
      </w:r>
      <w:r>
        <w:rPr>
          <w:rFonts w:ascii="宋体" w:hAnsi="宋体"/>
          <w:bCs/>
        </w:rPr>
        <w:t>1</w:t>
      </w:r>
      <w:r>
        <w:rPr>
          <w:rFonts w:hint="eastAsia" w:ascii="宋体" w:hAnsi="宋体"/>
          <w:bCs/>
        </w:rPr>
        <w:t>卡片刷卡区域。</w:t>
      </w:r>
    </w:p>
    <w:p>
      <w:pPr>
        <w:ind w:firstLine="411" w:firstLineChars="196"/>
        <w:rPr>
          <w:rFonts w:ascii="宋体" w:hAnsi="宋体"/>
          <w:bCs/>
        </w:rPr>
      </w:pPr>
      <w:r>
        <w:rPr>
          <w:rFonts w:hint="eastAsia" w:ascii="宋体" w:hAnsi="宋体"/>
          <w:bCs/>
        </w:rPr>
        <w:t>f)</w:t>
      </w:r>
      <w:r>
        <w:rPr>
          <w:rFonts w:hint="eastAsia" w:ascii="宋体" w:hAnsi="宋体"/>
          <w:bCs/>
        </w:rPr>
        <w:tab/>
      </w:r>
      <w:r>
        <w:rPr>
          <w:rFonts w:hint="eastAsia" w:ascii="宋体" w:hAnsi="宋体"/>
          <w:bCs/>
        </w:rPr>
        <w:t>充电机柜体（桩体）内部线束，应排布整齐、规整，标识清楚，捆扎牢固。</w:t>
      </w:r>
    </w:p>
    <w:p>
      <w:pPr>
        <w:ind w:firstLine="411" w:firstLineChars="196"/>
        <w:rPr>
          <w:rFonts w:ascii="宋体" w:hAnsi="宋体"/>
          <w:bCs/>
        </w:rPr>
      </w:pPr>
      <w:r>
        <w:rPr>
          <w:rFonts w:hint="eastAsia" w:ascii="宋体" w:hAnsi="宋体"/>
          <w:bCs/>
        </w:rPr>
        <w:t>g)</w:t>
      </w:r>
      <w:r>
        <w:rPr>
          <w:rFonts w:hint="eastAsia" w:ascii="宋体" w:hAnsi="宋体"/>
          <w:bCs/>
        </w:rPr>
        <w:tab/>
      </w:r>
      <w:r>
        <w:rPr>
          <w:rFonts w:hint="eastAsia" w:ascii="宋体" w:hAnsi="宋体"/>
          <w:bCs/>
        </w:rPr>
        <w:t>充电机柜体（桩体）内元器件应布局合理，易耗易损元件方便更换。</w:t>
      </w:r>
    </w:p>
    <w:p>
      <w:pPr>
        <w:ind w:firstLine="411" w:firstLineChars="196"/>
        <w:rPr>
          <w:rFonts w:ascii="宋体" w:hAnsi="宋体"/>
          <w:bCs/>
        </w:rPr>
      </w:pPr>
      <w:r>
        <w:rPr>
          <w:rFonts w:hint="eastAsia" w:ascii="宋体" w:hAnsi="宋体"/>
          <w:bCs/>
        </w:rPr>
        <w:t>h)</w:t>
      </w:r>
      <w:r>
        <w:rPr>
          <w:rFonts w:hint="eastAsia" w:ascii="宋体" w:hAnsi="宋体"/>
          <w:bCs/>
        </w:rPr>
        <w:tab/>
      </w:r>
      <w:r>
        <w:rPr>
          <w:rFonts w:hint="eastAsia" w:ascii="宋体" w:hAnsi="宋体"/>
          <w:bCs/>
        </w:rPr>
        <w:t>充电机柜体（桩体）安装于户外时，应便于特殊天气条件下的日常维护。</w:t>
      </w:r>
    </w:p>
    <w:p>
      <w:pPr>
        <w:ind w:firstLine="411" w:firstLineChars="196"/>
        <w:rPr>
          <w:rFonts w:ascii="宋体" w:hAnsi="宋体"/>
          <w:bCs/>
        </w:rPr>
      </w:pPr>
      <w:r>
        <w:rPr>
          <w:rFonts w:hint="eastAsia" w:ascii="宋体" w:hAnsi="宋体"/>
          <w:bCs/>
        </w:rPr>
        <w:t>i)</w:t>
      </w:r>
      <w:r>
        <w:rPr>
          <w:rFonts w:hint="eastAsia" w:ascii="宋体" w:hAnsi="宋体"/>
          <w:bCs/>
        </w:rPr>
        <w:tab/>
      </w:r>
      <w:r>
        <w:rPr>
          <w:rFonts w:hint="eastAsia" w:ascii="宋体" w:hAnsi="宋体"/>
          <w:bCs/>
        </w:rPr>
        <w:t>充电机柜体（桩体）应采用抗冲击力强、抗老化的材质。</w:t>
      </w:r>
    </w:p>
    <w:p>
      <w:pPr>
        <w:ind w:firstLine="411" w:firstLineChars="196"/>
        <w:rPr>
          <w:rFonts w:ascii="宋体" w:hAnsi="宋体"/>
          <w:bCs/>
        </w:rPr>
      </w:pPr>
      <w:r>
        <w:rPr>
          <w:rFonts w:hint="eastAsia" w:ascii="宋体" w:hAnsi="宋体"/>
          <w:bCs/>
        </w:rPr>
        <w:t>j)</w:t>
      </w:r>
      <w:r>
        <w:rPr>
          <w:rFonts w:hint="eastAsia" w:ascii="宋体" w:hAnsi="宋体"/>
          <w:bCs/>
        </w:rPr>
        <w:tab/>
      </w:r>
      <w:r>
        <w:rPr>
          <w:rFonts w:hint="eastAsia" w:ascii="宋体" w:hAnsi="宋体"/>
          <w:bCs/>
        </w:rPr>
        <w:t>充电机柜体（桩体）表面涂覆色泽层应均匀光洁，不起泡、不龟裂、不脱落。</w:t>
      </w:r>
    </w:p>
    <w:p>
      <w:pPr>
        <w:ind w:firstLine="411" w:firstLineChars="196"/>
        <w:rPr>
          <w:rFonts w:ascii="宋体" w:hAnsi="宋体"/>
          <w:bCs/>
        </w:rPr>
      </w:pPr>
      <w:r>
        <w:rPr>
          <w:rFonts w:hint="eastAsia" w:ascii="宋体" w:hAnsi="宋体"/>
          <w:bCs/>
        </w:rPr>
        <w:t>k)</w:t>
      </w:r>
      <w:r>
        <w:rPr>
          <w:rFonts w:hint="eastAsia" w:ascii="宋体" w:hAnsi="宋体"/>
          <w:bCs/>
        </w:rPr>
        <w:tab/>
      </w:r>
      <w:r>
        <w:rPr>
          <w:rFonts w:hint="eastAsia" w:ascii="宋体" w:hAnsi="宋体"/>
          <w:bCs/>
        </w:rPr>
        <w:t>非绝缘材料外壳应可靠接地，结构上应防止操作人员触及带电部件。</w:t>
      </w:r>
    </w:p>
    <w:p>
      <w:pPr>
        <w:ind w:firstLine="411" w:firstLineChars="196"/>
        <w:rPr>
          <w:rFonts w:ascii="宋体" w:hAnsi="宋体"/>
          <w:bCs/>
        </w:rPr>
      </w:pPr>
      <w:r>
        <w:rPr>
          <w:rFonts w:hint="eastAsia" w:ascii="宋体" w:hAnsi="宋体"/>
          <w:bCs/>
        </w:rPr>
        <w:t>l)</w:t>
      </w:r>
      <w:r>
        <w:rPr>
          <w:rFonts w:hint="eastAsia" w:ascii="宋体" w:hAnsi="宋体"/>
          <w:bCs/>
        </w:rPr>
        <w:tab/>
      </w:r>
      <w:r>
        <w:rPr>
          <w:rFonts w:hint="eastAsia" w:ascii="宋体" w:hAnsi="宋体"/>
          <w:bCs/>
        </w:rPr>
        <w:t>人机交互的操作按键和显示界面应设置在便于人操作和查看的位置。</w:t>
      </w:r>
    </w:p>
    <w:p>
      <w:pPr>
        <w:rPr>
          <w:rFonts w:ascii="Times New Roman" w:hAnsi="Times New Roman" w:cs="Times New Roman"/>
          <w:b/>
          <w:bCs/>
          <w:kern w:val="0"/>
          <w:sz w:val="24"/>
        </w:rPr>
      </w:pPr>
      <w:r>
        <w:rPr>
          <w:rFonts w:hint="eastAsia" w:ascii="Times New Roman" w:hAnsi="Times New Roman" w:cs="Times New Roman"/>
          <w:b/>
          <w:bCs/>
          <w:kern w:val="0"/>
          <w:sz w:val="24"/>
        </w:rPr>
        <w:t>（四）直流分体式充电桩技术要求</w:t>
      </w:r>
    </w:p>
    <w:p>
      <w:pPr>
        <w:wordWrap w:val="0"/>
        <w:spacing w:line="440" w:lineRule="exact"/>
        <w:outlineLvl w:val="2"/>
        <w:rPr>
          <w:rFonts w:ascii="Times New Roman" w:hAnsi="Times New Roman" w:cs="Times New Roman"/>
          <w:b/>
          <w:bCs/>
          <w:kern w:val="0"/>
          <w:sz w:val="24"/>
        </w:rPr>
      </w:pPr>
      <w:r>
        <w:rPr>
          <w:rFonts w:hint="eastAsia" w:ascii="Times New Roman" w:hAnsi="Times New Roman" w:cs="Times New Roman"/>
          <w:b/>
          <w:bCs/>
          <w:kern w:val="0"/>
          <w:sz w:val="24"/>
        </w:rPr>
        <w:t>1、技术参数要求</w:t>
      </w:r>
    </w:p>
    <w:p>
      <w:pPr>
        <w:outlineLvl w:val="3"/>
        <w:rPr>
          <w:rFonts w:ascii="宋体" w:hAnsi="宋体"/>
          <w:b/>
          <w:bCs/>
        </w:rPr>
      </w:pPr>
      <w:r>
        <w:rPr>
          <w:rFonts w:ascii="宋体" w:hAnsi="宋体"/>
          <w:b/>
          <w:bCs/>
        </w:rPr>
        <w:t>1.1</w:t>
      </w:r>
      <w:r>
        <w:rPr>
          <w:rFonts w:hint="eastAsia" w:ascii="宋体" w:hAnsi="宋体"/>
          <w:b/>
          <w:bCs/>
        </w:rPr>
        <w:t>分体式充电桩技术参数表</w:t>
      </w:r>
    </w:p>
    <w:tbl>
      <w:tblPr>
        <w:tblStyle w:val="16"/>
        <w:tblW w:w="8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403"/>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序号</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项目</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1</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额定输入电压</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三相380V（±15%）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2</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交流输入频率</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50Hz±1Hz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3</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输出功率</w:t>
            </w:r>
          </w:p>
        </w:tc>
        <w:tc>
          <w:tcPr>
            <w:tcW w:w="4536" w:type="dxa"/>
            <w:vAlign w:val="center"/>
          </w:tcPr>
          <w:p>
            <w:pPr>
              <w:rPr>
                <w:rFonts w:ascii="宋体" w:hAnsi="宋体" w:cs="宋体"/>
                <w:color w:val="000000"/>
                <w:kern w:val="0"/>
                <w:szCs w:val="21"/>
              </w:rPr>
            </w:pPr>
            <w:r>
              <w:rPr>
                <w:rFonts w:ascii="宋体" w:hAnsi="宋体" w:cs="宋体"/>
                <w:color w:val="000000"/>
                <w:kern w:val="0"/>
                <w:szCs w:val="21"/>
              </w:rPr>
              <w:t>480</w:t>
            </w:r>
            <w:r>
              <w:rPr>
                <w:rFonts w:hint="eastAsia" w:ascii="宋体" w:hAnsi="宋体" w:cs="宋体"/>
                <w:color w:val="000000"/>
                <w:kern w:val="0"/>
                <w:szCs w:val="21"/>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4</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结构形式</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分体式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5</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充电模块</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3</w:t>
            </w:r>
            <w:r>
              <w:rPr>
                <w:rFonts w:hint="eastAsia" w:ascii="宋体" w:hAnsi="宋体" w:cs="宋体"/>
                <w:color w:val="000000"/>
                <w:kern w:val="0"/>
                <w:szCs w:val="21"/>
              </w:rPr>
              <w:t>0</w:t>
            </w:r>
            <w:r>
              <w:rPr>
                <w:rFonts w:ascii="宋体" w:hAnsi="宋体" w:cs="宋体"/>
                <w:color w:val="000000"/>
                <w:kern w:val="0"/>
                <w:szCs w:val="21"/>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6</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标称输出电压</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200V-</w:t>
            </w:r>
            <w:r>
              <w:rPr>
                <w:rFonts w:ascii="宋体" w:hAnsi="宋体" w:cs="宋体"/>
                <w:color w:val="000000"/>
                <w:kern w:val="0"/>
                <w:szCs w:val="21"/>
              </w:rPr>
              <w:t>1000</w:t>
            </w:r>
            <w:r>
              <w:rPr>
                <w:rFonts w:hint="eastAsia" w:ascii="宋体" w:hAnsi="宋体" w:cs="宋体"/>
                <w:color w:val="000000"/>
                <w:kern w:val="0"/>
                <w:szCs w:val="21"/>
              </w:rPr>
              <w:t>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7</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恒功率输出范围</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300V-</w:t>
            </w:r>
            <w:r>
              <w:rPr>
                <w:rFonts w:ascii="宋体" w:hAnsi="宋体" w:cs="宋体"/>
                <w:color w:val="000000"/>
                <w:kern w:val="0"/>
                <w:szCs w:val="21"/>
              </w:rPr>
              <w:t>1000</w:t>
            </w:r>
            <w:r>
              <w:rPr>
                <w:rFonts w:hint="eastAsia" w:ascii="宋体" w:hAnsi="宋体" w:cs="宋体"/>
                <w:color w:val="000000"/>
                <w:kern w:val="0"/>
                <w:szCs w:val="21"/>
              </w:rPr>
              <w:t>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8</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低压辅助电源误差</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≤±0.6V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9</w:t>
            </w:r>
          </w:p>
        </w:tc>
        <w:tc>
          <w:tcPr>
            <w:tcW w:w="3403" w:type="dxa"/>
            <w:vAlign w:val="center"/>
          </w:tcPr>
          <w:p>
            <w:pPr>
              <w:rPr>
                <w:rFonts w:ascii="宋体" w:hAnsi="宋体" w:cs="宋体"/>
                <w:color w:val="000000"/>
                <w:kern w:val="0"/>
                <w:szCs w:val="21"/>
              </w:rPr>
            </w:pPr>
            <w:r>
              <w:rPr>
                <w:rFonts w:hint="eastAsia" w:ascii="宋体" w:hAnsi="宋体" w:cs="宋体"/>
                <w:szCs w:val="21"/>
              </w:rPr>
              <w:t>▲</w:t>
            </w:r>
            <w:r>
              <w:rPr>
                <w:rFonts w:hint="eastAsia" w:ascii="宋体" w:hAnsi="宋体" w:cs="宋体"/>
                <w:color w:val="000000"/>
                <w:kern w:val="0"/>
                <w:szCs w:val="21"/>
              </w:rPr>
              <w:t>稳流精度</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≤±0</w:t>
            </w:r>
            <w:r>
              <w:rPr>
                <w:rFonts w:ascii="宋体" w:hAnsi="宋体" w:cs="宋体"/>
                <w:color w:val="000000"/>
                <w:kern w:val="0"/>
                <w:szCs w:val="21"/>
              </w:rPr>
              <w:t>.3</w:t>
            </w:r>
            <w:r>
              <w:rPr>
                <w:rFonts w:hint="eastAsia" w:ascii="宋体" w:hAnsi="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0</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稳压精度</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1</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电压纹波因数</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2</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输出电流设定误差</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电流＜30A时，≤±0.3A；电流≥30A时，≤±1%；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3</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输出电压设定误差</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≤±0.</w:t>
            </w:r>
            <w:r>
              <w:rPr>
                <w:rFonts w:ascii="宋体" w:hAnsi="宋体" w:cs="宋体"/>
                <w:color w:val="000000"/>
                <w:kern w:val="0"/>
                <w:szCs w:val="21"/>
              </w:rPr>
              <w:t>5</w:t>
            </w:r>
            <w:r>
              <w:rPr>
                <w:rFonts w:hint="eastAsia" w:ascii="宋体" w:hAnsi="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4</w:t>
            </w:r>
          </w:p>
        </w:tc>
        <w:tc>
          <w:tcPr>
            <w:tcW w:w="3403" w:type="dxa"/>
            <w:vAlign w:val="center"/>
          </w:tcPr>
          <w:p>
            <w:pPr>
              <w:rPr>
                <w:rFonts w:ascii="宋体" w:hAnsi="宋体" w:cs="宋体"/>
                <w:color w:val="000000"/>
                <w:kern w:val="0"/>
                <w:szCs w:val="21"/>
              </w:rPr>
            </w:pPr>
            <w:r>
              <w:rPr>
                <w:rFonts w:hint="eastAsia" w:ascii="宋体" w:hAnsi="宋体" w:cs="宋体"/>
                <w:szCs w:val="21"/>
              </w:rPr>
              <w:t>▲</w:t>
            </w:r>
            <w:r>
              <w:rPr>
                <w:rFonts w:hint="eastAsia" w:ascii="宋体" w:hAnsi="宋体" w:cs="宋体"/>
                <w:color w:val="000000"/>
                <w:kern w:val="0"/>
                <w:szCs w:val="21"/>
              </w:rPr>
              <w:t>综合效率</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输出功率20%≤P≤</w:t>
            </w:r>
            <w:r>
              <w:rPr>
                <w:rFonts w:ascii="宋体" w:hAnsi="宋体" w:cs="宋体"/>
                <w:color w:val="000000"/>
                <w:kern w:val="0"/>
                <w:szCs w:val="21"/>
              </w:rPr>
              <w:t>10</w:t>
            </w:r>
            <w:r>
              <w:rPr>
                <w:rFonts w:hint="eastAsia" w:ascii="宋体" w:hAnsi="宋体" w:cs="宋体"/>
                <w:color w:val="000000"/>
                <w:kern w:val="0"/>
                <w:szCs w:val="21"/>
              </w:rPr>
              <w:t>0%时，工作效率≥9</w:t>
            </w:r>
            <w:r>
              <w:rPr>
                <w:rFonts w:ascii="宋体" w:hAnsi="宋体" w:cs="宋体"/>
                <w:color w:val="000000"/>
                <w:kern w:val="0"/>
                <w:szCs w:val="21"/>
              </w:rPr>
              <w:t>4</w:t>
            </w:r>
            <w:r>
              <w:rPr>
                <w:rFonts w:hint="eastAsia" w:ascii="宋体" w:hAnsi="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5</w:t>
            </w:r>
          </w:p>
        </w:tc>
        <w:tc>
          <w:tcPr>
            <w:tcW w:w="3403" w:type="dxa"/>
            <w:vAlign w:val="center"/>
          </w:tcPr>
          <w:p>
            <w:pPr>
              <w:rPr>
                <w:rFonts w:ascii="宋体" w:hAnsi="宋体" w:cs="宋体"/>
                <w:color w:val="000000"/>
                <w:kern w:val="0"/>
                <w:szCs w:val="21"/>
              </w:rPr>
            </w:pPr>
            <w:r>
              <w:rPr>
                <w:rFonts w:hint="eastAsia" w:ascii="宋体" w:hAnsi="宋体" w:cs="宋体"/>
                <w:szCs w:val="21"/>
              </w:rPr>
              <w:t>▲</w:t>
            </w:r>
            <w:r>
              <w:rPr>
                <w:rFonts w:hint="eastAsia" w:ascii="宋体" w:hAnsi="宋体" w:cs="宋体"/>
                <w:color w:val="000000"/>
                <w:kern w:val="0"/>
                <w:szCs w:val="21"/>
              </w:rPr>
              <w:t>功率因数</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输出功率20%≤P≤</w:t>
            </w:r>
            <w:r>
              <w:rPr>
                <w:rFonts w:ascii="宋体" w:hAnsi="宋体" w:cs="宋体"/>
                <w:color w:val="000000"/>
                <w:kern w:val="0"/>
                <w:szCs w:val="21"/>
              </w:rPr>
              <w:t>10</w:t>
            </w:r>
            <w:r>
              <w:rPr>
                <w:rFonts w:hint="eastAsia" w:ascii="宋体" w:hAnsi="宋体" w:cs="宋体"/>
                <w:color w:val="000000"/>
                <w:kern w:val="0"/>
                <w:szCs w:val="21"/>
              </w:rPr>
              <w:t>0%时，功率因数≥0.9</w:t>
            </w:r>
            <w:r>
              <w:rPr>
                <w:rFonts w:ascii="宋体" w:hAnsi="宋体" w:cs="宋体"/>
                <w:color w:val="000000"/>
                <w:kern w:val="0"/>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6</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待机功耗</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≤N*</w:t>
            </w:r>
            <w:r>
              <w:rPr>
                <w:rFonts w:ascii="宋体" w:hAnsi="宋体" w:cs="宋体"/>
                <w:color w:val="000000"/>
                <w:kern w:val="0"/>
                <w:szCs w:val="21"/>
              </w:rPr>
              <w:t>15</w:t>
            </w:r>
            <w:r>
              <w:rPr>
                <w:rFonts w:hint="eastAsia" w:ascii="宋体" w:hAnsi="宋体" w:cs="宋体"/>
                <w:color w:val="000000"/>
                <w:kern w:val="0"/>
                <w:szCs w:val="21"/>
              </w:rPr>
              <w:t>W（N表示车辆接口数量）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7</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噪声</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≤6</w:t>
            </w:r>
            <w:r>
              <w:rPr>
                <w:rFonts w:ascii="宋体" w:hAnsi="宋体" w:cs="宋体"/>
                <w:color w:val="000000"/>
                <w:kern w:val="0"/>
                <w:szCs w:val="21"/>
              </w:rPr>
              <w:t>5</w:t>
            </w:r>
            <w:r>
              <w:rPr>
                <w:rFonts w:hint="eastAsia" w:ascii="宋体" w:hAnsi="宋体" w:cs="宋体"/>
                <w:color w:val="000000"/>
                <w:kern w:val="0"/>
                <w:szCs w:val="21"/>
              </w:rPr>
              <w:t>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8</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▲IP防护等级</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IP5</w:t>
            </w:r>
            <w:r>
              <w:rPr>
                <w:rFonts w:ascii="宋体" w:hAnsi="宋体" w:cs="宋体"/>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1</w:t>
            </w:r>
            <w:r>
              <w:rPr>
                <w:rFonts w:ascii="宋体" w:hAnsi="宋体" w:cs="宋体"/>
                <w:color w:val="000000"/>
                <w:kern w:val="0"/>
                <w:szCs w:val="21"/>
              </w:rPr>
              <w:t>9</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正常工作温度</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20</w:t>
            </w:r>
            <w:r>
              <w:rPr>
                <w:rFonts w:hint="eastAsia" w:ascii="宋体" w:hAnsi="宋体" w:cs="宋体"/>
                <w:color w:val="000000"/>
                <w:kern w:val="0"/>
                <w:szCs w:val="21"/>
              </w:rPr>
              <w:t>℃至</w:t>
            </w:r>
            <w:r>
              <w:rPr>
                <w:rFonts w:ascii="宋体" w:hAnsi="宋体" w:cs="宋体"/>
                <w:color w:val="000000"/>
                <w:kern w:val="0"/>
                <w:szCs w:val="21"/>
              </w:rPr>
              <w:t>50</w:t>
            </w:r>
            <w:r>
              <w:rPr>
                <w:rFonts w:hint="eastAsia" w:ascii="宋体" w:hAnsi="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tcPr>
          <w:p>
            <w:pPr>
              <w:jc w:val="center"/>
              <w:rPr>
                <w:rFonts w:ascii="宋体" w:hAnsi="宋体" w:cs="宋体"/>
                <w:color w:val="000000"/>
                <w:kern w:val="0"/>
                <w:szCs w:val="21"/>
              </w:rPr>
            </w:pPr>
            <w:r>
              <w:rPr>
                <w:rFonts w:ascii="宋体" w:hAnsi="宋体"/>
                <w:szCs w:val="21"/>
              </w:rPr>
              <w:t>20</w:t>
            </w:r>
          </w:p>
        </w:tc>
        <w:tc>
          <w:tcPr>
            <w:tcW w:w="3403" w:type="dxa"/>
          </w:tcPr>
          <w:p>
            <w:pPr>
              <w:rPr>
                <w:rFonts w:ascii="宋体" w:hAnsi="宋体" w:cs="宋体"/>
                <w:color w:val="000000"/>
                <w:kern w:val="0"/>
                <w:szCs w:val="21"/>
              </w:rPr>
            </w:pPr>
            <w:r>
              <w:rPr>
                <w:rFonts w:ascii="宋体" w:hAnsi="宋体"/>
                <w:szCs w:val="21"/>
              </w:rPr>
              <w:t>高低温稳流</w:t>
            </w:r>
          </w:p>
        </w:tc>
        <w:tc>
          <w:tcPr>
            <w:tcW w:w="4536" w:type="dxa"/>
          </w:tcPr>
          <w:p>
            <w:pPr>
              <w:rPr>
                <w:rFonts w:ascii="宋体" w:hAnsi="宋体" w:cs="宋体"/>
                <w:color w:val="000000"/>
                <w:kern w:val="0"/>
                <w:szCs w:val="21"/>
              </w:rPr>
            </w:pPr>
            <w:r>
              <w:rPr>
                <w:rFonts w:ascii="宋体" w:hAnsi="宋体"/>
                <w:szCs w:val="21"/>
              </w:rPr>
              <w:t>-20℃时≤±1%；50℃时≤±1%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ascii="宋体" w:hAnsi="宋体" w:cs="宋体"/>
                <w:color w:val="000000"/>
                <w:kern w:val="0"/>
                <w:szCs w:val="21"/>
              </w:rPr>
              <w:t>21</w:t>
            </w:r>
          </w:p>
        </w:tc>
        <w:tc>
          <w:tcPr>
            <w:tcW w:w="3403" w:type="dxa"/>
            <w:vAlign w:val="center"/>
          </w:tcPr>
          <w:p>
            <w:pPr>
              <w:rPr>
                <w:rFonts w:ascii="宋体" w:hAnsi="宋体"/>
                <w:szCs w:val="21"/>
              </w:rPr>
            </w:pPr>
            <w:r>
              <w:rPr>
                <w:rFonts w:hint="eastAsia" w:ascii="宋体" w:hAnsi="宋体"/>
                <w:szCs w:val="21"/>
              </w:rPr>
              <w:t>静电放电抗扰度</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2</w:t>
            </w:r>
          </w:p>
        </w:tc>
        <w:tc>
          <w:tcPr>
            <w:tcW w:w="3403" w:type="dxa"/>
            <w:vAlign w:val="center"/>
          </w:tcPr>
          <w:p>
            <w:pPr>
              <w:rPr>
                <w:rFonts w:ascii="宋体" w:hAnsi="宋体"/>
                <w:szCs w:val="21"/>
              </w:rPr>
            </w:pPr>
            <w:r>
              <w:rPr>
                <w:rFonts w:hint="eastAsia" w:ascii="宋体" w:hAnsi="宋体"/>
                <w:szCs w:val="21"/>
              </w:rPr>
              <w:t>射频电磁场辐射抗扰度</w:t>
            </w:r>
          </w:p>
        </w:tc>
        <w:tc>
          <w:tcPr>
            <w:tcW w:w="4536" w:type="dxa"/>
            <w:vAlign w:val="center"/>
          </w:tcPr>
          <w:p>
            <w:pPr>
              <w:rPr>
                <w:rFonts w:ascii="宋体" w:hAnsi="宋体"/>
                <w:szCs w:val="21"/>
              </w:rPr>
            </w:pPr>
            <w:r>
              <w:rPr>
                <w:rFonts w:hint="eastAsia" w:ascii="宋体" w:hAnsi="宋体" w:cs="宋体"/>
                <w:color w:val="000000"/>
                <w:kern w:val="0"/>
                <w:szCs w:val="21"/>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3</w:t>
            </w:r>
          </w:p>
        </w:tc>
        <w:tc>
          <w:tcPr>
            <w:tcW w:w="3403" w:type="dxa"/>
            <w:vAlign w:val="center"/>
          </w:tcPr>
          <w:p>
            <w:pPr>
              <w:rPr>
                <w:rFonts w:ascii="宋体" w:hAnsi="宋体"/>
                <w:szCs w:val="21"/>
              </w:rPr>
            </w:pPr>
            <w:r>
              <w:rPr>
                <w:rFonts w:hint="eastAsia" w:ascii="宋体" w:hAnsi="宋体"/>
                <w:szCs w:val="21"/>
              </w:rPr>
              <w:t>工频磁场抗扰度</w:t>
            </w:r>
          </w:p>
        </w:tc>
        <w:tc>
          <w:tcPr>
            <w:tcW w:w="4536" w:type="dxa"/>
            <w:vAlign w:val="center"/>
          </w:tcPr>
          <w:p>
            <w:pPr>
              <w:rPr>
                <w:rFonts w:ascii="宋体" w:hAnsi="宋体"/>
                <w:szCs w:val="21"/>
              </w:rPr>
            </w:pPr>
            <w:r>
              <w:rPr>
                <w:rFonts w:hint="eastAsia" w:ascii="宋体" w:hAnsi="宋体" w:cs="宋体"/>
                <w:color w:val="000000"/>
                <w:kern w:val="0"/>
                <w:szCs w:val="21"/>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4</w:t>
            </w:r>
          </w:p>
        </w:tc>
        <w:tc>
          <w:tcPr>
            <w:tcW w:w="3403" w:type="dxa"/>
            <w:vAlign w:val="center"/>
          </w:tcPr>
          <w:p>
            <w:pPr>
              <w:rPr>
                <w:rFonts w:ascii="宋体" w:hAnsi="宋体"/>
                <w:szCs w:val="21"/>
              </w:rPr>
            </w:pPr>
            <w:r>
              <w:rPr>
                <w:rFonts w:hint="eastAsia" w:ascii="宋体" w:hAnsi="宋体"/>
                <w:szCs w:val="21"/>
              </w:rPr>
              <w:t>电快速瞬变脉冲群抗扰度</w:t>
            </w:r>
          </w:p>
        </w:tc>
        <w:tc>
          <w:tcPr>
            <w:tcW w:w="4536" w:type="dxa"/>
            <w:vAlign w:val="center"/>
          </w:tcPr>
          <w:p>
            <w:pPr>
              <w:rPr>
                <w:rFonts w:ascii="宋体" w:hAnsi="宋体"/>
                <w:szCs w:val="21"/>
              </w:rPr>
            </w:pPr>
            <w:r>
              <w:rPr>
                <w:rFonts w:hint="eastAsia" w:ascii="宋体" w:hAnsi="宋体" w:cs="宋体"/>
                <w:color w:val="000000"/>
                <w:kern w:val="0"/>
                <w:szCs w:val="21"/>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5</w:t>
            </w:r>
          </w:p>
        </w:tc>
        <w:tc>
          <w:tcPr>
            <w:tcW w:w="3403" w:type="dxa"/>
            <w:vAlign w:val="center"/>
          </w:tcPr>
          <w:p>
            <w:pPr>
              <w:rPr>
                <w:rFonts w:ascii="宋体" w:hAnsi="宋体"/>
                <w:szCs w:val="21"/>
              </w:rPr>
            </w:pPr>
            <w:r>
              <w:rPr>
                <w:rFonts w:hint="eastAsia" w:ascii="宋体" w:hAnsi="宋体"/>
                <w:szCs w:val="21"/>
              </w:rPr>
              <w:t>浪涌抗扰度</w:t>
            </w:r>
          </w:p>
        </w:tc>
        <w:tc>
          <w:tcPr>
            <w:tcW w:w="4536" w:type="dxa"/>
            <w:vAlign w:val="center"/>
          </w:tcPr>
          <w:p>
            <w:pPr>
              <w:rPr>
                <w:rFonts w:ascii="宋体" w:hAnsi="宋体"/>
                <w:szCs w:val="21"/>
              </w:rPr>
            </w:pPr>
            <w:r>
              <w:rPr>
                <w:rFonts w:hint="eastAsia" w:ascii="宋体" w:hAnsi="宋体" w:cs="宋体"/>
                <w:color w:val="000000"/>
                <w:kern w:val="0"/>
                <w:szCs w:val="21"/>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6</w:t>
            </w:r>
          </w:p>
        </w:tc>
        <w:tc>
          <w:tcPr>
            <w:tcW w:w="3403" w:type="dxa"/>
            <w:vAlign w:val="center"/>
          </w:tcPr>
          <w:p>
            <w:pPr>
              <w:rPr>
                <w:rFonts w:ascii="宋体" w:hAnsi="宋体"/>
                <w:szCs w:val="21"/>
              </w:rPr>
            </w:pPr>
            <w:r>
              <w:rPr>
                <w:rFonts w:hint="eastAsia" w:ascii="宋体" w:hAnsi="宋体"/>
                <w:szCs w:val="21"/>
              </w:rPr>
              <w:t>射频场感应的传导骚扰抗扰度</w:t>
            </w:r>
          </w:p>
        </w:tc>
        <w:tc>
          <w:tcPr>
            <w:tcW w:w="4536" w:type="dxa"/>
            <w:vAlign w:val="center"/>
          </w:tcPr>
          <w:p>
            <w:pPr>
              <w:rPr>
                <w:rFonts w:ascii="宋体" w:hAnsi="宋体"/>
                <w:szCs w:val="21"/>
              </w:rPr>
            </w:pPr>
            <w:r>
              <w:rPr>
                <w:rFonts w:hint="eastAsia" w:ascii="宋体" w:hAnsi="宋体" w:cs="宋体"/>
                <w:color w:val="000000"/>
                <w:kern w:val="0"/>
                <w:szCs w:val="21"/>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7</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启动方式</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刷卡启动、APP扫码启动、VIN码启动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8</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通信协议</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符合中华人民共和国工业和信息化部发布的新国标即《电动汽车非车载传导式充电机与电池管理系统之间的通信协议（GB/T 27930-2015）》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9</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安装方式</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落地式安装且提供安装技术支持及调试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3</w:t>
            </w:r>
            <w:r>
              <w:rPr>
                <w:rFonts w:ascii="宋体" w:hAnsi="宋体" w:cs="宋体"/>
                <w:color w:val="000000"/>
                <w:kern w:val="0"/>
                <w:szCs w:val="21"/>
              </w:rPr>
              <w:t>0</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通讯传输</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4G、3G或2G无线网络传输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09" w:type="dxa"/>
            <w:vAlign w:val="center"/>
          </w:tcPr>
          <w:p>
            <w:pPr>
              <w:jc w:val="center"/>
              <w:rPr>
                <w:rFonts w:ascii="宋体" w:hAnsi="宋体" w:cs="宋体"/>
                <w:color w:val="000000"/>
                <w:kern w:val="0"/>
                <w:szCs w:val="21"/>
              </w:rPr>
            </w:pPr>
            <w:r>
              <w:rPr>
                <w:rFonts w:hint="eastAsia" w:ascii="宋体" w:hAnsi="宋体" w:cs="宋体"/>
                <w:color w:val="000000"/>
                <w:kern w:val="0"/>
                <w:szCs w:val="21"/>
              </w:rPr>
              <w:t>3</w:t>
            </w:r>
            <w:r>
              <w:rPr>
                <w:rFonts w:ascii="宋体" w:hAnsi="宋体" w:cs="宋体"/>
                <w:color w:val="000000"/>
                <w:kern w:val="0"/>
                <w:szCs w:val="21"/>
              </w:rPr>
              <w:t>1</w:t>
            </w:r>
          </w:p>
        </w:tc>
        <w:tc>
          <w:tcPr>
            <w:tcW w:w="3403" w:type="dxa"/>
            <w:vAlign w:val="center"/>
          </w:tcPr>
          <w:p>
            <w:pPr>
              <w:rPr>
                <w:rFonts w:ascii="宋体" w:hAnsi="宋体" w:cs="宋体"/>
                <w:color w:val="000000"/>
                <w:kern w:val="0"/>
                <w:szCs w:val="21"/>
              </w:rPr>
            </w:pPr>
            <w:r>
              <w:rPr>
                <w:rFonts w:hint="eastAsia" w:ascii="宋体" w:hAnsi="宋体" w:cs="宋体"/>
                <w:color w:val="000000"/>
                <w:kern w:val="0"/>
                <w:szCs w:val="21"/>
              </w:rPr>
              <w:t>外形尺寸</w:t>
            </w:r>
          </w:p>
        </w:tc>
        <w:tc>
          <w:tcPr>
            <w:tcW w:w="4536" w:type="dxa"/>
            <w:vAlign w:val="center"/>
          </w:tcPr>
          <w:p>
            <w:pPr>
              <w:rPr>
                <w:rFonts w:ascii="宋体" w:hAnsi="宋体" w:cs="宋体"/>
                <w:color w:val="000000"/>
                <w:kern w:val="0"/>
                <w:szCs w:val="21"/>
              </w:rPr>
            </w:pPr>
            <w:r>
              <w:rPr>
                <w:rFonts w:hint="eastAsia" w:ascii="宋体" w:hAnsi="宋体" w:cs="宋体"/>
                <w:color w:val="000000"/>
                <w:kern w:val="0"/>
                <w:szCs w:val="21"/>
              </w:rPr>
              <w:t>不限（以不影响现场操作、设备维修、其他设备设施安装等为原则和前提，尽可能缩小占地面积）</w:t>
            </w:r>
          </w:p>
        </w:tc>
      </w:tr>
    </w:tbl>
    <w:p>
      <w:pPr>
        <w:outlineLvl w:val="3"/>
        <w:rPr>
          <w:rFonts w:ascii="宋体" w:hAnsi="宋体"/>
          <w:b/>
          <w:bCs/>
        </w:rPr>
      </w:pPr>
      <w:r>
        <w:rPr>
          <w:rFonts w:ascii="宋体" w:hAnsi="宋体"/>
          <w:b/>
          <w:bCs/>
        </w:rPr>
        <w:t>1.2</w:t>
      </w:r>
      <w:r>
        <w:rPr>
          <w:rFonts w:hint="eastAsia" w:ascii="宋体" w:hAnsi="宋体"/>
          <w:b/>
          <w:bCs/>
        </w:rPr>
        <w:t>普通终端技术参数表</w:t>
      </w:r>
    </w:p>
    <w:tbl>
      <w:tblPr>
        <w:tblStyle w:val="16"/>
        <w:tblW w:w="821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410"/>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704"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序号</w:t>
            </w:r>
          </w:p>
        </w:tc>
        <w:tc>
          <w:tcPr>
            <w:tcW w:w="2410"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w:t>
            </w:r>
          </w:p>
        </w:tc>
        <w:tc>
          <w:tcPr>
            <w:tcW w:w="5103"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2410"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额定输入电压</w:t>
            </w:r>
          </w:p>
        </w:tc>
        <w:tc>
          <w:tcPr>
            <w:tcW w:w="5103" w:type="dxa"/>
            <w:shd w:val="clear" w:color="auto" w:fill="auto"/>
            <w:vAlign w:val="center"/>
          </w:tcPr>
          <w:p>
            <w:pPr>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三相380V（±15%）AC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2410"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交流输入频率</w:t>
            </w:r>
          </w:p>
        </w:tc>
        <w:tc>
          <w:tcPr>
            <w:tcW w:w="5103" w:type="dxa"/>
            <w:shd w:val="clear" w:color="auto" w:fill="auto"/>
            <w:vAlign w:val="center"/>
          </w:tcPr>
          <w:p>
            <w:pP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50Hz±2%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2410"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单枪最大输出电流</w:t>
            </w:r>
          </w:p>
        </w:tc>
        <w:tc>
          <w:tcPr>
            <w:tcW w:w="5103" w:type="dxa"/>
            <w:shd w:val="clear" w:color="auto" w:fill="auto"/>
            <w:vAlign w:val="center"/>
          </w:tcPr>
          <w:p>
            <w:pPr>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r>
              <w:rPr>
                <w:rFonts w:ascii="宋体" w:hAnsi="宋体" w:cs="宋体"/>
                <w:color w:val="000000" w:themeColor="text1"/>
                <w:szCs w:val="21"/>
                <w14:textFill>
                  <w14:solidFill>
                    <w14:schemeClr w14:val="tx1"/>
                  </w14:solidFill>
                </w14:textFill>
              </w:rPr>
              <w:t>50</w:t>
            </w:r>
            <w:r>
              <w:rPr>
                <w:rFonts w:hint="eastAsia" w:ascii="宋体" w:hAnsi="宋体" w:cs="宋体"/>
                <w:color w:val="000000" w:themeColor="text1"/>
                <w:szCs w:val="21"/>
                <w14:textFill>
                  <w14:solidFill>
                    <w14:schemeClr w14:val="tx1"/>
                  </w14:solidFill>
                </w14:textFill>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4</w:t>
            </w:r>
          </w:p>
        </w:tc>
        <w:tc>
          <w:tcPr>
            <w:tcW w:w="2410"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充电枪数</w:t>
            </w:r>
          </w:p>
        </w:tc>
        <w:tc>
          <w:tcPr>
            <w:tcW w:w="5103" w:type="dxa"/>
            <w:shd w:val="clear" w:color="auto" w:fill="auto"/>
            <w:vAlign w:val="center"/>
          </w:tcPr>
          <w:p>
            <w:pPr>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单枪或双枪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5</w:t>
            </w:r>
          </w:p>
        </w:tc>
        <w:tc>
          <w:tcPr>
            <w:tcW w:w="2410"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充电电缆</w:t>
            </w:r>
          </w:p>
        </w:tc>
        <w:tc>
          <w:tcPr>
            <w:tcW w:w="5103" w:type="dxa"/>
            <w:shd w:val="clear" w:color="auto" w:fill="auto"/>
            <w:vAlign w:val="center"/>
          </w:tcPr>
          <w:p>
            <w:pPr>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r>
              <w:rPr>
                <w:rFonts w:ascii="宋体" w:hAnsi="宋体" w:cs="宋体"/>
                <w:color w:val="000000" w:themeColor="text1"/>
                <w:szCs w:val="21"/>
                <w14:textFill>
                  <w14:solidFill>
                    <w14:schemeClr w14:val="tx1"/>
                  </w14:solidFill>
                </w14:textFill>
              </w:rPr>
              <w:t>5</w:t>
            </w:r>
            <w:r>
              <w:rPr>
                <w:rFonts w:hint="eastAsia" w:ascii="宋体" w:hAnsi="宋体" w:cs="宋体"/>
                <w:color w:val="000000" w:themeColor="text1"/>
                <w:szCs w:val="21"/>
                <w14:textFill>
                  <w14:solidFill>
                    <w14:schemeClr w14:val="tx1"/>
                  </w14:solidFill>
                </w14:textFill>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6</w:t>
            </w:r>
          </w:p>
        </w:tc>
        <w:tc>
          <w:tcPr>
            <w:tcW w:w="2410"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▲防护等级</w:t>
            </w:r>
          </w:p>
        </w:tc>
        <w:tc>
          <w:tcPr>
            <w:tcW w:w="5103" w:type="dxa"/>
            <w:shd w:val="clear" w:color="auto" w:fill="auto"/>
            <w:vAlign w:val="center"/>
          </w:tcPr>
          <w:p>
            <w:pPr>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IP</w:t>
            </w:r>
            <w:r>
              <w:rPr>
                <w:rFonts w:ascii="宋体" w:hAnsi="宋体" w:cs="宋体"/>
                <w:color w:val="000000" w:themeColor="text1"/>
                <w:szCs w:val="21"/>
                <w14:textFill>
                  <w14:solidFill>
                    <w14:schemeClr w14:val="tx1"/>
                  </w14:solidFill>
                </w14:textFill>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7</w:t>
            </w:r>
          </w:p>
        </w:tc>
        <w:tc>
          <w:tcPr>
            <w:tcW w:w="2410"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安装方式</w:t>
            </w:r>
          </w:p>
        </w:tc>
        <w:tc>
          <w:tcPr>
            <w:tcW w:w="5103" w:type="dxa"/>
            <w:shd w:val="clear" w:color="auto" w:fill="auto"/>
            <w:vAlign w:val="center"/>
          </w:tcPr>
          <w:p>
            <w:pPr>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落地式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ascii="宋体" w:hAnsi="宋体" w:cs="宋体"/>
                <w:color w:val="000000" w:themeColor="text1"/>
                <w:szCs w:val="21"/>
                <w14:textFill>
                  <w14:solidFill>
                    <w14:schemeClr w14:val="tx1"/>
                  </w14:solidFill>
                </w14:textFill>
              </w:rPr>
              <w:t>8</w:t>
            </w:r>
          </w:p>
        </w:tc>
        <w:tc>
          <w:tcPr>
            <w:tcW w:w="2410" w:type="dxa"/>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安全保护</w:t>
            </w:r>
          </w:p>
        </w:tc>
        <w:tc>
          <w:tcPr>
            <w:tcW w:w="5103" w:type="dxa"/>
            <w:shd w:val="clear" w:color="auto" w:fill="auto"/>
            <w:vAlign w:val="center"/>
          </w:tcPr>
          <w:p>
            <w:pPr>
              <w:jc w:val="left"/>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输入过/欠压保护、输出过压保护、短路保护、过载保护、过温保护、电池反接保护等</w:t>
            </w:r>
          </w:p>
        </w:tc>
      </w:tr>
    </w:tbl>
    <w:p>
      <w:pPr>
        <w:rPr>
          <w:rFonts w:ascii="宋体" w:hAnsi="宋体"/>
          <w:b/>
          <w:bCs/>
        </w:rPr>
      </w:pPr>
      <w:bookmarkStart w:id="464" w:name="_Toc142752165"/>
    </w:p>
    <w:p>
      <w:pPr>
        <w:outlineLvl w:val="2"/>
        <w:rPr>
          <w:rFonts w:ascii="宋体" w:hAnsi="宋体"/>
          <w:b/>
          <w:bCs/>
        </w:rPr>
      </w:pPr>
      <w:r>
        <w:rPr>
          <w:rFonts w:ascii="宋体" w:hAnsi="宋体"/>
          <w:b/>
          <w:bCs/>
        </w:rPr>
        <w:t>2</w:t>
      </w:r>
      <w:r>
        <w:rPr>
          <w:rFonts w:hint="eastAsia" w:ascii="宋体" w:hAnsi="宋体"/>
          <w:b/>
          <w:bCs/>
        </w:rPr>
        <w:t>、基本构成</w:t>
      </w:r>
      <w:bookmarkEnd w:id="464"/>
    </w:p>
    <w:p>
      <w:pPr>
        <w:ind w:firstLine="411" w:firstLineChars="196"/>
        <w:jc w:val="left"/>
        <w:rPr>
          <w:rFonts w:ascii="宋体" w:hAnsi="宋体"/>
          <w:bCs/>
        </w:rPr>
      </w:pPr>
      <w:r>
        <w:rPr>
          <w:rFonts w:hint="eastAsia" w:ascii="宋体" w:hAnsi="宋体"/>
          <w:bCs/>
        </w:rPr>
        <w:t>分体式充电机由整流柜和直流充电桩两部分构成，通过电缆连接组成一套完整的充电机，结构形式为分体多枪。</w:t>
      </w:r>
    </w:p>
    <w:p>
      <w:pPr>
        <w:outlineLvl w:val="2"/>
        <w:rPr>
          <w:rFonts w:ascii="宋体" w:hAnsi="宋体"/>
          <w:b/>
          <w:bCs/>
        </w:rPr>
      </w:pPr>
      <w:bookmarkStart w:id="465" w:name="_Toc142752167"/>
      <w:r>
        <w:rPr>
          <w:rFonts w:ascii="宋体" w:hAnsi="宋体"/>
          <w:b/>
          <w:bCs/>
        </w:rPr>
        <w:t>3</w:t>
      </w:r>
      <w:r>
        <w:rPr>
          <w:rFonts w:hint="eastAsia" w:ascii="宋体" w:hAnsi="宋体"/>
          <w:b/>
          <w:bCs/>
        </w:rPr>
        <w:t>、功能要求</w:t>
      </w:r>
      <w:bookmarkEnd w:id="465"/>
    </w:p>
    <w:p>
      <w:pPr>
        <w:ind w:firstLine="420" w:firstLineChars="200"/>
        <w:rPr>
          <w:rFonts w:ascii="宋体" w:hAnsi="宋体"/>
          <w:bCs/>
        </w:rPr>
      </w:pPr>
      <w:r>
        <w:rPr>
          <w:rFonts w:ascii="宋体" w:hAnsi="宋体"/>
          <w:bCs/>
        </w:rPr>
        <w:t xml:space="preserve">3.1 </w:t>
      </w:r>
      <w:r>
        <w:rPr>
          <w:rFonts w:hint="eastAsia" w:ascii="宋体" w:hAnsi="宋体"/>
          <w:bCs/>
        </w:rPr>
        <w:t>充电</w:t>
      </w:r>
      <w:r>
        <w:rPr>
          <w:rFonts w:ascii="宋体" w:hAnsi="宋体"/>
          <w:bCs/>
        </w:rPr>
        <w:t>设定方式</w:t>
      </w:r>
    </w:p>
    <w:p>
      <w:pPr>
        <w:ind w:firstLine="411" w:firstLineChars="196"/>
        <w:rPr>
          <w:rFonts w:ascii="宋体" w:hAnsi="宋体"/>
          <w:bCs/>
        </w:rPr>
      </w:pPr>
      <w:bookmarkStart w:id="466" w:name="_Toc352274279"/>
      <w:r>
        <w:rPr>
          <w:rFonts w:hint="eastAsia" w:ascii="宋体" w:hAnsi="宋体"/>
          <w:bCs/>
        </w:rPr>
        <w:t>在充电过程中，充电机依据电动汽车电池管理系统提供的数据动态调整充电参数，执行相应动作，完成充电过程。</w:t>
      </w:r>
    </w:p>
    <w:p>
      <w:pPr>
        <w:ind w:firstLine="411" w:firstLineChars="196"/>
        <w:rPr>
          <w:rFonts w:ascii="宋体" w:hAnsi="宋体"/>
          <w:bCs/>
        </w:rPr>
      </w:pPr>
      <w:r>
        <w:rPr>
          <w:rFonts w:ascii="宋体" w:hAnsi="宋体"/>
          <w:bCs/>
        </w:rPr>
        <w:t xml:space="preserve">3.2 </w:t>
      </w:r>
      <w:r>
        <w:rPr>
          <w:rFonts w:hint="eastAsia" w:ascii="宋体" w:hAnsi="宋体"/>
          <w:bCs/>
        </w:rPr>
        <w:t>充电模式和连接方式</w:t>
      </w:r>
    </w:p>
    <w:p>
      <w:pPr>
        <w:ind w:firstLine="411" w:firstLineChars="196"/>
        <w:rPr>
          <w:rFonts w:ascii="宋体" w:hAnsi="宋体"/>
          <w:bCs/>
        </w:rPr>
      </w:pPr>
      <w:r>
        <w:rPr>
          <w:rFonts w:hint="eastAsia" w:ascii="宋体" w:hAnsi="宋体"/>
          <w:bCs/>
        </w:rPr>
        <w:t>充电机采用GB/T18487.1-2015附录B中规定的充电模式4和连接方式C对电动汽车进行充电。充电接口应满足GB/T20234.1-2015和 GB/T20234.3-2015的规定。</w:t>
      </w:r>
    </w:p>
    <w:p>
      <w:pPr>
        <w:ind w:firstLine="411" w:firstLineChars="196"/>
        <w:rPr>
          <w:rFonts w:ascii="宋体" w:hAnsi="宋体"/>
          <w:bCs/>
        </w:rPr>
      </w:pPr>
      <w:r>
        <w:rPr>
          <w:rFonts w:ascii="宋体" w:hAnsi="宋体"/>
          <w:bCs/>
        </w:rPr>
        <w:t xml:space="preserve">3.3 </w:t>
      </w:r>
      <w:r>
        <w:rPr>
          <w:rFonts w:hint="eastAsia" w:ascii="宋体" w:hAnsi="宋体"/>
          <w:bCs/>
        </w:rPr>
        <w:t>控制导引和充电控制</w:t>
      </w:r>
    </w:p>
    <w:p>
      <w:pPr>
        <w:ind w:firstLine="411" w:firstLineChars="196"/>
        <w:rPr>
          <w:rFonts w:ascii="宋体" w:hAnsi="宋体"/>
          <w:bCs/>
        </w:rPr>
      </w:pPr>
      <w:r>
        <w:rPr>
          <w:rFonts w:hint="eastAsia" w:ascii="宋体" w:hAnsi="宋体"/>
          <w:bCs/>
        </w:rPr>
        <w:t>充电机应具备控制导引功能。控制导引电路及控制原理应满足GB/T18487.1-2015附录B中的规定。</w:t>
      </w:r>
    </w:p>
    <w:p>
      <w:pPr>
        <w:ind w:firstLine="411" w:firstLineChars="196"/>
        <w:rPr>
          <w:rFonts w:ascii="宋体" w:hAnsi="宋体"/>
          <w:bCs/>
        </w:rPr>
      </w:pPr>
      <w:r>
        <w:rPr>
          <w:rFonts w:ascii="宋体" w:hAnsi="宋体"/>
          <w:bCs/>
        </w:rPr>
        <w:t xml:space="preserve">3.4 </w:t>
      </w:r>
      <w:r>
        <w:rPr>
          <w:rFonts w:hint="eastAsia" w:ascii="宋体" w:hAnsi="宋体"/>
          <w:bCs/>
        </w:rPr>
        <w:t>与电池管理系统通信功能</w:t>
      </w:r>
    </w:p>
    <w:p>
      <w:pPr>
        <w:ind w:firstLine="411" w:firstLineChars="196"/>
        <w:rPr>
          <w:rFonts w:ascii="宋体" w:hAnsi="宋体"/>
          <w:bCs/>
        </w:rPr>
      </w:pPr>
      <w:r>
        <w:rPr>
          <w:rFonts w:hint="eastAsia" w:ascii="宋体" w:hAnsi="宋体"/>
          <w:bCs/>
        </w:rPr>
        <w:t>充电机应具有与电池管理系统通信的CAN接口，获得电池管理系统的充电参数和充电实时数据。通信协议应能满足 GB/T 27930-2015的规定。</w:t>
      </w:r>
    </w:p>
    <w:p>
      <w:pPr>
        <w:ind w:firstLine="411" w:firstLineChars="196"/>
        <w:rPr>
          <w:rFonts w:ascii="宋体" w:hAnsi="宋体"/>
          <w:bCs/>
        </w:rPr>
      </w:pPr>
      <w:r>
        <w:rPr>
          <w:rFonts w:ascii="宋体" w:hAnsi="宋体"/>
          <w:bCs/>
        </w:rPr>
        <w:t xml:space="preserve">3.5 </w:t>
      </w:r>
      <w:r>
        <w:rPr>
          <w:rFonts w:hint="eastAsia" w:ascii="宋体" w:hAnsi="宋体"/>
          <w:bCs/>
        </w:rPr>
        <w:t>计量功能</w:t>
      </w:r>
    </w:p>
    <w:p>
      <w:pPr>
        <w:ind w:firstLine="411" w:firstLineChars="196"/>
        <w:rPr>
          <w:rFonts w:ascii="宋体" w:hAnsi="宋体"/>
          <w:bCs/>
        </w:rPr>
      </w:pPr>
      <w:r>
        <w:rPr>
          <w:rFonts w:hint="eastAsia" w:ascii="宋体" w:hAnsi="宋体"/>
          <w:bCs/>
        </w:rPr>
        <w:t>充电桩采用直流侧计量，应具有对每个充电接口输出电能进行计量的功能。</w:t>
      </w:r>
    </w:p>
    <w:p>
      <w:pPr>
        <w:ind w:firstLine="411" w:firstLineChars="196"/>
        <w:rPr>
          <w:rFonts w:ascii="宋体" w:hAnsi="宋体"/>
          <w:bCs/>
        </w:rPr>
      </w:pPr>
      <w:r>
        <w:rPr>
          <w:rFonts w:ascii="宋体" w:hAnsi="宋体"/>
          <w:bCs/>
        </w:rPr>
        <w:t xml:space="preserve">3.6 </w:t>
      </w:r>
      <w:r>
        <w:rPr>
          <w:rFonts w:hint="eastAsia" w:ascii="宋体" w:hAnsi="宋体"/>
          <w:bCs/>
        </w:rPr>
        <w:t>显示及</w:t>
      </w:r>
      <w:r>
        <w:rPr>
          <w:rFonts w:ascii="宋体" w:hAnsi="宋体"/>
          <w:bCs/>
        </w:rPr>
        <w:t>输入</w:t>
      </w:r>
      <w:r>
        <w:rPr>
          <w:rFonts w:hint="eastAsia" w:ascii="宋体" w:hAnsi="宋体"/>
          <w:bCs/>
        </w:rPr>
        <w:t>功能</w:t>
      </w:r>
    </w:p>
    <w:p>
      <w:pPr>
        <w:ind w:firstLine="411" w:firstLineChars="196"/>
        <w:rPr>
          <w:rFonts w:ascii="宋体" w:hAnsi="宋体"/>
          <w:bCs/>
        </w:rPr>
      </w:pPr>
      <w:r>
        <w:rPr>
          <w:rFonts w:hint="eastAsia" w:ascii="宋体" w:hAnsi="宋体"/>
          <w:bCs/>
        </w:rPr>
        <w:t>充电机配置屏幕并显示充电机的运行状态指示，包括待机、充电、告警等状态。</w:t>
      </w:r>
    </w:p>
    <w:p>
      <w:pPr>
        <w:outlineLvl w:val="2"/>
        <w:rPr>
          <w:rFonts w:ascii="宋体" w:hAnsi="宋体"/>
          <w:b/>
          <w:bCs/>
        </w:rPr>
      </w:pPr>
      <w:bookmarkStart w:id="467" w:name="_Toc411176412"/>
      <w:bookmarkStart w:id="468" w:name="_Toc13665_WPSOffice_Level2"/>
      <w:bookmarkStart w:id="469" w:name="_Toc428997274"/>
      <w:bookmarkStart w:id="470" w:name="_Toc142752168"/>
      <w:bookmarkStart w:id="471" w:name="_Toc387646176"/>
      <w:r>
        <w:rPr>
          <w:rFonts w:ascii="宋体" w:hAnsi="宋体"/>
          <w:b/>
          <w:bCs/>
        </w:rPr>
        <w:t>4</w:t>
      </w:r>
      <w:r>
        <w:rPr>
          <w:rFonts w:hint="eastAsia" w:ascii="宋体" w:hAnsi="宋体"/>
          <w:b/>
          <w:bCs/>
        </w:rPr>
        <w:t>、耐气候环境要求</w:t>
      </w:r>
      <w:bookmarkEnd w:id="467"/>
      <w:bookmarkEnd w:id="468"/>
      <w:bookmarkEnd w:id="469"/>
      <w:bookmarkEnd w:id="470"/>
      <w:bookmarkEnd w:id="471"/>
    </w:p>
    <w:p>
      <w:pPr>
        <w:ind w:firstLine="411" w:firstLineChars="196"/>
        <w:rPr>
          <w:rFonts w:ascii="宋体" w:hAnsi="宋体"/>
          <w:bCs/>
        </w:rPr>
      </w:pPr>
      <w:r>
        <w:rPr>
          <w:rFonts w:ascii="宋体" w:hAnsi="宋体"/>
          <w:bCs/>
        </w:rPr>
        <w:t xml:space="preserve">4.1 </w:t>
      </w:r>
      <w:r>
        <w:rPr>
          <w:rFonts w:hint="eastAsia" w:ascii="宋体" w:hAnsi="宋体"/>
          <w:bCs/>
        </w:rPr>
        <w:t>防护等级</w:t>
      </w:r>
    </w:p>
    <w:p>
      <w:pPr>
        <w:ind w:firstLine="411" w:firstLineChars="196"/>
        <w:rPr>
          <w:rFonts w:ascii="宋体" w:hAnsi="宋体"/>
          <w:bCs/>
        </w:rPr>
      </w:pPr>
      <w:r>
        <w:rPr>
          <w:rFonts w:hint="eastAsia" w:ascii="宋体" w:hAnsi="宋体"/>
          <w:bCs/>
        </w:rPr>
        <w:t>充电机的柜体和桩体防护等级不应低于GB 4208-2008中IP32（室内）或IP5</w:t>
      </w:r>
      <w:r>
        <w:rPr>
          <w:rFonts w:ascii="宋体" w:hAnsi="宋体"/>
          <w:bCs/>
        </w:rPr>
        <w:t>4</w:t>
      </w:r>
      <w:r>
        <w:rPr>
          <w:rFonts w:hint="eastAsia" w:ascii="宋体" w:hAnsi="宋体"/>
          <w:bCs/>
        </w:rPr>
        <w:t>（室外）的规定。</w:t>
      </w:r>
    </w:p>
    <w:p>
      <w:pPr>
        <w:ind w:firstLine="411" w:firstLineChars="196"/>
        <w:rPr>
          <w:rFonts w:ascii="宋体" w:hAnsi="宋体"/>
          <w:bCs/>
        </w:rPr>
      </w:pPr>
      <w:r>
        <w:rPr>
          <w:rFonts w:ascii="宋体" w:hAnsi="宋体"/>
          <w:bCs/>
        </w:rPr>
        <w:t xml:space="preserve">4.2 </w:t>
      </w:r>
      <w:r>
        <w:rPr>
          <w:rFonts w:hint="eastAsia" w:ascii="宋体" w:hAnsi="宋体"/>
          <w:bCs/>
        </w:rPr>
        <w:t>三防（防潮湿，防霉变，防盐雾）保护</w:t>
      </w:r>
    </w:p>
    <w:p>
      <w:pPr>
        <w:ind w:firstLine="411" w:firstLineChars="196"/>
        <w:rPr>
          <w:rFonts w:ascii="宋体" w:hAnsi="宋体"/>
          <w:bCs/>
        </w:rPr>
      </w:pPr>
      <w:r>
        <w:rPr>
          <w:rFonts w:hint="eastAsia" w:ascii="宋体" w:hAnsi="宋体"/>
          <w:bCs/>
        </w:rPr>
        <w:t>充电机内印刷线路板、接插件等电路应进行防潮湿、防霉变、防盐雾处理。</w:t>
      </w:r>
    </w:p>
    <w:p>
      <w:pPr>
        <w:ind w:firstLine="411" w:firstLineChars="196"/>
        <w:rPr>
          <w:rFonts w:ascii="宋体" w:hAnsi="宋体"/>
          <w:bCs/>
        </w:rPr>
      </w:pPr>
      <w:r>
        <w:rPr>
          <w:rFonts w:ascii="宋体" w:hAnsi="宋体"/>
          <w:bCs/>
        </w:rPr>
        <w:t xml:space="preserve">4.3 </w:t>
      </w:r>
      <w:r>
        <w:rPr>
          <w:rFonts w:hint="eastAsia" w:ascii="宋体" w:hAnsi="宋体"/>
          <w:bCs/>
        </w:rPr>
        <w:t>防锈(防氧化)保护</w:t>
      </w:r>
    </w:p>
    <w:p>
      <w:pPr>
        <w:ind w:firstLine="411" w:firstLineChars="196"/>
        <w:rPr>
          <w:rFonts w:ascii="宋体" w:hAnsi="宋体"/>
          <w:bCs/>
        </w:rPr>
      </w:pPr>
      <w:r>
        <w:rPr>
          <w:rFonts w:hint="eastAsia" w:ascii="宋体" w:hAnsi="宋体"/>
          <w:bCs/>
        </w:rPr>
        <w:t>充电机铁质外壳和暴露在外的铁质支架、零件应采取双层防锈措施，非铁质的金属外壳也应具有防氧化保护膜或进行防氧化处理。</w:t>
      </w:r>
    </w:p>
    <w:p>
      <w:pPr>
        <w:outlineLvl w:val="2"/>
        <w:rPr>
          <w:rFonts w:ascii="宋体" w:hAnsi="宋体"/>
          <w:b/>
          <w:bCs/>
        </w:rPr>
      </w:pPr>
      <w:bookmarkStart w:id="472" w:name="_Toc5074_WPSOffice_Level2"/>
      <w:bookmarkStart w:id="473" w:name="_Toc387646177"/>
      <w:bookmarkStart w:id="474" w:name="_Toc428997275"/>
      <w:bookmarkStart w:id="475" w:name="_Toc142752169"/>
      <w:bookmarkStart w:id="476" w:name="_Toc411176413"/>
      <w:r>
        <w:rPr>
          <w:rFonts w:ascii="宋体" w:hAnsi="宋体"/>
          <w:b/>
          <w:bCs/>
        </w:rPr>
        <w:t>5</w:t>
      </w:r>
      <w:r>
        <w:rPr>
          <w:rFonts w:hint="eastAsia" w:ascii="宋体" w:hAnsi="宋体"/>
          <w:b/>
          <w:bCs/>
        </w:rPr>
        <w:t>、防护要求</w:t>
      </w:r>
      <w:bookmarkEnd w:id="466"/>
      <w:bookmarkEnd w:id="472"/>
      <w:bookmarkEnd w:id="473"/>
      <w:bookmarkEnd w:id="474"/>
      <w:bookmarkEnd w:id="475"/>
      <w:bookmarkEnd w:id="476"/>
    </w:p>
    <w:p>
      <w:pPr>
        <w:ind w:firstLine="411" w:firstLineChars="196"/>
        <w:rPr>
          <w:rFonts w:ascii="宋体" w:hAnsi="宋体"/>
          <w:bCs/>
        </w:rPr>
      </w:pPr>
      <w:r>
        <w:rPr>
          <w:rFonts w:ascii="宋体" w:hAnsi="宋体"/>
          <w:bCs/>
        </w:rPr>
        <w:t xml:space="preserve">5.1 </w:t>
      </w:r>
      <w:r>
        <w:rPr>
          <w:rFonts w:hint="eastAsia" w:ascii="宋体" w:hAnsi="宋体"/>
          <w:bCs/>
        </w:rPr>
        <w:t>允许温度</w:t>
      </w:r>
    </w:p>
    <w:p>
      <w:pPr>
        <w:ind w:firstLine="411" w:firstLineChars="196"/>
        <w:rPr>
          <w:rFonts w:ascii="宋体" w:hAnsi="宋体"/>
          <w:bCs/>
        </w:rPr>
      </w:pPr>
      <w:r>
        <w:rPr>
          <w:rFonts w:ascii="宋体" w:hAnsi="宋体"/>
          <w:bCs/>
        </w:rPr>
        <w:t>a</w:t>
      </w:r>
      <w:r>
        <w:rPr>
          <w:rFonts w:hint="eastAsia" w:ascii="宋体" w:hAnsi="宋体"/>
          <w:bCs/>
        </w:rPr>
        <w:t>)</w:t>
      </w:r>
      <w:r>
        <w:rPr>
          <w:rFonts w:hint="eastAsia" w:ascii="宋体" w:hAnsi="宋体"/>
          <w:bCs/>
        </w:rPr>
        <w:tab/>
      </w:r>
      <w:r>
        <w:rPr>
          <w:rFonts w:ascii="宋体" w:hAnsi="宋体"/>
          <w:bCs/>
        </w:rPr>
        <w:t>在40</w:t>
      </w:r>
      <w:r>
        <w:rPr>
          <w:rFonts w:hint="eastAsia" w:ascii="宋体" w:hAnsi="宋体"/>
          <w:bCs/>
        </w:rPr>
        <w:t>℃</w:t>
      </w:r>
      <w:r>
        <w:rPr>
          <w:rFonts w:ascii="宋体" w:hAnsi="宋体"/>
          <w:bCs/>
        </w:rPr>
        <w:t>环境温度下，充电机可用手接触部分允许的最高温度应为：</w:t>
      </w:r>
    </w:p>
    <w:p>
      <w:pPr>
        <w:ind w:firstLine="411" w:firstLineChars="196"/>
        <w:rPr>
          <w:rFonts w:ascii="宋体" w:hAnsi="宋体"/>
          <w:bCs/>
        </w:rPr>
      </w:pPr>
      <w:r>
        <w:rPr>
          <w:rFonts w:ascii="宋体" w:hAnsi="宋体"/>
          <w:bCs/>
        </w:rPr>
        <w:t>——金属部分，50</w:t>
      </w:r>
      <w:r>
        <w:rPr>
          <w:rFonts w:hint="eastAsia" w:ascii="宋体" w:hAnsi="宋体"/>
          <w:bCs/>
        </w:rPr>
        <w:t>℃</w:t>
      </w:r>
      <w:r>
        <w:rPr>
          <w:rFonts w:ascii="宋体" w:hAnsi="宋体"/>
          <w:bCs/>
        </w:rPr>
        <w:t>；</w:t>
      </w:r>
    </w:p>
    <w:p>
      <w:pPr>
        <w:ind w:firstLine="411" w:firstLineChars="196"/>
        <w:rPr>
          <w:rFonts w:ascii="宋体" w:hAnsi="宋体"/>
          <w:bCs/>
        </w:rPr>
      </w:pPr>
      <w:r>
        <w:rPr>
          <w:rFonts w:ascii="宋体" w:hAnsi="宋体"/>
          <w:bCs/>
        </w:rPr>
        <w:t>——非金属部分，60</w:t>
      </w:r>
      <w:r>
        <w:rPr>
          <w:rFonts w:hint="eastAsia" w:ascii="宋体" w:hAnsi="宋体"/>
          <w:bCs/>
        </w:rPr>
        <w:t>℃。</w:t>
      </w:r>
    </w:p>
    <w:p>
      <w:pPr>
        <w:ind w:firstLine="411" w:firstLineChars="196"/>
        <w:rPr>
          <w:rFonts w:ascii="宋体" w:hAnsi="宋体"/>
          <w:bCs/>
        </w:rPr>
      </w:pPr>
      <w:r>
        <w:rPr>
          <w:rFonts w:ascii="宋体" w:hAnsi="宋体"/>
          <w:bCs/>
        </w:rPr>
        <w:t>b</w:t>
      </w:r>
      <w:r>
        <w:rPr>
          <w:rFonts w:hint="eastAsia" w:ascii="宋体" w:hAnsi="宋体"/>
          <w:bCs/>
        </w:rPr>
        <w:t>)</w:t>
      </w:r>
      <w:r>
        <w:rPr>
          <w:rFonts w:hint="eastAsia" w:ascii="宋体" w:hAnsi="宋体"/>
          <w:bCs/>
        </w:rPr>
        <w:tab/>
      </w:r>
      <w:r>
        <w:rPr>
          <w:rFonts w:hint="eastAsia" w:ascii="宋体" w:hAnsi="宋体"/>
          <w:bCs/>
        </w:rPr>
        <w:t>可以用手接触但不必紧握的部分，在同样条件下允许的最高温度应为：</w:t>
      </w:r>
    </w:p>
    <w:p>
      <w:pPr>
        <w:ind w:firstLine="411" w:firstLineChars="196"/>
        <w:rPr>
          <w:rFonts w:ascii="宋体" w:hAnsi="宋体"/>
          <w:bCs/>
        </w:rPr>
      </w:pPr>
      <w:r>
        <w:rPr>
          <w:rFonts w:ascii="宋体" w:hAnsi="宋体"/>
          <w:bCs/>
        </w:rPr>
        <w:t>——金属部分，60</w:t>
      </w:r>
      <w:r>
        <w:rPr>
          <w:rFonts w:hint="eastAsia" w:ascii="宋体" w:hAnsi="宋体"/>
          <w:bCs/>
        </w:rPr>
        <w:t>℃</w:t>
      </w:r>
      <w:r>
        <w:rPr>
          <w:rFonts w:ascii="宋体" w:hAnsi="宋体"/>
          <w:bCs/>
        </w:rPr>
        <w:t>；</w:t>
      </w:r>
    </w:p>
    <w:p>
      <w:pPr>
        <w:ind w:firstLine="411" w:firstLineChars="196"/>
        <w:rPr>
          <w:rFonts w:ascii="宋体" w:hAnsi="宋体"/>
          <w:bCs/>
        </w:rPr>
      </w:pPr>
      <w:r>
        <w:rPr>
          <w:rFonts w:ascii="宋体" w:hAnsi="宋体"/>
          <w:bCs/>
        </w:rPr>
        <w:t>——非金属部分，85</w:t>
      </w:r>
      <w:r>
        <w:rPr>
          <w:rFonts w:hint="eastAsia" w:ascii="宋体" w:hAnsi="宋体"/>
          <w:bCs/>
        </w:rPr>
        <w:t>℃。</w:t>
      </w:r>
    </w:p>
    <w:p>
      <w:pPr>
        <w:ind w:firstLine="411" w:firstLineChars="196"/>
        <w:rPr>
          <w:rFonts w:ascii="宋体" w:hAnsi="宋体"/>
          <w:bCs/>
        </w:rPr>
      </w:pPr>
      <w:r>
        <w:rPr>
          <w:rFonts w:ascii="宋体" w:hAnsi="宋体"/>
          <w:bCs/>
        </w:rPr>
        <w:t xml:space="preserve">5.2 </w:t>
      </w:r>
      <w:r>
        <w:rPr>
          <w:rFonts w:hint="eastAsia" w:ascii="宋体" w:hAnsi="宋体"/>
          <w:bCs/>
        </w:rPr>
        <w:t>电击防护</w:t>
      </w:r>
    </w:p>
    <w:p>
      <w:pPr>
        <w:ind w:firstLine="411" w:firstLineChars="196"/>
        <w:rPr>
          <w:rFonts w:ascii="宋体" w:hAnsi="宋体"/>
          <w:bCs/>
        </w:rPr>
      </w:pPr>
      <w:r>
        <w:rPr>
          <w:rFonts w:ascii="宋体" w:hAnsi="宋体"/>
          <w:bCs/>
        </w:rPr>
        <w:t>充电机的电击防护应符合GB/T 18487.1-20</w:t>
      </w:r>
      <w:r>
        <w:rPr>
          <w:rFonts w:hint="eastAsia" w:ascii="宋体" w:hAnsi="宋体"/>
          <w:bCs/>
        </w:rPr>
        <w:t>15</w:t>
      </w:r>
      <w:r>
        <w:rPr>
          <w:rFonts w:ascii="宋体" w:hAnsi="宋体"/>
          <w:bCs/>
        </w:rPr>
        <w:t>中第</w:t>
      </w:r>
      <w:r>
        <w:rPr>
          <w:rFonts w:hint="eastAsia" w:ascii="宋体" w:hAnsi="宋体"/>
          <w:bCs/>
        </w:rPr>
        <w:t>7</w:t>
      </w:r>
      <w:r>
        <w:rPr>
          <w:rFonts w:ascii="宋体" w:hAnsi="宋体"/>
          <w:bCs/>
        </w:rPr>
        <w:t>章的要求。</w:t>
      </w:r>
    </w:p>
    <w:p>
      <w:pPr>
        <w:ind w:firstLine="411" w:firstLineChars="196"/>
        <w:rPr>
          <w:rFonts w:ascii="宋体" w:hAnsi="宋体"/>
          <w:bCs/>
        </w:rPr>
      </w:pPr>
      <w:r>
        <w:rPr>
          <w:rFonts w:ascii="宋体" w:hAnsi="宋体"/>
          <w:bCs/>
        </w:rPr>
        <w:t xml:space="preserve">5.3 </w:t>
      </w:r>
      <w:r>
        <w:rPr>
          <w:rFonts w:hint="eastAsia" w:ascii="宋体" w:hAnsi="宋体"/>
          <w:bCs/>
        </w:rPr>
        <w:t>电气间隙和爬电距离</w:t>
      </w:r>
    </w:p>
    <w:p>
      <w:pPr>
        <w:ind w:firstLine="411" w:firstLineChars="196"/>
        <w:rPr>
          <w:rFonts w:ascii="宋体" w:hAnsi="宋体"/>
          <w:bCs/>
        </w:rPr>
      </w:pPr>
      <w:r>
        <w:rPr>
          <w:rFonts w:ascii="宋体" w:hAnsi="宋体"/>
          <w:bCs/>
        </w:rPr>
        <w:t>充电机的电气间隙和爬电距离应符合表2的规定。</w:t>
      </w:r>
    </w:p>
    <w:p>
      <w:pPr>
        <w:pStyle w:val="32"/>
        <w:rPr>
          <w:rFonts w:ascii="宋体" w:hAnsi="宋体" w:eastAsia="宋体"/>
          <w:sz w:val="24"/>
          <w:szCs w:val="24"/>
        </w:rPr>
      </w:pPr>
      <w:r>
        <w:rPr>
          <w:rFonts w:ascii="宋体" w:hAnsi="宋体" w:eastAsia="宋体"/>
          <w:sz w:val="24"/>
          <w:szCs w:val="24"/>
        </w:rPr>
        <w:t>表2  电气间隙和爬电距离</w:t>
      </w:r>
    </w:p>
    <w:tbl>
      <w:tblPr>
        <w:tblStyle w:val="16"/>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185"/>
        <w:gridCol w:w="2893"/>
        <w:gridCol w:w="30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3185" w:type="dxa"/>
            <w:tcBorders>
              <w:top w:val="single" w:color="auto" w:sz="8" w:space="0"/>
              <w:bottom w:val="single" w:color="auto" w:sz="8" w:space="0"/>
            </w:tcBorders>
            <w:vAlign w:val="center"/>
          </w:tcPr>
          <w:p>
            <w:pPr>
              <w:jc w:val="center"/>
              <w:rPr>
                <w:rFonts w:ascii="宋体" w:hAnsi="宋体"/>
                <w:kern w:val="0"/>
              </w:rPr>
            </w:pPr>
            <w:r>
              <w:rPr>
                <w:rFonts w:ascii="宋体" w:hAnsi="宋体"/>
                <w:kern w:val="0"/>
              </w:rPr>
              <w:t>额定绝缘电压Ui（V）</w:t>
            </w:r>
          </w:p>
        </w:tc>
        <w:tc>
          <w:tcPr>
            <w:tcW w:w="2893" w:type="dxa"/>
            <w:tcBorders>
              <w:top w:val="single" w:color="auto" w:sz="8" w:space="0"/>
              <w:bottom w:val="single" w:color="auto" w:sz="8" w:space="0"/>
            </w:tcBorders>
            <w:vAlign w:val="center"/>
          </w:tcPr>
          <w:p>
            <w:pPr>
              <w:jc w:val="center"/>
              <w:rPr>
                <w:rFonts w:ascii="宋体" w:hAnsi="宋体"/>
                <w:kern w:val="0"/>
              </w:rPr>
            </w:pPr>
            <w:r>
              <w:rPr>
                <w:rFonts w:ascii="宋体" w:hAnsi="宋体"/>
                <w:kern w:val="0"/>
              </w:rPr>
              <w:t>电气间隙（mm）</w:t>
            </w:r>
          </w:p>
        </w:tc>
        <w:tc>
          <w:tcPr>
            <w:tcW w:w="3040" w:type="dxa"/>
            <w:tcBorders>
              <w:top w:val="single" w:color="auto" w:sz="8" w:space="0"/>
              <w:bottom w:val="single" w:color="auto" w:sz="8" w:space="0"/>
            </w:tcBorders>
            <w:vAlign w:val="center"/>
          </w:tcPr>
          <w:p>
            <w:pPr>
              <w:jc w:val="center"/>
              <w:rPr>
                <w:rFonts w:ascii="宋体" w:hAnsi="宋体"/>
                <w:kern w:val="0"/>
              </w:rPr>
            </w:pPr>
            <w:r>
              <w:rPr>
                <w:rFonts w:ascii="宋体" w:hAnsi="宋体"/>
                <w:kern w:val="0"/>
              </w:rPr>
              <w:t>爬电距离（mm）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3185" w:type="dxa"/>
            <w:tcBorders>
              <w:top w:val="single" w:color="auto" w:sz="8" w:space="0"/>
              <w:bottom w:val="single" w:color="auto" w:sz="8" w:space="0"/>
            </w:tcBorders>
            <w:vAlign w:val="center"/>
          </w:tcPr>
          <w:p>
            <w:pPr>
              <w:jc w:val="center"/>
              <w:rPr>
                <w:rFonts w:ascii="宋体" w:hAnsi="宋体"/>
              </w:rPr>
            </w:pPr>
            <w:r>
              <w:rPr>
                <w:rFonts w:ascii="宋体" w:hAnsi="宋体"/>
                <w:i/>
              </w:rPr>
              <w:t>Ui</w:t>
            </w:r>
            <w:r>
              <w:rPr>
                <w:rFonts w:ascii="宋体" w:hAnsi="宋体"/>
              </w:rPr>
              <w:t>≤60</w:t>
            </w:r>
          </w:p>
        </w:tc>
        <w:tc>
          <w:tcPr>
            <w:tcW w:w="2893" w:type="dxa"/>
            <w:tcBorders>
              <w:top w:val="single" w:color="auto" w:sz="8" w:space="0"/>
              <w:bottom w:val="single" w:color="auto" w:sz="8" w:space="0"/>
            </w:tcBorders>
            <w:vAlign w:val="center"/>
          </w:tcPr>
          <w:p>
            <w:pPr>
              <w:jc w:val="center"/>
              <w:rPr>
                <w:rFonts w:ascii="宋体" w:hAnsi="宋体"/>
              </w:rPr>
            </w:pPr>
            <w:r>
              <w:rPr>
                <w:rFonts w:ascii="宋体" w:hAnsi="宋体"/>
              </w:rPr>
              <w:t>3</w:t>
            </w:r>
            <w:r>
              <w:rPr>
                <w:rFonts w:hint="eastAsia" w:ascii="宋体" w:hAnsi="宋体"/>
              </w:rPr>
              <w:t>.0</w:t>
            </w:r>
          </w:p>
        </w:tc>
        <w:tc>
          <w:tcPr>
            <w:tcW w:w="3040" w:type="dxa"/>
            <w:tcBorders>
              <w:top w:val="single" w:color="auto" w:sz="8" w:space="0"/>
              <w:bottom w:val="single" w:color="auto" w:sz="8" w:space="0"/>
            </w:tcBorders>
            <w:vAlign w:val="center"/>
          </w:tcPr>
          <w:p>
            <w:pPr>
              <w:jc w:val="center"/>
              <w:rPr>
                <w:rFonts w:ascii="宋体" w:hAnsi="宋体"/>
              </w:rPr>
            </w:pPr>
            <w:r>
              <w:rPr>
                <w:rFonts w:ascii="宋体" w:hAnsi="宋体"/>
              </w:rPr>
              <w:t>3</w:t>
            </w:r>
            <w:r>
              <w:rPr>
                <w:rFonts w:hint="eastAsia" w:ascii="宋体" w:hAnsi="宋体"/>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3185" w:type="dxa"/>
            <w:tcBorders>
              <w:top w:val="single" w:color="auto" w:sz="8" w:space="0"/>
              <w:bottom w:val="single" w:color="auto" w:sz="8" w:space="0"/>
            </w:tcBorders>
            <w:vAlign w:val="center"/>
          </w:tcPr>
          <w:p>
            <w:pPr>
              <w:jc w:val="center"/>
              <w:rPr>
                <w:rFonts w:ascii="宋体" w:hAnsi="宋体"/>
              </w:rPr>
            </w:pPr>
            <w:r>
              <w:rPr>
                <w:rFonts w:ascii="宋体" w:hAnsi="宋体"/>
              </w:rPr>
              <w:t>60＜</w:t>
            </w:r>
            <w:r>
              <w:rPr>
                <w:rFonts w:ascii="宋体" w:hAnsi="宋体"/>
                <w:i/>
              </w:rPr>
              <w:t>Ui</w:t>
            </w:r>
            <w:r>
              <w:rPr>
                <w:rFonts w:ascii="宋体" w:hAnsi="宋体"/>
              </w:rPr>
              <w:t>≤300</w:t>
            </w:r>
          </w:p>
        </w:tc>
        <w:tc>
          <w:tcPr>
            <w:tcW w:w="2893" w:type="dxa"/>
            <w:tcBorders>
              <w:top w:val="single" w:color="auto" w:sz="8" w:space="0"/>
              <w:bottom w:val="single" w:color="auto" w:sz="8" w:space="0"/>
            </w:tcBorders>
            <w:vAlign w:val="center"/>
          </w:tcPr>
          <w:p>
            <w:pPr>
              <w:jc w:val="center"/>
              <w:rPr>
                <w:rFonts w:ascii="宋体" w:hAnsi="宋体"/>
              </w:rPr>
            </w:pPr>
            <w:r>
              <w:rPr>
                <w:rFonts w:ascii="宋体" w:hAnsi="宋体"/>
              </w:rPr>
              <w:t>5</w:t>
            </w:r>
            <w:r>
              <w:rPr>
                <w:rFonts w:hint="eastAsia" w:ascii="宋体" w:hAnsi="宋体"/>
              </w:rPr>
              <w:t>.0</w:t>
            </w:r>
          </w:p>
        </w:tc>
        <w:tc>
          <w:tcPr>
            <w:tcW w:w="3040" w:type="dxa"/>
            <w:tcBorders>
              <w:top w:val="single" w:color="auto" w:sz="8" w:space="0"/>
              <w:bottom w:val="single" w:color="auto" w:sz="8" w:space="0"/>
            </w:tcBorders>
            <w:vAlign w:val="center"/>
          </w:tcPr>
          <w:p>
            <w:pPr>
              <w:jc w:val="center"/>
              <w:rPr>
                <w:rFonts w:ascii="宋体" w:hAnsi="宋体"/>
              </w:rPr>
            </w:pPr>
            <w:r>
              <w:rPr>
                <w:rFonts w:ascii="宋体" w:hAnsi="宋体"/>
              </w:rPr>
              <w:t>6</w:t>
            </w:r>
            <w:r>
              <w:rPr>
                <w:rFonts w:hint="eastAsia" w:ascii="宋体" w:hAnsi="宋体"/>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3185" w:type="dxa"/>
            <w:tcBorders>
              <w:top w:val="single" w:color="auto" w:sz="8" w:space="0"/>
              <w:bottom w:val="single" w:color="auto" w:sz="8" w:space="0"/>
            </w:tcBorders>
            <w:vAlign w:val="center"/>
          </w:tcPr>
          <w:p>
            <w:pPr>
              <w:jc w:val="center"/>
              <w:rPr>
                <w:rFonts w:ascii="宋体" w:hAnsi="宋体"/>
              </w:rPr>
            </w:pPr>
            <w:r>
              <w:rPr>
                <w:rFonts w:ascii="宋体" w:hAnsi="宋体"/>
              </w:rPr>
              <w:t>300＜</w:t>
            </w:r>
            <w:r>
              <w:rPr>
                <w:rFonts w:ascii="宋体" w:hAnsi="宋体"/>
                <w:i/>
              </w:rPr>
              <w:t>Ui</w:t>
            </w:r>
            <w:r>
              <w:rPr>
                <w:rFonts w:ascii="宋体" w:hAnsi="宋体"/>
              </w:rPr>
              <w:t>≤700</w:t>
            </w:r>
          </w:p>
        </w:tc>
        <w:tc>
          <w:tcPr>
            <w:tcW w:w="2893" w:type="dxa"/>
            <w:tcBorders>
              <w:top w:val="single" w:color="auto" w:sz="8" w:space="0"/>
              <w:bottom w:val="single" w:color="auto" w:sz="8" w:space="0"/>
            </w:tcBorders>
            <w:vAlign w:val="center"/>
          </w:tcPr>
          <w:p>
            <w:pPr>
              <w:jc w:val="center"/>
              <w:rPr>
                <w:rFonts w:ascii="宋体" w:hAnsi="宋体"/>
              </w:rPr>
            </w:pPr>
            <w:r>
              <w:rPr>
                <w:rFonts w:ascii="宋体" w:hAnsi="宋体"/>
              </w:rPr>
              <w:t>8</w:t>
            </w:r>
            <w:r>
              <w:rPr>
                <w:rFonts w:hint="eastAsia" w:ascii="宋体" w:hAnsi="宋体"/>
              </w:rPr>
              <w:t>.0</w:t>
            </w:r>
          </w:p>
        </w:tc>
        <w:tc>
          <w:tcPr>
            <w:tcW w:w="3040" w:type="dxa"/>
            <w:tcBorders>
              <w:top w:val="single" w:color="auto" w:sz="8" w:space="0"/>
              <w:bottom w:val="single" w:color="auto" w:sz="8" w:space="0"/>
            </w:tcBorders>
            <w:vAlign w:val="center"/>
          </w:tcPr>
          <w:p>
            <w:pPr>
              <w:jc w:val="center"/>
              <w:rPr>
                <w:rFonts w:ascii="宋体" w:hAnsi="宋体"/>
              </w:rPr>
            </w:pPr>
            <w:r>
              <w:rPr>
                <w:rFonts w:ascii="宋体" w:hAnsi="宋体"/>
              </w:rPr>
              <w:t>10</w:t>
            </w:r>
            <w:r>
              <w:rPr>
                <w:rFonts w:hint="eastAsia" w:ascii="宋体" w:hAnsi="宋体"/>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9118" w:type="dxa"/>
            <w:gridSpan w:val="3"/>
            <w:tcBorders>
              <w:top w:val="single" w:color="auto" w:sz="8" w:space="0"/>
              <w:bottom w:val="single" w:color="auto" w:sz="8" w:space="0"/>
            </w:tcBorders>
            <w:vAlign w:val="center"/>
          </w:tcPr>
          <w:p>
            <w:pPr>
              <w:jc w:val="left"/>
              <w:rPr>
                <w:rFonts w:ascii="宋体" w:hAnsi="宋体"/>
              </w:rPr>
            </w:pPr>
            <w:r>
              <w:rPr>
                <w:rFonts w:ascii="宋体" w:hAnsi="宋体"/>
              </w:rPr>
              <w:t>注1：当主电路与控制电路或辅助电路的额定绝缘电压不一致时，其电气间隙和爬电距离可分别按其额定值选取。</w:t>
            </w:r>
          </w:p>
          <w:p>
            <w:pPr>
              <w:jc w:val="left"/>
              <w:rPr>
                <w:rFonts w:ascii="宋体" w:hAnsi="宋体"/>
              </w:rPr>
            </w:pPr>
            <w:r>
              <w:rPr>
                <w:rFonts w:ascii="宋体" w:hAnsi="宋体"/>
              </w:rPr>
              <w:t>注2：具有不同额定值主电路或控制电路导电部分之间的电气间隙与爬电距离，应按最高额定绝缘电压选取。</w:t>
            </w:r>
          </w:p>
          <w:p>
            <w:pPr>
              <w:jc w:val="left"/>
              <w:rPr>
                <w:rFonts w:ascii="宋体" w:hAnsi="宋体"/>
              </w:rPr>
            </w:pPr>
            <w:r>
              <w:rPr>
                <w:rFonts w:hint="eastAsia" w:ascii="宋体" w:hAnsi="宋体"/>
              </w:rPr>
              <w:t>注3：小母线、汇流排或不同级的裸露的带电导体之间，以及裸露的带电导体与未经绝缘的不带电导体之间的电气间隙不小于12mm，爬电距离不小于20mm。</w:t>
            </w:r>
          </w:p>
        </w:tc>
      </w:tr>
    </w:tbl>
    <w:p>
      <w:pPr>
        <w:ind w:firstLine="411" w:firstLineChars="196"/>
        <w:rPr>
          <w:rFonts w:ascii="宋体" w:hAnsi="宋体"/>
          <w:bCs/>
        </w:rPr>
      </w:pPr>
    </w:p>
    <w:p>
      <w:pPr>
        <w:ind w:firstLine="411" w:firstLineChars="196"/>
        <w:rPr>
          <w:rFonts w:ascii="宋体" w:hAnsi="宋体"/>
          <w:bCs/>
        </w:rPr>
      </w:pPr>
      <w:r>
        <w:rPr>
          <w:rFonts w:ascii="宋体" w:hAnsi="宋体"/>
          <w:bCs/>
        </w:rPr>
        <w:t xml:space="preserve">5.4 </w:t>
      </w:r>
      <w:r>
        <w:rPr>
          <w:rFonts w:hint="eastAsia" w:ascii="宋体" w:hAnsi="宋体"/>
          <w:bCs/>
        </w:rPr>
        <w:t>接地要求</w:t>
      </w:r>
    </w:p>
    <w:p>
      <w:pPr>
        <w:ind w:firstLine="411" w:firstLineChars="196"/>
        <w:rPr>
          <w:rFonts w:ascii="宋体" w:hAnsi="宋体"/>
          <w:bCs/>
        </w:rPr>
      </w:pPr>
      <w:r>
        <w:rPr>
          <w:rFonts w:hint="eastAsia" w:ascii="宋体" w:hAnsi="宋体"/>
          <w:bCs/>
        </w:rPr>
        <w:t>充电机的接地要求应能满足以下的规定：</w:t>
      </w:r>
    </w:p>
    <w:p>
      <w:pPr>
        <w:ind w:firstLine="411" w:firstLineChars="196"/>
        <w:rPr>
          <w:rFonts w:ascii="宋体" w:hAnsi="宋体"/>
          <w:bCs/>
        </w:rPr>
      </w:pPr>
      <w:r>
        <w:rPr>
          <w:rFonts w:hint="eastAsia" w:ascii="宋体" w:hAnsi="宋体"/>
          <w:bCs/>
        </w:rPr>
        <w:t>a)</w:t>
      </w:r>
      <w:r>
        <w:rPr>
          <w:rFonts w:hint="eastAsia" w:ascii="宋体" w:hAnsi="宋体"/>
          <w:bCs/>
        </w:rPr>
        <w:tab/>
      </w:r>
      <w:r>
        <w:rPr>
          <w:rFonts w:hint="eastAsia" w:ascii="宋体" w:hAnsi="宋体"/>
          <w:bCs/>
        </w:rPr>
        <w:t>充电机金属壳体应设置接地螺栓，其直径不得小于6mm，并应有接地标志。</w:t>
      </w:r>
    </w:p>
    <w:p>
      <w:pPr>
        <w:ind w:firstLine="411" w:firstLineChars="196"/>
        <w:rPr>
          <w:rFonts w:ascii="宋体" w:hAnsi="宋体"/>
          <w:bCs/>
        </w:rPr>
      </w:pPr>
      <w:r>
        <w:rPr>
          <w:rFonts w:hint="eastAsia" w:ascii="宋体" w:hAnsi="宋体"/>
          <w:bCs/>
        </w:rPr>
        <w:t>b)</w:t>
      </w:r>
      <w:r>
        <w:rPr>
          <w:rFonts w:hint="eastAsia" w:ascii="宋体" w:hAnsi="宋体"/>
          <w:bCs/>
        </w:rPr>
        <w:tab/>
      </w:r>
      <w:r>
        <w:rPr>
          <w:rFonts w:hint="eastAsia" w:ascii="宋体" w:hAnsi="宋体"/>
          <w:bCs/>
        </w:rPr>
        <w:t>所有作为隔离带电导体的金属隔板、电气元件的金属外壳以及金属手柄等均应有效接地，连续性电阻不应大于0.1Ω。</w:t>
      </w:r>
    </w:p>
    <w:p>
      <w:pPr>
        <w:ind w:firstLine="411" w:firstLineChars="196"/>
        <w:rPr>
          <w:rFonts w:ascii="宋体" w:hAnsi="宋体"/>
          <w:bCs/>
        </w:rPr>
      </w:pPr>
      <w:r>
        <w:rPr>
          <w:rFonts w:hint="eastAsia" w:ascii="宋体" w:hAnsi="宋体"/>
          <w:bCs/>
        </w:rPr>
        <w:t>c)</w:t>
      </w:r>
      <w:r>
        <w:rPr>
          <w:rFonts w:hint="eastAsia" w:ascii="宋体" w:hAnsi="宋体"/>
          <w:bCs/>
        </w:rPr>
        <w:tab/>
      </w:r>
      <w:r>
        <w:rPr>
          <w:rFonts w:hint="eastAsia" w:ascii="宋体" w:hAnsi="宋体"/>
          <w:bCs/>
        </w:rPr>
        <w:t>充电机的门、盖板、覆板和类似部件，应采用保护导体将这些部件和充电机主体框架连接，此保护导体的截面积不得小于2.5mm</w:t>
      </w:r>
      <w:r>
        <w:rPr>
          <w:rFonts w:ascii="宋体" w:hAnsi="宋体"/>
          <w:bCs/>
          <w:vertAlign w:val="superscript"/>
        </w:rPr>
        <w:t>2</w:t>
      </w:r>
      <w:r>
        <w:rPr>
          <w:rFonts w:hint="eastAsia" w:ascii="宋体" w:hAnsi="宋体"/>
          <w:bCs/>
        </w:rPr>
        <w:t>。</w:t>
      </w:r>
    </w:p>
    <w:p>
      <w:pPr>
        <w:ind w:firstLine="411" w:firstLineChars="196"/>
        <w:rPr>
          <w:rFonts w:ascii="宋体" w:hAnsi="宋体"/>
          <w:bCs/>
        </w:rPr>
      </w:pPr>
      <w:r>
        <w:rPr>
          <w:rFonts w:hint="eastAsia" w:ascii="宋体" w:hAnsi="宋体"/>
          <w:bCs/>
        </w:rPr>
        <w:t>d)</w:t>
      </w:r>
      <w:r>
        <w:rPr>
          <w:rFonts w:hint="eastAsia" w:ascii="宋体" w:hAnsi="宋体"/>
          <w:bCs/>
        </w:rPr>
        <w:tab/>
      </w:r>
      <w:r>
        <w:rPr>
          <w:rFonts w:hint="eastAsia" w:ascii="宋体" w:hAnsi="宋体"/>
          <w:bCs/>
        </w:rPr>
        <w:t>接地母线和柜体之间的所有连接应躲开（或穿透绝缘层）喷漆层，以保证有效的电气连接。</w:t>
      </w:r>
    </w:p>
    <w:p>
      <w:pPr>
        <w:outlineLvl w:val="2"/>
        <w:rPr>
          <w:rFonts w:ascii="宋体" w:hAnsi="宋体"/>
          <w:b/>
          <w:bCs/>
        </w:rPr>
      </w:pPr>
      <w:bookmarkStart w:id="477" w:name="_Toc142752170"/>
      <w:r>
        <w:rPr>
          <w:rFonts w:ascii="宋体" w:hAnsi="宋体"/>
          <w:b/>
          <w:bCs/>
        </w:rPr>
        <w:t>6</w:t>
      </w:r>
      <w:r>
        <w:rPr>
          <w:rFonts w:hint="eastAsia" w:ascii="宋体" w:hAnsi="宋体"/>
          <w:b/>
          <w:bCs/>
        </w:rPr>
        <w:t>、</w:t>
      </w:r>
      <w:r>
        <w:rPr>
          <w:rFonts w:ascii="宋体" w:hAnsi="宋体"/>
          <w:b/>
          <w:bCs/>
        </w:rPr>
        <w:t>绝缘性能</w:t>
      </w:r>
      <w:bookmarkEnd w:id="477"/>
    </w:p>
    <w:p>
      <w:pPr>
        <w:ind w:firstLine="411" w:firstLineChars="196"/>
        <w:rPr>
          <w:rFonts w:ascii="宋体" w:hAnsi="宋体"/>
          <w:bCs/>
        </w:rPr>
      </w:pPr>
      <w:r>
        <w:rPr>
          <w:rFonts w:ascii="宋体" w:hAnsi="宋体"/>
          <w:bCs/>
        </w:rPr>
        <w:t xml:space="preserve">6.1 </w:t>
      </w:r>
      <w:r>
        <w:rPr>
          <w:rFonts w:hint="eastAsia" w:ascii="宋体" w:hAnsi="宋体"/>
          <w:bCs/>
        </w:rPr>
        <w:t>绝缘电阻</w:t>
      </w:r>
    </w:p>
    <w:p>
      <w:pPr>
        <w:ind w:firstLine="411" w:firstLineChars="196"/>
        <w:rPr>
          <w:rFonts w:ascii="宋体" w:hAnsi="宋体"/>
          <w:bCs/>
        </w:rPr>
      </w:pPr>
      <w:r>
        <w:rPr>
          <w:rFonts w:hint="eastAsia" w:ascii="宋体" w:hAnsi="宋体"/>
          <w:bCs/>
        </w:rPr>
        <w:t>用开路电压为表3规定电压的测试仪器测量，充电机非电气连接的各带电回路之间、各独立带电回路与地（金属外壳）之间绝缘电阻不应小于10MΩ。</w:t>
      </w:r>
    </w:p>
    <w:p>
      <w:pPr>
        <w:ind w:firstLine="411" w:firstLineChars="196"/>
        <w:rPr>
          <w:rFonts w:ascii="宋体" w:hAnsi="宋体"/>
          <w:bCs/>
        </w:rPr>
      </w:pPr>
      <w:r>
        <w:rPr>
          <w:rFonts w:ascii="宋体" w:hAnsi="宋体"/>
          <w:bCs/>
        </w:rPr>
        <w:t>6</w:t>
      </w:r>
      <w:r>
        <w:rPr>
          <w:rFonts w:hint="eastAsia" w:ascii="宋体" w:hAnsi="宋体"/>
          <w:bCs/>
        </w:rPr>
        <w:t>.2</w:t>
      </w:r>
      <w:r>
        <w:rPr>
          <w:rFonts w:ascii="宋体" w:hAnsi="宋体"/>
          <w:bCs/>
        </w:rPr>
        <w:t xml:space="preserve"> </w:t>
      </w:r>
      <w:r>
        <w:rPr>
          <w:rFonts w:hint="eastAsia" w:ascii="宋体" w:hAnsi="宋体"/>
          <w:bCs/>
        </w:rPr>
        <w:t>工频耐压</w:t>
      </w:r>
    </w:p>
    <w:p>
      <w:pPr>
        <w:ind w:firstLine="411" w:firstLineChars="196"/>
        <w:rPr>
          <w:rFonts w:ascii="宋体" w:hAnsi="宋体"/>
          <w:bCs/>
        </w:rPr>
      </w:pPr>
      <w:r>
        <w:rPr>
          <w:rFonts w:hint="eastAsia" w:ascii="宋体" w:hAnsi="宋体"/>
          <w:bCs/>
        </w:rPr>
        <w:t>充电机非电气连接的各带电回路之间、各独立带电回路与地（金属外壳）之间，按其工作电压应能承受表3所规定历时1 min的工频耐压试验（也可采用直流电压，试验电压为交流电压有效值的1.4倍）。试验过程中应无绝缘击穿和闪络现象。</w:t>
      </w:r>
    </w:p>
    <w:p>
      <w:pPr>
        <w:ind w:firstLine="411" w:firstLineChars="196"/>
        <w:rPr>
          <w:rFonts w:ascii="宋体" w:hAnsi="宋体"/>
          <w:bCs/>
        </w:rPr>
      </w:pPr>
      <w:r>
        <w:rPr>
          <w:rFonts w:ascii="宋体" w:hAnsi="宋体"/>
          <w:bCs/>
        </w:rPr>
        <w:t>6</w:t>
      </w:r>
      <w:r>
        <w:rPr>
          <w:rFonts w:hint="eastAsia" w:ascii="宋体" w:hAnsi="宋体"/>
          <w:bCs/>
        </w:rPr>
        <w:t>.3</w:t>
      </w:r>
      <w:r>
        <w:rPr>
          <w:rFonts w:ascii="宋体" w:hAnsi="宋体"/>
          <w:bCs/>
        </w:rPr>
        <w:t xml:space="preserve"> </w:t>
      </w:r>
      <w:r>
        <w:rPr>
          <w:rFonts w:hint="eastAsia" w:ascii="宋体" w:hAnsi="宋体"/>
          <w:bCs/>
        </w:rPr>
        <w:t>冲击电压</w:t>
      </w:r>
    </w:p>
    <w:p>
      <w:pPr>
        <w:ind w:firstLine="411" w:firstLineChars="196"/>
        <w:rPr>
          <w:rFonts w:ascii="宋体" w:hAnsi="宋体"/>
          <w:bCs/>
        </w:rPr>
      </w:pPr>
      <w:r>
        <w:rPr>
          <w:rFonts w:hint="eastAsia" w:ascii="宋体" w:hAnsi="宋体"/>
          <w:bCs/>
        </w:rPr>
        <w:t>充电机各带电回路、各带电电路对地（金属外壳）之间，按其工作电压应能承受表3所规定标准雷电波的短时冲击电压试验。试验过程中应无击穿放电。</w:t>
      </w:r>
    </w:p>
    <w:p>
      <w:pPr>
        <w:pStyle w:val="32"/>
        <w:rPr>
          <w:rFonts w:ascii="宋体" w:hAnsi="宋体" w:eastAsia="宋体"/>
          <w:sz w:val="24"/>
          <w:szCs w:val="24"/>
        </w:rPr>
      </w:pPr>
      <w:r>
        <w:rPr>
          <w:rFonts w:hint="eastAsia" w:ascii="宋体" w:hAnsi="宋体" w:eastAsia="宋体"/>
          <w:sz w:val="24"/>
          <w:szCs w:val="24"/>
        </w:rPr>
        <w:t>表3  绝缘试验的试验等级</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231"/>
        <w:gridCol w:w="2652"/>
        <w:gridCol w:w="2157"/>
        <w:gridCol w:w="1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1" w:hRule="atLeast"/>
          <w:jc w:val="center"/>
        </w:trPr>
        <w:tc>
          <w:tcPr>
            <w:tcW w:w="2231" w:type="dxa"/>
            <w:vAlign w:val="center"/>
          </w:tcPr>
          <w:p>
            <w:pPr>
              <w:autoSpaceDE w:val="0"/>
              <w:autoSpaceDN w:val="0"/>
              <w:adjustRightInd w:val="0"/>
              <w:jc w:val="center"/>
              <w:rPr>
                <w:rFonts w:ascii="宋体" w:hAnsi="宋体"/>
                <w:kern w:val="0"/>
              </w:rPr>
            </w:pPr>
            <w:r>
              <w:rPr>
                <w:rFonts w:ascii="宋体" w:hAnsi="宋体"/>
                <w:kern w:val="0"/>
              </w:rPr>
              <w:t>额定绝缘电压Ui（V）</w:t>
            </w:r>
          </w:p>
        </w:tc>
        <w:tc>
          <w:tcPr>
            <w:tcW w:w="2652" w:type="dxa"/>
            <w:vAlign w:val="center"/>
          </w:tcPr>
          <w:p>
            <w:pPr>
              <w:autoSpaceDE w:val="0"/>
              <w:autoSpaceDN w:val="0"/>
              <w:adjustRightInd w:val="0"/>
              <w:jc w:val="center"/>
              <w:rPr>
                <w:rFonts w:ascii="宋体" w:hAnsi="宋体"/>
                <w:kern w:val="0"/>
              </w:rPr>
            </w:pPr>
            <w:r>
              <w:rPr>
                <w:rFonts w:ascii="宋体" w:hAnsi="宋体"/>
                <w:kern w:val="0"/>
              </w:rPr>
              <w:t>绝缘电阻测试仪器的电压等级（V）</w:t>
            </w:r>
          </w:p>
        </w:tc>
        <w:tc>
          <w:tcPr>
            <w:tcW w:w="2157" w:type="dxa"/>
            <w:vAlign w:val="center"/>
          </w:tcPr>
          <w:p>
            <w:pPr>
              <w:autoSpaceDE w:val="0"/>
              <w:autoSpaceDN w:val="0"/>
              <w:adjustRightInd w:val="0"/>
              <w:jc w:val="center"/>
              <w:rPr>
                <w:rFonts w:ascii="宋体" w:hAnsi="宋体"/>
                <w:kern w:val="0"/>
              </w:rPr>
            </w:pPr>
            <w:r>
              <w:rPr>
                <w:rFonts w:ascii="宋体" w:hAnsi="宋体"/>
                <w:kern w:val="0"/>
              </w:rPr>
              <w:t>工频耐压试验电压（kV）</w:t>
            </w:r>
          </w:p>
        </w:tc>
        <w:tc>
          <w:tcPr>
            <w:tcW w:w="1956" w:type="dxa"/>
            <w:vAlign w:val="center"/>
          </w:tcPr>
          <w:p>
            <w:pPr>
              <w:autoSpaceDE w:val="0"/>
              <w:autoSpaceDN w:val="0"/>
              <w:adjustRightInd w:val="0"/>
              <w:jc w:val="center"/>
              <w:rPr>
                <w:rFonts w:ascii="宋体" w:hAnsi="宋体"/>
                <w:kern w:val="0"/>
              </w:rPr>
            </w:pPr>
            <w:r>
              <w:rPr>
                <w:rFonts w:ascii="宋体" w:hAnsi="宋体"/>
                <w:kern w:val="0"/>
              </w:rPr>
              <w:t>冲击耐压试验电压（kV）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2231" w:type="dxa"/>
            <w:vAlign w:val="center"/>
          </w:tcPr>
          <w:p>
            <w:pPr>
              <w:autoSpaceDE w:val="0"/>
              <w:autoSpaceDN w:val="0"/>
              <w:adjustRightInd w:val="0"/>
              <w:snapToGrid w:val="0"/>
              <w:jc w:val="center"/>
              <w:rPr>
                <w:rFonts w:ascii="宋体" w:hAnsi="宋体"/>
              </w:rPr>
            </w:pPr>
            <w:r>
              <w:rPr>
                <w:rFonts w:hint="eastAsia" w:ascii="宋体" w:hAnsi="宋体"/>
              </w:rPr>
              <w:t>≤ 60</w:t>
            </w:r>
          </w:p>
        </w:tc>
        <w:tc>
          <w:tcPr>
            <w:tcW w:w="2652" w:type="dxa"/>
            <w:vAlign w:val="center"/>
          </w:tcPr>
          <w:p>
            <w:pPr>
              <w:autoSpaceDE w:val="0"/>
              <w:autoSpaceDN w:val="0"/>
              <w:adjustRightInd w:val="0"/>
              <w:snapToGrid w:val="0"/>
              <w:jc w:val="center"/>
              <w:rPr>
                <w:rFonts w:ascii="宋体" w:hAnsi="宋体"/>
              </w:rPr>
            </w:pPr>
            <w:r>
              <w:rPr>
                <w:rFonts w:hint="eastAsia" w:ascii="宋体" w:hAnsi="宋体"/>
              </w:rPr>
              <w:t>250</w:t>
            </w:r>
          </w:p>
        </w:tc>
        <w:tc>
          <w:tcPr>
            <w:tcW w:w="2157" w:type="dxa"/>
            <w:vAlign w:val="center"/>
          </w:tcPr>
          <w:p>
            <w:pPr>
              <w:autoSpaceDE w:val="0"/>
              <w:autoSpaceDN w:val="0"/>
              <w:adjustRightInd w:val="0"/>
              <w:snapToGrid w:val="0"/>
              <w:jc w:val="center"/>
              <w:rPr>
                <w:rFonts w:ascii="宋体" w:hAnsi="宋体"/>
              </w:rPr>
            </w:pPr>
            <w:r>
              <w:rPr>
                <w:rFonts w:hint="eastAsia" w:ascii="宋体" w:hAnsi="宋体"/>
              </w:rPr>
              <w:t>1.0(1.4)</w:t>
            </w:r>
          </w:p>
        </w:tc>
        <w:tc>
          <w:tcPr>
            <w:tcW w:w="1956" w:type="dxa"/>
            <w:vAlign w:val="center"/>
          </w:tcPr>
          <w:p>
            <w:pPr>
              <w:autoSpaceDE w:val="0"/>
              <w:autoSpaceDN w:val="0"/>
              <w:adjustRightInd w:val="0"/>
              <w:snapToGrid w:val="0"/>
              <w:jc w:val="center"/>
              <w:rPr>
                <w:rFonts w:ascii="宋体" w:hAnsi="宋体"/>
              </w:rPr>
            </w:pPr>
            <w:r>
              <w:rPr>
                <w:rFonts w:hint="eastAsia" w:ascii="宋体" w:hAnsi="宋体"/>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1" w:type="dxa"/>
            <w:vAlign w:val="center"/>
          </w:tcPr>
          <w:p>
            <w:pPr>
              <w:autoSpaceDE w:val="0"/>
              <w:autoSpaceDN w:val="0"/>
              <w:adjustRightInd w:val="0"/>
              <w:snapToGrid w:val="0"/>
              <w:jc w:val="center"/>
              <w:rPr>
                <w:rFonts w:ascii="宋体" w:hAnsi="宋体"/>
              </w:rPr>
            </w:pPr>
            <w:r>
              <w:rPr>
                <w:rFonts w:hint="eastAsia" w:ascii="宋体" w:hAnsi="宋体"/>
              </w:rPr>
              <w:t>60 ＜ U</w:t>
            </w:r>
            <w:r>
              <w:rPr>
                <w:rFonts w:hint="eastAsia" w:ascii="宋体" w:hAnsi="宋体"/>
                <w:vertAlign w:val="subscript"/>
              </w:rPr>
              <w:t xml:space="preserve">I </w:t>
            </w:r>
            <w:r>
              <w:rPr>
                <w:rFonts w:hint="eastAsia" w:ascii="宋体" w:hAnsi="宋体"/>
              </w:rPr>
              <w:t>≤ 300</w:t>
            </w:r>
          </w:p>
        </w:tc>
        <w:tc>
          <w:tcPr>
            <w:tcW w:w="2652" w:type="dxa"/>
            <w:vAlign w:val="center"/>
          </w:tcPr>
          <w:p>
            <w:pPr>
              <w:autoSpaceDE w:val="0"/>
              <w:autoSpaceDN w:val="0"/>
              <w:adjustRightInd w:val="0"/>
              <w:snapToGrid w:val="0"/>
              <w:jc w:val="center"/>
              <w:rPr>
                <w:rFonts w:ascii="宋体" w:hAnsi="宋体"/>
              </w:rPr>
            </w:pPr>
            <w:r>
              <w:rPr>
                <w:rFonts w:hint="eastAsia" w:ascii="宋体" w:hAnsi="宋体"/>
              </w:rPr>
              <w:t>500</w:t>
            </w:r>
          </w:p>
        </w:tc>
        <w:tc>
          <w:tcPr>
            <w:tcW w:w="2157" w:type="dxa"/>
            <w:vAlign w:val="center"/>
          </w:tcPr>
          <w:p>
            <w:pPr>
              <w:autoSpaceDE w:val="0"/>
              <w:autoSpaceDN w:val="0"/>
              <w:adjustRightInd w:val="0"/>
              <w:snapToGrid w:val="0"/>
              <w:jc w:val="center"/>
              <w:rPr>
                <w:rFonts w:ascii="宋体" w:hAnsi="宋体"/>
              </w:rPr>
            </w:pPr>
            <w:r>
              <w:rPr>
                <w:rFonts w:hint="eastAsia" w:ascii="宋体" w:hAnsi="宋体"/>
              </w:rPr>
              <w:t>2.0(2.8)</w:t>
            </w:r>
          </w:p>
        </w:tc>
        <w:tc>
          <w:tcPr>
            <w:tcW w:w="1956" w:type="dxa"/>
            <w:vAlign w:val="center"/>
          </w:tcPr>
          <w:p>
            <w:pPr>
              <w:autoSpaceDE w:val="0"/>
              <w:autoSpaceDN w:val="0"/>
              <w:adjustRightInd w:val="0"/>
              <w:snapToGrid w:val="0"/>
              <w:jc w:val="center"/>
              <w:rPr>
                <w:rFonts w:ascii="宋体" w:hAnsi="宋体"/>
              </w:rPr>
            </w:pPr>
            <w:r>
              <w:rPr>
                <w:rFonts w:hint="eastAsia" w:ascii="宋体" w:hAnsi="宋体"/>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1" w:type="dxa"/>
            <w:vAlign w:val="center"/>
          </w:tcPr>
          <w:p>
            <w:pPr>
              <w:autoSpaceDE w:val="0"/>
              <w:autoSpaceDN w:val="0"/>
              <w:adjustRightInd w:val="0"/>
              <w:snapToGrid w:val="0"/>
              <w:jc w:val="center"/>
              <w:rPr>
                <w:rFonts w:ascii="宋体" w:hAnsi="宋体"/>
              </w:rPr>
            </w:pPr>
            <w:r>
              <w:rPr>
                <w:rFonts w:hint="eastAsia" w:ascii="宋体" w:hAnsi="宋体"/>
              </w:rPr>
              <w:t>300 ＜ U</w:t>
            </w:r>
            <w:r>
              <w:rPr>
                <w:rFonts w:hint="eastAsia" w:ascii="宋体" w:hAnsi="宋体"/>
                <w:vertAlign w:val="subscript"/>
              </w:rPr>
              <w:t xml:space="preserve">I </w:t>
            </w:r>
            <w:r>
              <w:rPr>
                <w:rFonts w:hint="eastAsia" w:ascii="宋体" w:hAnsi="宋体"/>
              </w:rPr>
              <w:t>≤ 700</w:t>
            </w:r>
          </w:p>
        </w:tc>
        <w:tc>
          <w:tcPr>
            <w:tcW w:w="2652" w:type="dxa"/>
            <w:vAlign w:val="center"/>
          </w:tcPr>
          <w:p>
            <w:pPr>
              <w:autoSpaceDE w:val="0"/>
              <w:autoSpaceDN w:val="0"/>
              <w:adjustRightInd w:val="0"/>
              <w:snapToGrid w:val="0"/>
              <w:jc w:val="center"/>
              <w:rPr>
                <w:rFonts w:ascii="宋体" w:hAnsi="宋体"/>
              </w:rPr>
            </w:pPr>
            <w:r>
              <w:rPr>
                <w:rFonts w:hint="eastAsia" w:ascii="宋体" w:hAnsi="宋体"/>
              </w:rPr>
              <w:t>1000</w:t>
            </w:r>
          </w:p>
        </w:tc>
        <w:tc>
          <w:tcPr>
            <w:tcW w:w="2157" w:type="dxa"/>
            <w:vAlign w:val="center"/>
          </w:tcPr>
          <w:p>
            <w:pPr>
              <w:autoSpaceDE w:val="0"/>
              <w:autoSpaceDN w:val="0"/>
              <w:adjustRightInd w:val="0"/>
              <w:snapToGrid w:val="0"/>
              <w:jc w:val="center"/>
              <w:rPr>
                <w:rFonts w:ascii="宋体" w:hAnsi="宋体"/>
              </w:rPr>
            </w:pPr>
            <w:r>
              <w:rPr>
                <w:rFonts w:hint="eastAsia" w:ascii="宋体" w:hAnsi="宋体"/>
              </w:rPr>
              <w:t>2.4(3.36)</w:t>
            </w:r>
          </w:p>
        </w:tc>
        <w:tc>
          <w:tcPr>
            <w:tcW w:w="1956" w:type="dxa"/>
            <w:vAlign w:val="center"/>
          </w:tcPr>
          <w:p>
            <w:pPr>
              <w:autoSpaceDE w:val="0"/>
              <w:autoSpaceDN w:val="0"/>
              <w:adjustRightInd w:val="0"/>
              <w:snapToGrid w:val="0"/>
              <w:jc w:val="center"/>
              <w:rPr>
                <w:rFonts w:ascii="宋体" w:hAnsi="宋体"/>
              </w:rPr>
            </w:pPr>
            <w:r>
              <w:rPr>
                <w:rFonts w:hint="eastAsia" w:ascii="宋体" w:hAnsi="宋体"/>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1" w:type="dxa"/>
            <w:vAlign w:val="center"/>
          </w:tcPr>
          <w:p>
            <w:pPr>
              <w:autoSpaceDE w:val="0"/>
              <w:autoSpaceDN w:val="0"/>
              <w:adjustRightInd w:val="0"/>
              <w:snapToGrid w:val="0"/>
              <w:jc w:val="center"/>
              <w:rPr>
                <w:rFonts w:ascii="宋体" w:hAnsi="宋体"/>
              </w:rPr>
            </w:pPr>
            <w:r>
              <w:rPr>
                <w:rFonts w:hint="eastAsia" w:ascii="宋体" w:hAnsi="宋体"/>
              </w:rPr>
              <w:t>700 ＜ UI ≤ 950</w:t>
            </w:r>
          </w:p>
        </w:tc>
        <w:tc>
          <w:tcPr>
            <w:tcW w:w="2652" w:type="dxa"/>
            <w:vAlign w:val="center"/>
          </w:tcPr>
          <w:p>
            <w:pPr>
              <w:autoSpaceDE w:val="0"/>
              <w:autoSpaceDN w:val="0"/>
              <w:adjustRightInd w:val="0"/>
              <w:snapToGrid w:val="0"/>
              <w:jc w:val="center"/>
              <w:rPr>
                <w:rFonts w:ascii="宋体" w:hAnsi="宋体"/>
              </w:rPr>
            </w:pPr>
            <w:r>
              <w:rPr>
                <w:rFonts w:ascii="宋体" w:hAnsi="宋体"/>
              </w:rPr>
              <w:t>1000</w:t>
            </w:r>
          </w:p>
        </w:tc>
        <w:tc>
          <w:tcPr>
            <w:tcW w:w="2157" w:type="dxa"/>
            <w:vAlign w:val="center"/>
          </w:tcPr>
          <w:p>
            <w:pPr>
              <w:autoSpaceDE w:val="0"/>
              <w:autoSpaceDN w:val="0"/>
              <w:adjustRightInd w:val="0"/>
              <w:snapToGrid w:val="0"/>
              <w:jc w:val="center"/>
              <w:rPr>
                <w:rFonts w:ascii="宋体" w:hAnsi="宋体"/>
              </w:rPr>
            </w:pPr>
            <w:r>
              <w:rPr>
                <w:rFonts w:hint="eastAsia" w:ascii="宋体" w:hAnsi="宋体"/>
              </w:rPr>
              <w:t>2×UI +1.0</w:t>
            </w:r>
          </w:p>
          <w:p>
            <w:pPr>
              <w:autoSpaceDE w:val="0"/>
              <w:autoSpaceDN w:val="0"/>
              <w:adjustRightInd w:val="0"/>
              <w:snapToGrid w:val="0"/>
              <w:jc w:val="center"/>
              <w:rPr>
                <w:rFonts w:ascii="宋体" w:hAnsi="宋体"/>
              </w:rPr>
            </w:pPr>
            <w:r>
              <w:rPr>
                <w:rFonts w:hint="eastAsia" w:ascii="宋体" w:hAnsi="宋体"/>
              </w:rPr>
              <w:t>(2.8×UI +1.4)</w:t>
            </w:r>
          </w:p>
        </w:tc>
        <w:tc>
          <w:tcPr>
            <w:tcW w:w="1956" w:type="dxa"/>
            <w:vAlign w:val="center"/>
          </w:tcPr>
          <w:p>
            <w:pPr>
              <w:autoSpaceDE w:val="0"/>
              <w:autoSpaceDN w:val="0"/>
              <w:adjustRightInd w:val="0"/>
              <w:snapToGrid w:val="0"/>
              <w:jc w:val="center"/>
              <w:rPr>
                <w:rFonts w:ascii="宋体" w:hAnsi="宋体"/>
              </w:rPr>
            </w:pPr>
            <w:r>
              <w:rPr>
                <w:rFonts w:hint="eastAsia" w:ascii="宋体" w:hAnsi="宋体"/>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5" w:hRule="atLeast"/>
          <w:jc w:val="center"/>
        </w:trPr>
        <w:tc>
          <w:tcPr>
            <w:tcW w:w="8996" w:type="dxa"/>
            <w:gridSpan w:val="4"/>
            <w:vAlign w:val="center"/>
          </w:tcPr>
          <w:p>
            <w:pPr>
              <w:jc w:val="center"/>
              <w:rPr>
                <w:rFonts w:ascii="宋体" w:hAnsi="宋体"/>
              </w:rPr>
            </w:pPr>
            <w:r>
              <w:rPr>
                <w:rFonts w:ascii="宋体" w:hAnsi="宋体"/>
              </w:rPr>
              <w:t>注：括号内数据为直流介质强度试验值。</w:t>
            </w:r>
          </w:p>
        </w:tc>
      </w:tr>
    </w:tbl>
    <w:p>
      <w:pPr>
        <w:outlineLvl w:val="2"/>
        <w:rPr>
          <w:rFonts w:ascii="宋体" w:hAnsi="宋体"/>
          <w:b/>
          <w:bCs/>
        </w:rPr>
      </w:pPr>
      <w:bookmarkStart w:id="478" w:name="_Toc142752171"/>
      <w:r>
        <w:rPr>
          <w:rFonts w:ascii="宋体" w:hAnsi="宋体"/>
          <w:b/>
          <w:bCs/>
        </w:rPr>
        <w:t>7</w:t>
      </w:r>
      <w:r>
        <w:rPr>
          <w:rFonts w:hint="eastAsia" w:ascii="宋体" w:hAnsi="宋体"/>
          <w:b/>
          <w:bCs/>
        </w:rPr>
        <w:t>、</w:t>
      </w:r>
      <w:r>
        <w:rPr>
          <w:rFonts w:ascii="宋体" w:hAnsi="宋体"/>
          <w:b/>
          <w:bCs/>
        </w:rPr>
        <w:t>安全要求</w:t>
      </w:r>
      <w:bookmarkEnd w:id="478"/>
    </w:p>
    <w:p>
      <w:pPr>
        <w:ind w:firstLine="411" w:firstLineChars="196"/>
        <w:jc w:val="left"/>
        <w:rPr>
          <w:rFonts w:ascii="宋体" w:hAnsi="宋体"/>
          <w:bCs/>
        </w:rPr>
      </w:pPr>
      <w:r>
        <w:rPr>
          <w:rFonts w:hint="eastAsia" w:ascii="宋体" w:hAnsi="宋体"/>
          <w:bCs/>
        </w:rPr>
        <w:t>充电机的安全性要求应满足GB/T 18487.1-2015附录B中对应的描述及技术参数要求。</w:t>
      </w:r>
    </w:p>
    <w:p>
      <w:pPr>
        <w:ind w:firstLine="411" w:firstLineChars="196"/>
        <w:jc w:val="left"/>
        <w:rPr>
          <w:rFonts w:ascii="宋体" w:hAnsi="宋体"/>
          <w:bCs/>
        </w:rPr>
      </w:pPr>
      <w:r>
        <w:rPr>
          <w:rFonts w:ascii="宋体" w:hAnsi="宋体"/>
          <w:bCs/>
        </w:rPr>
        <w:t>7</w:t>
      </w:r>
      <w:r>
        <w:rPr>
          <w:rFonts w:hint="eastAsia" w:ascii="宋体" w:hAnsi="宋体"/>
          <w:bCs/>
        </w:rPr>
        <w:t>.</w:t>
      </w:r>
      <w:r>
        <w:rPr>
          <w:rFonts w:ascii="宋体" w:hAnsi="宋体"/>
          <w:bCs/>
        </w:rPr>
        <w:t xml:space="preserve">1 </w:t>
      </w:r>
      <w:r>
        <w:rPr>
          <w:rFonts w:hint="eastAsia" w:ascii="宋体" w:hAnsi="宋体"/>
          <w:bCs/>
        </w:rPr>
        <w:t>充电机应具备电源输入侧的过压保护和欠压保护。</w:t>
      </w:r>
    </w:p>
    <w:p>
      <w:pPr>
        <w:ind w:firstLine="411" w:firstLineChars="196"/>
        <w:jc w:val="left"/>
        <w:rPr>
          <w:rFonts w:ascii="宋体" w:hAnsi="宋体"/>
          <w:bCs/>
        </w:rPr>
      </w:pPr>
      <w:r>
        <w:rPr>
          <w:rFonts w:ascii="宋体" w:hAnsi="宋体"/>
          <w:bCs/>
        </w:rPr>
        <w:t>7</w:t>
      </w:r>
      <w:r>
        <w:rPr>
          <w:rFonts w:hint="eastAsia" w:ascii="宋体" w:hAnsi="宋体"/>
          <w:bCs/>
        </w:rPr>
        <w:t>.2</w:t>
      </w:r>
      <w:r>
        <w:rPr>
          <w:rFonts w:ascii="宋体" w:hAnsi="宋体"/>
          <w:bCs/>
        </w:rPr>
        <w:t xml:space="preserve"> </w:t>
      </w:r>
      <w:r>
        <w:rPr>
          <w:rFonts w:hint="eastAsia" w:ascii="宋体" w:hAnsi="宋体"/>
          <w:bCs/>
        </w:rPr>
        <w:t>充电机应具备输出过压保护。</w:t>
      </w:r>
    </w:p>
    <w:p>
      <w:pPr>
        <w:ind w:firstLine="411" w:firstLineChars="196"/>
        <w:jc w:val="left"/>
        <w:rPr>
          <w:rFonts w:ascii="宋体" w:hAnsi="宋体"/>
          <w:bCs/>
        </w:rPr>
      </w:pPr>
      <w:r>
        <w:rPr>
          <w:rFonts w:ascii="宋体" w:hAnsi="宋体"/>
          <w:bCs/>
        </w:rPr>
        <w:t>7</w:t>
      </w:r>
      <w:r>
        <w:rPr>
          <w:rFonts w:hint="eastAsia" w:ascii="宋体" w:hAnsi="宋体"/>
          <w:bCs/>
        </w:rPr>
        <w:t>.3</w:t>
      </w:r>
      <w:r>
        <w:rPr>
          <w:rFonts w:ascii="宋体" w:hAnsi="宋体"/>
          <w:bCs/>
        </w:rPr>
        <w:t xml:space="preserve"> </w:t>
      </w:r>
      <w:r>
        <w:rPr>
          <w:rFonts w:hint="eastAsia" w:ascii="宋体" w:hAnsi="宋体"/>
          <w:bCs/>
        </w:rPr>
        <w:t>充电机应具备输出过电流和短路保护。</w:t>
      </w:r>
    </w:p>
    <w:p>
      <w:pPr>
        <w:ind w:firstLine="411" w:firstLineChars="196"/>
        <w:jc w:val="left"/>
        <w:rPr>
          <w:rFonts w:ascii="宋体" w:hAnsi="宋体"/>
          <w:bCs/>
        </w:rPr>
      </w:pPr>
      <w:r>
        <w:rPr>
          <w:rFonts w:ascii="宋体" w:hAnsi="宋体"/>
          <w:bCs/>
        </w:rPr>
        <w:t>7</w:t>
      </w:r>
      <w:r>
        <w:rPr>
          <w:rFonts w:hint="eastAsia" w:ascii="宋体" w:hAnsi="宋体"/>
          <w:bCs/>
        </w:rPr>
        <w:t>.4</w:t>
      </w:r>
      <w:r>
        <w:rPr>
          <w:rFonts w:ascii="宋体" w:hAnsi="宋体"/>
          <w:bCs/>
        </w:rPr>
        <w:t xml:space="preserve"> </w:t>
      </w:r>
      <w:r>
        <w:rPr>
          <w:rFonts w:hint="eastAsia" w:ascii="宋体" w:hAnsi="宋体"/>
          <w:bCs/>
        </w:rPr>
        <w:t>充电机应具备内部过温保护，当内部温度达到保护值时，采取降功率或停止输出。</w:t>
      </w:r>
    </w:p>
    <w:p>
      <w:pPr>
        <w:ind w:firstLine="411" w:firstLineChars="196"/>
        <w:jc w:val="left"/>
        <w:rPr>
          <w:rFonts w:ascii="宋体" w:hAnsi="宋体"/>
          <w:bCs/>
        </w:rPr>
      </w:pPr>
      <w:r>
        <w:rPr>
          <w:rFonts w:ascii="宋体" w:hAnsi="宋体"/>
          <w:bCs/>
        </w:rPr>
        <w:t>7</w:t>
      </w:r>
      <w:r>
        <w:rPr>
          <w:rFonts w:hint="eastAsia" w:ascii="宋体" w:hAnsi="宋体"/>
          <w:bCs/>
        </w:rPr>
        <w:t>.5</w:t>
      </w:r>
      <w:r>
        <w:rPr>
          <w:rFonts w:ascii="宋体" w:hAnsi="宋体"/>
          <w:bCs/>
        </w:rPr>
        <w:t xml:space="preserve"> </w:t>
      </w:r>
      <w:r>
        <w:rPr>
          <w:rFonts w:hint="eastAsia" w:ascii="宋体" w:hAnsi="宋体"/>
          <w:bCs/>
        </w:rPr>
        <w:t>充电机的绝缘检测功能应与车辆绝缘检测功能相配合。</w:t>
      </w:r>
    </w:p>
    <w:p>
      <w:pPr>
        <w:ind w:firstLine="411" w:firstLineChars="196"/>
        <w:jc w:val="left"/>
        <w:rPr>
          <w:rFonts w:ascii="宋体" w:hAnsi="宋体"/>
          <w:bCs/>
        </w:rPr>
      </w:pPr>
      <w:r>
        <w:rPr>
          <w:rFonts w:ascii="宋体" w:hAnsi="宋体"/>
          <w:bCs/>
        </w:rPr>
        <w:t>7</w:t>
      </w:r>
      <w:r>
        <w:rPr>
          <w:rFonts w:hint="eastAsia" w:ascii="宋体" w:hAnsi="宋体"/>
          <w:bCs/>
        </w:rPr>
        <w:t>.6</w:t>
      </w:r>
      <w:r>
        <w:rPr>
          <w:rFonts w:ascii="宋体" w:hAnsi="宋体"/>
          <w:bCs/>
        </w:rPr>
        <w:t xml:space="preserve"> </w:t>
      </w:r>
      <w:r>
        <w:rPr>
          <w:rFonts w:hint="eastAsia" w:ascii="宋体" w:hAnsi="宋体"/>
          <w:bCs/>
        </w:rPr>
        <w:t>充电过程中当发生下列情况时，充电机应能在100ms内断开直流输出接触器，且直流输出电压应在1s内下降至60V以下。</w:t>
      </w:r>
    </w:p>
    <w:p>
      <w:pPr>
        <w:ind w:firstLine="411" w:firstLineChars="196"/>
        <w:jc w:val="left"/>
        <w:rPr>
          <w:rFonts w:ascii="宋体" w:hAnsi="宋体"/>
          <w:bCs/>
        </w:rPr>
      </w:pPr>
      <w:r>
        <w:rPr>
          <w:rFonts w:hint="eastAsia" w:ascii="宋体" w:hAnsi="宋体"/>
          <w:bCs/>
        </w:rPr>
        <w:t>a)</w:t>
      </w:r>
      <w:r>
        <w:rPr>
          <w:rFonts w:hint="eastAsia" w:ascii="宋体" w:hAnsi="宋体"/>
          <w:bCs/>
        </w:rPr>
        <w:tab/>
      </w:r>
      <w:r>
        <w:rPr>
          <w:rFonts w:hint="eastAsia" w:ascii="宋体" w:hAnsi="宋体"/>
          <w:bCs/>
        </w:rPr>
        <w:t>启动急停开关；</w:t>
      </w:r>
    </w:p>
    <w:p>
      <w:pPr>
        <w:ind w:firstLine="411" w:firstLineChars="196"/>
        <w:jc w:val="left"/>
        <w:rPr>
          <w:rFonts w:ascii="宋体" w:hAnsi="宋体"/>
          <w:bCs/>
        </w:rPr>
      </w:pPr>
      <w:r>
        <w:rPr>
          <w:rFonts w:hint="eastAsia" w:ascii="宋体" w:hAnsi="宋体"/>
          <w:bCs/>
        </w:rPr>
        <w:t>b)</w:t>
      </w:r>
      <w:r>
        <w:rPr>
          <w:rFonts w:hint="eastAsia" w:ascii="宋体" w:hAnsi="宋体"/>
          <w:bCs/>
        </w:rPr>
        <w:tab/>
      </w:r>
      <w:r>
        <w:rPr>
          <w:rFonts w:hint="eastAsia" w:ascii="宋体" w:hAnsi="宋体"/>
          <w:bCs/>
        </w:rPr>
        <w:t>控制导引故障。</w:t>
      </w:r>
    </w:p>
    <w:p>
      <w:pPr>
        <w:ind w:firstLine="411" w:firstLineChars="196"/>
        <w:jc w:val="left"/>
        <w:rPr>
          <w:rFonts w:ascii="宋体" w:hAnsi="宋体"/>
          <w:bCs/>
        </w:rPr>
      </w:pPr>
      <w:r>
        <w:rPr>
          <w:rFonts w:ascii="宋体" w:hAnsi="宋体"/>
          <w:bCs/>
        </w:rPr>
        <w:t>7</w:t>
      </w:r>
      <w:r>
        <w:rPr>
          <w:rFonts w:hint="eastAsia" w:ascii="宋体" w:hAnsi="宋体"/>
          <w:bCs/>
        </w:rPr>
        <w:t>.7</w:t>
      </w:r>
      <w:r>
        <w:rPr>
          <w:rFonts w:ascii="宋体" w:hAnsi="宋体"/>
          <w:bCs/>
        </w:rPr>
        <w:t xml:space="preserve"> </w:t>
      </w:r>
      <w:r>
        <w:rPr>
          <w:rFonts w:hint="eastAsia" w:ascii="宋体" w:hAnsi="宋体"/>
          <w:bCs/>
        </w:rPr>
        <w:t>充电机在启动充电时应人工确认启动。</w:t>
      </w:r>
    </w:p>
    <w:p>
      <w:pPr>
        <w:ind w:firstLine="411" w:firstLineChars="196"/>
        <w:jc w:val="left"/>
        <w:rPr>
          <w:rFonts w:ascii="宋体" w:hAnsi="宋体"/>
          <w:bCs/>
        </w:rPr>
      </w:pPr>
      <w:r>
        <w:rPr>
          <w:rFonts w:ascii="宋体" w:hAnsi="宋体"/>
          <w:bCs/>
        </w:rPr>
        <w:t>7</w:t>
      </w:r>
      <w:r>
        <w:rPr>
          <w:rFonts w:hint="eastAsia" w:ascii="宋体" w:hAnsi="宋体"/>
          <w:bCs/>
        </w:rPr>
        <w:t>.8</w:t>
      </w:r>
      <w:r>
        <w:rPr>
          <w:rFonts w:ascii="宋体" w:hAnsi="宋体"/>
          <w:bCs/>
        </w:rPr>
        <w:t xml:space="preserve"> </w:t>
      </w:r>
      <w:r>
        <w:rPr>
          <w:rFonts w:hint="eastAsia" w:ascii="宋体" w:hAnsi="宋体"/>
          <w:bCs/>
        </w:rPr>
        <w:t>充电机应具备软启动功能，软启动时间为3s～8s。</w:t>
      </w:r>
    </w:p>
    <w:p>
      <w:pPr>
        <w:ind w:firstLine="411" w:firstLineChars="196"/>
        <w:jc w:val="left"/>
        <w:rPr>
          <w:rFonts w:ascii="宋体" w:hAnsi="宋体"/>
          <w:bCs/>
        </w:rPr>
      </w:pPr>
      <w:r>
        <w:rPr>
          <w:rFonts w:ascii="宋体" w:hAnsi="宋体"/>
          <w:bCs/>
        </w:rPr>
        <w:t>7</w:t>
      </w:r>
      <w:r>
        <w:rPr>
          <w:rFonts w:hint="eastAsia" w:ascii="宋体" w:hAnsi="宋体"/>
          <w:bCs/>
        </w:rPr>
        <w:t>.9</w:t>
      </w:r>
      <w:r>
        <w:rPr>
          <w:rFonts w:ascii="宋体" w:hAnsi="宋体"/>
          <w:bCs/>
        </w:rPr>
        <w:t xml:space="preserve"> </w:t>
      </w:r>
      <w:r>
        <w:rPr>
          <w:rFonts w:hint="eastAsia" w:ascii="宋体" w:hAnsi="宋体"/>
          <w:bCs/>
        </w:rPr>
        <w:t>充电机应具备限制冲击电流功能，冲击电流不应超过额定输入电流的110%。</w:t>
      </w:r>
    </w:p>
    <w:p>
      <w:pPr>
        <w:ind w:firstLine="411" w:firstLineChars="196"/>
        <w:jc w:val="left"/>
        <w:rPr>
          <w:rFonts w:ascii="宋体" w:hAnsi="宋体"/>
          <w:bCs/>
        </w:rPr>
      </w:pPr>
      <w:r>
        <w:rPr>
          <w:rFonts w:ascii="宋体" w:hAnsi="宋体"/>
          <w:bCs/>
        </w:rPr>
        <w:t>7</w:t>
      </w:r>
      <w:r>
        <w:rPr>
          <w:rFonts w:hint="eastAsia" w:ascii="宋体" w:hAnsi="宋体"/>
          <w:bCs/>
        </w:rPr>
        <w:t>.10</w:t>
      </w:r>
      <w:r>
        <w:rPr>
          <w:rFonts w:ascii="宋体" w:hAnsi="宋体"/>
          <w:bCs/>
        </w:rPr>
        <w:t xml:space="preserve"> </w:t>
      </w:r>
      <w:r>
        <w:rPr>
          <w:rFonts w:hint="eastAsia" w:ascii="宋体" w:hAnsi="宋体"/>
          <w:bCs/>
        </w:rPr>
        <w:t>充电机应具备电池反接保护功能。</w:t>
      </w:r>
    </w:p>
    <w:p>
      <w:pPr>
        <w:ind w:firstLine="411" w:firstLineChars="196"/>
        <w:jc w:val="left"/>
        <w:rPr>
          <w:rFonts w:ascii="宋体" w:hAnsi="宋体"/>
          <w:bCs/>
        </w:rPr>
      </w:pPr>
      <w:r>
        <w:rPr>
          <w:rFonts w:ascii="宋体" w:hAnsi="宋体"/>
          <w:bCs/>
        </w:rPr>
        <w:t>7</w:t>
      </w:r>
      <w:r>
        <w:rPr>
          <w:rFonts w:hint="eastAsia" w:ascii="宋体" w:hAnsi="宋体"/>
          <w:bCs/>
        </w:rPr>
        <w:t>.11</w:t>
      </w:r>
      <w:r>
        <w:rPr>
          <w:rFonts w:ascii="宋体" w:hAnsi="宋体"/>
          <w:bCs/>
        </w:rPr>
        <w:t xml:space="preserve"> </w:t>
      </w:r>
      <w:r>
        <w:rPr>
          <w:rFonts w:hint="eastAsia" w:ascii="宋体" w:hAnsi="宋体"/>
          <w:bCs/>
        </w:rPr>
        <w:t>充电机在自动充电前，应具有电池电压检测功能。</w:t>
      </w:r>
    </w:p>
    <w:p>
      <w:pPr>
        <w:ind w:firstLine="411" w:firstLineChars="196"/>
        <w:jc w:val="left"/>
        <w:rPr>
          <w:rFonts w:ascii="宋体" w:hAnsi="宋体"/>
          <w:bCs/>
        </w:rPr>
      </w:pPr>
      <w:r>
        <w:rPr>
          <w:rFonts w:ascii="宋体" w:hAnsi="宋体"/>
          <w:bCs/>
        </w:rPr>
        <w:t>7</w:t>
      </w:r>
      <w:r>
        <w:rPr>
          <w:rFonts w:hint="eastAsia" w:ascii="宋体" w:hAnsi="宋体"/>
          <w:bCs/>
        </w:rPr>
        <w:t>.12</w:t>
      </w:r>
      <w:r>
        <w:rPr>
          <w:rFonts w:ascii="宋体" w:hAnsi="宋体"/>
          <w:bCs/>
        </w:rPr>
        <w:t xml:space="preserve"> </w:t>
      </w:r>
      <w:r>
        <w:rPr>
          <w:rFonts w:hint="eastAsia" w:ascii="宋体" w:hAnsi="宋体"/>
          <w:bCs/>
        </w:rPr>
        <w:t>在充电过程中，充电机应具有明显的状态指示和文字提示，防止人员误操作。</w:t>
      </w:r>
    </w:p>
    <w:p>
      <w:pPr>
        <w:ind w:firstLine="411" w:firstLineChars="196"/>
        <w:jc w:val="left"/>
        <w:rPr>
          <w:rFonts w:ascii="宋体" w:hAnsi="宋体"/>
          <w:bCs/>
        </w:rPr>
      </w:pPr>
      <w:r>
        <w:rPr>
          <w:rFonts w:ascii="宋体" w:hAnsi="宋体"/>
          <w:bCs/>
        </w:rPr>
        <w:t>7</w:t>
      </w:r>
      <w:r>
        <w:rPr>
          <w:rFonts w:hint="eastAsia" w:ascii="宋体" w:hAnsi="宋体"/>
          <w:bCs/>
        </w:rPr>
        <w:t>.13</w:t>
      </w:r>
      <w:r>
        <w:rPr>
          <w:rFonts w:ascii="宋体" w:hAnsi="宋体"/>
          <w:bCs/>
        </w:rPr>
        <w:t xml:space="preserve"> </w:t>
      </w:r>
      <w:r>
        <w:rPr>
          <w:rFonts w:hint="eastAsia" w:ascii="宋体" w:hAnsi="宋体"/>
          <w:bCs/>
        </w:rPr>
        <w:t>充电机在充电过程中应具有防止充电连接器意外脱落的锁止装置，直流充电时，车辆接口应具有锁止功能，该锁止功能应符合GB/T20234.1的相关要求。车辆插头端应安装机械锁止装置，供电设备应能判断机械锁是否可靠锁止。车辆插头应安装电子锁止装置，电子锁处于锁止位置时，机械锁应无法操作，供电设备应能判断电子锁是否可靠锁止。当机械锁或电子锁未可靠锁止时，供电设备应停止充电或不启动充电。直流充电车辆接口锁止装置工作示例参见GB/T18487.1-2015附录C。</w:t>
      </w:r>
    </w:p>
    <w:p>
      <w:pPr>
        <w:ind w:firstLine="411" w:firstLineChars="196"/>
        <w:jc w:val="left"/>
        <w:rPr>
          <w:rFonts w:ascii="宋体" w:hAnsi="宋体"/>
          <w:bCs/>
        </w:rPr>
      </w:pPr>
      <w:r>
        <w:rPr>
          <w:rFonts w:ascii="宋体" w:hAnsi="宋体"/>
          <w:bCs/>
        </w:rPr>
        <w:t>7</w:t>
      </w:r>
      <w:r>
        <w:rPr>
          <w:rFonts w:hint="eastAsia" w:ascii="宋体" w:hAnsi="宋体"/>
          <w:bCs/>
        </w:rPr>
        <w:t>.14</w:t>
      </w:r>
      <w:r>
        <w:rPr>
          <w:rFonts w:ascii="宋体" w:hAnsi="宋体"/>
          <w:bCs/>
        </w:rPr>
        <w:t xml:space="preserve"> </w:t>
      </w:r>
      <w:r>
        <w:rPr>
          <w:rFonts w:hint="eastAsia" w:ascii="宋体" w:hAnsi="宋体"/>
          <w:bCs/>
        </w:rPr>
        <w:t>充电机应具备防止电池电流倒灌功能。</w:t>
      </w:r>
    </w:p>
    <w:p>
      <w:pPr>
        <w:ind w:firstLine="411" w:firstLineChars="196"/>
        <w:jc w:val="left"/>
        <w:rPr>
          <w:rFonts w:ascii="宋体" w:hAnsi="宋体"/>
          <w:bCs/>
        </w:rPr>
      </w:pPr>
      <w:r>
        <w:rPr>
          <w:rFonts w:ascii="宋体" w:hAnsi="宋体"/>
          <w:bCs/>
        </w:rPr>
        <w:t>7</w:t>
      </w:r>
      <w:r>
        <w:rPr>
          <w:rFonts w:hint="eastAsia" w:ascii="宋体" w:hAnsi="宋体"/>
          <w:bCs/>
        </w:rPr>
        <w:t>.15</w:t>
      </w:r>
      <w:r>
        <w:rPr>
          <w:rFonts w:ascii="宋体" w:hAnsi="宋体"/>
          <w:bCs/>
        </w:rPr>
        <w:t xml:space="preserve"> </w:t>
      </w:r>
      <w:r>
        <w:rPr>
          <w:rFonts w:hint="eastAsia" w:ascii="宋体" w:hAnsi="宋体"/>
          <w:bCs/>
        </w:rPr>
        <w:t>充电机应具备预充电功能。当充电机检测到电动汽车直流接触器闭合后，充电机应检测电池端电压；充电机检测到电池端电压后需进行预充，将功率模块输出电压升到与电池端电压测量值之差小于10V后，方可闭合充电机输出接触器。</w:t>
      </w:r>
    </w:p>
    <w:p>
      <w:pPr>
        <w:ind w:firstLine="411" w:firstLineChars="196"/>
        <w:jc w:val="left"/>
        <w:rPr>
          <w:rFonts w:ascii="宋体" w:hAnsi="宋体"/>
          <w:bCs/>
        </w:rPr>
      </w:pPr>
      <w:r>
        <w:rPr>
          <w:rFonts w:ascii="宋体" w:hAnsi="宋体"/>
          <w:bCs/>
        </w:rPr>
        <w:t>7</w:t>
      </w:r>
      <w:r>
        <w:rPr>
          <w:rFonts w:hint="eastAsia" w:ascii="宋体" w:hAnsi="宋体"/>
          <w:bCs/>
        </w:rPr>
        <w:t>.16</w:t>
      </w:r>
      <w:r>
        <w:rPr>
          <w:rFonts w:ascii="宋体" w:hAnsi="宋体"/>
          <w:bCs/>
        </w:rPr>
        <w:t xml:space="preserve"> </w:t>
      </w:r>
      <w:r>
        <w:rPr>
          <w:rFonts w:hint="eastAsia" w:ascii="宋体" w:hAnsi="宋体"/>
          <w:bCs/>
        </w:rPr>
        <w:t>充电机在每个充电周期内进行接触器触点烧结检测。当检测到接触器触点出现粘连的情况后，充电机不得继续工作。</w:t>
      </w:r>
    </w:p>
    <w:p>
      <w:pPr>
        <w:ind w:firstLine="411" w:firstLineChars="196"/>
        <w:jc w:val="left"/>
        <w:rPr>
          <w:rFonts w:ascii="宋体" w:hAnsi="宋体"/>
          <w:bCs/>
        </w:rPr>
      </w:pPr>
      <w:r>
        <w:rPr>
          <w:rFonts w:ascii="宋体" w:hAnsi="宋体"/>
          <w:bCs/>
        </w:rPr>
        <w:t>7</w:t>
      </w:r>
      <w:r>
        <w:rPr>
          <w:rFonts w:hint="eastAsia" w:ascii="宋体" w:hAnsi="宋体"/>
          <w:bCs/>
        </w:rPr>
        <w:t>.17</w:t>
      </w:r>
      <w:r>
        <w:rPr>
          <w:rFonts w:ascii="宋体" w:hAnsi="宋体"/>
          <w:bCs/>
        </w:rPr>
        <w:t xml:space="preserve"> </w:t>
      </w:r>
      <w:r>
        <w:rPr>
          <w:rFonts w:hint="eastAsia" w:ascii="宋体" w:hAnsi="宋体"/>
          <w:bCs/>
        </w:rPr>
        <w:t>充电机必须保证充电机输出接触器闭合发生在车辆直流充电接触器闭合之后，其时间间隔不得低于500ms。</w:t>
      </w:r>
    </w:p>
    <w:p>
      <w:pPr>
        <w:ind w:firstLine="411" w:firstLineChars="196"/>
        <w:jc w:val="left"/>
        <w:rPr>
          <w:rFonts w:ascii="宋体" w:hAnsi="宋体"/>
          <w:bCs/>
        </w:rPr>
      </w:pPr>
      <w:r>
        <w:rPr>
          <w:rFonts w:ascii="宋体" w:hAnsi="宋体"/>
          <w:bCs/>
        </w:rPr>
        <w:t>7</w:t>
      </w:r>
      <w:r>
        <w:rPr>
          <w:rFonts w:hint="eastAsia" w:ascii="宋体" w:hAnsi="宋体"/>
          <w:bCs/>
        </w:rPr>
        <w:t>.18</w:t>
      </w:r>
      <w:r>
        <w:rPr>
          <w:rFonts w:ascii="宋体" w:hAnsi="宋体"/>
          <w:bCs/>
        </w:rPr>
        <w:t xml:space="preserve"> </w:t>
      </w:r>
      <w:r>
        <w:rPr>
          <w:rFonts w:hint="eastAsia" w:ascii="宋体" w:hAnsi="宋体"/>
          <w:bCs/>
        </w:rPr>
        <w:t>充电机在充电停止状态下，应保证直流输出回路处于断开状态。</w:t>
      </w:r>
    </w:p>
    <w:p>
      <w:pPr>
        <w:outlineLvl w:val="2"/>
        <w:rPr>
          <w:rFonts w:ascii="宋体" w:hAnsi="宋体"/>
          <w:b/>
          <w:bCs/>
        </w:rPr>
      </w:pPr>
      <w:bookmarkStart w:id="479" w:name="_Toc142752172"/>
      <w:r>
        <w:rPr>
          <w:rFonts w:ascii="宋体" w:hAnsi="宋体"/>
          <w:b/>
          <w:bCs/>
        </w:rPr>
        <w:t>8</w:t>
      </w:r>
      <w:r>
        <w:rPr>
          <w:rFonts w:hint="eastAsia" w:ascii="宋体" w:hAnsi="宋体"/>
          <w:b/>
          <w:bCs/>
        </w:rPr>
        <w:t>、充电输出要求</w:t>
      </w:r>
      <w:bookmarkEnd w:id="479"/>
    </w:p>
    <w:p>
      <w:pPr>
        <w:ind w:firstLine="411" w:firstLineChars="196"/>
        <w:jc w:val="left"/>
        <w:rPr>
          <w:rFonts w:ascii="宋体" w:hAnsi="宋体"/>
          <w:bCs/>
        </w:rPr>
      </w:pPr>
      <w:r>
        <w:rPr>
          <w:rFonts w:ascii="宋体" w:hAnsi="宋体"/>
          <w:bCs/>
        </w:rPr>
        <w:t>8</w:t>
      </w:r>
      <w:r>
        <w:rPr>
          <w:rFonts w:hint="eastAsia" w:ascii="宋体" w:hAnsi="宋体"/>
          <w:bCs/>
        </w:rPr>
        <w:t>.</w:t>
      </w:r>
      <w:r>
        <w:rPr>
          <w:rFonts w:ascii="宋体" w:hAnsi="宋体"/>
          <w:bCs/>
        </w:rPr>
        <w:t xml:space="preserve">1 </w:t>
      </w:r>
      <w:r>
        <w:rPr>
          <w:rFonts w:hint="eastAsia" w:ascii="宋体" w:hAnsi="宋体"/>
          <w:bCs/>
        </w:rPr>
        <w:t>输出电压误差</w:t>
      </w:r>
    </w:p>
    <w:p>
      <w:pPr>
        <w:ind w:firstLine="411" w:firstLineChars="196"/>
        <w:jc w:val="left"/>
        <w:rPr>
          <w:rFonts w:ascii="宋体" w:hAnsi="宋体"/>
          <w:bCs/>
        </w:rPr>
      </w:pPr>
      <w:r>
        <w:rPr>
          <w:rFonts w:hint="eastAsia" w:ascii="宋体" w:hAnsi="宋体"/>
          <w:bCs/>
        </w:rPr>
        <w:t>在恒压状态下，直流输出电压设定在规定的调节范围内，充电机的输出电压误差不应超过±0.5％。</w:t>
      </w:r>
    </w:p>
    <w:p>
      <w:pPr>
        <w:ind w:firstLine="411" w:firstLineChars="196"/>
        <w:jc w:val="left"/>
        <w:rPr>
          <w:rFonts w:ascii="宋体" w:hAnsi="宋体"/>
          <w:bCs/>
        </w:rPr>
      </w:pPr>
      <w:r>
        <w:rPr>
          <w:rFonts w:ascii="宋体" w:hAnsi="宋体"/>
          <w:bCs/>
        </w:rPr>
        <w:t>8</w:t>
      </w:r>
      <w:r>
        <w:rPr>
          <w:rFonts w:hint="eastAsia" w:ascii="宋体" w:hAnsi="宋体"/>
          <w:bCs/>
        </w:rPr>
        <w:t>.2</w:t>
      </w:r>
      <w:r>
        <w:rPr>
          <w:rFonts w:ascii="宋体" w:hAnsi="宋体"/>
          <w:bCs/>
        </w:rPr>
        <w:t xml:space="preserve"> </w:t>
      </w:r>
      <w:r>
        <w:rPr>
          <w:rFonts w:hint="eastAsia" w:ascii="宋体" w:hAnsi="宋体"/>
          <w:bCs/>
        </w:rPr>
        <w:t>输出电流误差</w:t>
      </w:r>
    </w:p>
    <w:p>
      <w:pPr>
        <w:ind w:firstLine="411" w:firstLineChars="196"/>
        <w:jc w:val="left"/>
        <w:rPr>
          <w:rFonts w:ascii="宋体" w:hAnsi="宋体"/>
          <w:bCs/>
        </w:rPr>
      </w:pPr>
      <w:r>
        <w:rPr>
          <w:rFonts w:hint="eastAsia" w:ascii="宋体" w:hAnsi="宋体"/>
          <w:bCs/>
        </w:rPr>
        <w:t>在恒流状态下，输出电流在额定值的20%～100%范围内，在设定的直流输出电流≥30A时，充电机的输出电流误差不应超过±1%；在设定的输出电流&lt;30A时，充电机的输出电流误差不应超过±0.3A。</w:t>
      </w:r>
    </w:p>
    <w:p>
      <w:pPr>
        <w:ind w:firstLine="411" w:firstLineChars="196"/>
        <w:jc w:val="left"/>
        <w:rPr>
          <w:rFonts w:ascii="宋体" w:hAnsi="宋体"/>
          <w:bCs/>
        </w:rPr>
      </w:pPr>
      <w:r>
        <w:rPr>
          <w:rFonts w:ascii="宋体" w:hAnsi="宋体"/>
          <w:bCs/>
        </w:rPr>
        <w:t>8</w:t>
      </w:r>
      <w:r>
        <w:rPr>
          <w:rFonts w:hint="eastAsia" w:ascii="宋体" w:hAnsi="宋体"/>
          <w:bCs/>
        </w:rPr>
        <w:t>.3</w:t>
      </w:r>
      <w:r>
        <w:rPr>
          <w:rFonts w:ascii="宋体" w:hAnsi="宋体"/>
          <w:bCs/>
        </w:rPr>
        <w:t xml:space="preserve"> </w:t>
      </w:r>
      <w:r>
        <w:rPr>
          <w:rFonts w:hint="eastAsia" w:ascii="宋体" w:hAnsi="宋体"/>
          <w:bCs/>
        </w:rPr>
        <w:t>稳压精度</w:t>
      </w:r>
    </w:p>
    <w:p>
      <w:pPr>
        <w:ind w:firstLine="411" w:firstLineChars="196"/>
        <w:jc w:val="left"/>
        <w:rPr>
          <w:rFonts w:ascii="宋体" w:hAnsi="宋体"/>
          <w:bCs/>
        </w:rPr>
      </w:pPr>
      <w:r>
        <w:rPr>
          <w:rFonts w:hint="eastAsia" w:ascii="宋体" w:hAnsi="宋体"/>
          <w:bCs/>
        </w:rPr>
        <w:t>当交流电源电压在额定值的±15%范围内变化，直流输出电流在规定的额定值的0～100%范围内变化时，输出直流电压在规定的相应调节范围内任一数值上，充电机的输出电压稳压精度不应超过±0.5%。</w:t>
      </w:r>
    </w:p>
    <w:p>
      <w:pPr>
        <w:ind w:firstLine="411" w:firstLineChars="196"/>
        <w:jc w:val="left"/>
        <w:rPr>
          <w:rFonts w:ascii="宋体" w:hAnsi="宋体"/>
          <w:bCs/>
        </w:rPr>
      </w:pPr>
      <w:r>
        <w:rPr>
          <w:rFonts w:ascii="宋体" w:hAnsi="宋体"/>
          <w:bCs/>
        </w:rPr>
        <w:t>8</w:t>
      </w:r>
      <w:r>
        <w:rPr>
          <w:rFonts w:hint="eastAsia" w:ascii="宋体" w:hAnsi="宋体"/>
          <w:bCs/>
        </w:rPr>
        <w:t>.4</w:t>
      </w:r>
      <w:r>
        <w:rPr>
          <w:rFonts w:ascii="宋体" w:hAnsi="宋体"/>
          <w:bCs/>
        </w:rPr>
        <w:t xml:space="preserve"> </w:t>
      </w:r>
      <w:r>
        <w:rPr>
          <w:rFonts w:hint="eastAsia" w:ascii="宋体" w:hAnsi="宋体"/>
          <w:bCs/>
        </w:rPr>
        <w:t>稳流精度</w:t>
      </w:r>
    </w:p>
    <w:p>
      <w:pPr>
        <w:ind w:firstLine="411" w:firstLineChars="196"/>
        <w:jc w:val="left"/>
        <w:rPr>
          <w:rFonts w:ascii="宋体" w:hAnsi="宋体"/>
          <w:bCs/>
        </w:rPr>
      </w:pPr>
      <w:r>
        <w:rPr>
          <w:rFonts w:hint="eastAsia" w:ascii="宋体" w:hAnsi="宋体"/>
          <w:bCs/>
        </w:rPr>
        <w:t>当交流电源电压在额定值的±15%范围内变化，直流输出电压在规定的相应范围内变化时，直流输出电流在规定额定值的20%～100%范围内任一数值上，充电机的输出电流稳流精度不应超过±1%。</w:t>
      </w:r>
    </w:p>
    <w:p>
      <w:pPr>
        <w:ind w:firstLine="411" w:firstLineChars="196"/>
        <w:jc w:val="left"/>
        <w:rPr>
          <w:rFonts w:ascii="宋体" w:hAnsi="宋体"/>
          <w:bCs/>
        </w:rPr>
      </w:pPr>
      <w:r>
        <w:rPr>
          <w:rFonts w:ascii="宋体" w:hAnsi="宋体"/>
          <w:bCs/>
        </w:rPr>
        <w:t>8</w:t>
      </w:r>
      <w:r>
        <w:rPr>
          <w:rFonts w:hint="eastAsia" w:ascii="宋体" w:hAnsi="宋体"/>
          <w:bCs/>
        </w:rPr>
        <w:t>.5</w:t>
      </w:r>
      <w:r>
        <w:rPr>
          <w:rFonts w:ascii="宋体" w:hAnsi="宋体"/>
          <w:bCs/>
        </w:rPr>
        <w:t xml:space="preserve"> </w:t>
      </w:r>
      <w:r>
        <w:rPr>
          <w:rFonts w:hint="eastAsia" w:ascii="宋体" w:hAnsi="宋体"/>
          <w:bCs/>
        </w:rPr>
        <w:t>纹波系数</w:t>
      </w:r>
    </w:p>
    <w:p>
      <w:pPr>
        <w:ind w:firstLine="411" w:firstLineChars="196"/>
        <w:jc w:val="left"/>
        <w:rPr>
          <w:rFonts w:ascii="宋体" w:hAnsi="宋体"/>
          <w:bCs/>
        </w:rPr>
      </w:pPr>
      <w:r>
        <w:rPr>
          <w:rFonts w:hint="eastAsia" w:ascii="宋体" w:hAnsi="宋体"/>
          <w:bCs/>
        </w:rPr>
        <w:t>当交流电源电压在额定值的±15%范围内变化，直流输出电流在规定额定值的0～100%范围内变化时，直流输出电压在规定相应调节范围任一数值上，充电机的输出纹波有效值系数不应超过±0.5%，纹波峰值系数不应超过±1%。</w:t>
      </w:r>
    </w:p>
    <w:p>
      <w:pPr>
        <w:ind w:firstLine="411" w:firstLineChars="196"/>
        <w:jc w:val="left"/>
        <w:rPr>
          <w:rFonts w:ascii="宋体" w:hAnsi="宋体"/>
          <w:bCs/>
        </w:rPr>
      </w:pPr>
      <w:r>
        <w:rPr>
          <w:rFonts w:ascii="宋体" w:hAnsi="宋体"/>
          <w:bCs/>
        </w:rPr>
        <w:t>8</w:t>
      </w:r>
      <w:r>
        <w:rPr>
          <w:rFonts w:hint="eastAsia" w:ascii="宋体" w:hAnsi="宋体"/>
          <w:bCs/>
        </w:rPr>
        <w:t>.6</w:t>
      </w:r>
      <w:r>
        <w:rPr>
          <w:rFonts w:ascii="宋体" w:hAnsi="宋体"/>
          <w:bCs/>
        </w:rPr>
        <w:t xml:space="preserve"> </w:t>
      </w:r>
      <w:r>
        <w:rPr>
          <w:rFonts w:hint="eastAsia" w:ascii="宋体" w:hAnsi="宋体"/>
          <w:bCs/>
        </w:rPr>
        <w:t>限压、限流特性</w:t>
      </w:r>
    </w:p>
    <w:p>
      <w:pPr>
        <w:ind w:firstLine="411" w:firstLineChars="196"/>
        <w:jc w:val="left"/>
        <w:rPr>
          <w:rFonts w:ascii="宋体" w:hAnsi="宋体"/>
          <w:bCs/>
        </w:rPr>
      </w:pPr>
      <w:r>
        <w:rPr>
          <w:rFonts w:hint="eastAsia" w:ascii="宋体" w:hAnsi="宋体"/>
          <w:bCs/>
        </w:rPr>
        <w:t>a)</w:t>
      </w:r>
      <w:r>
        <w:rPr>
          <w:rFonts w:hint="eastAsia" w:ascii="宋体" w:hAnsi="宋体"/>
          <w:bCs/>
        </w:rPr>
        <w:tab/>
      </w:r>
      <w:r>
        <w:rPr>
          <w:rFonts w:hint="eastAsia" w:ascii="宋体" w:hAnsi="宋体"/>
          <w:bCs/>
        </w:rPr>
        <w:t>充电机在恒流状态下运行时，当直流输出电压超过限压整定值时，应能立即进入恒压充电状态，自动限制其输出电压的增加。</w:t>
      </w:r>
    </w:p>
    <w:p>
      <w:pPr>
        <w:ind w:firstLine="411" w:firstLineChars="196"/>
        <w:jc w:val="left"/>
        <w:rPr>
          <w:rFonts w:ascii="宋体" w:hAnsi="宋体"/>
          <w:bCs/>
        </w:rPr>
      </w:pPr>
      <w:r>
        <w:rPr>
          <w:rFonts w:hint="eastAsia" w:ascii="宋体" w:hAnsi="宋体"/>
          <w:bCs/>
        </w:rPr>
        <w:t>b)</w:t>
      </w:r>
      <w:r>
        <w:rPr>
          <w:rFonts w:hint="eastAsia" w:ascii="宋体" w:hAnsi="宋体"/>
          <w:bCs/>
        </w:rPr>
        <w:tab/>
      </w:r>
      <w:r>
        <w:rPr>
          <w:rFonts w:hint="eastAsia" w:ascii="宋体" w:hAnsi="宋体"/>
          <w:bCs/>
        </w:rPr>
        <w:t>充电机在恒压状态下运行时，当直流输出电流超过限流整定值时，应能立即进入限流充电状态，自动限制其输出电流的增加。</w:t>
      </w:r>
    </w:p>
    <w:p>
      <w:pPr>
        <w:ind w:firstLine="411" w:firstLineChars="196"/>
        <w:jc w:val="left"/>
        <w:rPr>
          <w:rFonts w:ascii="宋体" w:hAnsi="宋体"/>
          <w:bCs/>
        </w:rPr>
      </w:pPr>
      <w:r>
        <w:rPr>
          <w:rFonts w:ascii="宋体" w:hAnsi="宋体"/>
          <w:bCs/>
        </w:rPr>
        <w:t>8</w:t>
      </w:r>
      <w:r>
        <w:rPr>
          <w:rFonts w:hint="eastAsia" w:ascii="宋体" w:hAnsi="宋体"/>
          <w:bCs/>
        </w:rPr>
        <w:t>.7</w:t>
      </w:r>
      <w:r>
        <w:rPr>
          <w:rFonts w:ascii="宋体" w:hAnsi="宋体"/>
          <w:bCs/>
        </w:rPr>
        <w:t xml:space="preserve"> </w:t>
      </w:r>
      <w:r>
        <w:rPr>
          <w:rFonts w:hint="eastAsia" w:ascii="宋体" w:hAnsi="宋体"/>
          <w:bCs/>
        </w:rPr>
        <w:t>输出响应要求</w:t>
      </w:r>
    </w:p>
    <w:p>
      <w:pPr>
        <w:ind w:firstLine="411" w:firstLineChars="196"/>
        <w:jc w:val="left"/>
        <w:rPr>
          <w:rFonts w:ascii="宋体" w:hAnsi="宋体"/>
          <w:bCs/>
        </w:rPr>
      </w:pPr>
      <w:r>
        <w:rPr>
          <w:rFonts w:hint="eastAsia" w:ascii="宋体" w:hAnsi="宋体"/>
          <w:bCs/>
        </w:rPr>
        <w:t>在充电阶段，车辆向充电机实时发送电池充电需求参数，充电机应最长在1s以内将充电电压和充电电流调整到与车辆发送的电池充电需求命令值相一致，充电机根据电池充电需求参数实时调整充电电压和充电电流。</w:t>
      </w:r>
    </w:p>
    <w:p>
      <w:pPr>
        <w:outlineLvl w:val="2"/>
        <w:rPr>
          <w:rFonts w:ascii="宋体" w:hAnsi="宋体"/>
          <w:b/>
          <w:bCs/>
        </w:rPr>
      </w:pPr>
      <w:bookmarkStart w:id="480" w:name="_Toc142752174"/>
      <w:r>
        <w:rPr>
          <w:rFonts w:ascii="宋体" w:hAnsi="宋体"/>
          <w:b/>
          <w:bCs/>
        </w:rPr>
        <w:t>9</w:t>
      </w:r>
      <w:r>
        <w:rPr>
          <w:rFonts w:hint="eastAsia" w:ascii="宋体" w:hAnsi="宋体"/>
          <w:b/>
          <w:bCs/>
        </w:rPr>
        <w:t>、待机功耗</w:t>
      </w:r>
      <w:bookmarkEnd w:id="480"/>
    </w:p>
    <w:p>
      <w:pPr>
        <w:ind w:firstLine="411" w:firstLineChars="196"/>
        <w:jc w:val="left"/>
        <w:rPr>
          <w:rFonts w:ascii="宋体" w:hAnsi="宋体"/>
          <w:bCs/>
        </w:rPr>
      </w:pPr>
      <w:r>
        <w:rPr>
          <w:rFonts w:hint="eastAsia" w:ascii="宋体" w:hAnsi="宋体"/>
          <w:bCs/>
        </w:rPr>
        <w:t>在额定输入电压下，当充电机处于待机状态时，其整机功耗不应大于N*</w:t>
      </w:r>
      <w:r>
        <w:rPr>
          <w:rFonts w:ascii="宋体" w:hAnsi="宋体"/>
          <w:bCs/>
        </w:rPr>
        <w:t>50</w:t>
      </w:r>
      <w:r>
        <w:rPr>
          <w:rFonts w:hint="eastAsia" w:ascii="宋体" w:hAnsi="宋体"/>
          <w:bCs/>
        </w:rPr>
        <w:t>（N等于充电接口）。</w:t>
      </w:r>
    </w:p>
    <w:p>
      <w:pPr>
        <w:outlineLvl w:val="2"/>
        <w:rPr>
          <w:rFonts w:ascii="宋体" w:hAnsi="宋体"/>
          <w:b/>
          <w:bCs/>
        </w:rPr>
      </w:pPr>
      <w:bookmarkStart w:id="481" w:name="_Toc142752175"/>
      <w:r>
        <w:rPr>
          <w:rFonts w:ascii="宋体" w:hAnsi="宋体"/>
          <w:b/>
          <w:bCs/>
        </w:rPr>
        <w:t>10</w:t>
      </w:r>
      <w:r>
        <w:rPr>
          <w:rFonts w:hint="eastAsia" w:ascii="宋体" w:hAnsi="宋体"/>
          <w:b/>
          <w:bCs/>
        </w:rPr>
        <w:t>、效率和功率因数</w:t>
      </w:r>
      <w:bookmarkEnd w:id="481"/>
    </w:p>
    <w:p>
      <w:pPr>
        <w:ind w:firstLine="411" w:firstLineChars="196"/>
        <w:jc w:val="left"/>
        <w:rPr>
          <w:rFonts w:ascii="宋体" w:hAnsi="宋体"/>
          <w:bCs/>
        </w:rPr>
      </w:pPr>
      <w:r>
        <w:rPr>
          <w:rFonts w:hint="eastAsia" w:ascii="宋体" w:hAnsi="宋体"/>
          <w:bCs/>
        </w:rPr>
        <w:t>在额定输入电压及直流输出电压限制在规定的相应调节范围内，调节输出电流使输出功率在20%～100%之间变化，充电机效率和功率因数不应低于表</w:t>
      </w:r>
      <w:r>
        <w:rPr>
          <w:rFonts w:ascii="宋体" w:hAnsi="宋体"/>
          <w:bCs/>
        </w:rPr>
        <w:t>4</w:t>
      </w:r>
      <w:r>
        <w:rPr>
          <w:rFonts w:hint="eastAsia" w:ascii="宋体" w:hAnsi="宋体"/>
          <w:bCs/>
        </w:rPr>
        <w:t>的要求。</w:t>
      </w:r>
    </w:p>
    <w:p>
      <w:pPr>
        <w:spacing w:before="156" w:beforeLines="50" w:after="156" w:afterLines="50"/>
        <w:jc w:val="center"/>
        <w:rPr>
          <w:rFonts w:ascii="宋体" w:hAnsi="宋体"/>
          <w:kern w:val="0"/>
        </w:rPr>
      </w:pPr>
      <w:r>
        <w:rPr>
          <w:rFonts w:hint="eastAsia" w:ascii="宋体" w:hAnsi="宋体"/>
          <w:kern w:val="0"/>
        </w:rPr>
        <w:t>表</w:t>
      </w:r>
      <w:r>
        <w:rPr>
          <w:rFonts w:ascii="宋体" w:hAnsi="宋体"/>
          <w:kern w:val="0"/>
        </w:rPr>
        <w:t>4</w:t>
      </w:r>
      <w:r>
        <w:rPr>
          <w:rFonts w:hint="eastAsia" w:ascii="宋体" w:hAnsi="宋体"/>
          <w:kern w:val="0"/>
        </w:rPr>
        <w:t xml:space="preserve">  充电机效率和功率因数</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79"/>
        <w:gridCol w:w="3215"/>
        <w:gridCol w:w="27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2" w:hRule="atLeast"/>
          <w:jc w:val="center"/>
        </w:trPr>
        <w:tc>
          <w:tcPr>
            <w:tcW w:w="3179" w:type="dxa"/>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输出功率</w:t>
            </w:r>
          </w:p>
        </w:tc>
        <w:tc>
          <w:tcPr>
            <w:tcW w:w="3215" w:type="dxa"/>
            <w:tcBorders>
              <w:right w:val="single" w:color="auto" w:sz="4" w:space="0"/>
            </w:tcBorders>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功率因数</w:t>
            </w:r>
          </w:p>
        </w:tc>
        <w:tc>
          <w:tcPr>
            <w:tcW w:w="2724" w:type="dxa"/>
            <w:tcBorders>
              <w:left w:val="single" w:color="auto" w:sz="4" w:space="0"/>
            </w:tcBorders>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效率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 w:hRule="atLeast"/>
          <w:jc w:val="center"/>
        </w:trPr>
        <w:tc>
          <w:tcPr>
            <w:tcW w:w="3179" w:type="dxa"/>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20%≤Po</w:t>
            </w:r>
            <w:r>
              <w:rPr>
                <w:rFonts w:hint="eastAsia" w:ascii="宋体" w:hAnsi="宋体"/>
                <w:kern w:val="0"/>
              </w:rPr>
              <w:t>≤</w:t>
            </w:r>
            <w:r>
              <w:rPr>
                <w:rFonts w:ascii="宋体" w:hAnsi="宋体"/>
                <w:kern w:val="0"/>
              </w:rPr>
              <w:t>50%</w:t>
            </w:r>
          </w:p>
        </w:tc>
        <w:tc>
          <w:tcPr>
            <w:tcW w:w="3215" w:type="dxa"/>
            <w:tcBorders>
              <w:right w:val="single" w:color="auto" w:sz="4" w:space="0"/>
            </w:tcBorders>
            <w:vAlign w:val="center"/>
          </w:tcPr>
          <w:p>
            <w:pPr>
              <w:jc w:val="center"/>
              <w:rPr>
                <w:rFonts w:ascii="宋体" w:hAnsi="宋体"/>
                <w:kern w:val="0"/>
              </w:rPr>
            </w:pPr>
            <w:r>
              <w:rPr>
                <w:rFonts w:ascii="宋体" w:hAnsi="宋体"/>
                <w:kern w:val="0"/>
              </w:rPr>
              <w:t>0.95</w:t>
            </w:r>
          </w:p>
        </w:tc>
        <w:tc>
          <w:tcPr>
            <w:tcW w:w="2724" w:type="dxa"/>
            <w:tcBorders>
              <w:left w:val="single" w:color="auto" w:sz="4" w:space="0"/>
            </w:tcBorders>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 w:hRule="atLeast"/>
          <w:jc w:val="center"/>
        </w:trPr>
        <w:tc>
          <w:tcPr>
            <w:tcW w:w="3179" w:type="dxa"/>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50%</w:t>
            </w:r>
            <w:r>
              <w:rPr>
                <w:rFonts w:hint="eastAsia" w:ascii="宋体" w:hAnsi="宋体"/>
                <w:kern w:val="0"/>
              </w:rPr>
              <w:t>＜</w:t>
            </w:r>
            <w:r>
              <w:rPr>
                <w:rFonts w:ascii="宋体" w:hAnsi="宋体"/>
                <w:kern w:val="0"/>
              </w:rPr>
              <w:t>Po≤100%</w:t>
            </w:r>
          </w:p>
        </w:tc>
        <w:tc>
          <w:tcPr>
            <w:tcW w:w="3215" w:type="dxa"/>
            <w:tcBorders>
              <w:right w:val="single" w:color="auto" w:sz="4" w:space="0"/>
            </w:tcBorders>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0.98</w:t>
            </w:r>
          </w:p>
        </w:tc>
        <w:tc>
          <w:tcPr>
            <w:tcW w:w="2724" w:type="dxa"/>
            <w:tcBorders>
              <w:left w:val="single" w:color="auto" w:sz="4" w:space="0"/>
            </w:tcBorders>
            <w:vAlign w:val="center"/>
          </w:tcPr>
          <w:p>
            <w:pPr>
              <w:tabs>
                <w:tab w:val="center" w:pos="4201"/>
                <w:tab w:val="right" w:leader="dot" w:pos="9298"/>
              </w:tabs>
              <w:autoSpaceDE w:val="0"/>
              <w:autoSpaceDN w:val="0"/>
              <w:jc w:val="center"/>
              <w:rPr>
                <w:rFonts w:ascii="宋体" w:hAnsi="宋体"/>
                <w:kern w:val="0"/>
              </w:rPr>
            </w:pPr>
            <w:r>
              <w:rPr>
                <w:rFonts w:ascii="宋体" w:hAnsi="宋体"/>
                <w:kern w:val="0"/>
              </w:rPr>
              <w:t>93%</w:t>
            </w:r>
          </w:p>
        </w:tc>
      </w:tr>
    </w:tbl>
    <w:p>
      <w:pPr>
        <w:ind w:firstLine="411" w:firstLineChars="196"/>
        <w:jc w:val="left"/>
        <w:rPr>
          <w:rFonts w:ascii="宋体" w:hAnsi="宋体"/>
          <w:bCs/>
        </w:rPr>
      </w:pPr>
    </w:p>
    <w:p>
      <w:pPr>
        <w:outlineLvl w:val="2"/>
        <w:rPr>
          <w:rFonts w:ascii="宋体" w:hAnsi="宋体"/>
          <w:b/>
          <w:bCs/>
        </w:rPr>
      </w:pPr>
      <w:bookmarkStart w:id="482" w:name="_Toc142752176"/>
      <w:r>
        <w:rPr>
          <w:rFonts w:ascii="宋体" w:hAnsi="宋体"/>
          <w:b/>
          <w:bCs/>
        </w:rPr>
        <w:t>11</w:t>
      </w:r>
      <w:r>
        <w:rPr>
          <w:rFonts w:hint="eastAsia" w:ascii="宋体" w:hAnsi="宋体"/>
          <w:b/>
          <w:bCs/>
        </w:rPr>
        <w:t>、噪声</w:t>
      </w:r>
      <w:bookmarkEnd w:id="482"/>
    </w:p>
    <w:p>
      <w:pPr>
        <w:ind w:firstLine="411" w:firstLineChars="196"/>
        <w:jc w:val="left"/>
        <w:rPr>
          <w:rFonts w:ascii="宋体" w:hAnsi="宋体"/>
          <w:bCs/>
        </w:rPr>
      </w:pPr>
      <w:r>
        <w:rPr>
          <w:rFonts w:hint="eastAsia" w:ascii="宋体" w:hAnsi="宋体"/>
          <w:bCs/>
        </w:rPr>
        <w:t>充电机的噪声最大值应不大于</w:t>
      </w:r>
      <w:r>
        <w:rPr>
          <w:rFonts w:ascii="宋体" w:hAnsi="宋体"/>
          <w:bCs/>
        </w:rPr>
        <w:t>80</w:t>
      </w:r>
      <w:r>
        <w:rPr>
          <w:rFonts w:hint="eastAsia" w:ascii="宋体" w:hAnsi="宋体"/>
          <w:bCs/>
        </w:rPr>
        <w:t>dB（A级）。</w:t>
      </w:r>
    </w:p>
    <w:p>
      <w:pPr>
        <w:outlineLvl w:val="2"/>
        <w:rPr>
          <w:rFonts w:ascii="宋体" w:hAnsi="宋体"/>
          <w:b/>
          <w:bCs/>
        </w:rPr>
      </w:pPr>
      <w:bookmarkStart w:id="483" w:name="_Toc142752177"/>
      <w:r>
        <w:rPr>
          <w:rFonts w:ascii="宋体" w:hAnsi="宋体"/>
          <w:b/>
          <w:bCs/>
        </w:rPr>
        <w:t>12</w:t>
      </w:r>
      <w:r>
        <w:rPr>
          <w:rFonts w:hint="eastAsia" w:ascii="宋体" w:hAnsi="宋体"/>
          <w:b/>
          <w:bCs/>
        </w:rPr>
        <w:t>、温升</w:t>
      </w:r>
      <w:bookmarkEnd w:id="483"/>
    </w:p>
    <w:p>
      <w:pPr>
        <w:ind w:firstLine="411" w:firstLineChars="196"/>
        <w:jc w:val="left"/>
        <w:rPr>
          <w:rFonts w:ascii="宋体" w:hAnsi="宋体"/>
          <w:bCs/>
        </w:rPr>
      </w:pPr>
      <w:r>
        <w:rPr>
          <w:rFonts w:hint="eastAsia" w:ascii="宋体" w:hAnsi="宋体"/>
          <w:bCs/>
        </w:rPr>
        <w:t>正常试验条件下，交流输入为额定值，在额定负载下长期连续运行，充电机内部各发热元器件及各部位的温升不应超过表</w:t>
      </w:r>
      <w:r>
        <w:rPr>
          <w:rFonts w:ascii="宋体" w:hAnsi="宋体"/>
          <w:bCs/>
        </w:rPr>
        <w:t>5</w:t>
      </w:r>
      <w:r>
        <w:rPr>
          <w:rFonts w:hint="eastAsia" w:ascii="宋体" w:hAnsi="宋体"/>
          <w:bCs/>
        </w:rPr>
        <w:t>中的规定。</w:t>
      </w:r>
    </w:p>
    <w:p>
      <w:pPr>
        <w:pStyle w:val="32"/>
        <w:spacing w:before="0" w:beforeLines="0"/>
        <w:rPr>
          <w:rFonts w:ascii="宋体" w:hAnsi="宋体" w:eastAsia="宋体"/>
          <w:sz w:val="24"/>
          <w:szCs w:val="24"/>
        </w:rPr>
      </w:pPr>
      <w:r>
        <w:rPr>
          <w:rFonts w:hint="eastAsia" w:ascii="宋体" w:hAnsi="宋体" w:eastAsia="宋体"/>
          <w:sz w:val="24"/>
          <w:szCs w:val="24"/>
        </w:rPr>
        <w:t>表</w:t>
      </w:r>
      <w:r>
        <w:rPr>
          <w:rFonts w:ascii="宋体" w:hAnsi="宋体" w:eastAsia="宋体"/>
          <w:sz w:val="24"/>
          <w:szCs w:val="24"/>
        </w:rPr>
        <w:t>5</w:t>
      </w:r>
      <w:r>
        <w:rPr>
          <w:rFonts w:hint="eastAsia" w:ascii="宋体" w:hAnsi="宋体" w:eastAsia="宋体"/>
          <w:sz w:val="24"/>
          <w:szCs w:val="24"/>
        </w:rPr>
        <w:t xml:space="preserve"> 充电机各部件极限温升</w:t>
      </w:r>
    </w:p>
    <w:tbl>
      <w:tblPr>
        <w:tblStyle w:val="16"/>
        <w:tblW w:w="0" w:type="auto"/>
        <w:jc w:val="center"/>
        <w:tblLayout w:type="fixed"/>
        <w:tblCellMar>
          <w:top w:w="0" w:type="dxa"/>
          <w:left w:w="108" w:type="dxa"/>
          <w:bottom w:w="0" w:type="dxa"/>
          <w:right w:w="108" w:type="dxa"/>
        </w:tblCellMar>
      </w:tblPr>
      <w:tblGrid>
        <w:gridCol w:w="5303"/>
        <w:gridCol w:w="3815"/>
      </w:tblGrid>
      <w:tr>
        <w:trPr>
          <w:trHeight w:val="124"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ascii="宋体" w:hAnsi="宋体"/>
                <w:kern w:val="0"/>
              </w:rPr>
              <w:t>部 件 或 器 件</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ascii="宋体" w:hAnsi="宋体"/>
                <w:kern w:val="0"/>
              </w:rPr>
              <w:t>极 限 温 升（K）</w:t>
            </w:r>
          </w:p>
        </w:tc>
      </w:tr>
      <w:tr>
        <w:tblPrEx>
          <w:tblCellMar>
            <w:top w:w="0" w:type="dxa"/>
            <w:left w:w="108" w:type="dxa"/>
            <w:bottom w:w="0" w:type="dxa"/>
            <w:right w:w="108" w:type="dxa"/>
          </w:tblCellMar>
        </w:tblPrEx>
        <w:trPr>
          <w:trHeight w:val="186"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动力电源输入端子</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5</w:t>
            </w:r>
            <w:r>
              <w:rPr>
                <w:rFonts w:ascii="宋体" w:hAnsi="宋体"/>
                <w:kern w:val="0"/>
              </w:rPr>
              <w:t>0</w:t>
            </w:r>
          </w:p>
        </w:tc>
      </w:tr>
      <w:tr>
        <w:tblPrEx>
          <w:tblCellMar>
            <w:top w:w="0" w:type="dxa"/>
            <w:left w:w="108" w:type="dxa"/>
            <w:bottom w:w="0" w:type="dxa"/>
            <w:right w:w="108" w:type="dxa"/>
          </w:tblCellMar>
        </w:tblPrEx>
        <w:trPr>
          <w:trHeight w:val="186"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输入断路器、接触器接线端子</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5</w:t>
            </w:r>
            <w:r>
              <w:rPr>
                <w:rFonts w:ascii="宋体" w:hAnsi="宋体"/>
                <w:kern w:val="0"/>
              </w:rPr>
              <w:t>0</w:t>
            </w:r>
          </w:p>
        </w:tc>
      </w:tr>
      <w:tr>
        <w:tblPrEx>
          <w:tblCellMar>
            <w:top w:w="0" w:type="dxa"/>
            <w:left w:w="108" w:type="dxa"/>
            <w:bottom w:w="0" w:type="dxa"/>
            <w:right w:w="108" w:type="dxa"/>
          </w:tblCellMar>
        </w:tblPrEx>
        <w:trPr>
          <w:trHeight w:val="186"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塑料绝缘线</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2</w:t>
            </w:r>
            <w:r>
              <w:rPr>
                <w:rFonts w:ascii="宋体" w:hAnsi="宋体"/>
                <w:kern w:val="0"/>
              </w:rPr>
              <w:t>5</w:t>
            </w:r>
          </w:p>
        </w:tc>
      </w:tr>
      <w:tr>
        <w:tblPrEx>
          <w:tblCellMar>
            <w:top w:w="0" w:type="dxa"/>
            <w:left w:w="108" w:type="dxa"/>
            <w:bottom w:w="0" w:type="dxa"/>
            <w:right w:w="108" w:type="dxa"/>
          </w:tblCellMar>
        </w:tblPrEx>
        <w:trPr>
          <w:trHeight w:val="211"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充电模块输入输出连接端子</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5</w:t>
            </w:r>
            <w:r>
              <w:rPr>
                <w:rFonts w:ascii="宋体" w:hAnsi="宋体"/>
                <w:kern w:val="0"/>
              </w:rPr>
              <w:t>0</w:t>
            </w:r>
          </w:p>
        </w:tc>
      </w:tr>
      <w:tr>
        <w:tblPrEx>
          <w:tblCellMar>
            <w:top w:w="0" w:type="dxa"/>
            <w:left w:w="108" w:type="dxa"/>
            <w:bottom w:w="0" w:type="dxa"/>
            <w:right w:w="108" w:type="dxa"/>
          </w:tblCellMar>
        </w:tblPrEx>
        <w:trPr>
          <w:trHeight w:val="161"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功率电阻</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2</w:t>
            </w:r>
            <w:r>
              <w:rPr>
                <w:rFonts w:ascii="宋体" w:hAnsi="宋体"/>
                <w:kern w:val="0"/>
              </w:rPr>
              <w:t>5</w:t>
            </w:r>
            <w:r>
              <w:rPr>
                <w:rFonts w:hint="eastAsia" w:ascii="宋体" w:hAnsi="宋体"/>
                <w:kern w:val="0"/>
              </w:rPr>
              <w:t>（距外表3</w:t>
            </w:r>
            <w:r>
              <w:rPr>
                <w:rFonts w:ascii="宋体" w:hAnsi="宋体"/>
                <w:kern w:val="0"/>
              </w:rPr>
              <w:t>0mm</w:t>
            </w:r>
            <w:r>
              <w:rPr>
                <w:rFonts w:hint="eastAsia" w:ascii="宋体" w:hAnsi="宋体"/>
                <w:kern w:val="0"/>
              </w:rPr>
              <w:t>处空间）</w:t>
            </w:r>
          </w:p>
        </w:tc>
      </w:tr>
      <w:tr>
        <w:tblPrEx>
          <w:tblCellMar>
            <w:top w:w="0" w:type="dxa"/>
            <w:left w:w="108" w:type="dxa"/>
            <w:bottom w:w="0" w:type="dxa"/>
            <w:right w:w="108" w:type="dxa"/>
          </w:tblCellMar>
        </w:tblPrEx>
        <w:trPr>
          <w:trHeight w:val="111"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电流采样分流器端子连接处</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7</w:t>
            </w:r>
            <w:r>
              <w:rPr>
                <w:rFonts w:ascii="宋体" w:hAnsi="宋体"/>
                <w:kern w:val="0"/>
              </w:rPr>
              <w:t>0</w:t>
            </w:r>
          </w:p>
        </w:tc>
      </w:tr>
      <w:tr>
        <w:tblPrEx>
          <w:tblCellMar>
            <w:top w:w="0" w:type="dxa"/>
            <w:left w:w="108" w:type="dxa"/>
            <w:bottom w:w="0" w:type="dxa"/>
            <w:right w:w="108" w:type="dxa"/>
          </w:tblCellMar>
        </w:tblPrEx>
        <w:trPr>
          <w:trHeight w:val="644"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熔断器端子连接处</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7</w:t>
            </w:r>
            <w:r>
              <w:rPr>
                <w:rFonts w:ascii="宋体" w:hAnsi="宋体"/>
                <w:kern w:val="0"/>
              </w:rPr>
              <w:t>0</w:t>
            </w:r>
          </w:p>
        </w:tc>
      </w:tr>
      <w:tr>
        <w:tblPrEx>
          <w:tblCellMar>
            <w:top w:w="0" w:type="dxa"/>
            <w:left w:w="108" w:type="dxa"/>
            <w:bottom w:w="0" w:type="dxa"/>
            <w:right w:w="108" w:type="dxa"/>
          </w:tblCellMar>
        </w:tblPrEx>
        <w:trPr>
          <w:trHeight w:val="644"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直流接触器外壳与极柱</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5</w:t>
            </w:r>
            <w:r>
              <w:rPr>
                <w:rFonts w:ascii="宋体" w:hAnsi="宋体"/>
                <w:kern w:val="0"/>
              </w:rPr>
              <w:t>0</w:t>
            </w:r>
          </w:p>
        </w:tc>
      </w:tr>
      <w:tr>
        <w:tblPrEx>
          <w:tblCellMar>
            <w:top w:w="0" w:type="dxa"/>
            <w:left w:w="108" w:type="dxa"/>
            <w:bottom w:w="0" w:type="dxa"/>
            <w:right w:w="108" w:type="dxa"/>
          </w:tblCellMar>
        </w:tblPrEx>
        <w:trPr>
          <w:trHeight w:val="644" w:hRule="atLeast"/>
          <w:jc w:val="center"/>
        </w:trPr>
        <w:tc>
          <w:tcPr>
            <w:tcW w:w="5303"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直流输出接线端子</w:t>
            </w:r>
          </w:p>
        </w:tc>
        <w:tc>
          <w:tcPr>
            <w:tcW w:w="3815"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jc w:val="center"/>
              <w:rPr>
                <w:rFonts w:ascii="宋体" w:hAnsi="宋体"/>
                <w:kern w:val="0"/>
              </w:rPr>
            </w:pPr>
            <w:r>
              <w:rPr>
                <w:rFonts w:hint="eastAsia" w:ascii="宋体" w:hAnsi="宋体"/>
                <w:kern w:val="0"/>
              </w:rPr>
              <w:t>5</w:t>
            </w:r>
            <w:r>
              <w:rPr>
                <w:rFonts w:ascii="宋体" w:hAnsi="宋体"/>
                <w:kern w:val="0"/>
              </w:rPr>
              <w:t>0</w:t>
            </w:r>
          </w:p>
        </w:tc>
      </w:tr>
    </w:tbl>
    <w:p>
      <w:pPr>
        <w:ind w:firstLine="411" w:firstLineChars="196"/>
        <w:jc w:val="left"/>
        <w:rPr>
          <w:rFonts w:ascii="宋体" w:hAnsi="宋体"/>
          <w:bCs/>
        </w:rPr>
      </w:pPr>
    </w:p>
    <w:p>
      <w:pPr>
        <w:outlineLvl w:val="2"/>
        <w:rPr>
          <w:rFonts w:ascii="宋体" w:hAnsi="宋体"/>
          <w:b/>
          <w:bCs/>
        </w:rPr>
      </w:pPr>
      <w:bookmarkStart w:id="484" w:name="_Toc142752178"/>
      <w:r>
        <w:rPr>
          <w:rFonts w:ascii="宋体" w:hAnsi="宋体"/>
          <w:b/>
          <w:bCs/>
        </w:rPr>
        <w:t>13</w:t>
      </w:r>
      <w:r>
        <w:rPr>
          <w:rFonts w:hint="eastAsia" w:ascii="宋体" w:hAnsi="宋体"/>
          <w:b/>
          <w:bCs/>
        </w:rPr>
        <w:t>、高低温和湿热性能</w:t>
      </w:r>
      <w:bookmarkEnd w:id="484"/>
    </w:p>
    <w:p>
      <w:pPr>
        <w:ind w:firstLine="411" w:firstLineChars="196"/>
        <w:jc w:val="left"/>
        <w:rPr>
          <w:rFonts w:ascii="宋体" w:hAnsi="宋体"/>
          <w:bCs/>
        </w:rPr>
      </w:pPr>
      <w:r>
        <w:rPr>
          <w:rFonts w:hint="eastAsia" w:ascii="宋体" w:hAnsi="宋体"/>
          <w:bCs/>
        </w:rPr>
        <w:t>1</w:t>
      </w:r>
      <w:r>
        <w:rPr>
          <w:rFonts w:ascii="宋体" w:hAnsi="宋体"/>
          <w:bCs/>
        </w:rPr>
        <w:t>3</w:t>
      </w:r>
      <w:r>
        <w:rPr>
          <w:rFonts w:hint="eastAsia" w:ascii="宋体" w:hAnsi="宋体"/>
          <w:bCs/>
        </w:rPr>
        <w:t>.1</w:t>
      </w:r>
      <w:r>
        <w:rPr>
          <w:rFonts w:ascii="宋体" w:hAnsi="宋体"/>
          <w:bCs/>
        </w:rPr>
        <w:t xml:space="preserve"> </w:t>
      </w:r>
      <w:r>
        <w:rPr>
          <w:rFonts w:hint="eastAsia" w:ascii="宋体" w:hAnsi="宋体"/>
          <w:bCs/>
        </w:rPr>
        <w:t>低温性能</w:t>
      </w:r>
    </w:p>
    <w:p>
      <w:pPr>
        <w:ind w:firstLine="411" w:firstLineChars="196"/>
        <w:jc w:val="left"/>
        <w:rPr>
          <w:rFonts w:ascii="宋体" w:hAnsi="宋体"/>
          <w:bCs/>
        </w:rPr>
      </w:pPr>
      <w:r>
        <w:rPr>
          <w:rFonts w:hint="eastAsia" w:ascii="宋体" w:hAnsi="宋体"/>
          <w:bCs/>
        </w:rPr>
        <w:t>按GB/T 2423.1-2008中试验Ad规定的方法进行试验，试验温度为规定的下限值，待达到试验温度后启动充电机，充电机应能正常工作。试验温度持续2小时后，测试充电机的稳流精度应符合的规定。</w:t>
      </w:r>
    </w:p>
    <w:p>
      <w:pPr>
        <w:ind w:firstLine="411" w:firstLineChars="196"/>
        <w:jc w:val="left"/>
        <w:rPr>
          <w:rFonts w:ascii="宋体" w:hAnsi="宋体"/>
          <w:bCs/>
        </w:rPr>
      </w:pPr>
      <w:r>
        <w:rPr>
          <w:rFonts w:hint="eastAsia" w:ascii="宋体" w:hAnsi="宋体"/>
          <w:bCs/>
        </w:rPr>
        <w:t>1</w:t>
      </w:r>
      <w:r>
        <w:rPr>
          <w:rFonts w:ascii="宋体" w:hAnsi="宋体"/>
          <w:bCs/>
        </w:rPr>
        <w:t>3</w:t>
      </w:r>
      <w:r>
        <w:rPr>
          <w:rFonts w:hint="eastAsia" w:ascii="宋体" w:hAnsi="宋体"/>
          <w:bCs/>
        </w:rPr>
        <w:t>.2 高温性能</w:t>
      </w:r>
    </w:p>
    <w:p>
      <w:pPr>
        <w:ind w:firstLine="411" w:firstLineChars="196"/>
        <w:jc w:val="left"/>
        <w:rPr>
          <w:rFonts w:ascii="宋体" w:hAnsi="宋体"/>
          <w:bCs/>
        </w:rPr>
      </w:pPr>
      <w:r>
        <w:rPr>
          <w:rFonts w:hint="eastAsia" w:ascii="宋体" w:hAnsi="宋体"/>
          <w:bCs/>
        </w:rPr>
        <w:t>按GB/T 2423.2-2008中试验Bd规定的方法进行试验，试验温度为规定的上限值，待达到试验温度后启动充电机，充电机应能正常工作。试验温度持续2小时后，测试充电机的稳流精度应符合的规定。</w:t>
      </w:r>
    </w:p>
    <w:p>
      <w:pPr>
        <w:ind w:firstLine="411" w:firstLineChars="196"/>
        <w:jc w:val="left"/>
        <w:rPr>
          <w:rFonts w:ascii="宋体" w:hAnsi="宋体"/>
          <w:bCs/>
        </w:rPr>
      </w:pPr>
      <w:r>
        <w:rPr>
          <w:rFonts w:hint="eastAsia" w:ascii="宋体" w:hAnsi="宋体"/>
          <w:bCs/>
        </w:rPr>
        <w:t>1</w:t>
      </w:r>
      <w:r>
        <w:rPr>
          <w:rFonts w:ascii="宋体" w:hAnsi="宋体"/>
          <w:bCs/>
        </w:rPr>
        <w:t>3</w:t>
      </w:r>
      <w:r>
        <w:rPr>
          <w:rFonts w:hint="eastAsia" w:ascii="宋体" w:hAnsi="宋体"/>
          <w:bCs/>
        </w:rPr>
        <w:t>.3</w:t>
      </w:r>
      <w:r>
        <w:rPr>
          <w:rFonts w:ascii="宋体" w:hAnsi="宋体"/>
          <w:bCs/>
        </w:rPr>
        <w:t xml:space="preserve"> </w:t>
      </w:r>
      <w:r>
        <w:rPr>
          <w:rFonts w:hint="eastAsia" w:ascii="宋体" w:hAnsi="宋体"/>
          <w:bCs/>
        </w:rPr>
        <w:t>湿热性能</w:t>
      </w:r>
    </w:p>
    <w:p>
      <w:pPr>
        <w:ind w:firstLine="411" w:firstLineChars="196"/>
        <w:jc w:val="left"/>
        <w:rPr>
          <w:rFonts w:ascii="宋体" w:hAnsi="宋体"/>
          <w:bCs/>
        </w:rPr>
      </w:pPr>
      <w:r>
        <w:rPr>
          <w:rFonts w:hint="eastAsia" w:ascii="宋体" w:hAnsi="宋体"/>
          <w:bCs/>
        </w:rPr>
        <w:t>按GB/T 2423.4-2008中试验Db规定的方法进行试验，试验温度为（40±2）℃，循环次数为2次，在试验结束前2h进行绝缘电阻和介电强度检测，其中绝缘电阻不应小于1MΩ，介电强度按表3规定值的75％施加测量电压。试验结束后，恢复至正常大气条件，通电后检查充电机各项功能应正常。</w:t>
      </w:r>
    </w:p>
    <w:p>
      <w:pPr>
        <w:outlineLvl w:val="2"/>
        <w:rPr>
          <w:rFonts w:ascii="宋体" w:hAnsi="宋体"/>
          <w:b/>
          <w:bCs/>
        </w:rPr>
      </w:pPr>
      <w:bookmarkStart w:id="485" w:name="_Toc142752179"/>
      <w:r>
        <w:rPr>
          <w:rFonts w:ascii="宋体" w:hAnsi="宋体"/>
          <w:b/>
          <w:bCs/>
        </w:rPr>
        <w:t>14</w:t>
      </w:r>
      <w:r>
        <w:rPr>
          <w:rFonts w:hint="eastAsia" w:ascii="宋体" w:hAnsi="宋体"/>
          <w:b/>
          <w:bCs/>
        </w:rPr>
        <w:t>、机械强度</w:t>
      </w:r>
      <w:bookmarkEnd w:id="485"/>
    </w:p>
    <w:p>
      <w:pPr>
        <w:ind w:firstLine="411" w:firstLineChars="196"/>
        <w:jc w:val="left"/>
        <w:rPr>
          <w:rFonts w:ascii="宋体" w:hAnsi="宋体"/>
          <w:bCs/>
        </w:rPr>
      </w:pPr>
      <w:r>
        <w:rPr>
          <w:rFonts w:hint="eastAsia" w:ascii="宋体" w:hAnsi="宋体"/>
          <w:bCs/>
        </w:rPr>
        <w:t>按GB/T 2423.55-2006规定的方法进行试验，剧烈冲击能量为20J（5kg，在0.4m）。试验结束后，充电机的IP等级不受影响，绝缘性能不应降低，门的操作和锁止点不应损坏。</w:t>
      </w:r>
    </w:p>
    <w:p>
      <w:pPr>
        <w:outlineLvl w:val="2"/>
        <w:rPr>
          <w:rFonts w:ascii="宋体" w:hAnsi="宋体"/>
          <w:b/>
          <w:bCs/>
        </w:rPr>
      </w:pPr>
      <w:bookmarkStart w:id="486" w:name="_Toc142752180"/>
      <w:r>
        <w:rPr>
          <w:rFonts w:ascii="宋体" w:hAnsi="宋体"/>
          <w:b/>
          <w:bCs/>
        </w:rPr>
        <w:t>15</w:t>
      </w:r>
      <w:r>
        <w:rPr>
          <w:rFonts w:hint="eastAsia" w:ascii="宋体" w:hAnsi="宋体"/>
          <w:b/>
          <w:bCs/>
        </w:rPr>
        <w:t>、电磁兼容</w:t>
      </w:r>
      <w:bookmarkEnd w:id="486"/>
    </w:p>
    <w:p>
      <w:pPr>
        <w:ind w:firstLine="411" w:firstLineChars="196"/>
        <w:jc w:val="left"/>
        <w:rPr>
          <w:rFonts w:ascii="宋体" w:hAnsi="宋体"/>
          <w:bCs/>
        </w:rPr>
      </w:pPr>
      <w:r>
        <w:rPr>
          <w:rFonts w:hint="eastAsia" w:ascii="宋体" w:hAnsi="宋体"/>
          <w:bCs/>
        </w:rPr>
        <w:t>1</w:t>
      </w:r>
      <w:r>
        <w:rPr>
          <w:rFonts w:ascii="宋体" w:hAnsi="宋体"/>
          <w:bCs/>
        </w:rPr>
        <w:t>5</w:t>
      </w:r>
      <w:r>
        <w:rPr>
          <w:rFonts w:hint="eastAsia" w:ascii="宋体" w:hAnsi="宋体"/>
          <w:bCs/>
        </w:rPr>
        <w:t>.1</w:t>
      </w:r>
      <w:r>
        <w:rPr>
          <w:rFonts w:hint="eastAsia" w:ascii="宋体" w:hAnsi="宋体"/>
          <w:bCs/>
        </w:rPr>
        <w:tab/>
      </w:r>
      <w:r>
        <w:rPr>
          <w:rFonts w:hint="eastAsia" w:ascii="宋体" w:hAnsi="宋体"/>
          <w:bCs/>
        </w:rPr>
        <w:t>抗扰度要求</w:t>
      </w:r>
    </w:p>
    <w:p>
      <w:pPr>
        <w:ind w:firstLine="411" w:firstLineChars="196"/>
        <w:jc w:val="left"/>
        <w:rPr>
          <w:rFonts w:ascii="宋体" w:hAnsi="宋体"/>
          <w:bCs/>
        </w:rPr>
      </w:pPr>
      <w:r>
        <w:rPr>
          <w:rFonts w:hint="eastAsia" w:ascii="宋体" w:hAnsi="宋体"/>
          <w:bCs/>
        </w:rPr>
        <w:t>a)</w:t>
      </w:r>
      <w:r>
        <w:rPr>
          <w:rFonts w:hint="eastAsia" w:ascii="宋体" w:hAnsi="宋体"/>
          <w:bCs/>
        </w:rPr>
        <w:tab/>
      </w:r>
      <w:r>
        <w:rPr>
          <w:rFonts w:hint="eastAsia" w:ascii="宋体" w:hAnsi="宋体"/>
          <w:bCs/>
        </w:rPr>
        <w:t>静电放电抗扰度：充电机应能承受GB/T 17626.2-2006中第5章规定的试验等级为3级的静电放电抗扰度试验。</w:t>
      </w:r>
    </w:p>
    <w:p>
      <w:pPr>
        <w:ind w:firstLine="411" w:firstLineChars="196"/>
        <w:jc w:val="left"/>
        <w:rPr>
          <w:rFonts w:ascii="宋体" w:hAnsi="宋体"/>
          <w:bCs/>
        </w:rPr>
      </w:pPr>
      <w:r>
        <w:rPr>
          <w:rFonts w:hint="eastAsia" w:ascii="宋体" w:hAnsi="宋体"/>
          <w:bCs/>
        </w:rPr>
        <w:t>b)</w:t>
      </w:r>
      <w:r>
        <w:rPr>
          <w:rFonts w:hint="eastAsia" w:ascii="宋体" w:hAnsi="宋体"/>
          <w:bCs/>
        </w:rPr>
        <w:tab/>
      </w:r>
      <w:r>
        <w:rPr>
          <w:rFonts w:hint="eastAsia" w:ascii="宋体" w:hAnsi="宋体"/>
          <w:bCs/>
        </w:rPr>
        <w:t>射频电磁场辐射抗扰度：充电机应能承受GB/T 17626.3-2006中第5章规定的试验等级为3级的射频电磁场辐射抗扰度试验。</w:t>
      </w:r>
    </w:p>
    <w:p>
      <w:pPr>
        <w:ind w:firstLine="411" w:firstLineChars="196"/>
        <w:jc w:val="left"/>
        <w:rPr>
          <w:rFonts w:ascii="宋体" w:hAnsi="宋体"/>
          <w:bCs/>
        </w:rPr>
      </w:pPr>
      <w:r>
        <w:rPr>
          <w:rFonts w:hint="eastAsia" w:ascii="宋体" w:hAnsi="宋体"/>
          <w:bCs/>
        </w:rPr>
        <w:t>c)</w:t>
      </w:r>
      <w:r>
        <w:rPr>
          <w:rFonts w:hint="eastAsia" w:ascii="宋体" w:hAnsi="宋体"/>
          <w:bCs/>
        </w:rPr>
        <w:tab/>
      </w:r>
      <w:r>
        <w:rPr>
          <w:rFonts w:hint="eastAsia" w:ascii="宋体" w:hAnsi="宋体"/>
          <w:bCs/>
        </w:rPr>
        <w:t>电快速瞬变脉冲群抗扰度 ：充电机应能承受GB/T 17626.4-2008中第5章规定的试验等级为3级的电快速瞬变脉冲群抗扰度试验。</w:t>
      </w:r>
    </w:p>
    <w:p>
      <w:pPr>
        <w:ind w:firstLine="411" w:firstLineChars="196"/>
        <w:jc w:val="left"/>
        <w:rPr>
          <w:rFonts w:ascii="宋体" w:hAnsi="宋体"/>
          <w:bCs/>
        </w:rPr>
      </w:pPr>
      <w:r>
        <w:rPr>
          <w:rFonts w:hint="eastAsia" w:ascii="宋体" w:hAnsi="宋体"/>
          <w:bCs/>
        </w:rPr>
        <w:t>d)</w:t>
      </w:r>
      <w:r>
        <w:rPr>
          <w:rFonts w:hint="eastAsia" w:ascii="宋体" w:hAnsi="宋体"/>
          <w:bCs/>
        </w:rPr>
        <w:tab/>
      </w:r>
      <w:r>
        <w:rPr>
          <w:rFonts w:hint="eastAsia" w:ascii="宋体" w:hAnsi="宋体"/>
          <w:bCs/>
        </w:rPr>
        <w:t>浪涌（冲击）抗扰度：充电机应能承受GB/T 17626.5-2008中第5章规定的试验等级为3级的浪涌（冲击）抗扰度试验。</w:t>
      </w:r>
    </w:p>
    <w:p>
      <w:pPr>
        <w:ind w:firstLine="411" w:firstLineChars="196"/>
        <w:jc w:val="left"/>
        <w:rPr>
          <w:rFonts w:ascii="宋体" w:hAnsi="宋体"/>
          <w:bCs/>
        </w:rPr>
      </w:pPr>
      <w:r>
        <w:rPr>
          <w:rFonts w:hint="eastAsia" w:ascii="宋体" w:hAnsi="宋体"/>
          <w:bCs/>
        </w:rPr>
        <w:t>e)</w:t>
      </w:r>
      <w:r>
        <w:rPr>
          <w:rFonts w:hint="eastAsia" w:ascii="宋体" w:hAnsi="宋体"/>
          <w:bCs/>
        </w:rPr>
        <w:tab/>
      </w:r>
      <w:r>
        <w:rPr>
          <w:rFonts w:hint="eastAsia" w:ascii="宋体" w:hAnsi="宋体"/>
          <w:bCs/>
        </w:rPr>
        <w:t>电压暂降、短时中断抗扰度：充电机应能承受GB/T 17626.11-2008中第5章规定的电压试验等级在0%、40%、70%的额定工作电压的电压暂降、短时中断抗扰度试验。</w:t>
      </w:r>
    </w:p>
    <w:p>
      <w:pPr>
        <w:ind w:firstLine="411" w:firstLineChars="196"/>
        <w:jc w:val="left"/>
        <w:rPr>
          <w:rFonts w:ascii="宋体" w:hAnsi="宋体"/>
          <w:bCs/>
        </w:rPr>
      </w:pPr>
      <w:r>
        <w:rPr>
          <w:rFonts w:hint="eastAsia" w:ascii="宋体" w:hAnsi="宋体"/>
          <w:bCs/>
        </w:rPr>
        <w:t>1</w:t>
      </w:r>
      <w:r>
        <w:rPr>
          <w:rFonts w:ascii="宋体" w:hAnsi="宋体"/>
          <w:bCs/>
        </w:rPr>
        <w:t>5</w:t>
      </w:r>
      <w:r>
        <w:rPr>
          <w:rFonts w:hint="eastAsia" w:ascii="宋体" w:hAnsi="宋体"/>
          <w:bCs/>
        </w:rPr>
        <w:t>.2</w:t>
      </w:r>
      <w:r>
        <w:rPr>
          <w:rFonts w:hint="eastAsia" w:ascii="宋体" w:hAnsi="宋体"/>
          <w:bCs/>
        </w:rPr>
        <w:tab/>
      </w:r>
      <w:r>
        <w:rPr>
          <w:rFonts w:hint="eastAsia" w:ascii="宋体" w:hAnsi="宋体"/>
          <w:bCs/>
        </w:rPr>
        <w:t>电磁发射限制要求</w:t>
      </w:r>
    </w:p>
    <w:p>
      <w:pPr>
        <w:ind w:firstLine="411" w:firstLineChars="196"/>
        <w:jc w:val="left"/>
        <w:rPr>
          <w:rFonts w:ascii="宋体" w:hAnsi="宋体"/>
          <w:bCs/>
        </w:rPr>
      </w:pPr>
      <w:r>
        <w:rPr>
          <w:rFonts w:hint="eastAsia" w:ascii="宋体" w:hAnsi="宋体"/>
          <w:bCs/>
        </w:rPr>
        <w:t>a)</w:t>
      </w:r>
      <w:r>
        <w:rPr>
          <w:rFonts w:hint="eastAsia" w:ascii="宋体" w:hAnsi="宋体"/>
          <w:bCs/>
        </w:rPr>
        <w:tab/>
      </w:r>
      <w:r>
        <w:rPr>
          <w:rFonts w:hint="eastAsia" w:ascii="宋体" w:hAnsi="宋体"/>
          <w:bCs/>
        </w:rPr>
        <w:t>传导和辐射发射限值要求：充电机的电源端口应符合表</w:t>
      </w:r>
      <w:r>
        <w:rPr>
          <w:rFonts w:ascii="宋体" w:hAnsi="宋体"/>
          <w:bCs/>
        </w:rPr>
        <w:t>6</w:t>
      </w:r>
      <w:r>
        <w:rPr>
          <w:rFonts w:hint="eastAsia" w:ascii="宋体" w:hAnsi="宋体"/>
          <w:bCs/>
        </w:rPr>
        <w:t>规定的传导发射限值，外壳端口应符合表</w:t>
      </w:r>
      <w:r>
        <w:rPr>
          <w:rFonts w:ascii="宋体" w:hAnsi="宋体"/>
          <w:bCs/>
        </w:rPr>
        <w:t>7</w:t>
      </w:r>
      <w:r>
        <w:rPr>
          <w:rFonts w:hint="eastAsia" w:ascii="宋体" w:hAnsi="宋体"/>
          <w:bCs/>
        </w:rPr>
        <w:t>规定的辐射发射限值。</w:t>
      </w:r>
    </w:p>
    <w:p>
      <w:pPr>
        <w:pStyle w:val="32"/>
        <w:spacing w:before="0" w:beforeLines="0"/>
        <w:rPr>
          <w:rFonts w:ascii="宋体" w:hAnsi="宋体" w:eastAsia="宋体"/>
          <w:sz w:val="24"/>
          <w:szCs w:val="24"/>
        </w:rPr>
      </w:pPr>
      <w:bookmarkStart w:id="487" w:name="_Toc274433940"/>
      <w:r>
        <w:rPr>
          <w:rFonts w:hint="eastAsia" w:ascii="宋体" w:hAnsi="宋体" w:eastAsia="宋体"/>
          <w:sz w:val="24"/>
          <w:szCs w:val="24"/>
        </w:rPr>
        <w:t>表</w:t>
      </w:r>
      <w:r>
        <w:rPr>
          <w:rFonts w:ascii="宋体" w:hAnsi="宋体" w:eastAsia="宋体"/>
          <w:sz w:val="24"/>
          <w:szCs w:val="24"/>
        </w:rPr>
        <w:t>6</w:t>
      </w:r>
      <w:r>
        <w:rPr>
          <w:rFonts w:hint="eastAsia" w:ascii="宋体" w:hAnsi="宋体" w:eastAsia="宋体"/>
          <w:sz w:val="24"/>
          <w:szCs w:val="24"/>
        </w:rPr>
        <w:t xml:space="preserve">  传导发射限值</w:t>
      </w:r>
      <w:bookmarkEnd w:id="487"/>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2934"/>
        <w:gridCol w:w="2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7" w:type="dxa"/>
            <w:vMerge w:val="restart"/>
            <w:vAlign w:val="center"/>
          </w:tcPr>
          <w:p>
            <w:pPr>
              <w:jc w:val="center"/>
              <w:rPr>
                <w:rFonts w:ascii="宋体" w:hAnsi="宋体"/>
                <w:w w:val="80"/>
              </w:rPr>
            </w:pPr>
            <w:r>
              <w:rPr>
                <w:rFonts w:ascii="宋体" w:hAnsi="宋体"/>
              </w:rPr>
              <w:t>频率范围</w:t>
            </w:r>
            <w:r>
              <w:rPr>
                <w:rFonts w:hint="eastAsia" w:ascii="宋体" w:hAnsi="宋体"/>
              </w:rPr>
              <w:t>（</w:t>
            </w:r>
            <w:r>
              <w:rPr>
                <w:rFonts w:ascii="宋体" w:hAnsi="宋体"/>
              </w:rPr>
              <w:t>MHz</w:t>
            </w:r>
            <w:r>
              <w:rPr>
                <w:rFonts w:hint="eastAsia" w:ascii="宋体" w:hAnsi="宋体"/>
              </w:rPr>
              <w:t>）</w:t>
            </w:r>
          </w:p>
        </w:tc>
        <w:tc>
          <w:tcPr>
            <w:tcW w:w="5891" w:type="dxa"/>
            <w:gridSpan w:val="2"/>
            <w:vAlign w:val="center"/>
          </w:tcPr>
          <w:p>
            <w:pPr>
              <w:jc w:val="center"/>
              <w:rPr>
                <w:rFonts w:ascii="宋体" w:hAnsi="宋体"/>
              </w:rPr>
            </w:pPr>
            <w:bookmarkStart w:id="488" w:name="_Toc274433942"/>
            <w:r>
              <w:rPr>
                <w:rFonts w:ascii="宋体" w:hAnsi="宋体"/>
              </w:rPr>
              <w:t>发射限值dB(μV)</w:t>
            </w:r>
            <w:bookmarkEnd w:id="4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227" w:type="dxa"/>
            <w:vMerge w:val="continue"/>
            <w:vAlign w:val="center"/>
          </w:tcPr>
          <w:p>
            <w:pPr>
              <w:jc w:val="center"/>
              <w:rPr>
                <w:rFonts w:ascii="宋体" w:hAnsi="宋体"/>
                <w:w w:val="80"/>
              </w:rPr>
            </w:pPr>
          </w:p>
        </w:tc>
        <w:tc>
          <w:tcPr>
            <w:tcW w:w="2934" w:type="dxa"/>
            <w:vAlign w:val="center"/>
          </w:tcPr>
          <w:p>
            <w:pPr>
              <w:jc w:val="center"/>
              <w:rPr>
                <w:rFonts w:ascii="宋体" w:hAnsi="宋体"/>
              </w:rPr>
            </w:pPr>
            <w:bookmarkStart w:id="489" w:name="_Toc274433943"/>
            <w:r>
              <w:rPr>
                <w:rFonts w:ascii="宋体" w:hAnsi="宋体"/>
              </w:rPr>
              <w:t>准峰值</w:t>
            </w:r>
            <w:bookmarkEnd w:id="489"/>
          </w:p>
        </w:tc>
        <w:tc>
          <w:tcPr>
            <w:tcW w:w="2957" w:type="dxa"/>
            <w:vAlign w:val="center"/>
          </w:tcPr>
          <w:p>
            <w:pPr>
              <w:jc w:val="center"/>
              <w:rPr>
                <w:rFonts w:ascii="宋体" w:hAnsi="宋体"/>
              </w:rPr>
            </w:pPr>
            <w:bookmarkStart w:id="490" w:name="_Toc274433944"/>
            <w:r>
              <w:rPr>
                <w:rFonts w:ascii="宋体" w:hAnsi="宋体"/>
              </w:rPr>
              <w:t>平均值</w:t>
            </w:r>
            <w:bookmarkEnd w:id="4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227" w:type="dxa"/>
            <w:vAlign w:val="center"/>
          </w:tcPr>
          <w:p>
            <w:pPr>
              <w:jc w:val="center"/>
              <w:rPr>
                <w:rFonts w:ascii="宋体" w:hAnsi="宋体"/>
              </w:rPr>
            </w:pPr>
            <w:bookmarkStart w:id="491" w:name="_Toc274433945"/>
            <w:r>
              <w:rPr>
                <w:rFonts w:ascii="宋体" w:hAnsi="宋体"/>
              </w:rPr>
              <w:t>0.15～0.5（不含0.5）</w:t>
            </w:r>
            <w:bookmarkEnd w:id="491"/>
          </w:p>
        </w:tc>
        <w:tc>
          <w:tcPr>
            <w:tcW w:w="2934" w:type="dxa"/>
            <w:vAlign w:val="center"/>
          </w:tcPr>
          <w:p>
            <w:pPr>
              <w:jc w:val="center"/>
              <w:rPr>
                <w:rFonts w:ascii="宋体" w:hAnsi="宋体"/>
              </w:rPr>
            </w:pPr>
            <w:bookmarkStart w:id="492" w:name="_Toc274433946"/>
            <w:r>
              <w:rPr>
                <w:rFonts w:ascii="宋体" w:hAnsi="宋体"/>
              </w:rPr>
              <w:t>79</w:t>
            </w:r>
            <w:bookmarkEnd w:id="492"/>
          </w:p>
        </w:tc>
        <w:tc>
          <w:tcPr>
            <w:tcW w:w="2957" w:type="dxa"/>
            <w:vAlign w:val="center"/>
          </w:tcPr>
          <w:p>
            <w:pPr>
              <w:jc w:val="center"/>
              <w:rPr>
                <w:rFonts w:ascii="宋体" w:hAnsi="宋体"/>
              </w:rPr>
            </w:pPr>
            <w:bookmarkStart w:id="493" w:name="_Toc274433947"/>
            <w:r>
              <w:rPr>
                <w:rFonts w:ascii="宋体" w:hAnsi="宋体"/>
              </w:rPr>
              <w:t>66</w:t>
            </w:r>
            <w:bookmarkEnd w:id="4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3227" w:type="dxa"/>
            <w:vAlign w:val="center"/>
          </w:tcPr>
          <w:p>
            <w:pPr>
              <w:jc w:val="center"/>
              <w:rPr>
                <w:rFonts w:ascii="宋体" w:hAnsi="宋体"/>
              </w:rPr>
            </w:pPr>
            <w:bookmarkStart w:id="494" w:name="_Toc274433948"/>
            <w:r>
              <w:rPr>
                <w:rFonts w:ascii="宋体" w:hAnsi="宋体"/>
              </w:rPr>
              <w:t>0.5～30</w:t>
            </w:r>
            <w:bookmarkEnd w:id="494"/>
          </w:p>
        </w:tc>
        <w:tc>
          <w:tcPr>
            <w:tcW w:w="2934" w:type="dxa"/>
            <w:vAlign w:val="center"/>
          </w:tcPr>
          <w:p>
            <w:pPr>
              <w:jc w:val="center"/>
              <w:rPr>
                <w:rFonts w:ascii="宋体" w:hAnsi="宋体"/>
              </w:rPr>
            </w:pPr>
            <w:bookmarkStart w:id="495" w:name="_Toc274433949"/>
            <w:r>
              <w:rPr>
                <w:rFonts w:ascii="宋体" w:hAnsi="宋体"/>
              </w:rPr>
              <w:t>73</w:t>
            </w:r>
            <w:bookmarkEnd w:id="495"/>
          </w:p>
        </w:tc>
        <w:tc>
          <w:tcPr>
            <w:tcW w:w="2957" w:type="dxa"/>
            <w:vAlign w:val="center"/>
          </w:tcPr>
          <w:p>
            <w:pPr>
              <w:jc w:val="center"/>
              <w:rPr>
                <w:rFonts w:ascii="宋体" w:hAnsi="宋体"/>
              </w:rPr>
            </w:pPr>
            <w:bookmarkStart w:id="496" w:name="_Toc274433950"/>
            <w:r>
              <w:rPr>
                <w:rFonts w:ascii="宋体" w:hAnsi="宋体"/>
              </w:rPr>
              <w:t>60</w:t>
            </w:r>
            <w:bookmarkEnd w:id="496"/>
          </w:p>
        </w:tc>
      </w:tr>
    </w:tbl>
    <w:p>
      <w:pPr>
        <w:pStyle w:val="32"/>
        <w:rPr>
          <w:rFonts w:ascii="宋体" w:hAnsi="宋体" w:eastAsia="宋体"/>
          <w:sz w:val="24"/>
          <w:szCs w:val="24"/>
        </w:rPr>
      </w:pPr>
      <w:bookmarkStart w:id="497" w:name="_Toc274433951"/>
      <w:r>
        <w:rPr>
          <w:rFonts w:hint="eastAsia" w:ascii="宋体" w:hAnsi="宋体" w:eastAsia="宋体"/>
          <w:sz w:val="24"/>
          <w:szCs w:val="24"/>
        </w:rPr>
        <w:t>表</w:t>
      </w:r>
      <w:r>
        <w:rPr>
          <w:rFonts w:ascii="宋体" w:hAnsi="宋体" w:eastAsia="宋体"/>
          <w:sz w:val="24"/>
          <w:szCs w:val="24"/>
        </w:rPr>
        <w:t>7</w:t>
      </w:r>
      <w:r>
        <w:rPr>
          <w:rFonts w:hint="eastAsia" w:ascii="宋体" w:hAnsi="宋体" w:eastAsia="宋体"/>
          <w:sz w:val="24"/>
          <w:szCs w:val="24"/>
        </w:rPr>
        <w:t xml:space="preserve">  辐射发射限值</w:t>
      </w:r>
      <w:bookmarkEnd w:id="497"/>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5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227" w:type="dxa"/>
            <w:vMerge w:val="restart"/>
            <w:vAlign w:val="center"/>
          </w:tcPr>
          <w:p>
            <w:pPr>
              <w:jc w:val="center"/>
              <w:rPr>
                <w:rFonts w:ascii="宋体" w:hAnsi="宋体"/>
              </w:rPr>
            </w:pPr>
            <w:bookmarkStart w:id="498" w:name="_Toc274433952"/>
            <w:r>
              <w:rPr>
                <w:rFonts w:ascii="宋体" w:hAnsi="宋体"/>
              </w:rPr>
              <w:t>频率范围</w:t>
            </w:r>
            <w:r>
              <w:rPr>
                <w:rFonts w:hint="eastAsia" w:ascii="宋体" w:hAnsi="宋体"/>
              </w:rPr>
              <w:t>（</w:t>
            </w:r>
            <w:r>
              <w:rPr>
                <w:rFonts w:ascii="宋体" w:hAnsi="宋体"/>
              </w:rPr>
              <w:t>MHz</w:t>
            </w:r>
            <w:r>
              <w:rPr>
                <w:rFonts w:hint="eastAsia" w:ascii="宋体" w:hAnsi="宋体"/>
              </w:rPr>
              <w:t>）</w:t>
            </w:r>
            <w:bookmarkEnd w:id="498"/>
          </w:p>
        </w:tc>
        <w:tc>
          <w:tcPr>
            <w:tcW w:w="5891" w:type="dxa"/>
            <w:vAlign w:val="center"/>
          </w:tcPr>
          <w:p>
            <w:pPr>
              <w:jc w:val="center"/>
              <w:rPr>
                <w:rFonts w:ascii="宋体" w:hAnsi="宋体"/>
              </w:rPr>
            </w:pPr>
            <w:bookmarkStart w:id="499" w:name="_Toc274433953"/>
            <w:r>
              <w:rPr>
                <w:rFonts w:ascii="宋体" w:hAnsi="宋体"/>
              </w:rPr>
              <w:t>在10 m测量距离处辐射发射限值dB(μV/m)</w:t>
            </w:r>
            <w:bookmarkEnd w:id="4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3227" w:type="dxa"/>
            <w:vMerge w:val="continue"/>
            <w:vAlign w:val="center"/>
          </w:tcPr>
          <w:p>
            <w:pPr>
              <w:jc w:val="center"/>
              <w:rPr>
                <w:rFonts w:ascii="宋体" w:hAnsi="宋体"/>
              </w:rPr>
            </w:pPr>
          </w:p>
        </w:tc>
        <w:tc>
          <w:tcPr>
            <w:tcW w:w="5891" w:type="dxa"/>
            <w:vAlign w:val="center"/>
          </w:tcPr>
          <w:p>
            <w:pPr>
              <w:jc w:val="center"/>
              <w:rPr>
                <w:rFonts w:ascii="宋体" w:hAnsi="宋体"/>
              </w:rPr>
            </w:pPr>
            <w:bookmarkStart w:id="500" w:name="_Toc274433954"/>
            <w:r>
              <w:rPr>
                <w:rFonts w:ascii="宋体" w:hAnsi="宋体"/>
              </w:rPr>
              <w:t>准峰值</w:t>
            </w:r>
            <w:bookmarkEnd w:id="5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227" w:type="dxa"/>
            <w:vAlign w:val="center"/>
          </w:tcPr>
          <w:p>
            <w:pPr>
              <w:jc w:val="center"/>
              <w:rPr>
                <w:rFonts w:ascii="宋体" w:hAnsi="宋体"/>
              </w:rPr>
            </w:pPr>
            <w:bookmarkStart w:id="501" w:name="_Toc274433955"/>
            <w:r>
              <w:rPr>
                <w:rFonts w:ascii="宋体" w:hAnsi="宋体"/>
              </w:rPr>
              <w:t>30～230</w:t>
            </w:r>
            <w:bookmarkEnd w:id="501"/>
          </w:p>
        </w:tc>
        <w:tc>
          <w:tcPr>
            <w:tcW w:w="5891" w:type="dxa"/>
            <w:vAlign w:val="center"/>
          </w:tcPr>
          <w:p>
            <w:pPr>
              <w:autoSpaceDE w:val="0"/>
              <w:autoSpaceDN w:val="0"/>
              <w:adjustRightInd w:val="0"/>
              <w:jc w:val="center"/>
              <w:rPr>
                <w:rFonts w:ascii="宋体" w:hAnsi="宋体"/>
                <w:kern w:val="0"/>
              </w:rPr>
            </w:pPr>
            <w:bookmarkStart w:id="502" w:name="_Toc274433956"/>
            <w:r>
              <w:rPr>
                <w:rFonts w:ascii="宋体" w:hAnsi="宋体"/>
                <w:kern w:val="0"/>
              </w:rPr>
              <w:t>40</w:t>
            </w:r>
            <w:bookmarkEnd w:id="5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3227" w:type="dxa"/>
            <w:vAlign w:val="center"/>
          </w:tcPr>
          <w:p>
            <w:pPr>
              <w:jc w:val="center"/>
              <w:rPr>
                <w:rFonts w:ascii="宋体" w:hAnsi="宋体"/>
              </w:rPr>
            </w:pPr>
            <w:bookmarkStart w:id="503" w:name="_Toc274433957"/>
            <w:r>
              <w:rPr>
                <w:rFonts w:ascii="宋体" w:hAnsi="宋体"/>
              </w:rPr>
              <w:t>230～1000（不含230）</w:t>
            </w:r>
            <w:bookmarkEnd w:id="503"/>
          </w:p>
        </w:tc>
        <w:tc>
          <w:tcPr>
            <w:tcW w:w="5891" w:type="dxa"/>
            <w:vAlign w:val="center"/>
          </w:tcPr>
          <w:p>
            <w:pPr>
              <w:autoSpaceDE w:val="0"/>
              <w:autoSpaceDN w:val="0"/>
              <w:adjustRightInd w:val="0"/>
              <w:jc w:val="center"/>
              <w:rPr>
                <w:rFonts w:ascii="宋体" w:hAnsi="宋体"/>
                <w:kern w:val="0"/>
              </w:rPr>
            </w:pPr>
            <w:bookmarkStart w:id="504" w:name="_Toc274433958"/>
            <w:r>
              <w:rPr>
                <w:rFonts w:ascii="宋体" w:hAnsi="宋体"/>
                <w:kern w:val="0"/>
              </w:rPr>
              <w:t>47</w:t>
            </w:r>
            <w:bookmarkEnd w:id="504"/>
          </w:p>
        </w:tc>
      </w:tr>
    </w:tbl>
    <w:p>
      <w:pPr>
        <w:ind w:firstLine="411" w:firstLineChars="196"/>
        <w:jc w:val="left"/>
        <w:rPr>
          <w:rFonts w:ascii="宋体" w:hAnsi="宋体"/>
          <w:bCs/>
        </w:rPr>
      </w:pPr>
    </w:p>
    <w:p>
      <w:pPr>
        <w:ind w:firstLine="411" w:firstLineChars="196"/>
        <w:jc w:val="left"/>
        <w:rPr>
          <w:rFonts w:ascii="宋体" w:hAnsi="宋体"/>
          <w:bCs/>
        </w:rPr>
      </w:pPr>
      <w:r>
        <w:rPr>
          <w:rFonts w:hint="eastAsia" w:ascii="宋体" w:hAnsi="宋体"/>
          <w:bCs/>
        </w:rPr>
        <w:t>b)</w:t>
      </w:r>
      <w:r>
        <w:rPr>
          <w:rFonts w:hint="eastAsia" w:ascii="宋体" w:hAnsi="宋体"/>
          <w:bCs/>
        </w:rPr>
        <w:tab/>
      </w:r>
      <w:r>
        <w:rPr>
          <w:rFonts w:hint="eastAsia" w:ascii="宋体" w:hAnsi="宋体"/>
          <w:bCs/>
        </w:rPr>
        <w:t>谐波电流限值要求：当输出功率为额定功率的50%～100%时，充电机总谐波电流含有率不应大于8%。</w:t>
      </w:r>
    </w:p>
    <w:p>
      <w:pPr>
        <w:outlineLvl w:val="2"/>
        <w:rPr>
          <w:rFonts w:ascii="宋体" w:hAnsi="宋体"/>
          <w:b/>
          <w:bCs/>
        </w:rPr>
      </w:pPr>
      <w:bookmarkStart w:id="505" w:name="_Toc142752181"/>
      <w:r>
        <w:rPr>
          <w:rFonts w:ascii="宋体" w:hAnsi="宋体"/>
          <w:b/>
          <w:bCs/>
        </w:rPr>
        <w:t>16</w:t>
      </w:r>
      <w:r>
        <w:rPr>
          <w:rFonts w:hint="eastAsia" w:ascii="宋体" w:hAnsi="宋体"/>
          <w:b/>
          <w:bCs/>
        </w:rPr>
        <w:t>、可靠性指标</w:t>
      </w:r>
      <w:bookmarkEnd w:id="505"/>
    </w:p>
    <w:p>
      <w:pPr>
        <w:ind w:firstLine="411" w:firstLineChars="196"/>
        <w:jc w:val="left"/>
        <w:rPr>
          <w:rFonts w:ascii="宋体" w:hAnsi="宋体"/>
          <w:bCs/>
        </w:rPr>
      </w:pPr>
      <w:r>
        <w:rPr>
          <w:rFonts w:hint="eastAsia" w:ascii="宋体" w:hAnsi="宋体"/>
          <w:bCs/>
        </w:rPr>
        <w:t>充电机平均故障间隔时间（MTBF）应大于等于26280h。</w:t>
      </w:r>
    </w:p>
    <w:p>
      <w:pPr>
        <w:outlineLvl w:val="2"/>
        <w:rPr>
          <w:rFonts w:ascii="宋体" w:hAnsi="宋体"/>
          <w:b/>
          <w:bCs/>
        </w:rPr>
      </w:pPr>
      <w:bookmarkStart w:id="506" w:name="_Toc142752182"/>
      <w:r>
        <w:rPr>
          <w:rFonts w:ascii="宋体" w:hAnsi="宋体"/>
          <w:b/>
          <w:bCs/>
        </w:rPr>
        <w:t>17</w:t>
      </w:r>
      <w:r>
        <w:rPr>
          <w:rFonts w:hint="eastAsia" w:ascii="宋体" w:hAnsi="宋体"/>
          <w:b/>
          <w:bCs/>
        </w:rPr>
        <w:t>、充电机柜体（桩体）要求</w:t>
      </w:r>
      <w:bookmarkEnd w:id="506"/>
    </w:p>
    <w:p>
      <w:pPr>
        <w:ind w:firstLine="411" w:firstLineChars="196"/>
        <w:jc w:val="left"/>
        <w:rPr>
          <w:rFonts w:ascii="宋体" w:hAnsi="宋体"/>
          <w:bCs/>
        </w:rPr>
      </w:pPr>
      <w:r>
        <w:rPr>
          <w:rFonts w:hint="eastAsia" w:ascii="宋体" w:hAnsi="宋体"/>
          <w:bCs/>
        </w:rPr>
        <w:t>a)</w:t>
      </w:r>
      <w:r>
        <w:rPr>
          <w:rFonts w:hint="eastAsia" w:ascii="宋体" w:hAnsi="宋体"/>
          <w:bCs/>
        </w:rPr>
        <w:tab/>
      </w:r>
      <w:r>
        <w:rPr>
          <w:rFonts w:hint="eastAsia" w:ascii="宋体" w:hAnsi="宋体"/>
          <w:bCs/>
        </w:rPr>
        <w:t>充电机柜体（桩体）应外观线条流畅、整体紧凑、简洁时尚，与安装地点周边环境相协调。</w:t>
      </w:r>
    </w:p>
    <w:p>
      <w:pPr>
        <w:ind w:firstLine="411" w:firstLineChars="196"/>
        <w:jc w:val="left"/>
        <w:rPr>
          <w:rFonts w:ascii="宋体" w:hAnsi="宋体"/>
          <w:bCs/>
        </w:rPr>
      </w:pPr>
      <w:r>
        <w:rPr>
          <w:rFonts w:hint="eastAsia" w:ascii="宋体" w:hAnsi="宋体"/>
          <w:bCs/>
        </w:rPr>
        <w:t>b)</w:t>
      </w:r>
      <w:r>
        <w:rPr>
          <w:rFonts w:hint="eastAsia" w:ascii="宋体" w:hAnsi="宋体"/>
          <w:bCs/>
        </w:rPr>
        <w:tab/>
      </w:r>
      <w:r>
        <w:rPr>
          <w:rFonts w:hint="eastAsia" w:ascii="宋体" w:hAnsi="宋体"/>
          <w:bCs/>
        </w:rPr>
        <w:t>充电机柜体（桩体）应具备安装4G模块天线的位置，并确保壳体不对通信模块或定位模块接收信号产生负面影响。</w:t>
      </w:r>
    </w:p>
    <w:p>
      <w:pPr>
        <w:ind w:firstLine="411" w:firstLineChars="196"/>
        <w:jc w:val="left"/>
        <w:rPr>
          <w:rFonts w:ascii="宋体" w:hAnsi="宋体"/>
          <w:bCs/>
        </w:rPr>
      </w:pPr>
      <w:r>
        <w:rPr>
          <w:rFonts w:hint="eastAsia" w:ascii="宋体" w:hAnsi="宋体"/>
          <w:bCs/>
        </w:rPr>
        <w:t>c)</w:t>
      </w:r>
      <w:r>
        <w:rPr>
          <w:rFonts w:hint="eastAsia" w:ascii="宋体" w:hAnsi="宋体"/>
          <w:bCs/>
        </w:rPr>
        <w:tab/>
      </w:r>
      <w:r>
        <w:rPr>
          <w:rFonts w:hint="eastAsia" w:ascii="宋体" w:hAnsi="宋体"/>
          <w:bCs/>
        </w:rPr>
        <w:t>充电机柜体（桩体）内部线束，应排布整齐、规整，标识清楚，捆扎牢固。</w:t>
      </w:r>
    </w:p>
    <w:p>
      <w:pPr>
        <w:ind w:firstLine="411" w:firstLineChars="196"/>
        <w:jc w:val="left"/>
        <w:rPr>
          <w:rFonts w:ascii="宋体" w:hAnsi="宋体"/>
          <w:bCs/>
        </w:rPr>
      </w:pPr>
      <w:r>
        <w:rPr>
          <w:rFonts w:ascii="宋体" w:hAnsi="宋体"/>
          <w:bCs/>
        </w:rPr>
        <w:t>d</w:t>
      </w:r>
      <w:r>
        <w:rPr>
          <w:rFonts w:hint="eastAsia" w:ascii="宋体" w:hAnsi="宋体"/>
          <w:bCs/>
        </w:rPr>
        <w:t>)</w:t>
      </w:r>
      <w:r>
        <w:rPr>
          <w:rFonts w:hint="eastAsia" w:ascii="宋体" w:hAnsi="宋体"/>
          <w:bCs/>
        </w:rPr>
        <w:tab/>
      </w:r>
      <w:r>
        <w:rPr>
          <w:rFonts w:hint="eastAsia" w:ascii="宋体" w:hAnsi="宋体"/>
          <w:bCs/>
        </w:rPr>
        <w:t>充电机柜体（桩体）内元器件应布局合理，易耗易损元件方便更换。</w:t>
      </w:r>
    </w:p>
    <w:p>
      <w:pPr>
        <w:ind w:firstLine="411" w:firstLineChars="196"/>
        <w:jc w:val="left"/>
        <w:rPr>
          <w:rFonts w:ascii="宋体" w:hAnsi="宋体"/>
          <w:bCs/>
        </w:rPr>
      </w:pPr>
      <w:r>
        <w:rPr>
          <w:rFonts w:ascii="宋体" w:hAnsi="宋体"/>
          <w:bCs/>
        </w:rPr>
        <w:t>e</w:t>
      </w:r>
      <w:r>
        <w:rPr>
          <w:rFonts w:hint="eastAsia" w:ascii="宋体" w:hAnsi="宋体"/>
          <w:bCs/>
        </w:rPr>
        <w:t>)</w:t>
      </w:r>
      <w:r>
        <w:rPr>
          <w:rFonts w:hint="eastAsia" w:ascii="宋体" w:hAnsi="宋体"/>
          <w:bCs/>
        </w:rPr>
        <w:tab/>
      </w:r>
      <w:r>
        <w:rPr>
          <w:rFonts w:hint="eastAsia" w:ascii="宋体" w:hAnsi="宋体"/>
          <w:bCs/>
        </w:rPr>
        <w:t>充电机柜体（桩体）安装于户外时，应便于特殊天气条件下的日常维护。</w:t>
      </w:r>
    </w:p>
    <w:p>
      <w:pPr>
        <w:ind w:firstLine="411" w:firstLineChars="196"/>
        <w:jc w:val="left"/>
        <w:rPr>
          <w:rFonts w:ascii="宋体" w:hAnsi="宋体"/>
          <w:bCs/>
        </w:rPr>
      </w:pPr>
      <w:r>
        <w:rPr>
          <w:rFonts w:ascii="宋体" w:hAnsi="宋体"/>
          <w:bCs/>
        </w:rPr>
        <w:t>f</w:t>
      </w:r>
      <w:r>
        <w:rPr>
          <w:rFonts w:hint="eastAsia" w:ascii="宋体" w:hAnsi="宋体"/>
          <w:bCs/>
        </w:rPr>
        <w:t>)</w:t>
      </w:r>
      <w:r>
        <w:rPr>
          <w:rFonts w:hint="eastAsia" w:ascii="宋体" w:hAnsi="宋体"/>
          <w:bCs/>
        </w:rPr>
        <w:tab/>
      </w:r>
      <w:r>
        <w:rPr>
          <w:rFonts w:hint="eastAsia" w:ascii="宋体" w:hAnsi="宋体"/>
          <w:bCs/>
        </w:rPr>
        <w:t>充电机柜体（桩体）应采用抗冲击力强、抗老化的材质。</w:t>
      </w:r>
    </w:p>
    <w:p>
      <w:pPr>
        <w:ind w:firstLine="411" w:firstLineChars="196"/>
        <w:jc w:val="left"/>
        <w:rPr>
          <w:rFonts w:ascii="宋体" w:hAnsi="宋体"/>
          <w:bCs/>
        </w:rPr>
      </w:pPr>
      <w:r>
        <w:rPr>
          <w:rFonts w:ascii="宋体" w:hAnsi="宋体"/>
          <w:bCs/>
        </w:rPr>
        <w:t>g</w:t>
      </w:r>
      <w:r>
        <w:rPr>
          <w:rFonts w:hint="eastAsia" w:ascii="宋体" w:hAnsi="宋体"/>
          <w:bCs/>
        </w:rPr>
        <w:t>)</w:t>
      </w:r>
      <w:r>
        <w:rPr>
          <w:rFonts w:hint="eastAsia" w:ascii="宋体" w:hAnsi="宋体"/>
          <w:bCs/>
        </w:rPr>
        <w:tab/>
      </w:r>
      <w:r>
        <w:rPr>
          <w:rFonts w:hint="eastAsia" w:ascii="宋体" w:hAnsi="宋体"/>
          <w:bCs/>
        </w:rPr>
        <w:t>充电机柜体（桩体）表面涂覆色泽层应均匀光洁，不起泡、不龟裂、不脱落。</w:t>
      </w:r>
    </w:p>
    <w:p>
      <w:pPr>
        <w:ind w:firstLine="411" w:firstLineChars="196"/>
        <w:jc w:val="left"/>
        <w:rPr>
          <w:rFonts w:ascii="宋体" w:hAnsi="宋体"/>
          <w:bCs/>
        </w:rPr>
      </w:pPr>
      <w:r>
        <w:rPr>
          <w:rFonts w:hint="eastAsia" w:ascii="宋体" w:hAnsi="宋体"/>
          <w:bCs/>
        </w:rPr>
        <w:t>h)</w:t>
      </w:r>
      <w:r>
        <w:rPr>
          <w:rFonts w:hint="eastAsia" w:ascii="宋体" w:hAnsi="宋体"/>
          <w:bCs/>
        </w:rPr>
        <w:tab/>
      </w:r>
      <w:r>
        <w:rPr>
          <w:rFonts w:hint="eastAsia" w:ascii="宋体" w:hAnsi="宋体"/>
          <w:bCs/>
        </w:rPr>
        <w:t>非绝缘材料外壳应可靠接地，结构上应防止操作人员触及带电部件。</w:t>
      </w:r>
    </w:p>
    <w:p>
      <w:pPr>
        <w:ind w:firstLine="411" w:firstLineChars="196"/>
        <w:jc w:val="left"/>
        <w:rPr>
          <w:rFonts w:ascii="宋体" w:hAnsi="宋体"/>
          <w:bCs/>
        </w:rPr>
      </w:pPr>
      <w:r>
        <w:rPr>
          <w:rFonts w:ascii="宋体" w:hAnsi="宋体"/>
          <w:bCs/>
        </w:rPr>
        <w:t>i</w:t>
      </w:r>
      <w:r>
        <w:rPr>
          <w:rFonts w:hint="eastAsia" w:ascii="宋体" w:hAnsi="宋体"/>
          <w:bCs/>
        </w:rPr>
        <w:t>)</w:t>
      </w:r>
      <w:r>
        <w:rPr>
          <w:rFonts w:hint="eastAsia" w:ascii="宋体" w:hAnsi="宋体"/>
          <w:bCs/>
        </w:rPr>
        <w:tab/>
      </w:r>
      <w:r>
        <w:rPr>
          <w:rFonts w:hint="eastAsia" w:ascii="宋体" w:hAnsi="宋体"/>
          <w:bCs/>
        </w:rPr>
        <w:t>人机交互的操作按键和显示界面应设置在便于人操作和查看的位置。</w:t>
      </w:r>
    </w:p>
    <w:p>
      <w:pPr>
        <w:rPr>
          <w:rFonts w:ascii="宋体" w:hAnsi="宋体"/>
          <w:bCs/>
        </w:rPr>
      </w:pPr>
    </w:p>
    <w:p>
      <w:pPr>
        <w:widowControl/>
        <w:jc w:val="left"/>
        <w:rPr>
          <w:rFonts w:ascii="Times New Roman" w:hAnsi="Times New Roman" w:cs="Times New Roman"/>
          <w:b/>
          <w:bCs/>
          <w:kern w:val="0"/>
          <w:sz w:val="24"/>
        </w:rPr>
      </w:pPr>
      <w:r>
        <w:rPr>
          <w:rFonts w:ascii="Times New Roman" w:hAnsi="Times New Roman" w:cs="Times New Roman"/>
          <w:b/>
          <w:bCs/>
          <w:kern w:val="0"/>
          <w:sz w:val="24"/>
        </w:rPr>
        <w:br w:type="page"/>
      </w:r>
    </w:p>
    <w:p>
      <w:pPr>
        <w:spacing w:line="440" w:lineRule="exact"/>
        <w:ind w:firstLine="723" w:firstLineChars="200"/>
        <w:outlineLvl w:val="0"/>
        <w:rPr>
          <w:sz w:val="36"/>
          <w:szCs w:val="36"/>
        </w:rPr>
      </w:pPr>
      <w:r>
        <w:rPr>
          <w:rFonts w:hint="eastAsia" w:ascii="Times New Roman" w:hAnsi="Times New Roman" w:cs="Times New Roman"/>
          <w:b/>
          <w:bCs/>
          <w:kern w:val="0"/>
          <w:sz w:val="36"/>
          <w:szCs w:val="36"/>
        </w:rPr>
        <w:t>二、运营平台技术要求</w:t>
      </w:r>
    </w:p>
    <w:p>
      <w:pPr>
        <w:spacing w:line="360" w:lineRule="auto"/>
        <w:rPr>
          <w:rFonts w:ascii="宋体" w:hAnsi="宋体"/>
          <w:sz w:val="28"/>
          <w:szCs w:val="28"/>
        </w:rPr>
      </w:pPr>
      <w:r>
        <w:rPr>
          <w:rFonts w:hint="eastAsia" w:ascii="宋体" w:hAnsi="宋体"/>
          <w:b/>
          <w:bCs/>
          <w:sz w:val="28"/>
          <w:szCs w:val="28"/>
        </w:rPr>
        <w:t>（一）总体要求</w:t>
      </w:r>
    </w:p>
    <w:p>
      <w:pPr>
        <w:pStyle w:val="33"/>
        <w:spacing w:before="0" w:beforeAutospacing="0" w:after="0" w:afterAutospacing="0" w:line="520" w:lineRule="exact"/>
        <w:ind w:firstLine="588" w:firstLineChars="245"/>
        <w:rPr>
          <w:color w:val="000000"/>
        </w:rPr>
      </w:pPr>
      <w:r>
        <w:rPr>
          <w:rFonts w:hint="eastAsia"/>
          <w:color w:val="000000"/>
        </w:rPr>
        <w:t>为满足招标人的充电设备运营管理需求，本项目需采购充电运营管理系统，企业运营数据、用户数据需独立部署，满足招标人在充电业务上的个性化运营和对充电设备的管理需求。</w:t>
      </w:r>
    </w:p>
    <w:p>
      <w:pPr>
        <w:pStyle w:val="33"/>
        <w:spacing w:before="0" w:beforeAutospacing="0" w:after="0" w:afterAutospacing="0" w:line="520" w:lineRule="exact"/>
        <w:ind w:firstLine="588" w:firstLineChars="245"/>
        <w:rPr>
          <w:color w:val="000000"/>
        </w:rPr>
      </w:pPr>
      <w:r>
        <w:t>支持接入国内主流充电设备品牌</w:t>
      </w:r>
      <w:r>
        <w:rPr>
          <w:rFonts w:hint="eastAsia"/>
        </w:rPr>
        <w:t>，</w:t>
      </w:r>
      <w:r>
        <w:rPr>
          <w:rFonts w:hint="eastAsia"/>
          <w:color w:val="000000"/>
        </w:rPr>
        <w:t>所投平台应具备《T/CEC 102-2016电动汽车充换电服务信息交换》系列标准接口。</w:t>
      </w:r>
    </w:p>
    <w:p>
      <w:pPr>
        <w:pStyle w:val="33"/>
        <w:spacing w:before="0" w:beforeAutospacing="0" w:after="0" w:afterAutospacing="0" w:line="360" w:lineRule="auto"/>
        <w:ind w:firstLine="588" w:firstLineChars="245"/>
        <w:rPr>
          <w:color w:val="000000"/>
        </w:rPr>
      </w:pPr>
      <w:r>
        <w:rPr>
          <w:rFonts w:hint="eastAsia"/>
          <w:color w:val="000000"/>
        </w:rPr>
        <w:t>平台应充分考虑未来不同供应商、不同类型充电设施对接要求，支持</w:t>
      </w:r>
      <w:r>
        <w:rPr>
          <w:rFonts w:hint="eastAsia"/>
          <w:color w:val="000000"/>
          <w:lang w:eastAsia="zh-CN"/>
        </w:rPr>
        <w:t>免费</w:t>
      </w:r>
      <w:r>
        <w:rPr>
          <w:rFonts w:hint="eastAsia"/>
          <w:color w:val="000000"/>
        </w:rPr>
        <w:t>对接至少2</w:t>
      </w:r>
      <w:r>
        <w:rPr>
          <w:color w:val="000000"/>
        </w:rPr>
        <w:t>0</w:t>
      </w:r>
      <w:r>
        <w:rPr>
          <w:rFonts w:hint="eastAsia"/>
          <w:color w:val="000000"/>
        </w:rPr>
        <w:t>个充电桩品牌。</w:t>
      </w:r>
    </w:p>
    <w:p>
      <w:pPr>
        <w:pStyle w:val="33"/>
        <w:spacing w:before="0" w:beforeAutospacing="0" w:after="0" w:afterAutospacing="0" w:line="360" w:lineRule="auto"/>
        <w:ind w:firstLine="588" w:firstLineChars="245"/>
        <w:rPr>
          <w:rFonts w:hint="eastAsia"/>
          <w:color w:val="auto"/>
        </w:rPr>
      </w:pPr>
      <w:r>
        <w:rPr>
          <w:rFonts w:hint="eastAsia"/>
          <w:color w:val="auto"/>
        </w:rPr>
        <w:t>中标人需给业主方进行私有云平台定制，交付时间：合同签订后</w:t>
      </w:r>
      <w:r>
        <w:rPr>
          <w:color w:val="auto"/>
        </w:rPr>
        <w:t>6</w:t>
      </w:r>
      <w:r>
        <w:rPr>
          <w:rFonts w:hint="eastAsia"/>
          <w:color w:val="auto"/>
        </w:rPr>
        <w:t>0日历天内完成交付。</w:t>
      </w:r>
    </w:p>
    <w:p>
      <w:pPr>
        <w:pStyle w:val="33"/>
        <w:spacing w:before="0" w:beforeAutospacing="0" w:after="0" w:afterAutospacing="0" w:line="360" w:lineRule="auto"/>
        <w:ind w:firstLine="588" w:firstLineChars="245"/>
        <w:rPr>
          <w:rFonts w:hint="eastAsia" w:ascii="宋体" w:hAnsi="宋体" w:eastAsia="宋体" w:cs="Times New Roman"/>
          <w:color w:val="auto"/>
          <w:lang w:val="en-US" w:eastAsia="zh-CN"/>
        </w:rPr>
      </w:pPr>
      <w:r>
        <w:rPr>
          <w:rFonts w:hint="eastAsia" w:ascii="宋体" w:hAnsi="宋体" w:eastAsia="宋体" w:cs="Times New Roman"/>
          <w:color w:val="auto"/>
          <w:lang w:eastAsia="zh-CN"/>
        </w:rPr>
        <w:t>定制平台交付后合同服务期限内需免费提供</w:t>
      </w:r>
      <w:r>
        <w:rPr>
          <w:rFonts w:hint="eastAsia" w:cs="Times New Roman"/>
          <w:color w:val="auto"/>
          <w:lang w:eastAsia="zh-CN"/>
        </w:rPr>
        <w:t>软著、三级等保、</w:t>
      </w:r>
      <w:r>
        <w:rPr>
          <w:rFonts w:hint="eastAsia" w:ascii="宋体" w:hAnsi="宋体" w:eastAsia="宋体" w:cs="Times New Roman"/>
          <w:color w:val="auto"/>
          <w:lang w:eastAsia="zh-CN"/>
        </w:rPr>
        <w:t>平台</w:t>
      </w:r>
      <w:r>
        <w:rPr>
          <w:rFonts w:hint="eastAsia" w:cs="Times New Roman"/>
          <w:color w:val="auto"/>
          <w:lang w:val="en-US" w:eastAsia="zh-CN"/>
        </w:rPr>
        <w:t>技术</w:t>
      </w:r>
      <w:r>
        <w:rPr>
          <w:rFonts w:hint="eastAsia" w:ascii="宋体" w:hAnsi="宋体" w:eastAsia="宋体" w:cs="Times New Roman"/>
          <w:color w:val="auto"/>
          <w:lang w:eastAsia="zh-CN"/>
        </w:rPr>
        <w:t>维护升级</w:t>
      </w:r>
      <w:r>
        <w:rPr>
          <w:rFonts w:hint="eastAsia" w:cs="Times New Roman"/>
          <w:color w:val="auto"/>
          <w:lang w:eastAsia="zh-CN"/>
        </w:rPr>
        <w:t>服务</w:t>
      </w:r>
      <w:r>
        <w:rPr>
          <w:rFonts w:hint="eastAsia" w:ascii="宋体" w:hAnsi="宋体" w:eastAsia="宋体" w:cs="Times New Roman"/>
          <w:color w:val="auto"/>
          <w:lang w:eastAsia="zh-CN"/>
        </w:rPr>
        <w:t>，合同到期后每年平台维护升级费用不得高于</w:t>
      </w:r>
      <w:r>
        <w:rPr>
          <w:rFonts w:hint="eastAsia" w:ascii="宋体" w:hAnsi="宋体" w:eastAsia="宋体" w:cs="Times New Roman"/>
          <w:color w:val="auto"/>
          <w:lang w:val="en-US" w:eastAsia="zh-CN"/>
        </w:rPr>
        <w:t>10万元。</w:t>
      </w:r>
    </w:p>
    <w:p>
      <w:pPr>
        <w:numPr>
          <w:ilvl w:val="0"/>
          <w:numId w:val="0"/>
        </w:numPr>
        <w:spacing w:line="360" w:lineRule="auto"/>
        <w:ind w:left="0" w:leftChars="0" w:firstLine="562" w:firstLineChars="200"/>
        <w:rPr>
          <w:rFonts w:hint="eastAsia" w:ascii="宋体" w:hAnsi="宋体"/>
          <w:b/>
          <w:bCs/>
          <w:sz w:val="28"/>
          <w:szCs w:val="28"/>
          <w:lang w:val="en-US" w:eastAsia="zh-CN"/>
        </w:rPr>
      </w:pPr>
      <w:r>
        <w:rPr>
          <w:rFonts w:hint="eastAsia" w:ascii="宋体" w:hAnsi="宋体" w:eastAsiaTheme="minorEastAsia" w:cstheme="minorBidi"/>
          <w:b/>
          <w:bCs/>
          <w:kern w:val="2"/>
          <w:sz w:val="28"/>
          <w:szCs w:val="28"/>
          <w:lang w:val="en-US" w:eastAsia="zh-CN" w:bidi="ar-SA"/>
        </w:rPr>
        <w:t>（</w:t>
      </w:r>
      <w:r>
        <w:rPr>
          <w:rFonts w:hint="eastAsia" w:ascii="宋体" w:hAnsi="宋体" w:cstheme="minorBidi"/>
          <w:b/>
          <w:bCs/>
          <w:kern w:val="2"/>
          <w:sz w:val="28"/>
          <w:szCs w:val="28"/>
          <w:lang w:val="en-US" w:eastAsia="zh-CN" w:bidi="ar-SA"/>
        </w:rPr>
        <w:t>二</w:t>
      </w:r>
      <w:r>
        <w:rPr>
          <w:rFonts w:hint="eastAsia" w:ascii="宋体" w:hAnsi="宋体" w:eastAsiaTheme="minorEastAsia" w:cstheme="minorBidi"/>
          <w:b/>
          <w:bCs/>
          <w:kern w:val="2"/>
          <w:sz w:val="28"/>
          <w:szCs w:val="28"/>
          <w:lang w:val="en-US" w:eastAsia="zh-CN" w:bidi="ar-SA"/>
        </w:rPr>
        <w:t>）</w:t>
      </w:r>
      <w:r>
        <w:rPr>
          <w:rFonts w:hint="eastAsia" w:ascii="宋体" w:hAnsi="宋体"/>
          <w:b/>
          <w:bCs/>
          <w:sz w:val="28"/>
          <w:szCs w:val="28"/>
          <w:lang w:val="en-US" w:eastAsia="zh-CN"/>
        </w:rPr>
        <w:t>平台管理功能要求</w:t>
      </w:r>
    </w:p>
    <w:p>
      <w:pPr>
        <w:widowControl/>
        <w:numPr>
          <w:ilvl w:val="-1"/>
          <w:numId w:val="0"/>
        </w:numPr>
        <w:spacing w:line="240" w:lineRule="auto"/>
        <w:ind w:firstLine="562" w:firstLineChars="200"/>
        <w:jc w:val="left"/>
        <w:rPr>
          <w:rFonts w:hint="default" w:ascii="宋体" w:hAnsi="宋体" w:eastAsia="宋体" w:cs="Times New Roman"/>
          <w:b/>
          <w:bCs/>
          <w:color w:val="auto"/>
          <w:kern w:val="0"/>
          <w:sz w:val="28"/>
          <w:szCs w:val="28"/>
          <w:lang w:val="en-US" w:eastAsia="zh-CN"/>
        </w:rPr>
      </w:pPr>
      <w:r>
        <w:rPr>
          <w:rFonts w:hint="eastAsia" w:ascii="宋体" w:hAnsi="宋体" w:eastAsia="宋体" w:cs="Times New Roman"/>
          <w:b/>
          <w:bCs/>
          <w:color w:val="auto"/>
          <w:kern w:val="0"/>
          <w:sz w:val="28"/>
          <w:szCs w:val="28"/>
          <w:lang w:val="en-US" w:eastAsia="zh-CN"/>
        </w:rPr>
        <w:t>以下充电桩运营管理平台系统端、APP端、小程序端功能清单，请投标人根据</w:t>
      </w:r>
      <w:r>
        <w:rPr>
          <w:rFonts w:hint="eastAsia" w:ascii="宋体" w:hAnsi="宋体" w:eastAsia="宋体" w:cs="Times New Roman"/>
          <w:b/>
          <w:bCs/>
          <w:color w:val="auto"/>
          <w:kern w:val="0"/>
          <w:sz w:val="28"/>
          <w:szCs w:val="28"/>
          <w:lang w:val="en-US" w:eastAsia="zh-CN" w:bidi="ar-SA"/>
        </w:rPr>
        <w:t>已有的类似平台功能板块进行图文展示、描述（格式不限），★标注的功能必须响应</w:t>
      </w:r>
      <w:r>
        <w:rPr>
          <w:rFonts w:hint="eastAsia" w:ascii="宋体" w:hAnsi="宋体" w:eastAsia="宋体" w:cs="Times New Roman"/>
          <w:b/>
          <w:bCs/>
          <w:color w:val="auto"/>
          <w:kern w:val="0"/>
          <w:sz w:val="28"/>
          <w:szCs w:val="28"/>
        </w:rPr>
        <w:t>。</w:t>
      </w:r>
    </w:p>
    <w:tbl>
      <w:tblPr>
        <w:tblStyle w:val="16"/>
        <w:tblW w:w="89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576"/>
        <w:gridCol w:w="657"/>
        <w:gridCol w:w="69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9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充电桩运营管理平台系统端功能清单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一级菜单</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二级菜单</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三级菜单</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功能说明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系统设置</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账号权限</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角色管理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设置平台使用者的各角色及对应角色可使用的功能，角色大分类为</w:t>
            </w:r>
            <w:r>
              <w:rPr>
                <w:rFonts w:hint="eastAsia" w:ascii="宋体" w:hAnsi="宋体" w:eastAsiaTheme="minorEastAsia" w:cstheme="minorBidi"/>
                <w:b w:val="0"/>
                <w:bCs w:val="0"/>
                <w:i w:val="0"/>
                <w:iCs w:val="0"/>
                <w:kern w:val="2"/>
                <w:sz w:val="24"/>
                <w:szCs w:val="24"/>
                <w:u w:val="none"/>
                <w:lang w:val="en-US" w:eastAsia="zh-CN" w:bidi="ar-SA"/>
              </w:rPr>
              <w:t>平台方、运营商、车辆机构</w:t>
            </w:r>
            <w:r>
              <w:rPr>
                <w:rFonts w:hint="eastAsia" w:ascii="宋体" w:hAnsi="宋体" w:eastAsiaTheme="minorEastAsia" w:cstheme="minorBidi"/>
                <w:i w:val="0"/>
                <w:iCs w:val="0"/>
                <w:kern w:val="2"/>
                <w:sz w:val="24"/>
                <w:szCs w:val="24"/>
                <w:u w:val="none"/>
                <w:lang w:val="en-US" w:eastAsia="zh-CN" w:bidi="ar-SA"/>
              </w:rPr>
              <w:t>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★平台账号</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平台权限的账号，可设置对应可查看的数据维度，分配不同子账号、管理账号、体验账号的管理权限、数据权限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平台子账号</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平台权限的子账号，数据维度可在主账号的范围中进行选择配置，并分配不同的管理权限、数据权限。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运营商主账号</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运营商权限的主账号，可关联到指定运营商，实现分配不同的管理权限、数据权限。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运营商子账号</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运营商权限的子账号，数据维度可在主账号的范围中进行选择配置，并分配不同的管理权限、数据权限。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车辆机构账号</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车辆机构权限的账号，可关联指定车辆机构或机构及下属机构，并分配不同的管理权限、数据权限。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操作日志</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对所有后台相关操作进行记录，分类查询，方便有据可查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密码设置</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对所有账号登录密码、绑定信息进行修改查询管理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其他拓展功能</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不限于以上功能。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★数据中心   （总览大屏）</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数据沙盘</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运营沙盘</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从运营视角，对平台整体的运营数据进行有效监控，集中展示当日的充电量、服务次数、实时在线设备情况、告警处理情况、收入情况、充电量排行、故障分布等。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地图沙盘</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以地图的方式展现平台</w:t>
            </w:r>
            <w:r>
              <w:rPr>
                <w:rFonts w:hint="eastAsia" w:ascii="宋体" w:hAnsi="宋体" w:eastAsiaTheme="minorEastAsia" w:cstheme="minorBidi"/>
                <w:b w:val="0"/>
                <w:bCs w:val="0"/>
                <w:i w:val="0"/>
                <w:iCs w:val="0"/>
                <w:kern w:val="2"/>
                <w:sz w:val="24"/>
                <w:szCs w:val="24"/>
                <w:u w:val="none"/>
                <w:lang w:val="en-US" w:eastAsia="zh-CN" w:bidi="ar-SA"/>
              </w:rPr>
              <w:t>充电站分布情况</w:t>
            </w:r>
            <w:r>
              <w:rPr>
                <w:rFonts w:hint="eastAsia" w:ascii="宋体" w:hAnsi="宋体" w:eastAsiaTheme="minorEastAsia" w:cstheme="minorBidi"/>
                <w:i w:val="0"/>
                <w:iCs w:val="0"/>
                <w:kern w:val="2"/>
                <w:sz w:val="24"/>
                <w:szCs w:val="24"/>
                <w:u w:val="none"/>
                <w:lang w:val="en-US" w:eastAsia="zh-CN" w:bidi="ar-SA"/>
              </w:rPr>
              <w:t>，以及充电站数量、充电量、充电次数的</w:t>
            </w:r>
            <w:r>
              <w:rPr>
                <w:rFonts w:hint="eastAsia" w:ascii="宋体" w:hAnsi="宋体" w:eastAsiaTheme="minorEastAsia" w:cstheme="minorBidi"/>
                <w:b w:val="0"/>
                <w:bCs w:val="0"/>
                <w:i w:val="0"/>
                <w:iCs w:val="0"/>
                <w:kern w:val="2"/>
                <w:sz w:val="24"/>
                <w:szCs w:val="24"/>
                <w:u w:val="none"/>
                <w:lang w:val="en-US" w:eastAsia="zh-CN" w:bidi="ar-SA"/>
              </w:rPr>
              <w:t>热力图</w:t>
            </w:r>
            <w:r>
              <w:rPr>
                <w:rFonts w:hint="eastAsia" w:ascii="宋体" w:hAnsi="宋体" w:eastAsiaTheme="minorEastAsia" w:cstheme="minorBidi"/>
                <w:i w:val="0"/>
                <w:iCs w:val="0"/>
                <w:kern w:val="2"/>
                <w:sz w:val="24"/>
                <w:szCs w:val="24"/>
                <w:u w:val="none"/>
                <w:lang w:val="en-US" w:eastAsia="zh-CN" w:bidi="ar-SA"/>
              </w:rPr>
              <w:t>展示。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站点沙盘</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从充电站的视角对站点资源运行情况实时监控、监控数据包含</w:t>
            </w:r>
            <w:r>
              <w:rPr>
                <w:rFonts w:hint="eastAsia" w:ascii="宋体" w:hAnsi="宋体" w:eastAsiaTheme="minorEastAsia" w:cstheme="minorBidi"/>
                <w:b w:val="0"/>
                <w:bCs w:val="0"/>
                <w:i w:val="0"/>
                <w:iCs w:val="0"/>
                <w:kern w:val="2"/>
                <w:sz w:val="24"/>
                <w:szCs w:val="24"/>
                <w:u w:val="none"/>
                <w:lang w:val="en-US" w:eastAsia="zh-CN" w:bidi="ar-SA"/>
              </w:rPr>
              <w:t>充电桩类型分布、充电桩状态、充电枪状态、充电趋势、分时充电情况、服务车辆</w:t>
            </w:r>
            <w:r>
              <w:rPr>
                <w:rFonts w:hint="eastAsia" w:ascii="宋体" w:hAnsi="宋体" w:eastAsiaTheme="minorEastAsia" w:cstheme="minorBidi"/>
                <w:i w:val="0"/>
                <w:iCs w:val="0"/>
                <w:kern w:val="2"/>
                <w:sz w:val="24"/>
                <w:szCs w:val="24"/>
                <w:u w:val="none"/>
                <w:lang w:val="en-US" w:eastAsia="zh-CN" w:bidi="ar-SA"/>
              </w:rPr>
              <w:t>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运营监控</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充电服务监控</w:t>
            </w:r>
          </w:p>
        </w:tc>
        <w:tc>
          <w:tcPr>
            <w:tcW w:w="709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对平台全部的充电服务进行监控，主要是充电过程中的信息进行监控，包括</w:t>
            </w:r>
            <w:r>
              <w:rPr>
                <w:rFonts w:hint="eastAsia" w:ascii="宋体" w:hAnsi="宋体" w:eastAsiaTheme="minorEastAsia" w:cstheme="minorBidi"/>
                <w:b w:val="0"/>
                <w:bCs w:val="0"/>
                <w:i w:val="0"/>
                <w:iCs w:val="0"/>
                <w:kern w:val="2"/>
                <w:sz w:val="24"/>
                <w:szCs w:val="24"/>
                <w:u w:val="none"/>
                <w:lang w:val="en-US" w:eastAsia="zh-CN" w:bidi="ar-SA"/>
              </w:rPr>
              <w:t>充电桩电流、电压、充电枪温度、车辆电池温度，计费的明细等信息</w:t>
            </w:r>
            <w:r>
              <w:rPr>
                <w:rFonts w:hint="eastAsia" w:ascii="宋体" w:hAnsi="宋体" w:eastAsiaTheme="minorEastAsia" w:cstheme="minorBidi"/>
                <w:i w:val="0"/>
                <w:iCs w:val="0"/>
                <w:kern w:val="2"/>
                <w:sz w:val="24"/>
                <w:szCs w:val="24"/>
                <w:u w:val="none"/>
                <w:lang w:val="en-US" w:eastAsia="zh-CN" w:bidi="ar-SA"/>
              </w:rPr>
              <w:t>。平台最近7日充电量及充电金额的趋势图，支持大屏展示，通过鼠标缩放查看地图。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对正在</w:t>
            </w:r>
            <w:r>
              <w:rPr>
                <w:rFonts w:hint="eastAsia" w:ascii="宋体" w:hAnsi="宋体" w:eastAsiaTheme="minorEastAsia" w:cstheme="minorBidi"/>
                <w:b w:val="0"/>
                <w:bCs w:val="0"/>
                <w:i w:val="0"/>
                <w:iCs w:val="0"/>
                <w:kern w:val="2"/>
                <w:sz w:val="24"/>
                <w:szCs w:val="24"/>
                <w:u w:val="none"/>
                <w:lang w:val="en-US" w:eastAsia="zh-CN" w:bidi="ar-SA"/>
              </w:rPr>
              <w:t>服务中</w:t>
            </w:r>
            <w:r>
              <w:rPr>
                <w:rFonts w:hint="eastAsia" w:ascii="宋体" w:hAnsi="宋体" w:eastAsiaTheme="minorEastAsia" w:cstheme="minorBidi"/>
                <w:i w:val="0"/>
                <w:iCs w:val="0"/>
                <w:kern w:val="2"/>
                <w:sz w:val="24"/>
                <w:szCs w:val="24"/>
                <w:u w:val="none"/>
                <w:lang w:val="en-US" w:eastAsia="zh-CN" w:bidi="ar-SA"/>
              </w:rPr>
              <w:t>的充电服务进行监控；对</w:t>
            </w:r>
            <w:r>
              <w:rPr>
                <w:rFonts w:hint="eastAsia" w:ascii="宋体" w:hAnsi="宋体" w:eastAsiaTheme="minorEastAsia" w:cstheme="minorBidi"/>
                <w:b w:val="0"/>
                <w:bCs w:val="0"/>
                <w:i w:val="0"/>
                <w:iCs w:val="0"/>
                <w:kern w:val="2"/>
                <w:sz w:val="24"/>
                <w:szCs w:val="24"/>
                <w:u w:val="none"/>
                <w:lang w:val="en-US" w:eastAsia="zh-CN" w:bidi="ar-SA"/>
              </w:rPr>
              <w:t>充电异常</w:t>
            </w:r>
            <w:r>
              <w:rPr>
                <w:rFonts w:hint="eastAsia" w:ascii="宋体" w:hAnsi="宋体" w:eastAsiaTheme="minorEastAsia" w:cstheme="minorBidi"/>
                <w:i w:val="0"/>
                <w:iCs w:val="0"/>
                <w:kern w:val="2"/>
                <w:sz w:val="24"/>
                <w:szCs w:val="24"/>
                <w:u w:val="none"/>
                <w:lang w:val="en-US" w:eastAsia="zh-CN" w:bidi="ar-SA"/>
              </w:rPr>
              <w:t>服务进行监控，并提供对异常服务进行自动处理的功能；对</w:t>
            </w:r>
            <w:r>
              <w:rPr>
                <w:rFonts w:hint="eastAsia" w:ascii="宋体" w:hAnsi="宋体" w:eastAsiaTheme="minorEastAsia" w:cstheme="minorBidi"/>
                <w:b w:val="0"/>
                <w:bCs w:val="0"/>
                <w:i w:val="0"/>
                <w:iCs w:val="0"/>
                <w:kern w:val="2"/>
                <w:sz w:val="24"/>
                <w:szCs w:val="24"/>
                <w:u w:val="none"/>
                <w:lang w:val="en-US" w:eastAsia="zh-CN" w:bidi="ar-SA"/>
              </w:rPr>
              <w:t>互联互通</w:t>
            </w:r>
            <w:r>
              <w:rPr>
                <w:rFonts w:hint="eastAsia" w:ascii="宋体" w:hAnsi="宋体" w:eastAsiaTheme="minorEastAsia" w:cstheme="minorBidi"/>
                <w:i w:val="0"/>
                <w:iCs w:val="0"/>
                <w:kern w:val="2"/>
                <w:sz w:val="24"/>
                <w:szCs w:val="24"/>
                <w:u w:val="none"/>
                <w:lang w:val="en-US" w:eastAsia="zh-CN" w:bidi="ar-SA"/>
              </w:rPr>
              <w:t>的充电服务进行监控展示。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展示平台上所有场站当天充电量排行，可点击查看更多跳转至统计中心，查看当前实时统计电量，从高到低排序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w:t>
            </w:r>
            <w:r>
              <w:rPr>
                <w:rFonts w:hint="eastAsia" w:ascii="宋体" w:hAnsi="宋体" w:eastAsiaTheme="minorEastAsia" w:cstheme="minorBidi"/>
                <w:b w:val="0"/>
                <w:bCs w:val="0"/>
                <w:i w:val="0"/>
                <w:iCs w:val="0"/>
                <w:kern w:val="2"/>
                <w:sz w:val="24"/>
                <w:szCs w:val="24"/>
                <w:u w:val="none"/>
                <w:lang w:val="en-US" w:eastAsia="zh-CN" w:bidi="ar-SA"/>
              </w:rPr>
              <w:t>接入平台充电桩资源的运营商</w:t>
            </w:r>
            <w:r>
              <w:rPr>
                <w:rFonts w:hint="eastAsia" w:ascii="宋体" w:hAnsi="宋体" w:eastAsiaTheme="minorEastAsia" w:cstheme="minorBidi"/>
                <w:i w:val="0"/>
                <w:iCs w:val="0"/>
                <w:kern w:val="2"/>
                <w:sz w:val="24"/>
                <w:szCs w:val="24"/>
                <w:u w:val="none"/>
                <w:lang w:val="en-US" w:eastAsia="zh-CN" w:bidi="ar-SA"/>
              </w:rPr>
              <w:t>进行监控管理；查看当前运营商的入驻情况列表，按入驻性质、入驻时间等进行筛选，运行统一登记和管理。运营营商信息登记及导入，运营商信息的修改，运营商在平台的合作状态进行管理，对运营商的账号、地址进行分配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w:t>
            </w:r>
            <w:r>
              <w:rPr>
                <w:rFonts w:hint="eastAsia" w:ascii="宋体" w:hAnsi="宋体" w:eastAsiaTheme="minorEastAsia" w:cstheme="minorBidi"/>
                <w:b w:val="0"/>
                <w:bCs w:val="0"/>
                <w:i w:val="0"/>
                <w:iCs w:val="0"/>
                <w:kern w:val="2"/>
                <w:sz w:val="24"/>
                <w:szCs w:val="24"/>
                <w:u w:val="none"/>
                <w:lang w:val="en-US" w:eastAsia="zh-CN" w:bidi="ar-SA"/>
              </w:rPr>
              <w:t>接入直连平台充电桩资源的运营商</w:t>
            </w:r>
            <w:r>
              <w:rPr>
                <w:rFonts w:hint="eastAsia" w:ascii="宋体" w:hAnsi="宋体" w:eastAsiaTheme="minorEastAsia" w:cstheme="minorBidi"/>
                <w:i w:val="0"/>
                <w:iCs w:val="0"/>
                <w:kern w:val="2"/>
                <w:sz w:val="24"/>
                <w:szCs w:val="24"/>
                <w:u w:val="none"/>
                <w:lang w:val="en-US" w:eastAsia="zh-CN" w:bidi="ar-SA"/>
              </w:rPr>
              <w:t>进行监控管理，提供新增子运营商分配功能。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充电设施监控</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监控充电桩的实时状态，包括充电中、空闲中、离线、占用、故障等状态（图表/列表切换）每个站点一个单独页面，</w:t>
            </w:r>
            <w:r>
              <w:rPr>
                <w:rFonts w:hint="eastAsia" w:ascii="宋体" w:hAnsi="宋体" w:eastAsiaTheme="minorEastAsia" w:cstheme="minorBidi"/>
                <w:b w:val="0"/>
                <w:bCs w:val="0"/>
                <w:i w:val="0"/>
                <w:iCs w:val="0"/>
                <w:kern w:val="2"/>
                <w:sz w:val="24"/>
                <w:szCs w:val="24"/>
                <w:u w:val="none"/>
                <w:lang w:val="en-US" w:eastAsia="zh-CN" w:bidi="ar-SA"/>
              </w:rPr>
              <w:t>支持大屏点击跳转具体站点、具体桩位；支持场站监控视频实施查询、查看</w:t>
            </w:r>
            <w:r>
              <w:rPr>
                <w:rFonts w:hint="eastAsia" w:ascii="宋体" w:hAnsi="宋体" w:eastAsiaTheme="minorEastAsia" w:cstheme="minorBidi"/>
                <w:i w:val="0"/>
                <w:iCs w:val="0"/>
                <w:kern w:val="2"/>
                <w:sz w:val="24"/>
                <w:szCs w:val="24"/>
                <w:u w:val="none"/>
                <w:lang w:val="en-US" w:eastAsia="zh-CN" w:bidi="ar-S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车辆监控</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可查询全国各省份城市充电桩数量分布情况,保有量、月度新增车辆数目、车辆类型、车辆价格区间数量等信息。(由招标人协调车辆管理主管部门，此功能后期根据需求升级)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其他拓展功能</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不限于以上功能。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★订单管理</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实时订单</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订单筛选</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可通过订单开始时间、用户账号、运营商、充电场站、车辆信息、充电方式等进行实时订单筛选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订单状态</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实时订单展示卡片上，会展示根据订单来源及订单状态等标识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订单详情</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包括用户信息、车辆信息、场站信息、终端信息等。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展示充电时长、SOC、电量信息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同时提供图表/列表两种方式展示监控车辆需求电压、电流；实时电压、电流；电池温度；SoC信息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历史订单</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订单筛选</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可通过订单开始时间、结束时间、用户账号、运营商、充电场站、车辆信息、充电方式、结算类型等进行历史订单筛选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订单状态</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历史订单展示卡片上，会展示订单结算模式的标识。包含正常结束结算、手动结算、延迟结算、异常单结算、离线结算等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订单详情</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包括用户信息、车辆信息、场站信息、终端信息、结算信息等。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展示充电明细，根据电站设置的时间段价格统计充电时长及对应费用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展示订单的原价、优惠信息以及最终实收价格。最终价格的计算包含了原价、电站活动折扣、优惠券等多种优惠组合的计算得出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同时提供图表/列表两种方式展示监控充电过程中车辆需求电压、电流；实时电压、电流；电池温度；SoC信息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支持根据查询结果进行导出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异常订单</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订单筛选</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可通过筛选项对异常订单进行筛选查找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订单状态</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异常订单展示卡片上，会展示订单来源的标识。如小程序、APP等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异常订单支持进行快捷处理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订单详情</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异常原因展示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包括用户信息、车辆信息、场站信息、终端信息等。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展示充电明细，根据电站设置的时间段价格统计充电时长及对应费用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同时提供图表/列表两种方式展示监控充电过程中车辆需求电压、电流；实时电压、电流；电池温度；SoC信息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订单处理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展示订单详情之外，可以选择按平台数据或按电桩数据输入电量、电费、服务费等信息以及处理原因对异常订单进行处理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异常订单支持导出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订单监控</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启动异常</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启动时，订单异常信息展示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订单设置</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自动处理设置</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配置异常订单自动处理的功能。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其他拓展功能</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不限于以上功能。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★财务管理</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平台财务</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平台财务列表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通过平台查看用户充电的收入记录流水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平台清分、提现的财务状态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导出平台财务报表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客户财务</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用户财务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筛选：用户账号、昵称、归属机构、充值类型、归属运营商，归属机构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列表：用户基本信息及个人钱包余额及企业钱包余额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充值：向当前用户企业钱包充值金额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扣款：从当前用户的企业钱包余额中扣除金额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详情：查看用户钱包余额（个人钱包及企业钱包）及资金流水记录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车辆机构财务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运营商查看自己的充电客户机构的财务信息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机构账户余额显示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机构账户变动流水分配流水、退款流水、充值流水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管理员可以给车辆机构进行充值扣款操作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运营商查看自己的充电客户司机的财务信息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运营商财务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筛选：运营商、组织机构代码、联系人、联系方式、入驻时间、清分状态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列表展示运营商相关的信息，相关资金查看功能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导出：支持导出查询结果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虚拟财务：支持对用户进行虚拟充值的操作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平台财务：查看资金通过平台支付的收入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充值退款管理</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在线充值记录</w:t>
            </w:r>
          </w:p>
        </w:tc>
        <w:tc>
          <w:tcPr>
            <w:tcW w:w="7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用户通过用户端的充值记录。记录每条充值金额、来源、时间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Theme="minorEastAsia" w:cstheme="minorBidi"/>
                <w:i w:val="0"/>
                <w:iCs w:val="0"/>
                <w:kern w:val="2"/>
                <w:sz w:val="24"/>
                <w:szCs w:val="24"/>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在线退款记录</w:t>
            </w:r>
          </w:p>
        </w:tc>
        <w:tc>
          <w:tcPr>
            <w:tcW w:w="7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用户通过用户端发起的退款记录。记录每条退款金额、来源、时间及原因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Theme="minorEastAsia" w:cstheme="minorBidi"/>
                <w:i w:val="0"/>
                <w:iCs w:val="0"/>
                <w:kern w:val="2"/>
                <w:sz w:val="24"/>
                <w:szCs w:val="24"/>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后台充值记录</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平台使用方通过后台进行充值的记录。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记录每条充值金额、来源、时间、原因及操作人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后台退款记录</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平台使用方通过后台进行退款的记录。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记录每条退款金额、来源、时间、原因及操作人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财务工具</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分润计算器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筛选：选择电站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列表：展示配置的电站分润方案，包括电站名称，分润方信息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导出：支持导出查询结果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新增：新增电站分润方案，支持将该电站产生收益按不同分润政策分给对应的分润方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编辑：可对已生成的分润方案进行编辑修改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删除：可对已生成的分润方案进行删除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月对账单</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筛选：对账月份、运营商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列表：按月份展示各个运营商产生的收入、支出、充电量、优惠、等汇总数据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收支明细：可查看运营商每月汇总数据对应的订单明细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导出：支持导出查询结果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★发票管理</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申请用户、发票抬头、税号、运营商、发票种类、开票状态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展示所有申请开票的记录，并可以快速操作选择驳回、开票和查看详情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驳回</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拒绝开票申请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开票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查看开票信息和订单信息，根据订单用户来源，选择发票方式输入发票相关信息。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查看详情</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查看开票申请时填写的发票相关信息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自动开票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当地税务系统对接，根据用订单用户来源，自动电子发票开具电子发票，自动发送至指定邮箱。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★对账系统</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日报管理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按各运营商生成每日充电日报，作为运营商账单及清分依据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月度账单</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对平台各种账单进行月度账单生成及管理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月度对账</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对账总览，平台视角生成月度收入、支出总账，提供查询、导出功能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合作团体（应收），对平台合作团队进行月度账单核对及确认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子运营商对账（应付），对子运营商进行月度账单核对及确认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互联互通运营商（应付），对互联互通运营商进行月度账单核对及确认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其他拓展功能</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不限于以上功能。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★统计中心</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平台统计</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时期统计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查询：实现根据年、月、日等时间维度进行查询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列表：实现根据年、月、日等时间维度展示平台充电汇总数据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导出：实现根据年、月、日等时间维度导出平台充电汇总数据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小时统计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查询：实现根据小时维度进行查询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列表：实现按照24小时分时段维度查看充电汇总数据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导出：实现按照24小时分时段维度导出充电汇总数据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运营商统计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查询：实现根据运营商和时间维度进行查询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列表：实现按照运营商+时间维度查看充电汇总数据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导出：实现按照运营商+时间维度导出充电汇总数据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电站统计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查询：实现根据电站+时间维度进行查询呢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列表：实现按照电站+时间维度查看充电汇总数据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导出：实现按照电站+时间维度导出充电汇总数据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终端统计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查询：实现根据终端+时间维度进行查询呢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列表：实现按照终端+时间维度查看充电汇总数据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导出：实现按照终端+时间维度导出充电汇总数据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运营商统计</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时期统计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查询：实现根据年、月、日等时间维度进行查询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列表：实现根据年、月、日等时间维度展示平台充电汇总数据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导出：实现根据年、月、日等时间维度导出平台充电汇总数据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小时统计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查询：实现根据小时维度进行查询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列表：实现按照24小时分时段维度查看充电汇总数据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导出：实现按照24小时分时段维度导出充电汇总数据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运营商统计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查询：实现根据运营商和时间维度进行查询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列表：实现按照运营商+时间维度查看充电汇总数据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导出：实现按照运营商+时间维度导出充电汇总数据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电站统计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查询：实现根据电站+时间维度进行查询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列表：实现按照电站+时间维度查看充电汇总数据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导出：实现按照电站+时间维度导出充电汇总数据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终端统计</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查询：实现根据终端+时间维度进行查询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列表：实现按照终端+时间维度查看充电汇总数据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导出：实现按照终端+时间维度导出充电汇总数据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其他拓展功能</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不限于以上功能。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★用户管理</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平台用户</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平台充电用户账号、昵称、手机号、状态、归属地区等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平台充电用户的基本信息，含用户账号、昵称、手机号、充电类型、归属地区、账号状态以及快捷操作包括封号、编辑及详情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封号</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当前账号无法登陆和正常使用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编辑</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手动编辑修改用户基本信息，同时支持手动绑定车辆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查看平台充电用户基本信息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新建</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新建平台充电用户基本信息，支持手动绑定车辆信息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批量导入</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使用模版Excel进行用户批量导入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根据查询结果可导出用户信息列表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运营商专属用户</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运营商专属用户账号、昵称、手机号、状态、归属地区等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运营商专属用户的基本信息，含用户账号、昵称、手机号、充电类型、归属地区、账号状态以及快捷操作包括封号、编辑及详情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封号</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当前账号无法登陆和正常使用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编辑</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手动编辑修改用户基本信息，同时支持手动绑定车辆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查看运营商专属用户基本信息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新建</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新建运营商专属用户基本信息，支持手动绑定车辆信息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批量导入</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使用模版Excel进行运营商专属用户批量导入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根据查询结果可导出用户信息列表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电站运营商</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运营商名称、归属公司名称、联系人、运营商属性、联系方式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展示运营商基本信息，含运营商名称、运营商属性、公司全称、联系方式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管理启用电站数、启用/总终端数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快捷操作：编辑、详情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编辑</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运营商基本信息、归属城市、运营商属性、运营场景、财务信息等信息编辑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查看运营商基本信息，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新增</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新增运营商，录入基本信息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可根据查询结果导出运营商列表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平台车辆机构</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车辆机构名称、归属上级机构、联系人、联系方式、统一社会信用代码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展示平台车辆机构列表，基本信息含：机构名称、统一社会信用代码、上级机构、充值类型、联系人、联系方式，快捷操作：编辑、详情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编辑</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车辆机构基本信息、公司名称、统一社会信用代码、归属城市、上级机构（最大支持9级）、联系人信息等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查看车辆机构基本信息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新增</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添加车辆机构，手动录入车辆机构基本信息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可根据查询结果导出车辆机构列表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运营商专属机构</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车辆机构名称、归属上级机构、联系人、联系方式、统一社会信用代码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展示平台车辆机构列表，基本信息含：机构名称、统一社会信用代码、上级机构、充值类型、联系人、联系方式，快捷操作：编辑、详情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编辑</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车辆机构基本信息、公司名称、统一社会信用代码、归属城市、上级机构（最大支持9级）、联系人信息等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查看车辆机构基本信息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新增</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添加车辆机构，手动录入车辆机构基本信息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可根据查询结果导出车辆机构列表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互联互通流量方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互联互通流量方名称、联系方式、统一社会信用代码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展示互联互通流量方基本信息列表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新增/编辑</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支持新增编辑互联互通流量方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查看互联互通流量方详情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可根据查询结果导出车辆、机构等列表信息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其他拓展功能</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不限于以上功能。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★站桩管理</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平台站桩管理</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平台电站管理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筛选：根据电站名称、启停状态、归属运营商、归属城市等进行筛选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列表：卡片形式展示电站基本信息，同时卡片上提供启停状态、可见性等标签信息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卡片提供快捷操作：电站启停、删除、审核、详情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电站启停：电站的启用停用状态切换。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删除：删除当前电站，在用户端不再展示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审核：运营商新增的场站需要通过平台方审核才可正式使用，审核通过后用户端方可展示该站点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详情：查看站点详细信息。包括基本信息、定价、电桩管理、终端列表等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新增：输入电站基本信息、充电价格、以及电站相关周边配置等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导出：根据查询结果导出电站列表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平台终端管理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筛选：根据终端名称、工作状态、归属电站、编码等信息进行筛选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列表：列表展示终端基本信息及工作状态，同时提供快捷操作：校时校价、启用停用、删除、编辑、详情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校时校价：重新手动获取配置的价格进行校对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启用停用：切换终端的启停状态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删除：删除当前终端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新增/编辑：终端基本信息、价格配置、硬件相关信息等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导出：根据查询结果导出终端列表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第三方充电运营商站桩管理</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第三方充电运营商电站管理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筛选：通过电站名称、归属运营商等查询条件，筛选第三方电站列表；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详情：查看第三方电站信息详情、充电单价、电桩使用量预测、电桩管理、运营助手、终端列表；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启停用：第三方电站的启用停用状态切换；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审核：第三方新增的场站需要通过平台方审核才可正式使用，审核通过后用户端方可展示该站点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同步价格：手动获取电站当前充电价格；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导出：支持导出第三方电站列表；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第三方充电运营商终端管理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筛选：通过终端名称、归属电站、终端编码、电桩编码、工作状态等查询条件，筛选第三方终端列表；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详情：查看第三方终端属性信息、电桩属性信息、终端运营信息；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启停用：终端的启用停用状态切换；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终端审核：新增的第三方终端需要通过平台方审核才可正式使用，审核通过后用户端该站点下方可展示对应终端；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导出：导出第三方终端列表；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电站设置</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充电限制</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电站黑白名单设置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手机端可见</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电站是否在用户端上可见配置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定时充电</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支持批量操作设置定时充电的运营商及其对应场站，查看已满足定时充电功能站点并支持手动编辑修改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删除记录</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电站删除记录</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筛选：通过电站、运营属性、电站城市等条件筛选删除电站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详情：展示已删除电站的信息，包含地址、运营商、开放时间、充电费用等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恢复：恢复已删除电站或电站+电桩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导出：导出已删除电站详情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终端删除记录</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筛选：通过终端名称、终端型号、归属电站等条件筛选删除终端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详情：展示已删除终端的信息，包含终端属性、电站属性、充电单价等信息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恢复：恢复已删除终端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导出：导出已删除终端详情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★告警管理</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设备告警</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电桩安全告警</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筛选：根据告警时间、终端名称、品牌型号、终端编码、归属电站、充电单号、用户账号、告警原因等信息进行筛选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列表：列表展示终端告警信息，含终端名称、品牌型号、编码、充电单号、告警原因等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详情：查看告警详情信息，含告警异常值、终端信息、订单信息等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导出：根据查询结果导出电桩告警列表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车辆告警</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筛选：根据告警时间、终端名称、品牌型号、终端编码、归属电站、充电单号、用户账号、告警原因等信息进行筛选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列表：列表展示终端告警信息，含终端名称、品牌型号、编码、充电单号、告警原因等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详情：查看告警详情信息，含告警异常值、终端信息、订单信息等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导出：根据查询结果导出车辆告警列表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异常告警</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筛选：根据告警时间、终端名称、品牌型号、终端编码、归属电站、充电单号、用户账号、告警原因等信息进行筛选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列表：列表展示终端告警信息，含终端名称、品牌型号、编码、充电单号、告警原因等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详情：查看告警详情信息，含告警异常值、终端信息、订单信息等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导出：根据查询结果导出异常告警列表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平台告警</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筛选：平台主动发现的异常告警展示、查询及导出，如桩体离线、未知会员卡充电、充值异常、支付异常等情况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详情：查看告警详情信息，含告警异常值、终端信息、订单信息等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导出：根据查询结果导出异常告警列表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告警设置</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电站告警</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定义：平台管理员配置每个电站的警告规则，当电桩或车辆触发相关规则后，平台自动记录警告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列表：展示所有配置告警的电站数据，包括电站的名称、归属运营商、运营商属性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新增：手动选择电站，支持电桩告警设置、支持车辆安全设置，包括电压、电流、枪线过温、SOC监控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告警处理</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设备运维</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对充电桩报文进行监控，查询相关的报文信息并下发到不同的充电登记运维人员执行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运维策略</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设置告警等级对应的运维人员通知策略，包括对应站点、通知频率及通知方式，对运维人员进行统一、对应登记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巡检策略</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设置巡检人员通知策略，包括对应站点、通知频率及通知方式，对巡检人员进行统一、对应登记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★营销模块</w:t>
            </w: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★广告管理</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公告管理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对客户端弹窗公告的编辑、发布等管理。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用户广告管理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对用户端弹窗广告的编辑、发布等管理。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广告位管理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对移动应用、微信小程序特定的位置的广告位资源的编辑、发布等管理。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卡券管理</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优惠券管理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创建现金折扣券，用来抵扣现金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比例折扣券，可以针对消费进行打折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充电卡管理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通过充电卡可以绑定账户，刷卡充电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kern w:val="2"/>
                <w:sz w:val="24"/>
                <w:szCs w:val="24"/>
                <w:u w:val="none"/>
                <w:lang w:val="en-US" w:eastAsia="zh-CN" w:bidi="ar-SA"/>
              </w:rPr>
            </w:pPr>
            <w:r>
              <w:rPr>
                <w:rFonts w:hint="eastAsia" w:ascii="宋体" w:hAnsi="宋体" w:eastAsiaTheme="minorEastAsia" w:cstheme="minorBidi"/>
                <w:i w:val="0"/>
                <w:iCs w:val="0"/>
                <w:kern w:val="2"/>
                <w:sz w:val="24"/>
                <w:szCs w:val="24"/>
                <w:u w:val="none"/>
                <w:lang w:val="en-US" w:eastAsia="zh-CN" w:bidi="ar-SA"/>
              </w:rPr>
              <w:t>车后营销板块管理</w:t>
            </w:r>
          </w:p>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(此功能后期根据需求升级)</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车后营销活动管理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对客户端车后营销模块的第三方服务商接入、上架商品、商城页面进行编辑、发布等管理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商品核销管理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对用户购买服务、商品进行二维码核销管理；包含客户基本信息、订单、类别、时间、备注等信息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车后服务管理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对客户端车后营销模块的第三方服务商接入等管理；包含第三方基本信息、订单、类别、时间、备注等信息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商品管理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对营销页面上架的商品进行编辑、发布等管理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充电积分管理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对充电用户的充电累计量、用户等级、会员管理体系等进行管理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碳积分管理</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碳积分管理</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基于用户充电行为核算交易方法及系统管理，按照相应公式转换成碳积分,计入用户个人账户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电站折扣</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统一折扣</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多个站点，做统一折扣配置，给予所有用户优惠电价、服务费设置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分时折扣</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可针对单一电站，在指定时间段内的指定周天，对指定用户进行折扣优惠或一口价优惠的设置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优惠券活动管理</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注册活动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注册活动：用户注册时奖励充电优惠券设置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充值活动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充值活动：用户充值时奖励充电优惠券设置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单次充电活动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单次充电活动：用户每次充电达到条件时奖励充电优惠券设置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首次充电活动</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首次充电活动：用户第一次产生充电活动是奖励充电优惠券设置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批量发券</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设置券数量对多人批量发券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单人发券</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指定单个用户发放优惠券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扫码领券</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生成优惠券二维码或优惠链接，用户扫码或点击领取优惠券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停车优惠券</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对充电用户发放停车优惠券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其他电子优惠券</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对充电用户发放其他本地商户、第三方商户促销活动优惠券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记录查看</w:t>
            </w: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优惠券活动记录</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筛选：通过活动名称、活动类型、活动状态等条件筛选优惠券活动记录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详情：展示优惠券活动的活动信息、活动配置内容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导出：可导出优惠券活动记录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活动参与记录</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筛选：通过参与时间、参与用户等条件筛选活动参与记录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6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导出：可导出活动参与记录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标签管理</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用户标签</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可筛选、删除、新增、导出用户标签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8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V2G管理(此功能后期根据需求升级)</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Theme="minorEastAsia" w:cstheme="minorBidi"/>
                <w:i w:val="0"/>
                <w:iCs w:val="0"/>
                <w:sz w:val="24"/>
                <w:szCs w:val="24"/>
                <w:u w:val="none"/>
                <w:lang w:val="en-US" w:eastAsia="zh-CN"/>
              </w:rPr>
            </w:pPr>
            <w:r>
              <w:rPr>
                <w:rFonts w:hint="eastAsia" w:ascii="宋体" w:hAnsi="宋体" w:cstheme="minorBidi"/>
                <w:i w:val="0"/>
                <w:iCs w:val="0"/>
                <w:sz w:val="24"/>
                <w:szCs w:val="24"/>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8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监控管理(此功能后期根据需求升级）</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实时显示场地站桩监控功能。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道闸管理</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道闸列表</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道闸数据互通</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auto"/>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配合联调所需接入的所有道闸方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Theme="minorEastAsia" w:cstheme="minorBidi"/>
                <w:i w:val="0"/>
                <w:iCs w:val="0"/>
                <w:kern w:val="2"/>
                <w:sz w:val="24"/>
                <w:szCs w:val="24"/>
                <w:u w:val="none"/>
                <w:lang w:val="en-US" w:eastAsia="zh-CN" w:bidi="ar-SA"/>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支付管理</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支付数据互通</w:t>
            </w:r>
          </w:p>
        </w:tc>
        <w:tc>
          <w:tcPr>
            <w:tcW w:w="7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Theme="minorEastAsia" w:cstheme="minorBidi"/>
                <w:i w:val="0"/>
                <w:iCs w:val="0"/>
                <w:sz w:val="24"/>
                <w:szCs w:val="24"/>
                <w:u w:val="none"/>
              </w:rPr>
            </w:pPr>
            <w:r>
              <w:rPr>
                <w:rFonts w:hint="eastAsia" w:ascii="宋体" w:hAnsi="宋体" w:eastAsiaTheme="minorEastAsia" w:cstheme="minorBidi"/>
                <w:i w:val="0"/>
                <w:iCs w:val="0"/>
                <w:kern w:val="2"/>
                <w:sz w:val="24"/>
                <w:szCs w:val="24"/>
                <w:u w:val="none"/>
                <w:lang w:val="en-US" w:eastAsia="zh-CN" w:bidi="ar-SA"/>
              </w:rPr>
              <w:t>配合充电支付数据，联调道闸方支付优惠</w:t>
            </w:r>
          </w:p>
        </w:tc>
      </w:tr>
    </w:tbl>
    <w:p>
      <w:pPr>
        <w:spacing w:line="360" w:lineRule="auto"/>
        <w:rPr>
          <w:rFonts w:ascii="宋体" w:hAnsi="宋体" w:eastAsia="宋体"/>
          <w:sz w:val="44"/>
          <w:szCs w:val="44"/>
        </w:rPr>
      </w:pPr>
      <w:r>
        <w:rPr>
          <w:rFonts w:hint="eastAsia" w:ascii="宋体" w:hAnsi="宋体" w:eastAsia="宋体"/>
          <w:b/>
          <w:bCs/>
          <w:sz w:val="44"/>
          <w:szCs w:val="44"/>
        </w:rPr>
        <w:t>二、</w:t>
      </w:r>
      <w:r>
        <w:rPr>
          <w:rFonts w:ascii="宋体" w:hAnsi="宋体" w:eastAsia="宋体"/>
          <w:b/>
          <w:bCs/>
          <w:sz w:val="44"/>
          <w:szCs w:val="44"/>
        </w:rPr>
        <w:t>移动应用</w:t>
      </w:r>
    </w:p>
    <w:p>
      <w:pPr>
        <w:spacing w:line="360" w:lineRule="auto"/>
        <w:rPr>
          <w:rFonts w:ascii="宋体" w:hAnsi="宋体"/>
          <w:sz w:val="24"/>
        </w:rPr>
      </w:pPr>
      <w:r>
        <w:rPr>
          <w:rFonts w:hint="eastAsia" w:ascii="宋体" w:hAnsi="宋体"/>
          <w:sz w:val="30"/>
          <w:szCs w:val="30"/>
        </w:rPr>
        <w:t>（一）APP功能要求</w:t>
      </w:r>
    </w:p>
    <w:tbl>
      <w:tblPr>
        <w:tblStyle w:val="17"/>
        <w:tblW w:w="863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9"/>
        <w:gridCol w:w="1197"/>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blHeader/>
        </w:trPr>
        <w:tc>
          <w:tcPr>
            <w:tcW w:w="1059" w:type="dxa"/>
            <w:shd w:val="clear" w:color="auto" w:fill="A5A5A5" w:themeFill="background1" w:themeFillShade="A6"/>
            <w:vAlign w:val="center"/>
          </w:tcPr>
          <w:p>
            <w:pPr>
              <w:jc w:val="center"/>
              <w:rPr>
                <w:rFonts w:ascii="宋体" w:hAnsi="宋体"/>
                <w:bCs/>
                <w:sz w:val="24"/>
              </w:rPr>
            </w:pPr>
            <w:r>
              <w:rPr>
                <w:rFonts w:hint="eastAsia" w:ascii="宋体" w:hAnsi="宋体"/>
                <w:bCs/>
                <w:sz w:val="24"/>
              </w:rPr>
              <w:t>一级菜单</w:t>
            </w:r>
          </w:p>
        </w:tc>
        <w:tc>
          <w:tcPr>
            <w:tcW w:w="1197" w:type="dxa"/>
            <w:shd w:val="clear" w:color="auto" w:fill="A5A5A5" w:themeFill="background1" w:themeFillShade="A6"/>
            <w:vAlign w:val="center"/>
          </w:tcPr>
          <w:p>
            <w:pPr>
              <w:jc w:val="center"/>
              <w:rPr>
                <w:rFonts w:ascii="宋体" w:hAnsi="宋体"/>
                <w:bCs/>
                <w:sz w:val="24"/>
              </w:rPr>
            </w:pPr>
            <w:r>
              <w:rPr>
                <w:rFonts w:hint="eastAsia" w:ascii="宋体" w:hAnsi="宋体"/>
                <w:bCs/>
                <w:sz w:val="24"/>
              </w:rPr>
              <w:t>二级菜单</w:t>
            </w:r>
          </w:p>
        </w:tc>
        <w:tc>
          <w:tcPr>
            <w:tcW w:w="6383" w:type="dxa"/>
            <w:shd w:val="clear" w:color="auto" w:fill="A5A5A5" w:themeFill="background1" w:themeFillShade="A6"/>
            <w:vAlign w:val="center"/>
          </w:tcPr>
          <w:p>
            <w:pPr>
              <w:jc w:val="center"/>
              <w:rPr>
                <w:rFonts w:ascii="宋体" w:hAnsi="宋体"/>
                <w:bCs/>
                <w:sz w:val="24"/>
              </w:rPr>
            </w:pPr>
            <w:r>
              <w:rPr>
                <w:rFonts w:hint="eastAsia" w:ascii="宋体" w:hAnsi="宋体"/>
                <w:bCs/>
                <w:sz w:val="24"/>
              </w:rPr>
              <w:t>功能概述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restart"/>
            <w:vAlign w:val="center"/>
          </w:tcPr>
          <w:p>
            <w:pPr>
              <w:rPr>
                <w:rFonts w:ascii="宋体" w:hAnsi="宋体"/>
                <w:sz w:val="24"/>
              </w:rPr>
            </w:pPr>
            <w:r>
              <w:rPr>
                <w:rFonts w:hint="eastAsia" w:ascii="宋体" w:hAnsi="宋体"/>
                <w:sz w:val="24"/>
              </w:rPr>
              <w:t>注册/登录</w:t>
            </w:r>
          </w:p>
        </w:tc>
        <w:tc>
          <w:tcPr>
            <w:tcW w:w="1197" w:type="dxa"/>
            <w:vAlign w:val="center"/>
          </w:tcPr>
          <w:p>
            <w:pPr>
              <w:rPr>
                <w:rFonts w:ascii="宋体" w:hAnsi="宋体"/>
                <w:sz w:val="24"/>
              </w:rPr>
            </w:pPr>
            <w:r>
              <w:rPr>
                <w:rFonts w:hint="eastAsia" w:ascii="宋体" w:hAnsi="宋体"/>
                <w:sz w:val="24"/>
              </w:rPr>
              <w:t>注册</w:t>
            </w:r>
          </w:p>
        </w:tc>
        <w:tc>
          <w:tcPr>
            <w:tcW w:w="6383" w:type="dxa"/>
            <w:vAlign w:val="center"/>
          </w:tcPr>
          <w:p>
            <w:pPr>
              <w:rPr>
                <w:rFonts w:ascii="宋体" w:hAnsi="宋体"/>
                <w:sz w:val="24"/>
              </w:rPr>
            </w:pPr>
            <w:r>
              <w:rPr>
                <w:rFonts w:hint="eastAsia" w:ascii="宋体" w:hAnsi="宋体"/>
                <w:sz w:val="24"/>
              </w:rPr>
              <w:t>应至少满足支持用户名+密码、手机+验证码、邮箱+验证码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登录</w:t>
            </w:r>
          </w:p>
        </w:tc>
        <w:tc>
          <w:tcPr>
            <w:tcW w:w="6383" w:type="dxa"/>
            <w:vAlign w:val="center"/>
          </w:tcPr>
          <w:p>
            <w:pPr>
              <w:rPr>
                <w:rFonts w:hint="eastAsia" w:ascii="宋体" w:hAnsi="宋体" w:eastAsiaTheme="minorEastAsia"/>
                <w:sz w:val="24"/>
                <w:lang w:eastAsia="zh-CN"/>
              </w:rPr>
            </w:pPr>
            <w:r>
              <w:rPr>
                <w:rFonts w:hint="eastAsia" w:ascii="宋体" w:hAnsi="宋体"/>
                <w:sz w:val="24"/>
              </w:rPr>
              <w:t>1、应至少满足支持用户名+密码、手机+验证码、邮箱+验证码，支持第三方登录。</w:t>
            </w:r>
          </w:p>
          <w:p>
            <w:pPr>
              <w:rPr>
                <w:rFonts w:ascii="宋体" w:hAnsi="宋体"/>
                <w:sz w:val="24"/>
              </w:rPr>
            </w:pPr>
            <w:r>
              <w:rPr>
                <w:rFonts w:hint="eastAsia" w:ascii="宋体" w:hAnsi="宋体"/>
                <w:sz w:val="24"/>
              </w:rPr>
              <w:t>2、第三方登录需要验证邮箱或者手机号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restart"/>
            <w:vAlign w:val="center"/>
          </w:tcPr>
          <w:p>
            <w:pPr>
              <w:rPr>
                <w:rFonts w:ascii="宋体" w:hAnsi="宋体"/>
                <w:sz w:val="24"/>
              </w:rPr>
            </w:pPr>
            <w:r>
              <w:rPr>
                <w:rFonts w:hint="eastAsia" w:ascii="宋体" w:hAnsi="宋体"/>
                <w:sz w:val="24"/>
              </w:rPr>
              <w:t>首页</w:t>
            </w:r>
          </w:p>
        </w:tc>
        <w:tc>
          <w:tcPr>
            <w:tcW w:w="1197" w:type="dxa"/>
            <w:vAlign w:val="center"/>
          </w:tcPr>
          <w:p>
            <w:pPr>
              <w:rPr>
                <w:rFonts w:ascii="宋体" w:hAnsi="宋体"/>
                <w:sz w:val="24"/>
              </w:rPr>
            </w:pPr>
            <w:r>
              <w:rPr>
                <w:rFonts w:hint="eastAsia" w:ascii="宋体" w:hAnsi="宋体"/>
                <w:sz w:val="24"/>
              </w:rPr>
              <w:t>城市</w:t>
            </w:r>
          </w:p>
        </w:tc>
        <w:tc>
          <w:tcPr>
            <w:tcW w:w="6383" w:type="dxa"/>
            <w:vAlign w:val="center"/>
          </w:tcPr>
          <w:p>
            <w:pPr>
              <w:rPr>
                <w:rFonts w:ascii="宋体" w:hAnsi="宋体"/>
                <w:sz w:val="24"/>
              </w:rPr>
            </w:pPr>
            <w:r>
              <w:rPr>
                <w:rFonts w:hint="eastAsia" w:ascii="宋体" w:hAnsi="宋体"/>
                <w:sz w:val="24"/>
              </w:rPr>
              <w:t>定位当前城市，切换所在城市。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搜索电站</w:t>
            </w:r>
          </w:p>
        </w:tc>
        <w:tc>
          <w:tcPr>
            <w:tcW w:w="6383" w:type="dxa"/>
            <w:vAlign w:val="center"/>
          </w:tcPr>
          <w:p>
            <w:pPr>
              <w:rPr>
                <w:rFonts w:ascii="宋体" w:hAnsi="宋体"/>
                <w:sz w:val="24"/>
              </w:rPr>
            </w:pPr>
            <w:r>
              <w:rPr>
                <w:rFonts w:hint="eastAsia" w:ascii="宋体" w:hAnsi="宋体"/>
                <w:sz w:val="24"/>
              </w:rPr>
              <w:t>输入名称搜索目标充电站。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联系客服</w:t>
            </w:r>
          </w:p>
        </w:tc>
        <w:tc>
          <w:tcPr>
            <w:tcW w:w="6383" w:type="dxa"/>
            <w:vAlign w:val="center"/>
          </w:tcPr>
          <w:p>
            <w:pPr>
              <w:rPr>
                <w:rFonts w:ascii="宋体" w:hAnsi="宋体"/>
                <w:sz w:val="24"/>
              </w:rPr>
            </w:pPr>
            <w:r>
              <w:rPr>
                <w:rFonts w:hint="eastAsia" w:ascii="宋体" w:hAnsi="宋体"/>
                <w:sz w:val="24"/>
              </w:rPr>
              <w:t>一键拨打运营商客服电话。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地图</w:t>
            </w:r>
          </w:p>
        </w:tc>
        <w:tc>
          <w:tcPr>
            <w:tcW w:w="6383" w:type="dxa"/>
            <w:vAlign w:val="center"/>
          </w:tcPr>
          <w:p>
            <w:pPr>
              <w:rPr>
                <w:rFonts w:ascii="宋体" w:hAnsi="宋体"/>
                <w:sz w:val="24"/>
              </w:rPr>
            </w:pPr>
            <w:r>
              <w:rPr>
                <w:rFonts w:hint="eastAsia" w:ascii="宋体" w:hAnsi="宋体"/>
                <w:sz w:val="24"/>
              </w:rPr>
              <w:t>以地图模式显示附近充电站，支持定位、刷新、输入充电枪编号启动，支持扫码启动。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活动广告位</w:t>
            </w:r>
          </w:p>
        </w:tc>
        <w:tc>
          <w:tcPr>
            <w:tcW w:w="6383" w:type="dxa"/>
            <w:vAlign w:val="center"/>
          </w:tcPr>
          <w:p>
            <w:pPr>
              <w:rPr>
                <w:rFonts w:ascii="宋体" w:hAnsi="宋体"/>
                <w:sz w:val="24"/>
              </w:rPr>
            </w:pPr>
            <w:r>
              <w:rPr>
                <w:rFonts w:hint="eastAsia" w:ascii="宋体" w:hAnsi="宋体"/>
                <w:sz w:val="24"/>
              </w:rPr>
              <w:t>展示后台已配置的广告位。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电站列表</w:t>
            </w:r>
          </w:p>
        </w:tc>
        <w:tc>
          <w:tcPr>
            <w:tcW w:w="6383" w:type="dxa"/>
            <w:vAlign w:val="center"/>
          </w:tcPr>
          <w:p>
            <w:pPr>
              <w:rPr>
                <w:rFonts w:ascii="宋体" w:hAnsi="宋体"/>
                <w:sz w:val="24"/>
              </w:rPr>
            </w:pPr>
            <w:r>
              <w:rPr>
                <w:rFonts w:hint="eastAsia" w:ascii="宋体" w:hAnsi="宋体"/>
                <w:sz w:val="24"/>
              </w:rPr>
              <w:t>默认以列表形式展示附近充电站，支持智能排序、距离排序、活动排序的方式，列表中展示电站名称、开放时段、停车收费、充电费率、交直流设备数量及可用数量，所在区域和距离。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电站筛选</w:t>
            </w:r>
          </w:p>
        </w:tc>
        <w:tc>
          <w:tcPr>
            <w:tcW w:w="6383" w:type="dxa"/>
            <w:vAlign w:val="center"/>
          </w:tcPr>
          <w:p>
            <w:pPr>
              <w:rPr>
                <w:rFonts w:ascii="宋体" w:hAnsi="宋体"/>
                <w:sz w:val="24"/>
              </w:rPr>
            </w:pPr>
            <w:r>
              <w:rPr>
                <w:rFonts w:hint="eastAsia" w:ascii="宋体" w:hAnsi="宋体"/>
                <w:sz w:val="24"/>
              </w:rPr>
              <w:t>在列表状态下，按照城市、是否开放、电桩功率、基础设施等条件来筛选电站。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8"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电站详情</w:t>
            </w:r>
          </w:p>
        </w:tc>
        <w:tc>
          <w:tcPr>
            <w:tcW w:w="6383" w:type="dxa"/>
            <w:vAlign w:val="center"/>
          </w:tcPr>
          <w:p>
            <w:pPr>
              <w:rPr>
                <w:rFonts w:hint="eastAsia" w:ascii="宋体" w:hAnsi="宋体" w:eastAsiaTheme="minorEastAsia"/>
                <w:sz w:val="24"/>
                <w:lang w:eastAsia="zh-CN"/>
              </w:rPr>
            </w:pPr>
            <w:r>
              <w:rPr>
                <w:rFonts w:hint="eastAsia" w:ascii="宋体" w:hAnsi="宋体"/>
                <w:sz w:val="24"/>
              </w:rPr>
              <w:t>电站详情：电站名称、地址、充电费用、可用优惠券、活动优惠、服务配套设施情况、营业时间、联系人和电话；</w:t>
            </w:r>
          </w:p>
          <w:p>
            <w:pPr>
              <w:rPr>
                <w:rFonts w:hint="eastAsia" w:ascii="宋体" w:hAnsi="宋体" w:eastAsiaTheme="minorEastAsia"/>
                <w:sz w:val="24"/>
                <w:lang w:eastAsia="zh-CN"/>
              </w:rPr>
            </w:pPr>
            <w:r>
              <w:rPr>
                <w:rFonts w:hint="eastAsia" w:ascii="宋体" w:hAnsi="宋体"/>
                <w:sz w:val="24"/>
              </w:rPr>
              <w:t>电价详情：分时段展示电费和服务费；</w:t>
            </w:r>
          </w:p>
          <w:p>
            <w:pPr>
              <w:rPr>
                <w:rFonts w:hint="eastAsia" w:ascii="宋体" w:hAnsi="宋体" w:eastAsiaTheme="minorEastAsia"/>
                <w:sz w:val="24"/>
                <w:lang w:eastAsia="zh-CN"/>
              </w:rPr>
            </w:pPr>
            <w:r>
              <w:rPr>
                <w:rFonts w:hint="eastAsia" w:ascii="宋体" w:hAnsi="宋体"/>
                <w:sz w:val="24"/>
              </w:rPr>
              <w:t>终端列表：充电枪状态、名称、车位号、功率、是否带枪等；</w:t>
            </w:r>
          </w:p>
          <w:p>
            <w:pPr>
              <w:rPr>
                <w:rFonts w:hint="eastAsia" w:ascii="宋体" w:hAnsi="宋体" w:eastAsiaTheme="minorEastAsia"/>
                <w:sz w:val="24"/>
                <w:lang w:eastAsia="zh-CN"/>
              </w:rPr>
            </w:pPr>
            <w:r>
              <w:rPr>
                <w:rFonts w:hint="eastAsia" w:ascii="宋体" w:hAnsi="宋体"/>
                <w:sz w:val="24"/>
              </w:rPr>
              <w:t>用户评论：可查看使用者对电站的评论；</w:t>
            </w:r>
          </w:p>
          <w:p>
            <w:pPr>
              <w:rPr>
                <w:rFonts w:hint="eastAsia" w:ascii="宋体" w:hAnsi="宋体" w:eastAsiaTheme="minorEastAsia"/>
                <w:sz w:val="24"/>
                <w:lang w:eastAsia="zh-CN"/>
              </w:rPr>
            </w:pPr>
            <w:r>
              <w:rPr>
                <w:rFonts w:hint="eastAsia" w:ascii="宋体" w:hAnsi="宋体"/>
                <w:sz w:val="24"/>
              </w:rPr>
              <w:t>导航：打开目的地地图，拉起手机导航APP；</w:t>
            </w:r>
          </w:p>
          <w:p>
            <w:pPr>
              <w:rPr>
                <w:rFonts w:ascii="宋体" w:hAnsi="宋体"/>
                <w:sz w:val="24"/>
              </w:rPr>
            </w:pPr>
            <w:r>
              <w:rPr>
                <w:rFonts w:hint="eastAsia" w:ascii="宋体" w:hAnsi="宋体"/>
                <w:sz w:val="24"/>
              </w:rPr>
              <w:t>故障报修：关联充电设备接口、选择故障类型、上传图片、填写问题描述，完成故障报修。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1059" w:type="dxa"/>
            <w:vMerge w:val="restart"/>
            <w:vAlign w:val="center"/>
          </w:tcPr>
          <w:p>
            <w:pPr>
              <w:rPr>
                <w:rFonts w:ascii="宋体" w:hAnsi="宋体"/>
                <w:sz w:val="24"/>
              </w:rPr>
            </w:pPr>
            <w:r>
              <w:rPr>
                <w:rFonts w:hint="eastAsia" w:ascii="宋体" w:hAnsi="宋体"/>
                <w:sz w:val="24"/>
              </w:rPr>
              <w:t>地图</w:t>
            </w:r>
          </w:p>
        </w:tc>
        <w:tc>
          <w:tcPr>
            <w:tcW w:w="1197" w:type="dxa"/>
            <w:vAlign w:val="center"/>
          </w:tcPr>
          <w:p>
            <w:pPr>
              <w:rPr>
                <w:rFonts w:ascii="宋体" w:hAnsi="宋体"/>
                <w:sz w:val="24"/>
              </w:rPr>
            </w:pPr>
            <w:r>
              <w:rPr>
                <w:rFonts w:hint="eastAsia" w:ascii="宋体" w:hAnsi="宋体"/>
                <w:sz w:val="24"/>
              </w:rPr>
              <w:t>电站地图</w:t>
            </w:r>
          </w:p>
        </w:tc>
        <w:tc>
          <w:tcPr>
            <w:tcW w:w="6383" w:type="dxa"/>
            <w:vAlign w:val="center"/>
          </w:tcPr>
          <w:p>
            <w:pPr>
              <w:rPr>
                <w:rFonts w:ascii="宋体" w:hAnsi="宋体"/>
                <w:sz w:val="24"/>
              </w:rPr>
            </w:pPr>
            <w:r>
              <w:rPr>
                <w:rFonts w:hint="eastAsia" w:ascii="宋体" w:hAnsi="宋体"/>
                <w:sz w:val="24"/>
              </w:rPr>
              <w:t>默认显示当前位置的地图，并在地图上展示附近充电站站点，站点的名称以及站点内的可用设备情况。点击图标点展示选中电站的卡片信息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城市</w:t>
            </w:r>
          </w:p>
        </w:tc>
        <w:tc>
          <w:tcPr>
            <w:tcW w:w="6383" w:type="dxa"/>
            <w:vAlign w:val="center"/>
          </w:tcPr>
          <w:p>
            <w:pPr>
              <w:rPr>
                <w:rFonts w:ascii="宋体" w:hAnsi="宋体"/>
                <w:sz w:val="24"/>
              </w:rPr>
            </w:pPr>
            <w:r>
              <w:rPr>
                <w:rFonts w:hint="eastAsia" w:ascii="宋体" w:hAnsi="宋体"/>
                <w:sz w:val="24"/>
              </w:rPr>
              <w:t>定位当前城市，切换所在城市。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搜索</w:t>
            </w:r>
          </w:p>
        </w:tc>
        <w:tc>
          <w:tcPr>
            <w:tcW w:w="6383" w:type="dxa"/>
            <w:vAlign w:val="center"/>
          </w:tcPr>
          <w:p>
            <w:pPr>
              <w:rPr>
                <w:rFonts w:ascii="宋体" w:hAnsi="宋体"/>
                <w:sz w:val="24"/>
              </w:rPr>
            </w:pPr>
            <w:r>
              <w:rPr>
                <w:rFonts w:hint="eastAsia" w:ascii="宋体" w:hAnsi="宋体"/>
                <w:sz w:val="24"/>
              </w:rPr>
              <w:t>地图和列表模式下均可输入关键字可查询电站信息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联系客服</w:t>
            </w:r>
          </w:p>
        </w:tc>
        <w:tc>
          <w:tcPr>
            <w:tcW w:w="6383" w:type="dxa"/>
            <w:vAlign w:val="center"/>
          </w:tcPr>
          <w:p>
            <w:pPr>
              <w:rPr>
                <w:rFonts w:ascii="宋体" w:hAnsi="宋体"/>
                <w:sz w:val="24"/>
              </w:rPr>
            </w:pPr>
            <w:r>
              <w:rPr>
                <w:rFonts w:hint="eastAsia" w:ascii="宋体" w:hAnsi="宋体"/>
                <w:sz w:val="24"/>
              </w:rPr>
              <w:t>一键拨打运营商客服电话。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restart"/>
            <w:vAlign w:val="center"/>
          </w:tcPr>
          <w:p>
            <w:pPr>
              <w:rPr>
                <w:rFonts w:ascii="宋体" w:hAnsi="宋体"/>
                <w:sz w:val="24"/>
              </w:rPr>
            </w:pPr>
            <w:r>
              <w:rPr>
                <w:rFonts w:hint="eastAsia" w:ascii="宋体" w:hAnsi="宋体"/>
                <w:sz w:val="24"/>
              </w:rPr>
              <w:t>扫码充电</w:t>
            </w:r>
          </w:p>
        </w:tc>
        <w:tc>
          <w:tcPr>
            <w:tcW w:w="1197" w:type="dxa"/>
            <w:vAlign w:val="center"/>
          </w:tcPr>
          <w:p>
            <w:pPr>
              <w:rPr>
                <w:rFonts w:ascii="宋体" w:hAnsi="宋体"/>
                <w:sz w:val="24"/>
              </w:rPr>
            </w:pPr>
            <w:r>
              <w:rPr>
                <w:rFonts w:hint="eastAsia" w:ascii="宋体" w:hAnsi="宋体"/>
                <w:sz w:val="24"/>
              </w:rPr>
              <w:t>操作流程</w:t>
            </w:r>
          </w:p>
        </w:tc>
        <w:tc>
          <w:tcPr>
            <w:tcW w:w="6383" w:type="dxa"/>
            <w:vAlign w:val="center"/>
          </w:tcPr>
          <w:p>
            <w:pPr>
              <w:rPr>
                <w:rFonts w:ascii="宋体" w:hAnsi="宋体"/>
                <w:sz w:val="24"/>
              </w:rPr>
            </w:pPr>
            <w:r>
              <w:rPr>
                <w:rFonts w:hint="eastAsia" w:ascii="宋体" w:hAnsi="宋体"/>
                <w:sz w:val="24"/>
              </w:rPr>
              <w:t>操作流程介绍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扫描二维码</w:t>
            </w:r>
          </w:p>
        </w:tc>
        <w:tc>
          <w:tcPr>
            <w:tcW w:w="6383" w:type="dxa"/>
            <w:vAlign w:val="center"/>
          </w:tcPr>
          <w:p>
            <w:pPr>
              <w:rPr>
                <w:rFonts w:ascii="宋体" w:hAnsi="宋体"/>
                <w:sz w:val="24"/>
              </w:rPr>
            </w:pPr>
            <w:r>
              <w:rPr>
                <w:rFonts w:hint="eastAsia" w:ascii="宋体" w:hAnsi="宋体"/>
                <w:sz w:val="24"/>
              </w:rPr>
              <w:t>开关闪光灯(手机)，可直接扫描充电桩二维码进行启动充电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手动输入桩编号</w:t>
            </w:r>
          </w:p>
        </w:tc>
        <w:tc>
          <w:tcPr>
            <w:tcW w:w="6383" w:type="dxa"/>
            <w:vAlign w:val="center"/>
          </w:tcPr>
          <w:p>
            <w:pPr>
              <w:rPr>
                <w:rFonts w:ascii="宋体" w:hAnsi="宋体"/>
                <w:sz w:val="24"/>
              </w:rPr>
            </w:pPr>
            <w:r>
              <w:rPr>
                <w:rFonts w:hint="eastAsia" w:ascii="宋体" w:hAnsi="宋体"/>
                <w:sz w:val="24"/>
              </w:rPr>
              <w:t>支持输入桩编号模糊查询，如输入完整充电桩编号，则直接跳转支付方式页面；模糊查询会显示多个充电枪搜索结果，选择其中一个后跳转支付方式页面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支付方式</w:t>
            </w:r>
          </w:p>
        </w:tc>
        <w:tc>
          <w:tcPr>
            <w:tcW w:w="6383" w:type="dxa"/>
            <w:vAlign w:val="center"/>
          </w:tcPr>
          <w:p>
            <w:pPr>
              <w:rPr>
                <w:rFonts w:hint="eastAsia" w:ascii="宋体" w:hAnsi="宋体" w:eastAsiaTheme="minorEastAsia"/>
                <w:sz w:val="24"/>
                <w:lang w:eastAsia="zh-CN"/>
              </w:rPr>
            </w:pPr>
            <w:r>
              <w:rPr>
                <w:rFonts w:hint="eastAsia" w:ascii="宋体" w:hAnsi="宋体"/>
                <w:sz w:val="24"/>
              </w:rPr>
              <w:t>1. 单价展示：充电枪名称、原价展示、折扣价展示（个人账户/企业账户）。</w:t>
            </w:r>
          </w:p>
          <w:p>
            <w:pPr>
              <w:rPr>
                <w:rFonts w:hint="eastAsia" w:ascii="宋体" w:hAnsi="宋体" w:eastAsiaTheme="minorEastAsia"/>
                <w:sz w:val="24"/>
                <w:lang w:eastAsia="zh-CN"/>
              </w:rPr>
            </w:pPr>
            <w:r>
              <w:rPr>
                <w:rFonts w:hint="eastAsia" w:ascii="宋体" w:hAnsi="宋体"/>
                <w:sz w:val="24"/>
              </w:rPr>
              <w:t>2. 账户余额支付（可选择使用个人账户或企业账户，并显示个人账户和企业账户余额）。</w:t>
            </w:r>
          </w:p>
          <w:p>
            <w:pPr>
              <w:rPr>
                <w:rFonts w:hint="eastAsia" w:ascii="宋体" w:hAnsi="宋体" w:eastAsiaTheme="minorEastAsia"/>
                <w:sz w:val="24"/>
                <w:lang w:eastAsia="zh-CN"/>
              </w:rPr>
            </w:pPr>
            <w:r>
              <w:rPr>
                <w:rFonts w:hint="eastAsia" w:ascii="宋体" w:hAnsi="宋体"/>
                <w:sz w:val="24"/>
              </w:rPr>
              <w:t>3. 限制低于设置的金额不能支付。</w:t>
            </w:r>
          </w:p>
          <w:p>
            <w:pPr>
              <w:rPr>
                <w:rFonts w:ascii="宋体" w:hAnsi="宋体"/>
                <w:sz w:val="24"/>
              </w:rPr>
            </w:pPr>
            <w:r>
              <w:rPr>
                <w:rFonts w:hint="eastAsia" w:ascii="宋体" w:hAnsi="宋体"/>
                <w:sz w:val="24"/>
              </w:rPr>
              <w:t>4. 跳转支付APP或H5完成充值。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充电中界面</w:t>
            </w:r>
          </w:p>
        </w:tc>
        <w:tc>
          <w:tcPr>
            <w:tcW w:w="6383" w:type="dxa"/>
            <w:vAlign w:val="center"/>
          </w:tcPr>
          <w:p>
            <w:pPr>
              <w:rPr>
                <w:rFonts w:ascii="宋体" w:hAnsi="宋体"/>
                <w:sz w:val="24"/>
              </w:rPr>
            </w:pPr>
            <w:r>
              <w:rPr>
                <w:rFonts w:hint="eastAsia" w:ascii="宋体" w:hAnsi="宋体"/>
                <w:sz w:val="24"/>
              </w:rPr>
              <w:t>展示充电中的订单编号，枪编号，单价，充电时长，充电度数，充电金额，电流，电压，功率等信息，直流桩会展示SOC，页面提供停止充电按钮，点击即可停止该笔充电订单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充电结束界面</w:t>
            </w:r>
          </w:p>
        </w:tc>
        <w:tc>
          <w:tcPr>
            <w:tcW w:w="6383" w:type="dxa"/>
            <w:vAlign w:val="center"/>
          </w:tcPr>
          <w:p>
            <w:pPr>
              <w:rPr>
                <w:rFonts w:ascii="宋体" w:hAnsi="宋体"/>
                <w:sz w:val="24"/>
              </w:rPr>
            </w:pPr>
            <w:r>
              <w:rPr>
                <w:rFonts w:hint="eastAsia" w:ascii="宋体" w:hAnsi="宋体"/>
                <w:sz w:val="24"/>
              </w:rPr>
              <w:t>充电结束展示充电枪名称、订单号、结束原因、充电时长、充电度数、充电费用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支付</w:t>
            </w:r>
          </w:p>
        </w:tc>
        <w:tc>
          <w:tcPr>
            <w:tcW w:w="6383" w:type="dxa"/>
            <w:vAlign w:val="center"/>
          </w:tcPr>
          <w:p>
            <w:pPr>
              <w:rPr>
                <w:rFonts w:ascii="宋体" w:hAnsi="宋体"/>
                <w:sz w:val="24"/>
              </w:rPr>
            </w:pPr>
            <w:r>
              <w:rPr>
                <w:rFonts w:hint="eastAsia" w:ascii="宋体" w:hAnsi="宋体"/>
                <w:sz w:val="24"/>
              </w:rPr>
              <w:t>自动支付：自动匹配最优优惠券；手动支付：订单为待支付状态，App中展示优惠券列表供用户手动支付时选择使用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申请发票</w:t>
            </w:r>
          </w:p>
        </w:tc>
        <w:tc>
          <w:tcPr>
            <w:tcW w:w="6383" w:type="dxa"/>
            <w:vAlign w:val="center"/>
          </w:tcPr>
          <w:p>
            <w:pPr>
              <w:rPr>
                <w:rFonts w:ascii="宋体" w:hAnsi="宋体"/>
                <w:sz w:val="24"/>
              </w:rPr>
            </w:pPr>
            <w:r>
              <w:rPr>
                <w:rFonts w:hint="eastAsia" w:ascii="宋体" w:hAnsi="宋体"/>
                <w:sz w:val="24"/>
              </w:rPr>
              <w:t>针对个人付款的订单支持在线申请发票，支持申请电子发票和纸质发票，支持维护开票信息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充电评价</w:t>
            </w:r>
          </w:p>
        </w:tc>
        <w:tc>
          <w:tcPr>
            <w:tcW w:w="6383" w:type="dxa"/>
            <w:vAlign w:val="center"/>
          </w:tcPr>
          <w:p>
            <w:pPr>
              <w:rPr>
                <w:rFonts w:ascii="宋体" w:hAnsi="宋体"/>
                <w:sz w:val="24"/>
              </w:rPr>
            </w:pPr>
            <w:r>
              <w:rPr>
                <w:rFonts w:hint="eastAsia" w:ascii="宋体" w:hAnsi="宋体"/>
                <w:sz w:val="24"/>
              </w:rPr>
              <w:t>对本次充电进行评价，评分、文字、图片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1059" w:type="dxa"/>
            <w:vMerge w:val="restart"/>
            <w:vAlign w:val="center"/>
          </w:tcPr>
          <w:p>
            <w:pPr>
              <w:rPr>
                <w:rFonts w:ascii="宋体" w:hAnsi="宋体"/>
                <w:sz w:val="24"/>
              </w:rPr>
            </w:pPr>
            <w:r>
              <w:rPr>
                <w:rFonts w:hint="eastAsia" w:ascii="宋体" w:hAnsi="宋体"/>
                <w:sz w:val="24"/>
              </w:rPr>
              <w:t>钱包</w:t>
            </w:r>
          </w:p>
        </w:tc>
        <w:tc>
          <w:tcPr>
            <w:tcW w:w="1197" w:type="dxa"/>
            <w:vAlign w:val="center"/>
          </w:tcPr>
          <w:p>
            <w:pPr>
              <w:rPr>
                <w:rFonts w:ascii="宋体" w:hAnsi="宋体"/>
                <w:sz w:val="24"/>
              </w:rPr>
            </w:pPr>
            <w:r>
              <w:rPr>
                <w:rFonts w:hint="eastAsia" w:ascii="宋体" w:hAnsi="宋体"/>
                <w:sz w:val="24"/>
              </w:rPr>
              <w:t>余额</w:t>
            </w:r>
          </w:p>
        </w:tc>
        <w:tc>
          <w:tcPr>
            <w:tcW w:w="6383" w:type="dxa"/>
            <w:vAlign w:val="center"/>
          </w:tcPr>
          <w:p>
            <w:pPr>
              <w:rPr>
                <w:rFonts w:hint="eastAsia" w:ascii="宋体" w:hAnsi="宋体" w:eastAsiaTheme="minorEastAsia"/>
                <w:sz w:val="24"/>
                <w:lang w:eastAsia="zh-CN"/>
              </w:rPr>
            </w:pPr>
            <w:r>
              <w:rPr>
                <w:rFonts w:hint="eastAsia" w:ascii="宋体" w:hAnsi="宋体"/>
                <w:sz w:val="24"/>
              </w:rPr>
              <w:t>1、显示当前个人账户余额，可进行个人账户充值和退款申请，查看个人余额充值、消费和退款记录。若有企业账户，此处也显示企业账户余额，支持查看企业账户的消费记录。</w:t>
            </w:r>
          </w:p>
          <w:p>
            <w:pPr>
              <w:rPr>
                <w:rFonts w:hint="eastAsia" w:ascii="宋体" w:hAnsi="宋体" w:eastAsiaTheme="minorEastAsia"/>
                <w:sz w:val="24"/>
                <w:lang w:eastAsia="zh-CN"/>
              </w:rPr>
            </w:pPr>
            <w:r>
              <w:rPr>
                <w:rFonts w:hint="eastAsia" w:ascii="宋体" w:hAnsi="宋体"/>
                <w:sz w:val="24"/>
              </w:rPr>
              <w:t>未完成的订单金额及退款中的金额会被冻结。</w:t>
            </w:r>
          </w:p>
          <w:p>
            <w:pPr>
              <w:rPr>
                <w:rFonts w:hint="eastAsia" w:ascii="宋体" w:hAnsi="宋体" w:eastAsiaTheme="minorEastAsia"/>
                <w:sz w:val="24"/>
                <w:lang w:eastAsia="zh-CN"/>
              </w:rPr>
            </w:pPr>
            <w:r>
              <w:rPr>
                <w:rFonts w:hint="eastAsia" w:ascii="宋体" w:hAnsi="宋体"/>
                <w:sz w:val="24"/>
              </w:rPr>
              <w:t>2、自定义充值金额，或使用默认金额快速充值，支持微信支付。</w:t>
            </w:r>
          </w:p>
          <w:p>
            <w:pPr>
              <w:rPr>
                <w:rFonts w:ascii="宋体" w:hAnsi="宋体"/>
                <w:sz w:val="24"/>
              </w:rPr>
            </w:pPr>
            <w:r>
              <w:rPr>
                <w:rFonts w:hint="eastAsia" w:ascii="宋体" w:hAnsi="宋体"/>
                <w:sz w:val="24"/>
              </w:rPr>
              <w:t>3、用户申请退款，输入退款金额和退款原因，运营人员审核后线上或线下退款，可查看已申请的退款记录。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优惠券</w:t>
            </w:r>
          </w:p>
        </w:tc>
        <w:tc>
          <w:tcPr>
            <w:tcW w:w="6383" w:type="dxa"/>
            <w:vAlign w:val="center"/>
          </w:tcPr>
          <w:p>
            <w:pPr>
              <w:rPr>
                <w:rFonts w:ascii="宋体" w:hAnsi="宋体"/>
                <w:sz w:val="24"/>
              </w:rPr>
            </w:pPr>
            <w:r>
              <w:rPr>
                <w:rFonts w:hint="eastAsia" w:ascii="宋体" w:hAnsi="宋体"/>
                <w:sz w:val="24"/>
              </w:rPr>
              <w:t>支持查看可使用、已使用和已过期的优惠券，支持查看优惠券的使用日期、使用电站等信息。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restart"/>
            <w:vAlign w:val="center"/>
          </w:tcPr>
          <w:p>
            <w:pPr>
              <w:rPr>
                <w:rFonts w:ascii="宋体" w:hAnsi="宋体"/>
                <w:sz w:val="24"/>
              </w:rPr>
            </w:pPr>
            <w:r>
              <w:rPr>
                <w:rFonts w:hint="eastAsia" w:ascii="宋体" w:hAnsi="宋体"/>
                <w:sz w:val="24"/>
              </w:rPr>
              <w:t>我的</w:t>
            </w:r>
          </w:p>
        </w:tc>
        <w:tc>
          <w:tcPr>
            <w:tcW w:w="1197" w:type="dxa"/>
            <w:vAlign w:val="center"/>
          </w:tcPr>
          <w:p>
            <w:pPr>
              <w:rPr>
                <w:rFonts w:ascii="宋体" w:hAnsi="宋体"/>
                <w:sz w:val="24"/>
              </w:rPr>
            </w:pPr>
            <w:r>
              <w:rPr>
                <w:rFonts w:hint="eastAsia" w:ascii="宋体" w:hAnsi="宋体"/>
                <w:sz w:val="24"/>
              </w:rPr>
              <w:t>个人信息</w:t>
            </w:r>
          </w:p>
        </w:tc>
        <w:tc>
          <w:tcPr>
            <w:tcW w:w="6383" w:type="dxa"/>
            <w:vAlign w:val="center"/>
          </w:tcPr>
          <w:p>
            <w:pPr>
              <w:rPr>
                <w:rFonts w:ascii="宋体" w:hAnsi="宋体"/>
                <w:sz w:val="24"/>
              </w:rPr>
            </w:pPr>
            <w:r>
              <w:rPr>
                <w:rFonts w:hint="eastAsia" w:ascii="宋体" w:hAnsi="宋体"/>
                <w:sz w:val="24"/>
              </w:rPr>
              <w:t>可上传头像，设置昵称和生日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Merge w:val="restart"/>
            <w:vAlign w:val="center"/>
          </w:tcPr>
          <w:p>
            <w:pPr>
              <w:rPr>
                <w:rFonts w:ascii="宋体" w:hAnsi="宋体"/>
                <w:sz w:val="24"/>
              </w:rPr>
            </w:pPr>
            <w:r>
              <w:rPr>
                <w:rFonts w:hint="eastAsia" w:ascii="宋体" w:hAnsi="宋体"/>
                <w:sz w:val="24"/>
              </w:rPr>
              <w:t>支付密码</w:t>
            </w:r>
          </w:p>
        </w:tc>
        <w:tc>
          <w:tcPr>
            <w:tcW w:w="6383" w:type="dxa"/>
            <w:vAlign w:val="center"/>
          </w:tcPr>
          <w:p>
            <w:pPr>
              <w:rPr>
                <w:rFonts w:ascii="宋体" w:hAnsi="宋体"/>
                <w:sz w:val="24"/>
              </w:rPr>
            </w:pPr>
            <w:r>
              <w:rPr>
                <w:rFonts w:hint="eastAsia" w:ascii="宋体" w:hAnsi="宋体"/>
                <w:sz w:val="24"/>
              </w:rPr>
              <w:t>账户余额支付密码管理：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Merge w:val="continue"/>
            <w:vAlign w:val="center"/>
          </w:tcPr>
          <w:p>
            <w:pPr>
              <w:rPr>
                <w:rFonts w:ascii="宋体" w:hAnsi="宋体"/>
                <w:sz w:val="24"/>
              </w:rPr>
            </w:pPr>
          </w:p>
        </w:tc>
        <w:tc>
          <w:tcPr>
            <w:tcW w:w="6383" w:type="dxa"/>
            <w:vAlign w:val="center"/>
          </w:tcPr>
          <w:p>
            <w:pPr>
              <w:rPr>
                <w:rFonts w:ascii="宋体" w:hAnsi="宋体"/>
                <w:sz w:val="24"/>
              </w:rPr>
            </w:pPr>
            <w:r>
              <w:rPr>
                <w:rFonts w:hint="eastAsia" w:ascii="宋体" w:hAnsi="宋体"/>
                <w:sz w:val="24"/>
              </w:rPr>
              <w:t>支付密码重置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充电订单</w:t>
            </w:r>
          </w:p>
        </w:tc>
        <w:tc>
          <w:tcPr>
            <w:tcW w:w="6383" w:type="dxa"/>
            <w:vAlign w:val="center"/>
          </w:tcPr>
          <w:p>
            <w:pPr>
              <w:rPr>
                <w:rFonts w:hint="eastAsia" w:ascii="宋体" w:hAnsi="宋体" w:eastAsiaTheme="minorEastAsia"/>
                <w:sz w:val="24"/>
                <w:lang w:eastAsia="zh-CN"/>
              </w:rPr>
            </w:pPr>
            <w:r>
              <w:rPr>
                <w:rFonts w:hint="eastAsia" w:ascii="宋体" w:hAnsi="宋体"/>
                <w:sz w:val="24"/>
              </w:rPr>
              <w:t>1、 根据不同状态展示订单，包括全部、充电中、待支付、待评价、已完成</w:t>
            </w:r>
          </w:p>
          <w:p>
            <w:pPr>
              <w:rPr>
                <w:rFonts w:hint="eastAsia" w:ascii="宋体" w:hAnsi="宋体" w:eastAsiaTheme="minorEastAsia"/>
                <w:sz w:val="24"/>
                <w:lang w:eastAsia="zh-CN"/>
              </w:rPr>
            </w:pPr>
            <w:r>
              <w:rPr>
                <w:rFonts w:hint="eastAsia" w:ascii="宋体" w:hAnsi="宋体"/>
                <w:sz w:val="24"/>
              </w:rPr>
              <w:t>2、 展示订单状态，订单编号（可复制），充电电量、费用和终端信息</w:t>
            </w:r>
          </w:p>
          <w:p>
            <w:pPr>
              <w:rPr>
                <w:rFonts w:hint="eastAsia" w:ascii="宋体" w:hAnsi="宋体" w:eastAsiaTheme="minorEastAsia"/>
                <w:sz w:val="24"/>
                <w:lang w:eastAsia="zh-CN"/>
              </w:rPr>
            </w:pPr>
            <w:r>
              <w:rPr>
                <w:rFonts w:hint="eastAsia" w:ascii="宋体" w:hAnsi="宋体"/>
                <w:sz w:val="24"/>
              </w:rPr>
              <w:t>3、 订单支持筛选</w:t>
            </w:r>
          </w:p>
          <w:p>
            <w:pPr>
              <w:rPr>
                <w:rFonts w:ascii="宋体" w:hAnsi="宋体"/>
                <w:sz w:val="24"/>
              </w:rPr>
            </w:pPr>
            <w:r>
              <w:rPr>
                <w:rFonts w:hint="eastAsia" w:ascii="宋体" w:hAnsi="宋体"/>
                <w:sz w:val="24"/>
              </w:rPr>
              <w:t>4、 点击去开票按钮进入发票申请页面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占位订单</w:t>
            </w:r>
          </w:p>
        </w:tc>
        <w:tc>
          <w:tcPr>
            <w:tcW w:w="6383" w:type="dxa"/>
            <w:vAlign w:val="center"/>
          </w:tcPr>
          <w:p>
            <w:pPr>
              <w:rPr>
                <w:rFonts w:hint="eastAsia" w:ascii="宋体" w:hAnsi="宋体" w:eastAsiaTheme="minorEastAsia"/>
                <w:sz w:val="24"/>
                <w:lang w:eastAsia="zh-CN"/>
              </w:rPr>
            </w:pPr>
            <w:r>
              <w:rPr>
                <w:rFonts w:hint="eastAsia" w:ascii="宋体" w:hAnsi="宋体"/>
                <w:sz w:val="24"/>
              </w:rPr>
              <w:t>1、 支持查看个人钱包支付的占位订单</w:t>
            </w:r>
          </w:p>
          <w:p>
            <w:pPr>
              <w:rPr>
                <w:rFonts w:hint="eastAsia" w:ascii="宋体" w:hAnsi="宋体" w:eastAsiaTheme="minorEastAsia"/>
                <w:sz w:val="24"/>
                <w:lang w:eastAsia="zh-CN"/>
              </w:rPr>
            </w:pPr>
            <w:r>
              <w:rPr>
                <w:rFonts w:hint="eastAsia" w:ascii="宋体" w:hAnsi="宋体"/>
                <w:sz w:val="24"/>
              </w:rPr>
              <w:t>2、 占位订单扣费</w:t>
            </w:r>
          </w:p>
          <w:p>
            <w:pPr>
              <w:rPr>
                <w:rFonts w:hint="eastAsia" w:ascii="宋体" w:hAnsi="宋体" w:eastAsiaTheme="minorEastAsia"/>
                <w:sz w:val="24"/>
                <w:lang w:eastAsia="zh-CN"/>
              </w:rPr>
            </w:pPr>
            <w:r>
              <w:rPr>
                <w:rFonts w:hint="eastAsia" w:ascii="宋体" w:hAnsi="宋体"/>
                <w:sz w:val="24"/>
              </w:rPr>
              <w:t>3、 占位订单申诉</w:t>
            </w:r>
          </w:p>
          <w:p>
            <w:pPr>
              <w:rPr>
                <w:rFonts w:ascii="宋体" w:hAnsi="宋体"/>
                <w:sz w:val="24"/>
              </w:rPr>
            </w:pPr>
            <w:r>
              <w:rPr>
                <w:rFonts w:hint="eastAsia" w:ascii="宋体" w:hAnsi="宋体"/>
                <w:sz w:val="24"/>
              </w:rPr>
              <w:t>4、 点击去开票按钮进入发票申请页面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我的消息</w:t>
            </w:r>
          </w:p>
        </w:tc>
        <w:tc>
          <w:tcPr>
            <w:tcW w:w="6383" w:type="dxa"/>
            <w:vAlign w:val="center"/>
          </w:tcPr>
          <w:p>
            <w:pPr>
              <w:rPr>
                <w:rFonts w:ascii="宋体" w:hAnsi="宋体"/>
                <w:sz w:val="24"/>
              </w:rPr>
            </w:pPr>
            <w:r>
              <w:rPr>
                <w:rFonts w:hint="eastAsia" w:ascii="宋体" w:hAnsi="宋体"/>
                <w:sz w:val="24"/>
              </w:rPr>
              <w:t>推送消息列表，根据消息类型跳转页面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收藏</w:t>
            </w:r>
          </w:p>
        </w:tc>
        <w:tc>
          <w:tcPr>
            <w:tcW w:w="6383" w:type="dxa"/>
            <w:vAlign w:val="center"/>
          </w:tcPr>
          <w:p>
            <w:pPr>
              <w:rPr>
                <w:rFonts w:ascii="宋体" w:hAnsi="宋体"/>
                <w:sz w:val="24"/>
              </w:rPr>
            </w:pPr>
            <w:r>
              <w:rPr>
                <w:rFonts w:hint="eastAsia" w:ascii="宋体" w:hAnsi="宋体"/>
                <w:sz w:val="24"/>
              </w:rPr>
              <w:t>用户收藏的电站，按照收藏时间倒序排列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我的爱车</w:t>
            </w:r>
          </w:p>
        </w:tc>
        <w:tc>
          <w:tcPr>
            <w:tcW w:w="6383" w:type="dxa"/>
            <w:vAlign w:val="center"/>
          </w:tcPr>
          <w:p>
            <w:pPr>
              <w:rPr>
                <w:rFonts w:ascii="宋体" w:hAnsi="宋体"/>
                <w:sz w:val="24"/>
              </w:rPr>
            </w:pPr>
            <w:r>
              <w:rPr>
                <w:rFonts w:hint="eastAsia" w:ascii="宋体" w:hAnsi="宋体"/>
                <w:sz w:val="24"/>
              </w:rPr>
              <w:t>可添加、删除 车辆车牌号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登录密码</w:t>
            </w:r>
          </w:p>
        </w:tc>
        <w:tc>
          <w:tcPr>
            <w:tcW w:w="6383" w:type="dxa"/>
            <w:vAlign w:val="center"/>
          </w:tcPr>
          <w:p>
            <w:pPr>
              <w:rPr>
                <w:rFonts w:ascii="宋体" w:hAnsi="宋体"/>
                <w:sz w:val="24"/>
              </w:rPr>
            </w:pPr>
            <w:r>
              <w:rPr>
                <w:rFonts w:hint="eastAsia" w:ascii="宋体" w:hAnsi="宋体"/>
                <w:sz w:val="24"/>
              </w:rPr>
              <w:t>登录密码重置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客服咨询</w:t>
            </w:r>
          </w:p>
        </w:tc>
        <w:tc>
          <w:tcPr>
            <w:tcW w:w="6383" w:type="dxa"/>
            <w:vAlign w:val="center"/>
          </w:tcPr>
          <w:p>
            <w:pPr>
              <w:rPr>
                <w:rFonts w:ascii="宋体" w:hAnsi="宋体"/>
                <w:sz w:val="24"/>
              </w:rPr>
            </w:pPr>
            <w:r>
              <w:rPr>
                <w:rFonts w:hint="eastAsia" w:ascii="宋体" w:hAnsi="宋体"/>
                <w:sz w:val="24"/>
              </w:rPr>
              <w:t>可电话咨询客服解决问题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故障报修</w:t>
            </w:r>
          </w:p>
        </w:tc>
        <w:tc>
          <w:tcPr>
            <w:tcW w:w="6383" w:type="dxa"/>
            <w:vAlign w:val="center"/>
          </w:tcPr>
          <w:p>
            <w:pPr>
              <w:rPr>
                <w:rFonts w:ascii="宋体" w:hAnsi="宋体"/>
                <w:sz w:val="24"/>
              </w:rPr>
            </w:pPr>
            <w:r>
              <w:rPr>
                <w:rFonts w:hint="eastAsia" w:ascii="宋体" w:hAnsi="宋体"/>
                <w:sz w:val="24"/>
              </w:rPr>
              <w:t>故障报修，可上传图片并且可以文字描述提交审核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发票历史</w:t>
            </w:r>
          </w:p>
        </w:tc>
        <w:tc>
          <w:tcPr>
            <w:tcW w:w="6383" w:type="dxa"/>
            <w:vAlign w:val="center"/>
          </w:tcPr>
          <w:p>
            <w:pPr>
              <w:rPr>
                <w:rFonts w:ascii="宋体" w:hAnsi="宋体"/>
                <w:sz w:val="24"/>
              </w:rPr>
            </w:pPr>
            <w:r>
              <w:rPr>
                <w:rFonts w:hint="eastAsia" w:ascii="宋体" w:hAnsi="宋体"/>
                <w:sz w:val="24"/>
              </w:rPr>
              <w:t>开票历史 查看所有的申请发票记录，支持按照已开票、开票中状态快速筛选。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发票抬头</w:t>
            </w:r>
          </w:p>
        </w:tc>
        <w:tc>
          <w:tcPr>
            <w:tcW w:w="6383" w:type="dxa"/>
            <w:vAlign w:val="center"/>
          </w:tcPr>
          <w:p>
            <w:pPr>
              <w:rPr>
                <w:rFonts w:ascii="宋体" w:hAnsi="宋体"/>
                <w:sz w:val="24"/>
              </w:rPr>
            </w:pPr>
            <w:r>
              <w:rPr>
                <w:rFonts w:hint="eastAsia" w:ascii="宋体" w:hAnsi="宋体"/>
                <w:sz w:val="24"/>
              </w:rPr>
              <w:t>发票抬头管理 可新增、编辑、删除发票抬头信息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退出登录</w:t>
            </w:r>
          </w:p>
        </w:tc>
        <w:tc>
          <w:tcPr>
            <w:tcW w:w="6383" w:type="dxa"/>
            <w:vAlign w:val="center"/>
          </w:tcPr>
          <w:p>
            <w:pPr>
              <w:rPr>
                <w:rFonts w:ascii="宋体" w:hAnsi="宋体"/>
                <w:sz w:val="24"/>
              </w:rPr>
            </w:pPr>
            <w:r>
              <w:rPr>
                <w:rFonts w:hint="eastAsia" w:ascii="宋体" w:hAnsi="宋体"/>
                <w:sz w:val="24"/>
              </w:rPr>
              <w:t>退出登录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注销</w:t>
            </w:r>
          </w:p>
        </w:tc>
        <w:tc>
          <w:tcPr>
            <w:tcW w:w="6383" w:type="dxa"/>
            <w:vAlign w:val="center"/>
          </w:tcPr>
          <w:p>
            <w:pPr>
              <w:rPr>
                <w:rFonts w:ascii="宋体" w:hAnsi="宋体"/>
                <w:sz w:val="24"/>
              </w:rPr>
            </w:pPr>
            <w:r>
              <w:rPr>
                <w:rFonts w:hint="eastAsia" w:ascii="宋体" w:hAnsi="宋体"/>
                <w:sz w:val="24"/>
              </w:rPr>
              <w:t>支持用户申请注销账户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059" w:type="dxa"/>
            <w:vMerge w:val="continue"/>
            <w:vAlign w:val="center"/>
          </w:tcPr>
          <w:p>
            <w:pPr>
              <w:rPr>
                <w:rFonts w:ascii="宋体" w:hAnsi="宋体"/>
                <w:sz w:val="24"/>
              </w:rPr>
            </w:pPr>
          </w:p>
        </w:tc>
        <w:tc>
          <w:tcPr>
            <w:tcW w:w="1197" w:type="dxa"/>
            <w:vAlign w:val="center"/>
          </w:tcPr>
          <w:p>
            <w:pPr>
              <w:rPr>
                <w:rFonts w:ascii="宋体" w:hAnsi="宋体"/>
                <w:sz w:val="24"/>
              </w:rPr>
            </w:pPr>
            <w:r>
              <w:rPr>
                <w:rFonts w:hint="eastAsia" w:ascii="宋体" w:hAnsi="宋体"/>
                <w:sz w:val="24"/>
              </w:rPr>
              <w:t>设置</w:t>
            </w:r>
          </w:p>
        </w:tc>
        <w:tc>
          <w:tcPr>
            <w:tcW w:w="6383" w:type="dxa"/>
            <w:vAlign w:val="center"/>
          </w:tcPr>
          <w:p>
            <w:pPr>
              <w:rPr>
                <w:rFonts w:ascii="宋体" w:hAnsi="宋体"/>
                <w:sz w:val="24"/>
              </w:rPr>
            </w:pPr>
            <w:r>
              <w:rPr>
                <w:rFonts w:hint="eastAsia" w:ascii="宋体" w:hAnsi="宋体"/>
                <w:sz w:val="24"/>
              </w:rPr>
              <w:t>清除缓存，注册协议，隐私政策，关于我们</w:t>
            </w:r>
          </w:p>
        </w:tc>
      </w:tr>
    </w:tbl>
    <w:p/>
    <w:p>
      <w:pPr>
        <w:spacing w:line="360" w:lineRule="auto"/>
      </w:pPr>
      <w:r>
        <w:rPr>
          <w:rFonts w:hint="eastAsia" w:ascii="宋体" w:hAnsi="宋体"/>
          <w:b/>
          <w:bCs/>
          <w:sz w:val="30"/>
          <w:szCs w:val="30"/>
        </w:rPr>
        <w:t>（二）微信小程序功能要求</w:t>
      </w:r>
    </w:p>
    <w:tbl>
      <w:tblPr>
        <w:tblStyle w:val="17"/>
        <w:tblW w:w="84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276"/>
        <w:gridCol w:w="5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trPr>
        <w:tc>
          <w:tcPr>
            <w:tcW w:w="1271" w:type="dxa"/>
            <w:shd w:val="clear" w:color="auto" w:fill="A5A5A5" w:themeFill="background1" w:themeFillShade="A6"/>
            <w:vAlign w:val="center"/>
          </w:tcPr>
          <w:p>
            <w:pPr>
              <w:pStyle w:val="15"/>
              <w:ind w:firstLine="0" w:firstLineChars="0"/>
              <w:jc w:val="center"/>
              <w:rPr>
                <w:rFonts w:ascii="宋体" w:hAnsi="宋体"/>
                <w:b/>
                <w:bCs/>
                <w:sz w:val="24"/>
              </w:rPr>
            </w:pPr>
            <w:r>
              <w:rPr>
                <w:rFonts w:hint="eastAsia" w:ascii="宋体" w:hAnsi="宋体"/>
                <w:b/>
                <w:bCs/>
                <w:sz w:val="24"/>
              </w:rPr>
              <w:t>一级功能</w:t>
            </w:r>
          </w:p>
        </w:tc>
        <w:tc>
          <w:tcPr>
            <w:tcW w:w="1276" w:type="dxa"/>
            <w:shd w:val="clear" w:color="auto" w:fill="A5A5A5" w:themeFill="background1" w:themeFillShade="A6"/>
            <w:vAlign w:val="center"/>
          </w:tcPr>
          <w:p>
            <w:pPr>
              <w:pStyle w:val="15"/>
              <w:ind w:firstLine="0" w:firstLineChars="0"/>
              <w:jc w:val="center"/>
              <w:rPr>
                <w:rFonts w:ascii="宋体" w:hAnsi="宋体"/>
                <w:b/>
                <w:bCs/>
                <w:sz w:val="24"/>
              </w:rPr>
            </w:pPr>
            <w:r>
              <w:rPr>
                <w:rFonts w:hint="eastAsia" w:ascii="宋体" w:hAnsi="宋体"/>
                <w:b/>
                <w:bCs/>
                <w:sz w:val="24"/>
              </w:rPr>
              <w:t>二级功能</w:t>
            </w:r>
          </w:p>
        </w:tc>
        <w:tc>
          <w:tcPr>
            <w:tcW w:w="5914" w:type="dxa"/>
            <w:shd w:val="clear" w:color="auto" w:fill="A5A5A5" w:themeFill="background1" w:themeFillShade="A6"/>
            <w:vAlign w:val="center"/>
          </w:tcPr>
          <w:p>
            <w:pPr>
              <w:pStyle w:val="15"/>
              <w:ind w:firstLine="0" w:firstLineChars="0"/>
              <w:jc w:val="center"/>
              <w:rPr>
                <w:rFonts w:ascii="宋体" w:hAnsi="宋体"/>
                <w:b/>
                <w:bCs/>
                <w:sz w:val="24"/>
              </w:rPr>
            </w:pPr>
            <w:r>
              <w:rPr>
                <w:rFonts w:hint="eastAsia" w:ascii="宋体" w:hAnsi="宋体"/>
                <w:b/>
                <w:bCs/>
                <w:sz w:val="24"/>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Align w:val="center"/>
          </w:tcPr>
          <w:p>
            <w:pPr>
              <w:pStyle w:val="15"/>
              <w:ind w:firstLine="0" w:firstLineChars="0"/>
              <w:rPr>
                <w:rFonts w:ascii="宋体" w:hAnsi="宋体"/>
                <w:sz w:val="24"/>
              </w:rPr>
            </w:pPr>
            <w:r>
              <w:rPr>
                <w:rFonts w:hint="eastAsia" w:ascii="宋体" w:hAnsi="宋体"/>
                <w:sz w:val="24"/>
              </w:rPr>
              <w:t>登录</w:t>
            </w:r>
          </w:p>
        </w:tc>
        <w:tc>
          <w:tcPr>
            <w:tcW w:w="1276" w:type="dxa"/>
            <w:vAlign w:val="center"/>
          </w:tcPr>
          <w:p>
            <w:pPr>
              <w:pStyle w:val="15"/>
              <w:ind w:firstLine="0" w:firstLineChars="0"/>
              <w:rPr>
                <w:rFonts w:ascii="宋体" w:hAnsi="宋体"/>
                <w:sz w:val="24"/>
              </w:rPr>
            </w:pPr>
            <w:r>
              <w:rPr>
                <w:rFonts w:hint="eastAsia" w:ascii="宋体" w:hAnsi="宋体"/>
                <w:sz w:val="24"/>
              </w:rPr>
              <w:t>登录</w:t>
            </w:r>
          </w:p>
        </w:tc>
        <w:tc>
          <w:tcPr>
            <w:tcW w:w="5914" w:type="dxa"/>
            <w:vAlign w:val="center"/>
          </w:tcPr>
          <w:p>
            <w:pPr>
              <w:pStyle w:val="15"/>
              <w:ind w:firstLine="0" w:firstLineChars="0"/>
              <w:rPr>
                <w:rFonts w:ascii="宋体" w:hAnsi="宋体"/>
                <w:sz w:val="24"/>
              </w:rPr>
            </w:pPr>
            <w:r>
              <w:rPr>
                <w:rFonts w:hint="eastAsia" w:ascii="宋体" w:hAnsi="宋体"/>
                <w:sz w:val="24"/>
              </w:rPr>
              <w:t>微信一键登录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restart"/>
            <w:vAlign w:val="center"/>
          </w:tcPr>
          <w:p>
            <w:pPr>
              <w:pStyle w:val="15"/>
              <w:ind w:firstLine="0" w:firstLineChars="0"/>
              <w:rPr>
                <w:rFonts w:ascii="宋体" w:hAnsi="宋体"/>
                <w:sz w:val="24"/>
              </w:rPr>
            </w:pPr>
            <w:r>
              <w:rPr>
                <w:rFonts w:hint="eastAsia" w:ascii="宋体" w:hAnsi="宋体"/>
                <w:sz w:val="24"/>
              </w:rPr>
              <w:t>首页</w:t>
            </w:r>
          </w:p>
        </w:tc>
        <w:tc>
          <w:tcPr>
            <w:tcW w:w="1276" w:type="dxa"/>
            <w:vAlign w:val="center"/>
          </w:tcPr>
          <w:p>
            <w:pPr>
              <w:pStyle w:val="15"/>
              <w:ind w:firstLine="0" w:firstLineChars="0"/>
              <w:rPr>
                <w:rFonts w:ascii="宋体" w:hAnsi="宋体"/>
                <w:sz w:val="24"/>
              </w:rPr>
            </w:pPr>
            <w:r>
              <w:rPr>
                <w:rFonts w:hint="eastAsia" w:ascii="宋体" w:hAnsi="宋体"/>
                <w:sz w:val="24"/>
              </w:rPr>
              <w:t>城市</w:t>
            </w:r>
          </w:p>
        </w:tc>
        <w:tc>
          <w:tcPr>
            <w:tcW w:w="5914" w:type="dxa"/>
            <w:vAlign w:val="center"/>
          </w:tcPr>
          <w:p>
            <w:pPr>
              <w:pStyle w:val="15"/>
              <w:ind w:firstLine="0" w:firstLineChars="0"/>
              <w:rPr>
                <w:rFonts w:ascii="宋体" w:hAnsi="宋体"/>
                <w:sz w:val="24"/>
              </w:rPr>
            </w:pPr>
            <w:r>
              <w:rPr>
                <w:rFonts w:hint="eastAsia" w:ascii="宋体" w:hAnsi="宋体"/>
                <w:sz w:val="24"/>
              </w:rPr>
              <w:t>定位当前城市，切换所在城市。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搜索电站</w:t>
            </w:r>
          </w:p>
        </w:tc>
        <w:tc>
          <w:tcPr>
            <w:tcW w:w="5914" w:type="dxa"/>
            <w:vAlign w:val="center"/>
          </w:tcPr>
          <w:p>
            <w:pPr>
              <w:pStyle w:val="15"/>
              <w:ind w:firstLine="0" w:firstLineChars="0"/>
              <w:rPr>
                <w:rFonts w:ascii="宋体" w:hAnsi="宋体"/>
                <w:sz w:val="24"/>
              </w:rPr>
            </w:pPr>
            <w:r>
              <w:rPr>
                <w:rFonts w:hint="eastAsia" w:ascii="宋体" w:hAnsi="宋体"/>
                <w:sz w:val="24"/>
              </w:rPr>
              <w:t>输入名称搜索目标充电站。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联系客服</w:t>
            </w:r>
          </w:p>
        </w:tc>
        <w:tc>
          <w:tcPr>
            <w:tcW w:w="5914" w:type="dxa"/>
            <w:vAlign w:val="center"/>
          </w:tcPr>
          <w:p>
            <w:pPr>
              <w:pStyle w:val="15"/>
              <w:ind w:firstLine="0" w:firstLineChars="0"/>
              <w:rPr>
                <w:rFonts w:ascii="宋体" w:hAnsi="宋体"/>
                <w:sz w:val="24"/>
              </w:rPr>
            </w:pPr>
            <w:r>
              <w:rPr>
                <w:rFonts w:hint="eastAsia" w:ascii="宋体" w:hAnsi="宋体"/>
                <w:sz w:val="24"/>
              </w:rPr>
              <w:t>一键拨打运营商客服电话。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地图</w:t>
            </w:r>
          </w:p>
        </w:tc>
        <w:tc>
          <w:tcPr>
            <w:tcW w:w="5914" w:type="dxa"/>
            <w:vAlign w:val="center"/>
          </w:tcPr>
          <w:p>
            <w:pPr>
              <w:pStyle w:val="15"/>
              <w:ind w:firstLine="0" w:firstLineChars="0"/>
              <w:rPr>
                <w:rFonts w:ascii="宋体" w:hAnsi="宋体"/>
                <w:sz w:val="24"/>
              </w:rPr>
            </w:pPr>
            <w:r>
              <w:rPr>
                <w:rFonts w:hint="eastAsia" w:ascii="宋体" w:hAnsi="宋体"/>
                <w:sz w:val="24"/>
              </w:rPr>
              <w:t>以地图模式显示附近充电站，支持定位、刷新、输入充电枪编号启动，支持扫码启动。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活动广告位</w:t>
            </w:r>
          </w:p>
        </w:tc>
        <w:tc>
          <w:tcPr>
            <w:tcW w:w="5914" w:type="dxa"/>
            <w:vAlign w:val="center"/>
          </w:tcPr>
          <w:p>
            <w:pPr>
              <w:pStyle w:val="15"/>
              <w:ind w:firstLine="0" w:firstLineChars="0"/>
              <w:rPr>
                <w:rFonts w:ascii="宋体" w:hAnsi="宋体"/>
                <w:sz w:val="24"/>
              </w:rPr>
            </w:pPr>
            <w:r>
              <w:rPr>
                <w:rFonts w:hint="eastAsia" w:ascii="宋体" w:hAnsi="宋体"/>
                <w:sz w:val="24"/>
              </w:rPr>
              <w:t>展示后台已配置的广告位。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电站列表</w:t>
            </w:r>
          </w:p>
        </w:tc>
        <w:tc>
          <w:tcPr>
            <w:tcW w:w="5914" w:type="dxa"/>
            <w:vAlign w:val="center"/>
          </w:tcPr>
          <w:p>
            <w:pPr>
              <w:pStyle w:val="15"/>
              <w:ind w:firstLine="0" w:firstLineChars="0"/>
              <w:rPr>
                <w:rFonts w:ascii="宋体" w:hAnsi="宋体"/>
                <w:sz w:val="24"/>
              </w:rPr>
            </w:pPr>
            <w:r>
              <w:rPr>
                <w:rFonts w:hint="eastAsia" w:ascii="宋体" w:hAnsi="宋体"/>
                <w:sz w:val="24"/>
              </w:rPr>
              <w:t>默认以列表形式展示附近充电站，支持智能排序、距离排序、活动排序的方式，列表中展示电站名称、开放时段、停车收费、充电费率、交直流设备数量及可用数量，所在区域和距离。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电站筛选</w:t>
            </w:r>
          </w:p>
        </w:tc>
        <w:tc>
          <w:tcPr>
            <w:tcW w:w="5914" w:type="dxa"/>
            <w:noWrap/>
            <w:vAlign w:val="center"/>
          </w:tcPr>
          <w:p>
            <w:pPr>
              <w:pStyle w:val="15"/>
              <w:ind w:firstLine="0" w:firstLineChars="0"/>
              <w:rPr>
                <w:rFonts w:ascii="宋体" w:hAnsi="宋体"/>
                <w:sz w:val="24"/>
              </w:rPr>
            </w:pPr>
            <w:r>
              <w:rPr>
                <w:rFonts w:hint="eastAsia" w:ascii="宋体" w:hAnsi="宋体"/>
                <w:sz w:val="24"/>
              </w:rPr>
              <w:t>在列表状态下，按照城市、是否开放、电桩功率、基础设施等条件来筛选电站。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电站详情</w:t>
            </w:r>
          </w:p>
        </w:tc>
        <w:tc>
          <w:tcPr>
            <w:tcW w:w="5914" w:type="dxa"/>
            <w:vAlign w:val="center"/>
          </w:tcPr>
          <w:p>
            <w:pPr>
              <w:pStyle w:val="15"/>
              <w:ind w:firstLine="0" w:firstLineChars="0"/>
              <w:rPr>
                <w:rFonts w:hint="eastAsia" w:ascii="宋体" w:hAnsi="宋体" w:eastAsiaTheme="minorEastAsia"/>
                <w:sz w:val="24"/>
                <w:lang w:eastAsia="zh-CN"/>
              </w:rPr>
            </w:pPr>
            <w:r>
              <w:rPr>
                <w:rFonts w:hint="eastAsia" w:ascii="宋体" w:hAnsi="宋体"/>
                <w:sz w:val="24"/>
              </w:rPr>
              <w:t>电站详情：电站名称、地址、充电费用、可用优惠券、活动优惠、服务配套设施情况、营业时间、联系人和电话；</w:t>
            </w:r>
          </w:p>
          <w:p>
            <w:pPr>
              <w:pStyle w:val="15"/>
              <w:ind w:firstLine="0" w:firstLineChars="0"/>
              <w:rPr>
                <w:rFonts w:hint="eastAsia" w:ascii="宋体" w:hAnsi="宋体" w:eastAsiaTheme="minorEastAsia"/>
                <w:sz w:val="24"/>
                <w:lang w:eastAsia="zh-CN"/>
              </w:rPr>
            </w:pPr>
            <w:r>
              <w:rPr>
                <w:rFonts w:hint="eastAsia" w:ascii="宋体" w:hAnsi="宋体"/>
                <w:sz w:val="24"/>
              </w:rPr>
              <w:t>电价详情：分时段展示电费和服务费；</w:t>
            </w:r>
          </w:p>
          <w:p>
            <w:pPr>
              <w:pStyle w:val="15"/>
              <w:ind w:firstLine="0" w:firstLineChars="0"/>
              <w:rPr>
                <w:rFonts w:hint="eastAsia" w:ascii="宋体" w:hAnsi="宋体" w:eastAsiaTheme="minorEastAsia"/>
                <w:sz w:val="24"/>
                <w:lang w:eastAsia="zh-CN"/>
              </w:rPr>
            </w:pPr>
            <w:r>
              <w:rPr>
                <w:rFonts w:hint="eastAsia" w:ascii="宋体" w:hAnsi="宋体"/>
                <w:sz w:val="24"/>
              </w:rPr>
              <w:t>终端列表：充电枪状态、名称、车位号、功率、是否带枪等；</w:t>
            </w:r>
          </w:p>
          <w:p>
            <w:pPr>
              <w:pStyle w:val="15"/>
              <w:ind w:firstLine="0" w:firstLineChars="0"/>
              <w:rPr>
                <w:rFonts w:hint="eastAsia" w:ascii="宋体" w:hAnsi="宋体" w:eastAsiaTheme="minorEastAsia"/>
                <w:sz w:val="24"/>
                <w:lang w:eastAsia="zh-CN"/>
              </w:rPr>
            </w:pPr>
            <w:r>
              <w:rPr>
                <w:rFonts w:hint="eastAsia" w:ascii="宋体" w:hAnsi="宋体"/>
                <w:sz w:val="24"/>
              </w:rPr>
              <w:t>用户评论：可查看使用者对电站的评论；</w:t>
            </w:r>
          </w:p>
          <w:p>
            <w:pPr>
              <w:pStyle w:val="15"/>
              <w:ind w:firstLine="0" w:firstLineChars="0"/>
              <w:rPr>
                <w:rFonts w:hint="eastAsia" w:ascii="宋体" w:hAnsi="宋体" w:eastAsiaTheme="minorEastAsia"/>
                <w:sz w:val="24"/>
                <w:lang w:eastAsia="zh-CN"/>
              </w:rPr>
            </w:pPr>
            <w:r>
              <w:rPr>
                <w:rFonts w:hint="eastAsia" w:ascii="宋体" w:hAnsi="宋体"/>
                <w:sz w:val="24"/>
              </w:rPr>
              <w:t>导航：打开目的地地图，拉起手机导航APP；</w:t>
            </w:r>
          </w:p>
          <w:p>
            <w:pPr>
              <w:pStyle w:val="15"/>
              <w:ind w:firstLine="0" w:firstLineChars="0"/>
              <w:rPr>
                <w:rFonts w:ascii="宋体" w:hAnsi="宋体"/>
                <w:sz w:val="24"/>
              </w:rPr>
            </w:pPr>
            <w:r>
              <w:rPr>
                <w:rFonts w:hint="eastAsia" w:ascii="宋体" w:hAnsi="宋体"/>
                <w:sz w:val="24"/>
              </w:rPr>
              <w:t>故障报修：关联充电设备接口、选择故障类型、上传图片、填写问题描述，完成故障报修。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restart"/>
            <w:vAlign w:val="center"/>
          </w:tcPr>
          <w:p>
            <w:pPr>
              <w:pStyle w:val="15"/>
              <w:ind w:firstLine="0" w:firstLineChars="0"/>
              <w:rPr>
                <w:rFonts w:ascii="宋体" w:hAnsi="宋体"/>
                <w:sz w:val="24"/>
              </w:rPr>
            </w:pPr>
            <w:r>
              <w:rPr>
                <w:rFonts w:hint="eastAsia" w:ascii="宋体" w:hAnsi="宋体"/>
                <w:sz w:val="24"/>
              </w:rPr>
              <w:t>地图</w:t>
            </w:r>
          </w:p>
        </w:tc>
        <w:tc>
          <w:tcPr>
            <w:tcW w:w="1276" w:type="dxa"/>
            <w:vAlign w:val="center"/>
          </w:tcPr>
          <w:p>
            <w:pPr>
              <w:pStyle w:val="15"/>
              <w:ind w:firstLine="0" w:firstLineChars="0"/>
              <w:rPr>
                <w:rFonts w:ascii="宋体" w:hAnsi="宋体"/>
                <w:sz w:val="24"/>
              </w:rPr>
            </w:pPr>
            <w:r>
              <w:rPr>
                <w:rFonts w:hint="eastAsia" w:ascii="宋体" w:hAnsi="宋体"/>
                <w:sz w:val="24"/>
              </w:rPr>
              <w:t>电站地图</w:t>
            </w:r>
          </w:p>
        </w:tc>
        <w:tc>
          <w:tcPr>
            <w:tcW w:w="5914" w:type="dxa"/>
            <w:vAlign w:val="center"/>
          </w:tcPr>
          <w:p>
            <w:pPr>
              <w:pStyle w:val="15"/>
              <w:ind w:firstLine="0" w:firstLineChars="0"/>
              <w:rPr>
                <w:rFonts w:ascii="宋体" w:hAnsi="宋体"/>
                <w:sz w:val="24"/>
              </w:rPr>
            </w:pPr>
            <w:r>
              <w:rPr>
                <w:rFonts w:hint="eastAsia" w:ascii="宋体" w:hAnsi="宋体"/>
                <w:sz w:val="24"/>
              </w:rPr>
              <w:t>默认显示当前位置的地图，并在地图上展示附近充电站站点，站点的名称以及站点内的可用设备情况。点击图标点展示选中电站的卡片信息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城市</w:t>
            </w:r>
          </w:p>
        </w:tc>
        <w:tc>
          <w:tcPr>
            <w:tcW w:w="5914" w:type="dxa"/>
            <w:vAlign w:val="center"/>
          </w:tcPr>
          <w:p>
            <w:pPr>
              <w:pStyle w:val="15"/>
              <w:ind w:firstLine="0" w:firstLineChars="0"/>
              <w:rPr>
                <w:rFonts w:ascii="宋体" w:hAnsi="宋体"/>
                <w:sz w:val="24"/>
              </w:rPr>
            </w:pPr>
            <w:r>
              <w:rPr>
                <w:rFonts w:hint="eastAsia" w:ascii="宋体" w:hAnsi="宋体"/>
                <w:sz w:val="24"/>
              </w:rPr>
              <w:t>定位当前城市，切换所在城市。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搜索</w:t>
            </w:r>
          </w:p>
        </w:tc>
        <w:tc>
          <w:tcPr>
            <w:tcW w:w="5914" w:type="dxa"/>
            <w:vAlign w:val="center"/>
          </w:tcPr>
          <w:p>
            <w:pPr>
              <w:pStyle w:val="15"/>
              <w:ind w:firstLine="0" w:firstLineChars="0"/>
              <w:rPr>
                <w:rFonts w:ascii="宋体" w:hAnsi="宋体"/>
                <w:sz w:val="24"/>
              </w:rPr>
            </w:pPr>
            <w:r>
              <w:rPr>
                <w:rFonts w:hint="eastAsia" w:ascii="宋体" w:hAnsi="宋体"/>
                <w:sz w:val="24"/>
              </w:rPr>
              <w:t>地图和列表模式下均可输入关键字可查询电站信息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联系客服</w:t>
            </w:r>
          </w:p>
        </w:tc>
        <w:tc>
          <w:tcPr>
            <w:tcW w:w="5914" w:type="dxa"/>
            <w:vAlign w:val="center"/>
          </w:tcPr>
          <w:p>
            <w:pPr>
              <w:pStyle w:val="15"/>
              <w:ind w:firstLine="0" w:firstLineChars="0"/>
              <w:rPr>
                <w:rFonts w:ascii="宋体" w:hAnsi="宋体"/>
                <w:sz w:val="24"/>
              </w:rPr>
            </w:pPr>
            <w:r>
              <w:rPr>
                <w:rFonts w:hint="eastAsia" w:ascii="宋体" w:hAnsi="宋体"/>
                <w:sz w:val="24"/>
              </w:rPr>
              <w:t>一键拨打运营商客服电话。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restart"/>
            <w:vAlign w:val="center"/>
          </w:tcPr>
          <w:p>
            <w:pPr>
              <w:pStyle w:val="15"/>
              <w:ind w:firstLine="0" w:firstLineChars="0"/>
              <w:rPr>
                <w:rFonts w:ascii="宋体" w:hAnsi="宋体"/>
                <w:sz w:val="24"/>
              </w:rPr>
            </w:pPr>
            <w:r>
              <w:rPr>
                <w:rFonts w:hint="eastAsia" w:ascii="宋体" w:hAnsi="宋体"/>
                <w:sz w:val="24"/>
              </w:rPr>
              <w:t>充电</w:t>
            </w:r>
          </w:p>
        </w:tc>
        <w:tc>
          <w:tcPr>
            <w:tcW w:w="1276" w:type="dxa"/>
            <w:vAlign w:val="center"/>
          </w:tcPr>
          <w:p>
            <w:pPr>
              <w:pStyle w:val="15"/>
              <w:ind w:firstLine="0" w:firstLineChars="0"/>
              <w:rPr>
                <w:rFonts w:ascii="宋体" w:hAnsi="宋体"/>
                <w:sz w:val="24"/>
              </w:rPr>
            </w:pPr>
            <w:r>
              <w:rPr>
                <w:rFonts w:hint="eastAsia" w:ascii="宋体" w:hAnsi="宋体"/>
                <w:sz w:val="24"/>
              </w:rPr>
              <w:t>扫描二维码</w:t>
            </w:r>
          </w:p>
        </w:tc>
        <w:tc>
          <w:tcPr>
            <w:tcW w:w="5914" w:type="dxa"/>
            <w:vAlign w:val="center"/>
          </w:tcPr>
          <w:p>
            <w:pPr>
              <w:pStyle w:val="15"/>
              <w:ind w:firstLine="0" w:firstLineChars="0"/>
              <w:rPr>
                <w:rFonts w:ascii="宋体" w:hAnsi="宋体"/>
                <w:sz w:val="24"/>
              </w:rPr>
            </w:pPr>
            <w:r>
              <w:rPr>
                <w:rFonts w:hint="eastAsia" w:ascii="宋体" w:hAnsi="宋体"/>
                <w:sz w:val="24"/>
              </w:rPr>
              <w:t>扫描二维码进入充电枪选择页面。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输入二维码</w:t>
            </w:r>
          </w:p>
        </w:tc>
        <w:tc>
          <w:tcPr>
            <w:tcW w:w="5914" w:type="dxa"/>
            <w:vAlign w:val="center"/>
          </w:tcPr>
          <w:p>
            <w:pPr>
              <w:pStyle w:val="15"/>
              <w:ind w:firstLine="0" w:firstLineChars="0"/>
              <w:rPr>
                <w:rFonts w:ascii="宋体" w:hAnsi="宋体"/>
                <w:sz w:val="24"/>
              </w:rPr>
            </w:pPr>
            <w:r>
              <w:rPr>
                <w:rFonts w:hint="eastAsia" w:ascii="宋体" w:hAnsi="宋体"/>
                <w:sz w:val="24"/>
              </w:rPr>
              <w:t>在充电地图点击“枪编号”，输入充电枪编号进入充电枪选择页面。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选择充电枪</w:t>
            </w:r>
          </w:p>
        </w:tc>
        <w:tc>
          <w:tcPr>
            <w:tcW w:w="5914" w:type="dxa"/>
            <w:vAlign w:val="center"/>
          </w:tcPr>
          <w:p>
            <w:pPr>
              <w:pStyle w:val="15"/>
              <w:ind w:firstLine="0" w:firstLineChars="0"/>
              <w:rPr>
                <w:rFonts w:ascii="宋体" w:hAnsi="宋体"/>
                <w:sz w:val="24"/>
              </w:rPr>
            </w:pPr>
            <w:r>
              <w:rPr>
                <w:rFonts w:hint="eastAsia" w:ascii="宋体" w:hAnsi="宋体"/>
                <w:sz w:val="24"/>
              </w:rPr>
              <w:t>列出设备上的充电枪，供充电用户选择。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支付方式</w:t>
            </w:r>
          </w:p>
        </w:tc>
        <w:tc>
          <w:tcPr>
            <w:tcW w:w="5914" w:type="dxa"/>
            <w:vAlign w:val="center"/>
          </w:tcPr>
          <w:p>
            <w:pPr>
              <w:pStyle w:val="15"/>
              <w:ind w:firstLine="0" w:firstLineChars="0"/>
              <w:rPr>
                <w:rFonts w:hint="eastAsia" w:ascii="宋体" w:hAnsi="宋体" w:eastAsiaTheme="minorEastAsia"/>
                <w:sz w:val="24"/>
                <w:lang w:eastAsia="zh-CN"/>
              </w:rPr>
            </w:pPr>
            <w:r>
              <w:rPr>
                <w:rFonts w:hint="eastAsia" w:ascii="宋体" w:hAnsi="宋体"/>
                <w:sz w:val="24"/>
              </w:rPr>
              <w:t>1. 单价展示：充电枪名称、原价展示、折扣价展示（个人账户/企业账户）；</w:t>
            </w:r>
          </w:p>
          <w:p>
            <w:pPr>
              <w:pStyle w:val="15"/>
              <w:ind w:firstLine="0" w:firstLineChars="0"/>
              <w:rPr>
                <w:rFonts w:hint="eastAsia" w:ascii="宋体" w:hAnsi="宋体" w:eastAsiaTheme="minorEastAsia"/>
                <w:sz w:val="24"/>
                <w:lang w:eastAsia="zh-CN"/>
              </w:rPr>
            </w:pPr>
            <w:r>
              <w:rPr>
                <w:rFonts w:hint="eastAsia" w:ascii="宋体" w:hAnsi="宋体"/>
                <w:sz w:val="24"/>
              </w:rPr>
              <w:t>2. 账户余额支付（可选择使用个人账户或企业账户，并显示个人账户和企业账户余额）；</w:t>
            </w:r>
          </w:p>
          <w:p>
            <w:pPr>
              <w:pStyle w:val="15"/>
              <w:ind w:firstLine="0" w:firstLineChars="0"/>
              <w:rPr>
                <w:rFonts w:hint="eastAsia" w:ascii="宋体" w:hAnsi="宋体" w:eastAsiaTheme="minorEastAsia"/>
                <w:sz w:val="24"/>
                <w:lang w:eastAsia="zh-CN"/>
              </w:rPr>
            </w:pPr>
            <w:r>
              <w:rPr>
                <w:rFonts w:hint="eastAsia" w:ascii="宋体" w:hAnsi="宋体"/>
                <w:sz w:val="24"/>
              </w:rPr>
              <w:t>3. 限制低于设置的金额不能支付；</w:t>
            </w:r>
          </w:p>
          <w:p>
            <w:pPr>
              <w:pStyle w:val="15"/>
              <w:ind w:firstLine="0" w:firstLineChars="0"/>
              <w:rPr>
                <w:rFonts w:ascii="宋体" w:hAnsi="宋体"/>
                <w:sz w:val="24"/>
              </w:rPr>
            </w:pPr>
            <w:r>
              <w:rPr>
                <w:rFonts w:hint="eastAsia" w:ascii="宋体" w:hAnsi="宋体"/>
                <w:sz w:val="24"/>
              </w:rPr>
              <w:t>4. 跳转微信支付充值。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充电中</w:t>
            </w:r>
          </w:p>
        </w:tc>
        <w:tc>
          <w:tcPr>
            <w:tcW w:w="5914" w:type="dxa"/>
            <w:vAlign w:val="center"/>
          </w:tcPr>
          <w:p>
            <w:pPr>
              <w:pStyle w:val="15"/>
              <w:ind w:firstLine="0" w:firstLineChars="0"/>
              <w:rPr>
                <w:rFonts w:ascii="宋体" w:hAnsi="宋体"/>
                <w:sz w:val="24"/>
              </w:rPr>
            </w:pPr>
            <w:r>
              <w:rPr>
                <w:rFonts w:hint="eastAsia" w:ascii="宋体" w:hAnsi="宋体"/>
                <w:sz w:val="24"/>
              </w:rPr>
              <w:t>展示充电枪名称、充电电流、充电电压、充电功率、充电度数、充电费用等信息。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充电结束</w:t>
            </w:r>
          </w:p>
        </w:tc>
        <w:tc>
          <w:tcPr>
            <w:tcW w:w="5914" w:type="dxa"/>
            <w:vAlign w:val="center"/>
          </w:tcPr>
          <w:p>
            <w:pPr>
              <w:pStyle w:val="15"/>
              <w:ind w:firstLine="0" w:firstLineChars="0"/>
              <w:rPr>
                <w:rFonts w:ascii="宋体" w:hAnsi="宋体"/>
                <w:sz w:val="24"/>
              </w:rPr>
            </w:pPr>
            <w:r>
              <w:rPr>
                <w:rFonts w:hint="eastAsia" w:ascii="宋体" w:hAnsi="宋体"/>
                <w:sz w:val="24"/>
              </w:rPr>
              <w:t>充电结束展示充电枪名称、订单号、结束原因、充电时长、充电度数、充电费用，确认支付。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充电评价</w:t>
            </w:r>
          </w:p>
        </w:tc>
        <w:tc>
          <w:tcPr>
            <w:tcW w:w="5914" w:type="dxa"/>
            <w:vAlign w:val="center"/>
          </w:tcPr>
          <w:p>
            <w:pPr>
              <w:pStyle w:val="15"/>
              <w:ind w:firstLine="0" w:firstLineChars="0"/>
              <w:rPr>
                <w:rFonts w:ascii="宋体" w:hAnsi="宋体"/>
                <w:sz w:val="24"/>
              </w:rPr>
            </w:pPr>
            <w:r>
              <w:rPr>
                <w:rFonts w:hint="eastAsia" w:ascii="宋体" w:hAnsi="宋体"/>
                <w:sz w:val="24"/>
              </w:rPr>
              <w:t>对本次充电进行评价，选择评分、录入文字、上传图片。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restart"/>
            <w:vAlign w:val="center"/>
          </w:tcPr>
          <w:p>
            <w:pPr>
              <w:pStyle w:val="15"/>
              <w:ind w:firstLine="0" w:firstLineChars="0"/>
              <w:rPr>
                <w:rFonts w:ascii="宋体" w:hAnsi="宋体"/>
                <w:sz w:val="24"/>
              </w:rPr>
            </w:pPr>
            <w:r>
              <w:rPr>
                <w:rFonts w:hint="eastAsia" w:ascii="宋体" w:hAnsi="宋体"/>
                <w:sz w:val="24"/>
              </w:rPr>
              <w:t>钱包</w:t>
            </w:r>
          </w:p>
        </w:tc>
        <w:tc>
          <w:tcPr>
            <w:tcW w:w="1276" w:type="dxa"/>
            <w:noWrap/>
            <w:vAlign w:val="center"/>
          </w:tcPr>
          <w:p>
            <w:pPr>
              <w:pStyle w:val="15"/>
              <w:ind w:firstLine="0" w:firstLineChars="0"/>
              <w:rPr>
                <w:rFonts w:ascii="宋体" w:hAnsi="宋体"/>
                <w:sz w:val="24"/>
              </w:rPr>
            </w:pPr>
            <w:r>
              <w:rPr>
                <w:rFonts w:hint="eastAsia" w:ascii="宋体" w:hAnsi="宋体"/>
                <w:sz w:val="24"/>
              </w:rPr>
              <w:t>余额</w:t>
            </w:r>
          </w:p>
        </w:tc>
        <w:tc>
          <w:tcPr>
            <w:tcW w:w="5914" w:type="dxa"/>
            <w:vAlign w:val="center"/>
          </w:tcPr>
          <w:p>
            <w:pPr>
              <w:pStyle w:val="15"/>
              <w:ind w:firstLine="0" w:firstLineChars="0"/>
              <w:rPr>
                <w:rFonts w:hint="eastAsia" w:ascii="宋体" w:hAnsi="宋体" w:eastAsiaTheme="minorEastAsia"/>
                <w:sz w:val="24"/>
                <w:lang w:eastAsia="zh-CN"/>
              </w:rPr>
            </w:pPr>
            <w:r>
              <w:rPr>
                <w:rFonts w:hint="eastAsia" w:ascii="宋体" w:hAnsi="宋体"/>
                <w:sz w:val="24"/>
              </w:rPr>
              <w:t>显示当前个人账户余额，可进行个人账户充值和退款申请，查看个人余额充值、消费和退款记录。若有企业账户，此处也显示企业账户余额，支持查看企业账户的消费记录。</w:t>
            </w:r>
          </w:p>
          <w:p>
            <w:pPr>
              <w:pStyle w:val="15"/>
              <w:ind w:firstLine="0" w:firstLineChars="0"/>
              <w:rPr>
                <w:rFonts w:ascii="宋体" w:hAnsi="宋体"/>
                <w:sz w:val="24"/>
              </w:rPr>
            </w:pPr>
            <w:r>
              <w:rPr>
                <w:rFonts w:hint="eastAsia" w:ascii="宋体" w:hAnsi="宋体"/>
                <w:sz w:val="24"/>
              </w:rPr>
              <w:t>未完成的订单金额及退款中的金额会被冻结。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余额充值</w:t>
            </w:r>
          </w:p>
        </w:tc>
        <w:tc>
          <w:tcPr>
            <w:tcW w:w="5914" w:type="dxa"/>
            <w:vAlign w:val="center"/>
          </w:tcPr>
          <w:p>
            <w:pPr>
              <w:pStyle w:val="15"/>
              <w:ind w:firstLine="0" w:firstLineChars="0"/>
              <w:rPr>
                <w:rFonts w:ascii="宋体" w:hAnsi="宋体"/>
                <w:sz w:val="24"/>
              </w:rPr>
            </w:pPr>
            <w:r>
              <w:rPr>
                <w:rFonts w:hint="eastAsia" w:ascii="宋体" w:hAnsi="宋体"/>
                <w:sz w:val="24"/>
              </w:rPr>
              <w:t>自定义充值金额，或使用默认金额快速充值，支持微信支付。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余额退款</w:t>
            </w:r>
          </w:p>
        </w:tc>
        <w:tc>
          <w:tcPr>
            <w:tcW w:w="5914" w:type="dxa"/>
            <w:vAlign w:val="center"/>
          </w:tcPr>
          <w:p>
            <w:pPr>
              <w:pStyle w:val="15"/>
              <w:ind w:firstLine="0" w:firstLineChars="0"/>
              <w:rPr>
                <w:rFonts w:ascii="宋体" w:hAnsi="宋体"/>
                <w:sz w:val="24"/>
              </w:rPr>
            </w:pPr>
            <w:r>
              <w:rPr>
                <w:rFonts w:hint="eastAsia" w:ascii="宋体" w:hAnsi="宋体"/>
                <w:sz w:val="24"/>
              </w:rPr>
              <w:t>用户申请退款，输入退款金额和退款原因，运营人员审核后线上或线下退款。可查看已申请的退款记录。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优惠券</w:t>
            </w:r>
          </w:p>
        </w:tc>
        <w:tc>
          <w:tcPr>
            <w:tcW w:w="5914" w:type="dxa"/>
            <w:vAlign w:val="center"/>
          </w:tcPr>
          <w:p>
            <w:pPr>
              <w:pStyle w:val="15"/>
              <w:ind w:firstLine="0" w:firstLineChars="0"/>
              <w:rPr>
                <w:rFonts w:ascii="宋体" w:hAnsi="宋体"/>
                <w:sz w:val="24"/>
              </w:rPr>
            </w:pPr>
            <w:r>
              <w:rPr>
                <w:rFonts w:hint="eastAsia" w:ascii="宋体" w:hAnsi="宋体"/>
                <w:sz w:val="24"/>
              </w:rPr>
              <w:t>支持查看可使用、已使用和已过期的优惠券，支持查看优惠券的使用日期、使用电站等信息。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restart"/>
            <w:vAlign w:val="center"/>
          </w:tcPr>
          <w:p>
            <w:pPr>
              <w:pStyle w:val="15"/>
              <w:ind w:firstLine="0" w:firstLineChars="0"/>
              <w:rPr>
                <w:rFonts w:ascii="宋体" w:hAnsi="宋体"/>
                <w:sz w:val="24"/>
              </w:rPr>
            </w:pPr>
            <w:r>
              <w:rPr>
                <w:rFonts w:hint="eastAsia" w:ascii="宋体" w:hAnsi="宋体"/>
                <w:sz w:val="24"/>
              </w:rPr>
              <w:t>我的</w:t>
            </w:r>
          </w:p>
        </w:tc>
        <w:tc>
          <w:tcPr>
            <w:tcW w:w="1276" w:type="dxa"/>
            <w:vAlign w:val="center"/>
          </w:tcPr>
          <w:p>
            <w:pPr>
              <w:pStyle w:val="15"/>
              <w:ind w:firstLine="0" w:firstLineChars="0"/>
              <w:rPr>
                <w:rFonts w:ascii="宋体" w:hAnsi="宋体"/>
                <w:sz w:val="24"/>
              </w:rPr>
            </w:pPr>
            <w:r>
              <w:rPr>
                <w:rFonts w:hint="eastAsia" w:ascii="宋体" w:hAnsi="宋体"/>
                <w:sz w:val="24"/>
              </w:rPr>
              <w:t>个人信息</w:t>
            </w:r>
          </w:p>
        </w:tc>
        <w:tc>
          <w:tcPr>
            <w:tcW w:w="5914" w:type="dxa"/>
            <w:vAlign w:val="center"/>
          </w:tcPr>
          <w:p>
            <w:pPr>
              <w:pStyle w:val="15"/>
              <w:ind w:firstLine="0" w:firstLineChars="0"/>
              <w:rPr>
                <w:rFonts w:ascii="宋体" w:hAnsi="宋体"/>
                <w:sz w:val="24"/>
              </w:rPr>
            </w:pPr>
            <w:r>
              <w:rPr>
                <w:rFonts w:hint="eastAsia" w:ascii="宋体" w:hAnsi="宋体"/>
                <w:sz w:val="24"/>
              </w:rPr>
              <w:t>暂时个人用户昵称、手机号、头像。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充电订单</w:t>
            </w:r>
          </w:p>
        </w:tc>
        <w:tc>
          <w:tcPr>
            <w:tcW w:w="5914" w:type="dxa"/>
            <w:vAlign w:val="center"/>
          </w:tcPr>
          <w:p>
            <w:pPr>
              <w:pStyle w:val="15"/>
              <w:ind w:firstLine="0" w:firstLineChars="0"/>
              <w:rPr>
                <w:rFonts w:ascii="宋体" w:hAnsi="宋体"/>
                <w:sz w:val="24"/>
              </w:rPr>
            </w:pPr>
            <w:r>
              <w:rPr>
                <w:rFonts w:hint="eastAsia" w:ascii="宋体" w:hAnsi="宋体"/>
                <w:sz w:val="24"/>
              </w:rPr>
              <w:t>按月份显示充电订单记录。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占位订单</w:t>
            </w:r>
          </w:p>
        </w:tc>
        <w:tc>
          <w:tcPr>
            <w:tcW w:w="5914" w:type="dxa"/>
            <w:vAlign w:val="center"/>
          </w:tcPr>
          <w:p>
            <w:pPr>
              <w:pStyle w:val="15"/>
              <w:ind w:firstLine="0" w:firstLineChars="0"/>
              <w:rPr>
                <w:rFonts w:ascii="宋体" w:hAnsi="宋体"/>
                <w:sz w:val="24"/>
              </w:rPr>
            </w:pPr>
            <w:r>
              <w:rPr>
                <w:rFonts w:hint="eastAsia" w:ascii="宋体" w:hAnsi="宋体"/>
                <w:sz w:val="24"/>
              </w:rPr>
              <w:t>按月份显示占位订单记录，占位订单是指充电完成后车辆在免费时段内未拔枪，按照计费规则。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余额退款</w:t>
            </w:r>
          </w:p>
        </w:tc>
        <w:tc>
          <w:tcPr>
            <w:tcW w:w="5914" w:type="dxa"/>
            <w:vAlign w:val="center"/>
          </w:tcPr>
          <w:p>
            <w:pPr>
              <w:pStyle w:val="15"/>
              <w:ind w:firstLine="0" w:firstLineChars="0"/>
              <w:rPr>
                <w:rFonts w:ascii="宋体" w:hAnsi="宋体"/>
                <w:sz w:val="24"/>
              </w:rPr>
            </w:pPr>
            <w:r>
              <w:rPr>
                <w:rFonts w:hint="eastAsia" w:ascii="宋体" w:hAnsi="宋体"/>
                <w:sz w:val="24"/>
              </w:rPr>
              <w:t>用户申请退款，输入退款金额和退款原因，运营人员审核后线上或线下退款。可查看已申请的退款记录。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开票历史</w:t>
            </w:r>
          </w:p>
        </w:tc>
        <w:tc>
          <w:tcPr>
            <w:tcW w:w="5914" w:type="dxa"/>
            <w:vAlign w:val="center"/>
          </w:tcPr>
          <w:p>
            <w:pPr>
              <w:pStyle w:val="15"/>
              <w:ind w:firstLine="0" w:firstLineChars="0"/>
              <w:rPr>
                <w:rFonts w:ascii="宋体" w:hAnsi="宋体"/>
                <w:sz w:val="24"/>
              </w:rPr>
            </w:pPr>
            <w:r>
              <w:rPr>
                <w:rFonts w:hint="eastAsia" w:ascii="宋体" w:hAnsi="宋体"/>
                <w:sz w:val="24"/>
              </w:rPr>
              <w:t>查看所有的申请发票记录，支持按照已开票、开票中状态快速筛选。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发票抬头管理</w:t>
            </w:r>
          </w:p>
        </w:tc>
        <w:tc>
          <w:tcPr>
            <w:tcW w:w="5914" w:type="dxa"/>
            <w:vAlign w:val="center"/>
          </w:tcPr>
          <w:p>
            <w:pPr>
              <w:pStyle w:val="15"/>
              <w:ind w:firstLine="0" w:firstLineChars="0"/>
              <w:rPr>
                <w:rFonts w:ascii="宋体" w:hAnsi="宋体"/>
                <w:sz w:val="24"/>
              </w:rPr>
            </w:pPr>
            <w:r>
              <w:rPr>
                <w:rFonts w:hint="eastAsia" w:ascii="宋体" w:hAnsi="宋体"/>
                <w:sz w:val="24"/>
              </w:rPr>
              <w:t>可新增、编辑、删除发票抬头信息，支持从微信快速获取。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271" w:type="dxa"/>
            <w:vMerge w:val="continue"/>
            <w:vAlign w:val="center"/>
          </w:tcPr>
          <w:p>
            <w:pPr>
              <w:pStyle w:val="15"/>
              <w:ind w:firstLine="0" w:firstLineChars="0"/>
              <w:rPr>
                <w:rFonts w:ascii="宋体" w:hAnsi="宋体"/>
                <w:sz w:val="24"/>
              </w:rPr>
            </w:pPr>
          </w:p>
        </w:tc>
        <w:tc>
          <w:tcPr>
            <w:tcW w:w="1276" w:type="dxa"/>
            <w:vAlign w:val="center"/>
          </w:tcPr>
          <w:p>
            <w:pPr>
              <w:pStyle w:val="15"/>
              <w:ind w:firstLine="0" w:firstLineChars="0"/>
              <w:rPr>
                <w:rFonts w:ascii="宋体" w:hAnsi="宋体"/>
                <w:sz w:val="24"/>
              </w:rPr>
            </w:pPr>
            <w:r>
              <w:rPr>
                <w:rFonts w:hint="eastAsia" w:ascii="宋体" w:hAnsi="宋体"/>
                <w:sz w:val="24"/>
              </w:rPr>
              <w:t>退出登录</w:t>
            </w:r>
          </w:p>
        </w:tc>
        <w:tc>
          <w:tcPr>
            <w:tcW w:w="5914" w:type="dxa"/>
            <w:vAlign w:val="center"/>
          </w:tcPr>
          <w:p>
            <w:pPr>
              <w:pStyle w:val="15"/>
              <w:ind w:firstLine="0" w:firstLineChars="0"/>
              <w:rPr>
                <w:rFonts w:ascii="宋体" w:hAnsi="宋体"/>
                <w:sz w:val="24"/>
              </w:rPr>
            </w:pPr>
            <w:r>
              <w:rPr>
                <w:rFonts w:hint="eastAsia" w:ascii="宋体" w:hAnsi="宋体"/>
                <w:sz w:val="24"/>
              </w:rPr>
              <w:t>退出登录。</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一、技术性能指标（质量标准）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交货前，投标人应对货物质量、规格、性能、数量和重量等进行详细全面的检验，并出具一份证明货物符合招标文件要求及合同约定的检验证书，投标人的检验结果和细节应附在检验证书内。</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检验证书是付款时所需要的必要文件，但不作为货物质量、规格、数量及重量的最终检验结果。</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投标设备运抵现场后，招标人可向质监或有关部门申请对货物的质量、规格、数量和重量进行检验，并出具检验证书，也可自行组织验收，也可委托第三方检测机构进行验收。</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设备的到货验收包括：数量、外观、质量、随机备件备品、装箱单、随机资料（质量检验合格证、图纸）及包装等。</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投标人向招标人交付设备后，招标人在运营实况下进行测试，如设备技术性能指标检验考核结果不符合本章技术标准和要求及投标文件承诺，投标人应无条件进行退换货处理。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2.技术性能指标应具有足够的广泛性，以免在生产制造设备时对普遍适用的工艺、材料和设备造成限制。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3.招标文件中规定的工艺、材料和设备的标准不得有限制性，应尽可能地采用国家标准。法律法规对设备安全性有特殊要求的，应当符合有关产品质量的强制性国家标准、行业标准。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4.技术性能指标不得限定或者指定特定的专利、商标、品牌、原产地或者供应商，不得含有倾向或者排斥投标人的其他内容。在引用不可避免时，该引用后应注明“或相当于”的字样。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二、相关服务要求</w:t>
      </w:r>
    </w:p>
    <w:permEnd w:id="93"/>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1.招标人保留在签订合同前对本章技术标准和要求进行补充、修改的权利，投标人应予以配合；</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2.投标人应保证投标设备是原厂生产的全新未使用的合格产品，各类指标均符合国家强制性标准、制造商出厂检验标准以及行业标准；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3.投标设备的品牌、型号、规格、主要技术指标、质保期等均应详细明确，产品及其附件的铭牌、使用指南、警告指示等应以中文或英文或通用符号表示，且能准确无误反映产品信息；</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4.投标人应提交投标设备的技术文件，包括相应的每一套设备和仪器的中文技术文件，如产品目录、图纸、操作手册、使用说明、维护手册、服务指南等，这些文件应随同投标设备一起交付招标人；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5.招标人如需要，投标人应能说明投标设备的主要技术指标，能提供与指标相对应的在有效期内的检测报告，能提供质量保证承诺、售后服务条款和技术支持等相关材料；</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6.投标人投标设备质保期</w:t>
      </w:r>
      <w:bookmarkStart w:id="573" w:name="_GoBack"/>
      <w:bookmarkEnd w:id="573"/>
      <w:r>
        <w:rPr>
          <w:rFonts w:hint="eastAsia" w:ascii="Times New Roman" w:hAnsi="Times New Roman" w:cs="Times New Roman"/>
          <w:kern w:val="0"/>
          <w:sz w:val="24"/>
          <w:lang w:val="en-US" w:eastAsia="zh-CN"/>
        </w:rPr>
        <w:t>8</w:t>
      </w:r>
      <w:r>
        <w:rPr>
          <w:rFonts w:hint="eastAsia" w:ascii="Times New Roman" w:hAnsi="Times New Roman" w:cs="Times New Roman"/>
          <w:kern w:val="0"/>
          <w:sz w:val="24"/>
        </w:rPr>
        <w:t>年。质保期自货到验收合格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7.对于招标人以书面或电话形式提出的质量、服务等问题，投标人应于2小时内做出服务响应，并在8小时内到维修现场，一般故障在12小时内修复，重大故障在24小时内修复，依据投标文件提供售后服务方案。投标人质保期内按季度检查，检查记录每季度交于招标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8.投标人如有违反售后服务条款或质量承诺，给招标人造成损失的应承担赔偿责任；</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9.投标人应当向招标人提供投标设备操作培训，培训效果应达到招标人工作人员能够独立进行日常操作和简单维护的水平。</w:t>
      </w:r>
    </w:p>
    <w:p>
      <w:pPr>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2570" w:firstLineChars="800"/>
        <w:jc w:val="both"/>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507" w:name="_Toc152042576"/>
      <w:bookmarkStart w:id="508" w:name="_Toc152045787"/>
      <w:bookmarkStart w:id="509" w:name="_Toc300835209"/>
      <w:bookmarkStart w:id="510" w:name="_Toc144974856"/>
      <w:bookmarkStart w:id="511" w:name="_Toc247527827"/>
      <w:bookmarkStart w:id="512" w:name="_Toc247514246"/>
      <w:r>
        <w:rPr>
          <w:rFonts w:hint="default" w:ascii="Times New Roman" w:hAnsi="Times New Roman" w:cs="Times New Roman"/>
        </w:rPr>
        <w:t>目    录</w:t>
      </w:r>
      <w:bookmarkEnd w:id="507"/>
      <w:bookmarkEnd w:id="508"/>
      <w:bookmarkEnd w:id="509"/>
      <w:bookmarkEnd w:id="510"/>
      <w:bookmarkEnd w:id="511"/>
      <w:bookmarkEnd w:id="512"/>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sz w:val="20"/>
          <w:szCs w:val="20"/>
        </w:rPr>
      </w:pPr>
      <w:bookmarkStart w:id="513" w:name="_Toc247527828"/>
      <w:bookmarkStart w:id="514" w:name="_Toc247514247"/>
      <w:bookmarkStart w:id="515" w:name="_Toc300835210"/>
      <w:bookmarkStart w:id="516" w:name="_Toc152045788"/>
      <w:bookmarkStart w:id="517" w:name="_Toc144974857"/>
      <w:bookmarkStart w:id="518" w:name="_Toc152042577"/>
      <w:r>
        <w:rPr>
          <w:rFonts w:hint="default" w:ascii="Times New Roman" w:hAnsi="Times New Roman" w:cs="Times New Roman"/>
        </w:rPr>
        <w:t>一、投标函</w:t>
      </w:r>
      <w:bookmarkEnd w:id="513"/>
      <w:bookmarkEnd w:id="514"/>
      <w:bookmarkEnd w:id="515"/>
      <w:bookmarkEnd w:id="516"/>
      <w:bookmarkEnd w:id="517"/>
      <w:bookmarkEnd w:id="518"/>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9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94"/>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4）商务和技术偏差表；（5）分项报价表；（6）资格审查资料；（7）投标产品性能指标的详细描述；（8）技术支持资料；（9）相关服务计划；（10）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519" w:name="_Toc247514283"/>
      <w:bookmarkStart w:id="520" w:name="_Toc247527831"/>
      <w:bookmarkStart w:id="521" w:name="_Toc300835213"/>
      <w:bookmarkStart w:id="522" w:name="_Toc144974860"/>
      <w:bookmarkStart w:id="523" w:name="_Toc152042580"/>
      <w:bookmarkStart w:id="524" w:name="_Toc15204579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519"/>
      <w:bookmarkEnd w:id="520"/>
      <w:bookmarkEnd w:id="521"/>
      <w:bookmarkEnd w:id="522"/>
      <w:bookmarkEnd w:id="523"/>
      <w:bookmarkEnd w:id="52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525" w:name="_Toc300835214"/>
      <w:bookmarkStart w:id="526" w:name="_Toc144974861"/>
      <w:bookmarkStart w:id="527" w:name="_Toc247514284"/>
      <w:bookmarkStart w:id="528" w:name="_Toc247527832"/>
      <w:bookmarkStart w:id="529" w:name="_Toc152042581"/>
      <w:bookmarkStart w:id="530" w:name="_Toc152045792"/>
      <w:r>
        <w:rPr>
          <w:rFonts w:hint="default" w:ascii="Times New Roman" w:hAnsi="Times New Roman" w:cs="Times New Roman"/>
        </w:rPr>
        <w:t>二、授权委托书</w:t>
      </w:r>
      <w:bookmarkEnd w:id="525"/>
      <w:bookmarkEnd w:id="526"/>
      <w:bookmarkEnd w:id="527"/>
      <w:bookmarkEnd w:id="528"/>
      <w:bookmarkEnd w:id="529"/>
      <w:bookmarkEnd w:id="530"/>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委托代理人身份证复印件和2023年 6 月起任意3个月及以上养老保险证明。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531" w:name="_Toc152045794"/>
      <w:bookmarkStart w:id="532" w:name="_Toc247527834"/>
      <w:bookmarkStart w:id="533" w:name="_Toc152042583"/>
      <w:bookmarkStart w:id="534" w:name="_Toc300835216"/>
      <w:bookmarkStart w:id="535" w:name="_Toc144974862"/>
      <w:bookmarkStart w:id="536"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531"/>
      <w:bookmarkEnd w:id="532"/>
      <w:bookmarkEnd w:id="533"/>
      <w:bookmarkEnd w:id="534"/>
      <w:bookmarkEnd w:id="535"/>
      <w:bookmarkEnd w:id="53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53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537"/>
    <w:p>
      <w:pPr>
        <w:rPr>
          <w:rFonts w:hint="default" w:ascii="Times New Roman" w:hAnsi="Times New Roman" w:cs="Times New Roman"/>
        </w:rPr>
      </w:pPr>
      <w:bookmarkStart w:id="538" w:name="_Toc247514287"/>
      <w:bookmarkStart w:id="539" w:name="_Toc152042584"/>
      <w:bookmarkStart w:id="540" w:name="_Toc144974863"/>
      <w:bookmarkStart w:id="541" w:name="_Toc152045795"/>
      <w:bookmarkStart w:id="542" w:name="_Toc300835218"/>
      <w:bookmarkStart w:id="543" w:name="_Toc247527835"/>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538"/>
      <w:bookmarkEnd w:id="539"/>
      <w:bookmarkEnd w:id="540"/>
      <w:bookmarkEnd w:id="541"/>
      <w:bookmarkEnd w:id="542"/>
      <w:bookmarkEnd w:id="543"/>
      <w:r>
        <w:rPr>
          <w:rFonts w:hint="eastAsia" w:ascii="Times New Roman" w:hAnsi="Times New Roman" w:cs="Times New Roman"/>
          <w:lang w:val="en-US" w:eastAsia="zh-CN"/>
        </w:rPr>
        <w:t>商务和技术偏差表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544" w:name="_Toc247527836"/>
            <w:bookmarkStart w:id="545" w:name="_Toc152045796"/>
            <w:bookmarkStart w:id="546" w:name="_Toc247514288"/>
            <w:bookmarkStart w:id="547" w:name="_Toc144974864"/>
            <w:bookmarkStart w:id="548" w:name="_Toc300835221"/>
            <w:bookmarkStart w:id="549" w:name="_Toc152042585"/>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544"/>
      <w:bookmarkEnd w:id="545"/>
      <w:bookmarkEnd w:id="546"/>
      <w:bookmarkEnd w:id="547"/>
      <w:bookmarkEnd w:id="548"/>
      <w:bookmarkEnd w:id="549"/>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550"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120KW双枪充电桩</w:t>
            </w:r>
          </w:p>
        </w:tc>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30</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160KW双枪充电桩</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30</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180KW双枪充电桩</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7</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480KW拖8充电桩</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30KW充电桩</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6</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7KW交流充电桩</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台</w:t>
            </w:r>
          </w:p>
        </w:tc>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50</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550"/>
    <w:p>
      <w:pPr>
        <w:pStyle w:val="3"/>
        <w:jc w:val="center"/>
        <w:rPr>
          <w:rFonts w:hint="eastAsia"/>
          <w:highlight w:val="none"/>
        </w:rPr>
      </w:pPr>
      <w:bookmarkStart w:id="551" w:name="_Toc179632823"/>
      <w:bookmarkStart w:id="552" w:name="_Toc152042592"/>
      <w:bookmarkStart w:id="553" w:name="_Toc152045803"/>
      <w:bookmarkStart w:id="554" w:name="_Toc246996369"/>
      <w:bookmarkStart w:id="555" w:name="_Toc246997112"/>
      <w:bookmarkStart w:id="556" w:name="_Toc144974871"/>
      <w:bookmarkStart w:id="557" w:name="_Toc247085887"/>
      <w:bookmarkStart w:id="558" w:name="_Toc296602614"/>
      <w:bookmarkStart w:id="559" w:name="_Toc152045808"/>
      <w:bookmarkStart w:id="560" w:name="_Toc247514300"/>
      <w:bookmarkStart w:id="561" w:name="_Toc152042597"/>
      <w:bookmarkStart w:id="562" w:name="_Toc247527848"/>
      <w:bookmarkStart w:id="563" w:name="_Toc144974876"/>
      <w:bookmarkStart w:id="564" w:name="_Toc300835224"/>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95"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“近年完成的类似项目情况表”应附合同协议书等的复印件，具体时间要求见投标人须知前附表。每张表格只填写一个项目，并标明序号。</w:t>
      </w:r>
    </w:p>
    <w:permEnd w:id="95"/>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w:t>
      </w:r>
      <w:bookmarkEnd w:id="551"/>
      <w:bookmarkEnd w:id="552"/>
      <w:bookmarkEnd w:id="553"/>
      <w:bookmarkEnd w:id="554"/>
      <w:bookmarkEnd w:id="555"/>
      <w:bookmarkEnd w:id="556"/>
      <w:bookmarkEnd w:id="557"/>
      <w:bookmarkEnd w:id="558"/>
      <w:r>
        <w:rPr>
          <w:rFonts w:hint="eastAsia"/>
          <w:lang w:val="en-US" w:eastAsia="zh-CN"/>
        </w:rPr>
        <w:t>投标产品性能指标的详细描述</w:t>
      </w:r>
    </w:p>
    <w:bookmarkEnd w:id="559"/>
    <w:bookmarkEnd w:id="560"/>
    <w:bookmarkEnd w:id="561"/>
    <w:bookmarkEnd w:id="562"/>
    <w:bookmarkEnd w:id="563"/>
    <w:bookmarkEnd w:id="564"/>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565" w:name="_Toc144974881"/>
      <w:bookmarkStart w:id="566" w:name="_Toc247514305"/>
      <w:bookmarkStart w:id="567" w:name="_Toc247527853"/>
      <w:bookmarkStart w:id="568" w:name="_Toc152045813"/>
      <w:bookmarkStart w:id="569" w:name="_Toc152042602"/>
      <w:bookmarkStart w:id="570" w:name="_Toc247530162"/>
    </w:p>
    <w:bookmarkEnd w:id="565"/>
    <w:bookmarkEnd w:id="566"/>
    <w:bookmarkEnd w:id="567"/>
    <w:bookmarkEnd w:id="568"/>
    <w:bookmarkEnd w:id="569"/>
    <w:bookmarkEnd w:id="570"/>
    <w:p>
      <w:pPr>
        <w:pStyle w:val="3"/>
        <w:jc w:val="center"/>
        <w:rPr>
          <w:rFonts w:hint="default" w:ascii="Times New Roman" w:hAnsi="Times New Roman" w:cs="Times New Roman"/>
        </w:rPr>
      </w:pPr>
      <w:bookmarkStart w:id="571" w:name="_Toc300835233"/>
      <w:bookmarkStart w:id="57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571"/>
      <w:bookmarkEnd w:id="572"/>
    </w:p>
    <w:p>
      <w:pPr>
        <w:ind w:firstLine="420" w:firstLineChars="200"/>
        <w:rPr>
          <w:rFonts w:hint="eastAsia" w:ascii="Times New Roman" w:hAnsi="Times New Roman" w:eastAsiaTheme="minorEastAsia"/>
          <w:lang w:eastAsia="zh-CN"/>
        </w:rPr>
      </w:pPr>
      <w:permStart w:id="96"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96"/>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EU-F1">
    <w:altName w:val="宋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multilevel"/>
    <w:tmpl w:val="0000000F"/>
    <w:lvl w:ilvl="0" w:tentative="0">
      <w:start w:val="1"/>
      <w:numFmt w:val="lowerLetter"/>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1">
    <w:nsid w:val="00000013"/>
    <w:multiLevelType w:val="multilevel"/>
    <w:tmpl w:val="00000013"/>
    <w:lvl w:ilvl="0" w:tentative="0">
      <w:start w:val="1"/>
      <w:numFmt w:val="lowerLetter"/>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2">
    <w:nsid w:val="00000018"/>
    <w:multiLevelType w:val="multilevel"/>
    <w:tmpl w:val="00000018"/>
    <w:lvl w:ilvl="0" w:tentative="0">
      <w:start w:val="1"/>
      <w:numFmt w:val="lowerLetter"/>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3">
    <w:nsid w:val="0000001B"/>
    <w:multiLevelType w:val="multilevel"/>
    <w:tmpl w:val="0000001B"/>
    <w:lvl w:ilvl="0" w:tentative="0">
      <w:start w:val="1"/>
      <w:numFmt w:val="decimal"/>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00000022"/>
    <w:multiLevelType w:val="multilevel"/>
    <w:tmpl w:val="00000022"/>
    <w:lvl w:ilvl="0" w:tentative="0">
      <w:start w:val="1"/>
      <w:numFmt w:val="lowerLetter"/>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5">
    <w:nsid w:val="00000023"/>
    <w:multiLevelType w:val="multilevel"/>
    <w:tmpl w:val="00000023"/>
    <w:lvl w:ilvl="0" w:tentative="0">
      <w:start w:val="1"/>
      <w:numFmt w:val="lowerLetter"/>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6">
    <w:nsid w:val="00000029"/>
    <w:multiLevelType w:val="multilevel"/>
    <w:tmpl w:val="00000029"/>
    <w:lvl w:ilvl="0" w:tentative="0">
      <w:start w:val="1"/>
      <w:numFmt w:val="lowerLetter"/>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7">
    <w:nsid w:val="3EE758A7"/>
    <w:multiLevelType w:val="multilevel"/>
    <w:tmpl w:val="3EE758A7"/>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49927CB6"/>
    <w:multiLevelType w:val="singleLevel"/>
    <w:tmpl w:val="49927CB6"/>
    <w:lvl w:ilvl="0" w:tentative="0">
      <w:start w:val="5"/>
      <w:numFmt w:val="chineseCounting"/>
      <w:suff w:val="space"/>
      <w:lvlText w:val="第%1章"/>
      <w:lvlJc w:val="left"/>
      <w:rPr>
        <w:rFonts w:hint="eastAsia"/>
      </w:rPr>
    </w:lvl>
  </w:abstractNum>
  <w:num w:numId="1">
    <w:abstractNumId w:val="8"/>
  </w:num>
  <w:num w:numId="2">
    <w:abstractNumId w:val="2"/>
  </w:num>
  <w:num w:numId="3">
    <w:abstractNumId w:val="5"/>
  </w:num>
  <w:num w:numId="4">
    <w:abstractNumId w:val="7"/>
  </w:num>
  <w:num w:numId="5">
    <w:abstractNumId w:val="1"/>
  </w:num>
  <w:num w:numId="6">
    <w:abstractNumId w:val="6"/>
  </w:num>
  <w:num w:numId="7">
    <w:abstractNumId w:val="0"/>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 w:name="KSO_WPS_MARK_KEY" w:val="0752034b-caf9-415d-bc6f-1f3e27a3c6ff"/>
  </w:docVars>
  <w:rsids>
    <w:rsidRoot w:val="00000000"/>
    <w:rsid w:val="000A4B92"/>
    <w:rsid w:val="00104448"/>
    <w:rsid w:val="001978C2"/>
    <w:rsid w:val="002609D3"/>
    <w:rsid w:val="002C069E"/>
    <w:rsid w:val="003752C8"/>
    <w:rsid w:val="0040224D"/>
    <w:rsid w:val="00541695"/>
    <w:rsid w:val="00696F68"/>
    <w:rsid w:val="00733B0B"/>
    <w:rsid w:val="00764376"/>
    <w:rsid w:val="007958E0"/>
    <w:rsid w:val="00796B76"/>
    <w:rsid w:val="00850CC0"/>
    <w:rsid w:val="00B00F2F"/>
    <w:rsid w:val="00D032BE"/>
    <w:rsid w:val="00E54D24"/>
    <w:rsid w:val="00FF308E"/>
    <w:rsid w:val="011E6004"/>
    <w:rsid w:val="01253372"/>
    <w:rsid w:val="0145105E"/>
    <w:rsid w:val="014A102B"/>
    <w:rsid w:val="018E53BB"/>
    <w:rsid w:val="019846E3"/>
    <w:rsid w:val="01CB0CDF"/>
    <w:rsid w:val="01CD2334"/>
    <w:rsid w:val="01E140D3"/>
    <w:rsid w:val="01EE4D0C"/>
    <w:rsid w:val="01F16263"/>
    <w:rsid w:val="02016132"/>
    <w:rsid w:val="0212370C"/>
    <w:rsid w:val="021D348F"/>
    <w:rsid w:val="022C0730"/>
    <w:rsid w:val="023A1A82"/>
    <w:rsid w:val="024C62D4"/>
    <w:rsid w:val="026E5FAB"/>
    <w:rsid w:val="026F1774"/>
    <w:rsid w:val="02983D41"/>
    <w:rsid w:val="029F2BC9"/>
    <w:rsid w:val="02A31129"/>
    <w:rsid w:val="02A46690"/>
    <w:rsid w:val="02AC508C"/>
    <w:rsid w:val="02BE075F"/>
    <w:rsid w:val="02D50DC8"/>
    <w:rsid w:val="02DE5ECF"/>
    <w:rsid w:val="02F4317E"/>
    <w:rsid w:val="03030333"/>
    <w:rsid w:val="030B18CA"/>
    <w:rsid w:val="0324584F"/>
    <w:rsid w:val="032652C7"/>
    <w:rsid w:val="033964DC"/>
    <w:rsid w:val="0345268F"/>
    <w:rsid w:val="034877EC"/>
    <w:rsid w:val="035021B2"/>
    <w:rsid w:val="03642557"/>
    <w:rsid w:val="03696450"/>
    <w:rsid w:val="038E65F9"/>
    <w:rsid w:val="03AA4003"/>
    <w:rsid w:val="03C10800"/>
    <w:rsid w:val="03C96DCC"/>
    <w:rsid w:val="03F359AA"/>
    <w:rsid w:val="03FB71CD"/>
    <w:rsid w:val="04127BBC"/>
    <w:rsid w:val="041515CF"/>
    <w:rsid w:val="04210376"/>
    <w:rsid w:val="04212D24"/>
    <w:rsid w:val="042C575E"/>
    <w:rsid w:val="04382327"/>
    <w:rsid w:val="043A6EF6"/>
    <w:rsid w:val="043F5557"/>
    <w:rsid w:val="044363A4"/>
    <w:rsid w:val="04856772"/>
    <w:rsid w:val="04885B47"/>
    <w:rsid w:val="04A52387"/>
    <w:rsid w:val="04B54547"/>
    <w:rsid w:val="04B862AB"/>
    <w:rsid w:val="04CD15E8"/>
    <w:rsid w:val="04CF4810"/>
    <w:rsid w:val="04D63FDF"/>
    <w:rsid w:val="04D8694E"/>
    <w:rsid w:val="04EB08D2"/>
    <w:rsid w:val="04EC7DA2"/>
    <w:rsid w:val="050252F6"/>
    <w:rsid w:val="055625ED"/>
    <w:rsid w:val="0560706F"/>
    <w:rsid w:val="0572490A"/>
    <w:rsid w:val="057E3D65"/>
    <w:rsid w:val="058253F2"/>
    <w:rsid w:val="05872EB9"/>
    <w:rsid w:val="05933026"/>
    <w:rsid w:val="059835D0"/>
    <w:rsid w:val="05AF1F5A"/>
    <w:rsid w:val="05B66F83"/>
    <w:rsid w:val="05BA17C0"/>
    <w:rsid w:val="05D9116E"/>
    <w:rsid w:val="05DB04A3"/>
    <w:rsid w:val="061F0438"/>
    <w:rsid w:val="06292F58"/>
    <w:rsid w:val="063F4D83"/>
    <w:rsid w:val="06497B03"/>
    <w:rsid w:val="064B59D4"/>
    <w:rsid w:val="06501BB5"/>
    <w:rsid w:val="06624967"/>
    <w:rsid w:val="06626753"/>
    <w:rsid w:val="06714440"/>
    <w:rsid w:val="067240CC"/>
    <w:rsid w:val="06866D3C"/>
    <w:rsid w:val="06972E4E"/>
    <w:rsid w:val="06A31B6E"/>
    <w:rsid w:val="06A848F7"/>
    <w:rsid w:val="06A905A2"/>
    <w:rsid w:val="06AE0835"/>
    <w:rsid w:val="06B86823"/>
    <w:rsid w:val="06BF2153"/>
    <w:rsid w:val="06D375E0"/>
    <w:rsid w:val="06D9502E"/>
    <w:rsid w:val="06E329B2"/>
    <w:rsid w:val="06EB4F76"/>
    <w:rsid w:val="06ED1728"/>
    <w:rsid w:val="06F81D74"/>
    <w:rsid w:val="06FC74D4"/>
    <w:rsid w:val="071A70F3"/>
    <w:rsid w:val="073D0CEA"/>
    <w:rsid w:val="074267A8"/>
    <w:rsid w:val="074A7C93"/>
    <w:rsid w:val="07666E00"/>
    <w:rsid w:val="07723470"/>
    <w:rsid w:val="077965A7"/>
    <w:rsid w:val="07832BA1"/>
    <w:rsid w:val="07972327"/>
    <w:rsid w:val="07A85930"/>
    <w:rsid w:val="07AF1BE8"/>
    <w:rsid w:val="07C82CA9"/>
    <w:rsid w:val="07EE56D8"/>
    <w:rsid w:val="07F43A9E"/>
    <w:rsid w:val="08033CE1"/>
    <w:rsid w:val="083726B7"/>
    <w:rsid w:val="08554A0D"/>
    <w:rsid w:val="08563EE1"/>
    <w:rsid w:val="086D3DA1"/>
    <w:rsid w:val="08774BE1"/>
    <w:rsid w:val="088B0BE4"/>
    <w:rsid w:val="088F5820"/>
    <w:rsid w:val="08903F11"/>
    <w:rsid w:val="08932D8F"/>
    <w:rsid w:val="08ED571D"/>
    <w:rsid w:val="08F024B8"/>
    <w:rsid w:val="08F53A28"/>
    <w:rsid w:val="08F85810"/>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0A75A9"/>
    <w:rsid w:val="0A3B332D"/>
    <w:rsid w:val="0A430A92"/>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422D73"/>
    <w:rsid w:val="0B5D1C2A"/>
    <w:rsid w:val="0B685C3C"/>
    <w:rsid w:val="0B7202E7"/>
    <w:rsid w:val="0B991D46"/>
    <w:rsid w:val="0B9F686D"/>
    <w:rsid w:val="0BDE31B0"/>
    <w:rsid w:val="0C110CA2"/>
    <w:rsid w:val="0C773477"/>
    <w:rsid w:val="0C833643"/>
    <w:rsid w:val="0C886EAB"/>
    <w:rsid w:val="0C9F113B"/>
    <w:rsid w:val="0CD3448B"/>
    <w:rsid w:val="0CF072F3"/>
    <w:rsid w:val="0D2466BD"/>
    <w:rsid w:val="0D3A1668"/>
    <w:rsid w:val="0D3C216F"/>
    <w:rsid w:val="0D5C2246"/>
    <w:rsid w:val="0D6A3C45"/>
    <w:rsid w:val="0D7F3B4D"/>
    <w:rsid w:val="0D84383E"/>
    <w:rsid w:val="0DA13B17"/>
    <w:rsid w:val="0DA277FF"/>
    <w:rsid w:val="0DA87805"/>
    <w:rsid w:val="0DB22432"/>
    <w:rsid w:val="0DB8057F"/>
    <w:rsid w:val="0DBD75AC"/>
    <w:rsid w:val="0DC57869"/>
    <w:rsid w:val="0DD331D8"/>
    <w:rsid w:val="0DDB677F"/>
    <w:rsid w:val="0E093A81"/>
    <w:rsid w:val="0E1201C4"/>
    <w:rsid w:val="0E230C39"/>
    <w:rsid w:val="0E35096D"/>
    <w:rsid w:val="0E3C08A3"/>
    <w:rsid w:val="0E464928"/>
    <w:rsid w:val="0E626142"/>
    <w:rsid w:val="0E6D3EE4"/>
    <w:rsid w:val="0E8168AC"/>
    <w:rsid w:val="0E9601D9"/>
    <w:rsid w:val="0EAA3109"/>
    <w:rsid w:val="0EDF4D5E"/>
    <w:rsid w:val="0EF860F0"/>
    <w:rsid w:val="0F024085"/>
    <w:rsid w:val="0F1438EF"/>
    <w:rsid w:val="0F274759"/>
    <w:rsid w:val="0F463825"/>
    <w:rsid w:val="0F4B0F6A"/>
    <w:rsid w:val="0F575798"/>
    <w:rsid w:val="0F5F5CB1"/>
    <w:rsid w:val="0F6D192D"/>
    <w:rsid w:val="0F6E4AA0"/>
    <w:rsid w:val="0F865924"/>
    <w:rsid w:val="0F886069"/>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A65B52"/>
    <w:rsid w:val="10D35E97"/>
    <w:rsid w:val="10EA43CD"/>
    <w:rsid w:val="11114551"/>
    <w:rsid w:val="112269D1"/>
    <w:rsid w:val="11356135"/>
    <w:rsid w:val="11800917"/>
    <w:rsid w:val="11806078"/>
    <w:rsid w:val="118955AD"/>
    <w:rsid w:val="11970BCB"/>
    <w:rsid w:val="1197226B"/>
    <w:rsid w:val="11AA0839"/>
    <w:rsid w:val="11C42470"/>
    <w:rsid w:val="11C71895"/>
    <w:rsid w:val="11CD444A"/>
    <w:rsid w:val="11E2334D"/>
    <w:rsid w:val="11F058CE"/>
    <w:rsid w:val="11FC3F3B"/>
    <w:rsid w:val="124D3BAD"/>
    <w:rsid w:val="125A52C4"/>
    <w:rsid w:val="12655D96"/>
    <w:rsid w:val="126B32F7"/>
    <w:rsid w:val="128E3C38"/>
    <w:rsid w:val="129E7A48"/>
    <w:rsid w:val="12BF2922"/>
    <w:rsid w:val="12C942C8"/>
    <w:rsid w:val="12DC5F5E"/>
    <w:rsid w:val="12DC7F8C"/>
    <w:rsid w:val="12E82A0B"/>
    <w:rsid w:val="131873D2"/>
    <w:rsid w:val="13274F9C"/>
    <w:rsid w:val="13325EC2"/>
    <w:rsid w:val="13417410"/>
    <w:rsid w:val="134A448A"/>
    <w:rsid w:val="134F7EA7"/>
    <w:rsid w:val="135107A8"/>
    <w:rsid w:val="136066CF"/>
    <w:rsid w:val="13637D2A"/>
    <w:rsid w:val="13657E31"/>
    <w:rsid w:val="136C3340"/>
    <w:rsid w:val="1387094F"/>
    <w:rsid w:val="139C08EB"/>
    <w:rsid w:val="13D2730A"/>
    <w:rsid w:val="13D35238"/>
    <w:rsid w:val="13D81B1F"/>
    <w:rsid w:val="13EE1CEA"/>
    <w:rsid w:val="14011A1D"/>
    <w:rsid w:val="14061B66"/>
    <w:rsid w:val="142B5FE2"/>
    <w:rsid w:val="14542872"/>
    <w:rsid w:val="147E2423"/>
    <w:rsid w:val="1487273A"/>
    <w:rsid w:val="148C28CB"/>
    <w:rsid w:val="14944440"/>
    <w:rsid w:val="14A059A0"/>
    <w:rsid w:val="14A32AD4"/>
    <w:rsid w:val="14B97B05"/>
    <w:rsid w:val="14C44177"/>
    <w:rsid w:val="14CD31B9"/>
    <w:rsid w:val="14DA6BBE"/>
    <w:rsid w:val="14E67563"/>
    <w:rsid w:val="14F926F4"/>
    <w:rsid w:val="15021B62"/>
    <w:rsid w:val="150A21BA"/>
    <w:rsid w:val="151779D1"/>
    <w:rsid w:val="1522437E"/>
    <w:rsid w:val="15283931"/>
    <w:rsid w:val="15382F40"/>
    <w:rsid w:val="156F0970"/>
    <w:rsid w:val="157E65AB"/>
    <w:rsid w:val="158374C1"/>
    <w:rsid w:val="15A62ECC"/>
    <w:rsid w:val="15AE56B5"/>
    <w:rsid w:val="15B14179"/>
    <w:rsid w:val="15C516BD"/>
    <w:rsid w:val="16026A2A"/>
    <w:rsid w:val="166266B1"/>
    <w:rsid w:val="16777D74"/>
    <w:rsid w:val="169528F0"/>
    <w:rsid w:val="16C724D4"/>
    <w:rsid w:val="16D411E7"/>
    <w:rsid w:val="16ED0036"/>
    <w:rsid w:val="170756D4"/>
    <w:rsid w:val="170F4587"/>
    <w:rsid w:val="176115DC"/>
    <w:rsid w:val="176D7525"/>
    <w:rsid w:val="17824660"/>
    <w:rsid w:val="178F2FF8"/>
    <w:rsid w:val="179121FE"/>
    <w:rsid w:val="17915931"/>
    <w:rsid w:val="17C41ABF"/>
    <w:rsid w:val="181066D2"/>
    <w:rsid w:val="18175D56"/>
    <w:rsid w:val="18276B10"/>
    <w:rsid w:val="18806715"/>
    <w:rsid w:val="18930C59"/>
    <w:rsid w:val="189B5F22"/>
    <w:rsid w:val="18A70256"/>
    <w:rsid w:val="18A944F8"/>
    <w:rsid w:val="18B73074"/>
    <w:rsid w:val="18DA76F1"/>
    <w:rsid w:val="19034C2D"/>
    <w:rsid w:val="190B7F24"/>
    <w:rsid w:val="1916127C"/>
    <w:rsid w:val="193D465D"/>
    <w:rsid w:val="193D4E12"/>
    <w:rsid w:val="19565565"/>
    <w:rsid w:val="196C6238"/>
    <w:rsid w:val="19755A4A"/>
    <w:rsid w:val="198A59D6"/>
    <w:rsid w:val="19A075E2"/>
    <w:rsid w:val="19A73D74"/>
    <w:rsid w:val="19AA5416"/>
    <w:rsid w:val="19CE7FF6"/>
    <w:rsid w:val="19D30698"/>
    <w:rsid w:val="19D70C6D"/>
    <w:rsid w:val="19E2271F"/>
    <w:rsid w:val="1A075570"/>
    <w:rsid w:val="1A1C623A"/>
    <w:rsid w:val="1A270D5F"/>
    <w:rsid w:val="1A4D4CED"/>
    <w:rsid w:val="1A701A29"/>
    <w:rsid w:val="1A797469"/>
    <w:rsid w:val="1A8850B8"/>
    <w:rsid w:val="1A9B5FFB"/>
    <w:rsid w:val="1AA066C8"/>
    <w:rsid w:val="1ADB0B95"/>
    <w:rsid w:val="1AF80851"/>
    <w:rsid w:val="1B0361BC"/>
    <w:rsid w:val="1B116412"/>
    <w:rsid w:val="1B262D26"/>
    <w:rsid w:val="1B2670F4"/>
    <w:rsid w:val="1B2D1E19"/>
    <w:rsid w:val="1B2D7FD6"/>
    <w:rsid w:val="1B3501FE"/>
    <w:rsid w:val="1B3A5220"/>
    <w:rsid w:val="1B3B258E"/>
    <w:rsid w:val="1B652C95"/>
    <w:rsid w:val="1B6B3C20"/>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D5F8B"/>
    <w:rsid w:val="1C6E241C"/>
    <w:rsid w:val="1C7D00AF"/>
    <w:rsid w:val="1CB07DF9"/>
    <w:rsid w:val="1CC3681B"/>
    <w:rsid w:val="1CF251D3"/>
    <w:rsid w:val="1CFF3217"/>
    <w:rsid w:val="1D0C3E62"/>
    <w:rsid w:val="1D104A7F"/>
    <w:rsid w:val="1D1D0D81"/>
    <w:rsid w:val="1D5835F0"/>
    <w:rsid w:val="1D594678"/>
    <w:rsid w:val="1D7A336D"/>
    <w:rsid w:val="1D8C5045"/>
    <w:rsid w:val="1D903E12"/>
    <w:rsid w:val="1D9244F8"/>
    <w:rsid w:val="1D931CEA"/>
    <w:rsid w:val="1DC177D9"/>
    <w:rsid w:val="1E1A236E"/>
    <w:rsid w:val="1E225BB3"/>
    <w:rsid w:val="1E2A6113"/>
    <w:rsid w:val="1E2D212B"/>
    <w:rsid w:val="1E2E6E13"/>
    <w:rsid w:val="1E32182A"/>
    <w:rsid w:val="1E5A61EE"/>
    <w:rsid w:val="1E713E2F"/>
    <w:rsid w:val="1E7F010E"/>
    <w:rsid w:val="1E91399D"/>
    <w:rsid w:val="1E980FE4"/>
    <w:rsid w:val="1EA573D8"/>
    <w:rsid w:val="1EA77665"/>
    <w:rsid w:val="1EB0513B"/>
    <w:rsid w:val="1EB72F76"/>
    <w:rsid w:val="1EC10726"/>
    <w:rsid w:val="1EE36B2C"/>
    <w:rsid w:val="1EEB7551"/>
    <w:rsid w:val="1EF342CB"/>
    <w:rsid w:val="1F020394"/>
    <w:rsid w:val="1F020A44"/>
    <w:rsid w:val="1F041BC7"/>
    <w:rsid w:val="1F127B09"/>
    <w:rsid w:val="1F1C3BAF"/>
    <w:rsid w:val="1F2354C8"/>
    <w:rsid w:val="1F237E35"/>
    <w:rsid w:val="1F36160E"/>
    <w:rsid w:val="1F3F33F9"/>
    <w:rsid w:val="1F417171"/>
    <w:rsid w:val="1F4D1086"/>
    <w:rsid w:val="1F5D00BF"/>
    <w:rsid w:val="1F5E5F75"/>
    <w:rsid w:val="1F640255"/>
    <w:rsid w:val="1F671677"/>
    <w:rsid w:val="1F722047"/>
    <w:rsid w:val="1F8279F3"/>
    <w:rsid w:val="1F904945"/>
    <w:rsid w:val="1FAA6A2E"/>
    <w:rsid w:val="1FC11059"/>
    <w:rsid w:val="1FDC7161"/>
    <w:rsid w:val="1FE4351E"/>
    <w:rsid w:val="1FE570E2"/>
    <w:rsid w:val="1FE7673E"/>
    <w:rsid w:val="200E38F2"/>
    <w:rsid w:val="201E585F"/>
    <w:rsid w:val="2049266D"/>
    <w:rsid w:val="204B4B47"/>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1C37C83"/>
    <w:rsid w:val="221B3735"/>
    <w:rsid w:val="22270787"/>
    <w:rsid w:val="224D73DD"/>
    <w:rsid w:val="22592601"/>
    <w:rsid w:val="22603DB2"/>
    <w:rsid w:val="226D7B83"/>
    <w:rsid w:val="22813DBA"/>
    <w:rsid w:val="2293123C"/>
    <w:rsid w:val="22A570EC"/>
    <w:rsid w:val="22EF3388"/>
    <w:rsid w:val="232E56FD"/>
    <w:rsid w:val="233F5F96"/>
    <w:rsid w:val="235F4D23"/>
    <w:rsid w:val="236D4028"/>
    <w:rsid w:val="238A4DFC"/>
    <w:rsid w:val="24226CC5"/>
    <w:rsid w:val="24312A4A"/>
    <w:rsid w:val="244A5E9A"/>
    <w:rsid w:val="244C4BB8"/>
    <w:rsid w:val="24691193"/>
    <w:rsid w:val="246C3A46"/>
    <w:rsid w:val="247152E7"/>
    <w:rsid w:val="24724271"/>
    <w:rsid w:val="249F7E9E"/>
    <w:rsid w:val="24BD0029"/>
    <w:rsid w:val="24CF3471"/>
    <w:rsid w:val="24E567F1"/>
    <w:rsid w:val="24FF7718"/>
    <w:rsid w:val="251A7612"/>
    <w:rsid w:val="25237A22"/>
    <w:rsid w:val="2527505B"/>
    <w:rsid w:val="25290DD3"/>
    <w:rsid w:val="252E0774"/>
    <w:rsid w:val="253B28B5"/>
    <w:rsid w:val="25481BCE"/>
    <w:rsid w:val="256E1E26"/>
    <w:rsid w:val="256E2C8A"/>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D77E2"/>
    <w:rsid w:val="26AF686C"/>
    <w:rsid w:val="26CA60FC"/>
    <w:rsid w:val="26D16018"/>
    <w:rsid w:val="26DB3228"/>
    <w:rsid w:val="26DF6074"/>
    <w:rsid w:val="26E05716"/>
    <w:rsid w:val="26FE679C"/>
    <w:rsid w:val="271D4673"/>
    <w:rsid w:val="27301EDB"/>
    <w:rsid w:val="27453115"/>
    <w:rsid w:val="274A285D"/>
    <w:rsid w:val="275814FC"/>
    <w:rsid w:val="276C029F"/>
    <w:rsid w:val="27867E0A"/>
    <w:rsid w:val="27982DD4"/>
    <w:rsid w:val="27BA3F65"/>
    <w:rsid w:val="27DD09CE"/>
    <w:rsid w:val="27EC553C"/>
    <w:rsid w:val="280C4BFC"/>
    <w:rsid w:val="2813394B"/>
    <w:rsid w:val="281C1F63"/>
    <w:rsid w:val="281C54D8"/>
    <w:rsid w:val="283610D5"/>
    <w:rsid w:val="284D302B"/>
    <w:rsid w:val="285F5293"/>
    <w:rsid w:val="28622D71"/>
    <w:rsid w:val="286E69FD"/>
    <w:rsid w:val="287560DE"/>
    <w:rsid w:val="28904CC6"/>
    <w:rsid w:val="28A10C81"/>
    <w:rsid w:val="28C56178"/>
    <w:rsid w:val="28CA68A9"/>
    <w:rsid w:val="28FA546B"/>
    <w:rsid w:val="28FE025E"/>
    <w:rsid w:val="29245F1A"/>
    <w:rsid w:val="29366359"/>
    <w:rsid w:val="29586D7A"/>
    <w:rsid w:val="29772B51"/>
    <w:rsid w:val="29791894"/>
    <w:rsid w:val="2984235F"/>
    <w:rsid w:val="29967FD2"/>
    <w:rsid w:val="29A52D8F"/>
    <w:rsid w:val="29C56C3A"/>
    <w:rsid w:val="29D750CA"/>
    <w:rsid w:val="29D85278"/>
    <w:rsid w:val="29E1380C"/>
    <w:rsid w:val="29E85046"/>
    <w:rsid w:val="2A017BFD"/>
    <w:rsid w:val="2A0A71F8"/>
    <w:rsid w:val="2A4913A2"/>
    <w:rsid w:val="2A9154D8"/>
    <w:rsid w:val="2AA04C57"/>
    <w:rsid w:val="2AD750C3"/>
    <w:rsid w:val="2AE77D08"/>
    <w:rsid w:val="2AEA3011"/>
    <w:rsid w:val="2AEB08D9"/>
    <w:rsid w:val="2B151AF7"/>
    <w:rsid w:val="2B252D72"/>
    <w:rsid w:val="2B3E0375"/>
    <w:rsid w:val="2B492499"/>
    <w:rsid w:val="2B512E32"/>
    <w:rsid w:val="2B5D3585"/>
    <w:rsid w:val="2B652A8D"/>
    <w:rsid w:val="2B6C55DB"/>
    <w:rsid w:val="2B8D5640"/>
    <w:rsid w:val="2B9176D3"/>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016ADE"/>
    <w:rsid w:val="2E652B8E"/>
    <w:rsid w:val="2E66167A"/>
    <w:rsid w:val="2E6C7EF1"/>
    <w:rsid w:val="2E6D69DB"/>
    <w:rsid w:val="2E6F6584"/>
    <w:rsid w:val="2E7823B0"/>
    <w:rsid w:val="2E933BCE"/>
    <w:rsid w:val="2E9C6490"/>
    <w:rsid w:val="2EA40069"/>
    <w:rsid w:val="2EAA3B87"/>
    <w:rsid w:val="2EB66E96"/>
    <w:rsid w:val="2EBC23A0"/>
    <w:rsid w:val="2EFA0191"/>
    <w:rsid w:val="2F097580"/>
    <w:rsid w:val="2F436846"/>
    <w:rsid w:val="2F4556CE"/>
    <w:rsid w:val="2F6F3C93"/>
    <w:rsid w:val="2F754A27"/>
    <w:rsid w:val="2F890E3A"/>
    <w:rsid w:val="2FA1186B"/>
    <w:rsid w:val="2FA315DF"/>
    <w:rsid w:val="2FB1448A"/>
    <w:rsid w:val="2FC529CB"/>
    <w:rsid w:val="2FC802AE"/>
    <w:rsid w:val="2FE66F94"/>
    <w:rsid w:val="301C41BF"/>
    <w:rsid w:val="302369A0"/>
    <w:rsid w:val="303474C0"/>
    <w:rsid w:val="303B19BB"/>
    <w:rsid w:val="30550CCF"/>
    <w:rsid w:val="305C41A9"/>
    <w:rsid w:val="307C26FF"/>
    <w:rsid w:val="30820205"/>
    <w:rsid w:val="308E41B5"/>
    <w:rsid w:val="30952C59"/>
    <w:rsid w:val="30FC55EE"/>
    <w:rsid w:val="30FF4D69"/>
    <w:rsid w:val="310E5321"/>
    <w:rsid w:val="3113559B"/>
    <w:rsid w:val="311978DB"/>
    <w:rsid w:val="312421F6"/>
    <w:rsid w:val="3127420C"/>
    <w:rsid w:val="31477BEB"/>
    <w:rsid w:val="315523B1"/>
    <w:rsid w:val="31684A32"/>
    <w:rsid w:val="3198056E"/>
    <w:rsid w:val="31CD31BF"/>
    <w:rsid w:val="31E10F55"/>
    <w:rsid w:val="31F82192"/>
    <w:rsid w:val="31FA3D10"/>
    <w:rsid w:val="320B7F80"/>
    <w:rsid w:val="3219008D"/>
    <w:rsid w:val="32215B79"/>
    <w:rsid w:val="322241F2"/>
    <w:rsid w:val="3229379D"/>
    <w:rsid w:val="32294133"/>
    <w:rsid w:val="322D5AFA"/>
    <w:rsid w:val="3239511F"/>
    <w:rsid w:val="32514C44"/>
    <w:rsid w:val="326B6B4F"/>
    <w:rsid w:val="328916BE"/>
    <w:rsid w:val="32974C7A"/>
    <w:rsid w:val="32BB4ABE"/>
    <w:rsid w:val="32C8549C"/>
    <w:rsid w:val="32CA16D9"/>
    <w:rsid w:val="32E83928"/>
    <w:rsid w:val="32F45590"/>
    <w:rsid w:val="331C19F3"/>
    <w:rsid w:val="33380434"/>
    <w:rsid w:val="334234A4"/>
    <w:rsid w:val="334B0167"/>
    <w:rsid w:val="3353554F"/>
    <w:rsid w:val="33552D94"/>
    <w:rsid w:val="33582884"/>
    <w:rsid w:val="33773188"/>
    <w:rsid w:val="337E77C9"/>
    <w:rsid w:val="338F53C2"/>
    <w:rsid w:val="33925662"/>
    <w:rsid w:val="339B7AA1"/>
    <w:rsid w:val="33A45AC9"/>
    <w:rsid w:val="33B7637D"/>
    <w:rsid w:val="33D4661F"/>
    <w:rsid w:val="33DB773D"/>
    <w:rsid w:val="33ED39C2"/>
    <w:rsid w:val="340F56DE"/>
    <w:rsid w:val="341A67A4"/>
    <w:rsid w:val="3425597D"/>
    <w:rsid w:val="342A5DF5"/>
    <w:rsid w:val="344851FD"/>
    <w:rsid w:val="34986785"/>
    <w:rsid w:val="349B5E0E"/>
    <w:rsid w:val="349D7D29"/>
    <w:rsid w:val="34A432B6"/>
    <w:rsid w:val="34AA020B"/>
    <w:rsid w:val="34BC17DA"/>
    <w:rsid w:val="34C208FD"/>
    <w:rsid w:val="34D015E3"/>
    <w:rsid w:val="34F85DA8"/>
    <w:rsid w:val="3509398E"/>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A82C1D"/>
    <w:rsid w:val="36AE1139"/>
    <w:rsid w:val="36B34449"/>
    <w:rsid w:val="36C342D9"/>
    <w:rsid w:val="36CA3A99"/>
    <w:rsid w:val="370F2E93"/>
    <w:rsid w:val="370F32ED"/>
    <w:rsid w:val="374E35E0"/>
    <w:rsid w:val="37560CC6"/>
    <w:rsid w:val="377F2AD5"/>
    <w:rsid w:val="378D0CEB"/>
    <w:rsid w:val="379A026D"/>
    <w:rsid w:val="37A2207E"/>
    <w:rsid w:val="37A2434F"/>
    <w:rsid w:val="37C52BDE"/>
    <w:rsid w:val="37ED6D6E"/>
    <w:rsid w:val="37F232A7"/>
    <w:rsid w:val="380C3B20"/>
    <w:rsid w:val="381039F4"/>
    <w:rsid w:val="381B27FE"/>
    <w:rsid w:val="38262F51"/>
    <w:rsid w:val="38422CE2"/>
    <w:rsid w:val="38464281"/>
    <w:rsid w:val="38575800"/>
    <w:rsid w:val="386E21B0"/>
    <w:rsid w:val="38AE496C"/>
    <w:rsid w:val="38B54D45"/>
    <w:rsid w:val="38D242CD"/>
    <w:rsid w:val="390C2146"/>
    <w:rsid w:val="393E0C7A"/>
    <w:rsid w:val="394125EA"/>
    <w:rsid w:val="39470BCD"/>
    <w:rsid w:val="394F019F"/>
    <w:rsid w:val="39821F75"/>
    <w:rsid w:val="398B5520"/>
    <w:rsid w:val="398C3DB7"/>
    <w:rsid w:val="39AB6275"/>
    <w:rsid w:val="39E17621"/>
    <w:rsid w:val="39E8044A"/>
    <w:rsid w:val="39F227B1"/>
    <w:rsid w:val="3A151290"/>
    <w:rsid w:val="3A201663"/>
    <w:rsid w:val="3A257964"/>
    <w:rsid w:val="3A292038"/>
    <w:rsid w:val="3A4A1178"/>
    <w:rsid w:val="3A524E6B"/>
    <w:rsid w:val="3A762A49"/>
    <w:rsid w:val="3A826354"/>
    <w:rsid w:val="3A842D5C"/>
    <w:rsid w:val="3A9D28F5"/>
    <w:rsid w:val="3AC12C33"/>
    <w:rsid w:val="3ACD43C9"/>
    <w:rsid w:val="3AFF2C64"/>
    <w:rsid w:val="3B135A0E"/>
    <w:rsid w:val="3B2F69DB"/>
    <w:rsid w:val="3B49637F"/>
    <w:rsid w:val="3B79226F"/>
    <w:rsid w:val="3B8F1138"/>
    <w:rsid w:val="3B904834"/>
    <w:rsid w:val="3B932344"/>
    <w:rsid w:val="3B9D20F5"/>
    <w:rsid w:val="3BB33F88"/>
    <w:rsid w:val="3BC15D34"/>
    <w:rsid w:val="3BD93153"/>
    <w:rsid w:val="3BDA6996"/>
    <w:rsid w:val="3C0A3047"/>
    <w:rsid w:val="3C1C6B44"/>
    <w:rsid w:val="3C2E50FB"/>
    <w:rsid w:val="3C37637A"/>
    <w:rsid w:val="3C4A12AD"/>
    <w:rsid w:val="3C5125FC"/>
    <w:rsid w:val="3C690ECB"/>
    <w:rsid w:val="3C7A386B"/>
    <w:rsid w:val="3C860AC6"/>
    <w:rsid w:val="3C8967A4"/>
    <w:rsid w:val="3C960BC8"/>
    <w:rsid w:val="3C9848A1"/>
    <w:rsid w:val="3CA509B7"/>
    <w:rsid w:val="3CA509D1"/>
    <w:rsid w:val="3CD537E6"/>
    <w:rsid w:val="3CD93879"/>
    <w:rsid w:val="3CF60293"/>
    <w:rsid w:val="3D2571D3"/>
    <w:rsid w:val="3D29776B"/>
    <w:rsid w:val="3D7309E6"/>
    <w:rsid w:val="3D7A2818"/>
    <w:rsid w:val="3D8106EA"/>
    <w:rsid w:val="3D834DF8"/>
    <w:rsid w:val="3D906584"/>
    <w:rsid w:val="3DA352B1"/>
    <w:rsid w:val="3DA554C8"/>
    <w:rsid w:val="3DBA0AB6"/>
    <w:rsid w:val="3DBA61E7"/>
    <w:rsid w:val="3DC14624"/>
    <w:rsid w:val="3DD55956"/>
    <w:rsid w:val="3E067AAC"/>
    <w:rsid w:val="3E100FFC"/>
    <w:rsid w:val="3E201534"/>
    <w:rsid w:val="3E625352"/>
    <w:rsid w:val="3E651EE9"/>
    <w:rsid w:val="3E784A78"/>
    <w:rsid w:val="3E8554F5"/>
    <w:rsid w:val="3EB65E71"/>
    <w:rsid w:val="3EC33032"/>
    <w:rsid w:val="3EC61DB3"/>
    <w:rsid w:val="3ECE4FFB"/>
    <w:rsid w:val="3EF62661"/>
    <w:rsid w:val="3F3C595E"/>
    <w:rsid w:val="3F446ADE"/>
    <w:rsid w:val="3F59346C"/>
    <w:rsid w:val="3F657308"/>
    <w:rsid w:val="3F7856B5"/>
    <w:rsid w:val="3F7970EE"/>
    <w:rsid w:val="3F8003ED"/>
    <w:rsid w:val="3F8B5F41"/>
    <w:rsid w:val="3FC519F7"/>
    <w:rsid w:val="3FCB4F93"/>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14752"/>
    <w:rsid w:val="418A1799"/>
    <w:rsid w:val="418C651A"/>
    <w:rsid w:val="41943621"/>
    <w:rsid w:val="41A61C3F"/>
    <w:rsid w:val="41B17185"/>
    <w:rsid w:val="41F05895"/>
    <w:rsid w:val="42040076"/>
    <w:rsid w:val="420C70DA"/>
    <w:rsid w:val="4226611D"/>
    <w:rsid w:val="425402BB"/>
    <w:rsid w:val="42564ADA"/>
    <w:rsid w:val="42747A95"/>
    <w:rsid w:val="427E52C8"/>
    <w:rsid w:val="429D02B3"/>
    <w:rsid w:val="42C76B2F"/>
    <w:rsid w:val="42CA464A"/>
    <w:rsid w:val="42D30947"/>
    <w:rsid w:val="42FA6BD0"/>
    <w:rsid w:val="42FB4E01"/>
    <w:rsid w:val="4301585B"/>
    <w:rsid w:val="431B31A4"/>
    <w:rsid w:val="43325808"/>
    <w:rsid w:val="433E1CAF"/>
    <w:rsid w:val="43412297"/>
    <w:rsid w:val="43413ED4"/>
    <w:rsid w:val="43511AE7"/>
    <w:rsid w:val="43594499"/>
    <w:rsid w:val="43636C3F"/>
    <w:rsid w:val="436E5353"/>
    <w:rsid w:val="438073DF"/>
    <w:rsid w:val="439D6340"/>
    <w:rsid w:val="43AC4C52"/>
    <w:rsid w:val="43ED0DC6"/>
    <w:rsid w:val="43FD7280"/>
    <w:rsid w:val="441532B2"/>
    <w:rsid w:val="441C5686"/>
    <w:rsid w:val="441E55BD"/>
    <w:rsid w:val="442C59F4"/>
    <w:rsid w:val="442C5CE7"/>
    <w:rsid w:val="443F7EE3"/>
    <w:rsid w:val="44477A7A"/>
    <w:rsid w:val="445A5900"/>
    <w:rsid w:val="448012E9"/>
    <w:rsid w:val="44831552"/>
    <w:rsid w:val="4492209A"/>
    <w:rsid w:val="44A0611E"/>
    <w:rsid w:val="44A72CB4"/>
    <w:rsid w:val="44DC0CFE"/>
    <w:rsid w:val="44DC4FCA"/>
    <w:rsid w:val="44FD1C6D"/>
    <w:rsid w:val="452A2215"/>
    <w:rsid w:val="453F207E"/>
    <w:rsid w:val="454276A8"/>
    <w:rsid w:val="45465AD9"/>
    <w:rsid w:val="457C4AF8"/>
    <w:rsid w:val="45A100BA"/>
    <w:rsid w:val="45A31600"/>
    <w:rsid w:val="45E526C2"/>
    <w:rsid w:val="45ED75B7"/>
    <w:rsid w:val="45EF5694"/>
    <w:rsid w:val="45F32D75"/>
    <w:rsid w:val="45FE4441"/>
    <w:rsid w:val="460934CE"/>
    <w:rsid w:val="461F685B"/>
    <w:rsid w:val="46284FD9"/>
    <w:rsid w:val="463A35BA"/>
    <w:rsid w:val="464478D6"/>
    <w:rsid w:val="46565349"/>
    <w:rsid w:val="46582E6F"/>
    <w:rsid w:val="46594972"/>
    <w:rsid w:val="46763AFA"/>
    <w:rsid w:val="469519CD"/>
    <w:rsid w:val="469F45FA"/>
    <w:rsid w:val="46A86AC5"/>
    <w:rsid w:val="46AF0ACC"/>
    <w:rsid w:val="46CD2EA3"/>
    <w:rsid w:val="46E33C2A"/>
    <w:rsid w:val="46EB5C2E"/>
    <w:rsid w:val="46F77BF9"/>
    <w:rsid w:val="47070F66"/>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40B28"/>
    <w:rsid w:val="48155D52"/>
    <w:rsid w:val="481D4366"/>
    <w:rsid w:val="482E20D9"/>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41489"/>
    <w:rsid w:val="4948117F"/>
    <w:rsid w:val="494B0B0D"/>
    <w:rsid w:val="494B77C3"/>
    <w:rsid w:val="49510EF2"/>
    <w:rsid w:val="49563E9E"/>
    <w:rsid w:val="4961203A"/>
    <w:rsid w:val="497E20AD"/>
    <w:rsid w:val="49820EB7"/>
    <w:rsid w:val="499416E9"/>
    <w:rsid w:val="499C12C5"/>
    <w:rsid w:val="49A63EAD"/>
    <w:rsid w:val="49B4166E"/>
    <w:rsid w:val="49BA2C9E"/>
    <w:rsid w:val="49BC3715"/>
    <w:rsid w:val="49C56A6D"/>
    <w:rsid w:val="49F72310"/>
    <w:rsid w:val="49FD2EE4"/>
    <w:rsid w:val="4A0B4FDE"/>
    <w:rsid w:val="4A343D11"/>
    <w:rsid w:val="4A497D35"/>
    <w:rsid w:val="4A7933B4"/>
    <w:rsid w:val="4A7F4492"/>
    <w:rsid w:val="4A8A37D8"/>
    <w:rsid w:val="4A8B4AB2"/>
    <w:rsid w:val="4AAC3789"/>
    <w:rsid w:val="4ABC0E71"/>
    <w:rsid w:val="4AD9595B"/>
    <w:rsid w:val="4AF21B19"/>
    <w:rsid w:val="4AF93EAE"/>
    <w:rsid w:val="4AFC3A3A"/>
    <w:rsid w:val="4B232749"/>
    <w:rsid w:val="4B26353C"/>
    <w:rsid w:val="4B311212"/>
    <w:rsid w:val="4B3A2B43"/>
    <w:rsid w:val="4B3E6720"/>
    <w:rsid w:val="4B43535A"/>
    <w:rsid w:val="4B476348"/>
    <w:rsid w:val="4B55797D"/>
    <w:rsid w:val="4B625BF7"/>
    <w:rsid w:val="4B871B00"/>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714C8A"/>
    <w:rsid w:val="4C87254B"/>
    <w:rsid w:val="4CDE4416"/>
    <w:rsid w:val="4CF56B0E"/>
    <w:rsid w:val="4D004DF6"/>
    <w:rsid w:val="4D1B69A4"/>
    <w:rsid w:val="4D1C2C8C"/>
    <w:rsid w:val="4D1E77BE"/>
    <w:rsid w:val="4D20220D"/>
    <w:rsid w:val="4D245FC5"/>
    <w:rsid w:val="4D2B3B2C"/>
    <w:rsid w:val="4D44414D"/>
    <w:rsid w:val="4DA943B0"/>
    <w:rsid w:val="4DB0533F"/>
    <w:rsid w:val="4DC515BB"/>
    <w:rsid w:val="4DCB5984"/>
    <w:rsid w:val="4DD610A9"/>
    <w:rsid w:val="4DD64458"/>
    <w:rsid w:val="4DDD4E1A"/>
    <w:rsid w:val="4DEA1EC9"/>
    <w:rsid w:val="4E135BFA"/>
    <w:rsid w:val="4E1B2DDB"/>
    <w:rsid w:val="4E250E8C"/>
    <w:rsid w:val="4E355E12"/>
    <w:rsid w:val="4E41208C"/>
    <w:rsid w:val="4E563E70"/>
    <w:rsid w:val="4E5D7C3A"/>
    <w:rsid w:val="4E614AF3"/>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4C35D0"/>
    <w:rsid w:val="515E6A1B"/>
    <w:rsid w:val="516B705C"/>
    <w:rsid w:val="5177537A"/>
    <w:rsid w:val="518806E3"/>
    <w:rsid w:val="519A635A"/>
    <w:rsid w:val="51A1217B"/>
    <w:rsid w:val="51A47CAD"/>
    <w:rsid w:val="51BC2004"/>
    <w:rsid w:val="51C462A1"/>
    <w:rsid w:val="51CB0C5C"/>
    <w:rsid w:val="51CB74F6"/>
    <w:rsid w:val="51D13948"/>
    <w:rsid w:val="51EB5979"/>
    <w:rsid w:val="51F7178E"/>
    <w:rsid w:val="5209326F"/>
    <w:rsid w:val="521A0101"/>
    <w:rsid w:val="52241967"/>
    <w:rsid w:val="52263E21"/>
    <w:rsid w:val="522D1CB6"/>
    <w:rsid w:val="52444C58"/>
    <w:rsid w:val="5257047F"/>
    <w:rsid w:val="5263075C"/>
    <w:rsid w:val="52660A26"/>
    <w:rsid w:val="52717995"/>
    <w:rsid w:val="528315FB"/>
    <w:rsid w:val="52910142"/>
    <w:rsid w:val="52990759"/>
    <w:rsid w:val="529E42FF"/>
    <w:rsid w:val="52B87033"/>
    <w:rsid w:val="52BE5917"/>
    <w:rsid w:val="52ED3633"/>
    <w:rsid w:val="52FB71E7"/>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C95448"/>
    <w:rsid w:val="540540F5"/>
    <w:rsid w:val="542913B3"/>
    <w:rsid w:val="543F18BA"/>
    <w:rsid w:val="54883400"/>
    <w:rsid w:val="54932F58"/>
    <w:rsid w:val="54A81CB5"/>
    <w:rsid w:val="54C41B11"/>
    <w:rsid w:val="54E04A04"/>
    <w:rsid w:val="550E49C6"/>
    <w:rsid w:val="553D557C"/>
    <w:rsid w:val="556E6B20"/>
    <w:rsid w:val="5596306C"/>
    <w:rsid w:val="55A47D96"/>
    <w:rsid w:val="55C94049"/>
    <w:rsid w:val="55DA287E"/>
    <w:rsid w:val="55DD1819"/>
    <w:rsid w:val="55EE6DAD"/>
    <w:rsid w:val="5604091D"/>
    <w:rsid w:val="56073162"/>
    <w:rsid w:val="5609127C"/>
    <w:rsid w:val="56243B92"/>
    <w:rsid w:val="562B5EAA"/>
    <w:rsid w:val="5630526E"/>
    <w:rsid w:val="563D619D"/>
    <w:rsid w:val="56413F2B"/>
    <w:rsid w:val="56537C47"/>
    <w:rsid w:val="56A010C0"/>
    <w:rsid w:val="56B96B8E"/>
    <w:rsid w:val="56C747B5"/>
    <w:rsid w:val="56D42684"/>
    <w:rsid w:val="56DD2471"/>
    <w:rsid w:val="56E61DD1"/>
    <w:rsid w:val="57210A6D"/>
    <w:rsid w:val="5744214A"/>
    <w:rsid w:val="574B480A"/>
    <w:rsid w:val="57543081"/>
    <w:rsid w:val="575E5D20"/>
    <w:rsid w:val="577E64AD"/>
    <w:rsid w:val="5789649C"/>
    <w:rsid w:val="57A203EE"/>
    <w:rsid w:val="57A373F0"/>
    <w:rsid w:val="57C83C57"/>
    <w:rsid w:val="57FB2FB4"/>
    <w:rsid w:val="582028C2"/>
    <w:rsid w:val="582908A2"/>
    <w:rsid w:val="583D07DD"/>
    <w:rsid w:val="585A65D3"/>
    <w:rsid w:val="585F1862"/>
    <w:rsid w:val="58613E05"/>
    <w:rsid w:val="58620D26"/>
    <w:rsid w:val="58706FB1"/>
    <w:rsid w:val="587C5983"/>
    <w:rsid w:val="58E8415E"/>
    <w:rsid w:val="58ED1995"/>
    <w:rsid w:val="58FF1A45"/>
    <w:rsid w:val="591578E8"/>
    <w:rsid w:val="591C580B"/>
    <w:rsid w:val="5926497A"/>
    <w:rsid w:val="592A1893"/>
    <w:rsid w:val="594A2AEB"/>
    <w:rsid w:val="595D3E12"/>
    <w:rsid w:val="59961EFB"/>
    <w:rsid w:val="59A11353"/>
    <w:rsid w:val="59B40569"/>
    <w:rsid w:val="59CC1752"/>
    <w:rsid w:val="5A0336C4"/>
    <w:rsid w:val="5A1D0D82"/>
    <w:rsid w:val="5A20315B"/>
    <w:rsid w:val="5A4C2893"/>
    <w:rsid w:val="5A5827FE"/>
    <w:rsid w:val="5A70211C"/>
    <w:rsid w:val="5A9A53AC"/>
    <w:rsid w:val="5AAB2A29"/>
    <w:rsid w:val="5AAB3211"/>
    <w:rsid w:val="5AAC7307"/>
    <w:rsid w:val="5AB86388"/>
    <w:rsid w:val="5ABF41C0"/>
    <w:rsid w:val="5ACA577B"/>
    <w:rsid w:val="5AD07CB2"/>
    <w:rsid w:val="5AE37CAA"/>
    <w:rsid w:val="5AEC4B78"/>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D32897"/>
    <w:rsid w:val="5BDB5C7C"/>
    <w:rsid w:val="5BF50A44"/>
    <w:rsid w:val="5C272C70"/>
    <w:rsid w:val="5C295CCC"/>
    <w:rsid w:val="5C381A3A"/>
    <w:rsid w:val="5C5C135C"/>
    <w:rsid w:val="5C872DAA"/>
    <w:rsid w:val="5C920EF4"/>
    <w:rsid w:val="5C974816"/>
    <w:rsid w:val="5CA97228"/>
    <w:rsid w:val="5CBA57BD"/>
    <w:rsid w:val="5CC5471C"/>
    <w:rsid w:val="5CDC5386"/>
    <w:rsid w:val="5CEE7B85"/>
    <w:rsid w:val="5CF07506"/>
    <w:rsid w:val="5CF73D69"/>
    <w:rsid w:val="5CFF1E3E"/>
    <w:rsid w:val="5D202057"/>
    <w:rsid w:val="5D4700C2"/>
    <w:rsid w:val="5D487342"/>
    <w:rsid w:val="5D4D72B7"/>
    <w:rsid w:val="5D6C4615"/>
    <w:rsid w:val="5D79399F"/>
    <w:rsid w:val="5D7C5A81"/>
    <w:rsid w:val="5DD31E8F"/>
    <w:rsid w:val="5DD76917"/>
    <w:rsid w:val="5DDF2196"/>
    <w:rsid w:val="5DF01C4B"/>
    <w:rsid w:val="5DF704AE"/>
    <w:rsid w:val="5DF954B7"/>
    <w:rsid w:val="5DFF05CD"/>
    <w:rsid w:val="5E1672C2"/>
    <w:rsid w:val="5E1B6033"/>
    <w:rsid w:val="5E2612F9"/>
    <w:rsid w:val="5E534129"/>
    <w:rsid w:val="5E6028C0"/>
    <w:rsid w:val="5E6E3C24"/>
    <w:rsid w:val="5E7255BD"/>
    <w:rsid w:val="5E937CCC"/>
    <w:rsid w:val="5EC450EE"/>
    <w:rsid w:val="5ED03A93"/>
    <w:rsid w:val="5EF83794"/>
    <w:rsid w:val="5F0173CC"/>
    <w:rsid w:val="5F1A1A93"/>
    <w:rsid w:val="5F287F7E"/>
    <w:rsid w:val="5F475677"/>
    <w:rsid w:val="5F484198"/>
    <w:rsid w:val="5F50072F"/>
    <w:rsid w:val="5F567498"/>
    <w:rsid w:val="5F7D71F9"/>
    <w:rsid w:val="5F8420E2"/>
    <w:rsid w:val="5F862461"/>
    <w:rsid w:val="5F887220"/>
    <w:rsid w:val="5F9022AB"/>
    <w:rsid w:val="5FB81E56"/>
    <w:rsid w:val="5FD85FDC"/>
    <w:rsid w:val="5FEB78D3"/>
    <w:rsid w:val="5FEC00EE"/>
    <w:rsid w:val="600951D4"/>
    <w:rsid w:val="6010358A"/>
    <w:rsid w:val="60156960"/>
    <w:rsid w:val="601A25EF"/>
    <w:rsid w:val="60250EC1"/>
    <w:rsid w:val="603718EF"/>
    <w:rsid w:val="603E7832"/>
    <w:rsid w:val="60403103"/>
    <w:rsid w:val="6044067F"/>
    <w:rsid w:val="60793AF7"/>
    <w:rsid w:val="6099592B"/>
    <w:rsid w:val="60A13AB9"/>
    <w:rsid w:val="60A7744C"/>
    <w:rsid w:val="60B5798C"/>
    <w:rsid w:val="60C13530"/>
    <w:rsid w:val="60CF04AB"/>
    <w:rsid w:val="60DB5486"/>
    <w:rsid w:val="60E43825"/>
    <w:rsid w:val="60E82C1A"/>
    <w:rsid w:val="60EC0541"/>
    <w:rsid w:val="60FD245E"/>
    <w:rsid w:val="61033EA8"/>
    <w:rsid w:val="610A1613"/>
    <w:rsid w:val="610E0DD2"/>
    <w:rsid w:val="61157719"/>
    <w:rsid w:val="61251167"/>
    <w:rsid w:val="61432D9E"/>
    <w:rsid w:val="61683AEB"/>
    <w:rsid w:val="618A70BC"/>
    <w:rsid w:val="61963F6D"/>
    <w:rsid w:val="61BD1F9D"/>
    <w:rsid w:val="61C55405"/>
    <w:rsid w:val="61D218D0"/>
    <w:rsid w:val="61EA093B"/>
    <w:rsid w:val="62024DB4"/>
    <w:rsid w:val="62117D72"/>
    <w:rsid w:val="62140656"/>
    <w:rsid w:val="62210A89"/>
    <w:rsid w:val="62285DB7"/>
    <w:rsid w:val="626857C6"/>
    <w:rsid w:val="626C17E1"/>
    <w:rsid w:val="62923991"/>
    <w:rsid w:val="62966DA1"/>
    <w:rsid w:val="62F20D03"/>
    <w:rsid w:val="62F26EC0"/>
    <w:rsid w:val="62F75B83"/>
    <w:rsid w:val="63095375"/>
    <w:rsid w:val="63097573"/>
    <w:rsid w:val="630B17A3"/>
    <w:rsid w:val="630E6937"/>
    <w:rsid w:val="6312135F"/>
    <w:rsid w:val="632A3D0D"/>
    <w:rsid w:val="633443AB"/>
    <w:rsid w:val="6353750E"/>
    <w:rsid w:val="638857E1"/>
    <w:rsid w:val="639F3A33"/>
    <w:rsid w:val="63AB78F4"/>
    <w:rsid w:val="63C642C7"/>
    <w:rsid w:val="63C85688"/>
    <w:rsid w:val="63CD5666"/>
    <w:rsid w:val="63D01EF3"/>
    <w:rsid w:val="63D2038C"/>
    <w:rsid w:val="63E15DFA"/>
    <w:rsid w:val="63E631E1"/>
    <w:rsid w:val="63F66CE6"/>
    <w:rsid w:val="640E7E19"/>
    <w:rsid w:val="64227AB6"/>
    <w:rsid w:val="642C4C04"/>
    <w:rsid w:val="647527CB"/>
    <w:rsid w:val="648A0F84"/>
    <w:rsid w:val="648E4974"/>
    <w:rsid w:val="648F4377"/>
    <w:rsid w:val="64935AC5"/>
    <w:rsid w:val="64994927"/>
    <w:rsid w:val="649E65A7"/>
    <w:rsid w:val="64B70C4D"/>
    <w:rsid w:val="64D14920"/>
    <w:rsid w:val="64DC3A26"/>
    <w:rsid w:val="64E738E4"/>
    <w:rsid w:val="64EA382F"/>
    <w:rsid w:val="64ED3306"/>
    <w:rsid w:val="65112EA3"/>
    <w:rsid w:val="6511603A"/>
    <w:rsid w:val="65162422"/>
    <w:rsid w:val="65206DF6"/>
    <w:rsid w:val="652763A9"/>
    <w:rsid w:val="653B0F51"/>
    <w:rsid w:val="65434194"/>
    <w:rsid w:val="65434E76"/>
    <w:rsid w:val="65477730"/>
    <w:rsid w:val="654912E0"/>
    <w:rsid w:val="65623B1B"/>
    <w:rsid w:val="656A4332"/>
    <w:rsid w:val="65733372"/>
    <w:rsid w:val="65744876"/>
    <w:rsid w:val="657845AE"/>
    <w:rsid w:val="658D0170"/>
    <w:rsid w:val="65991D3E"/>
    <w:rsid w:val="659E280B"/>
    <w:rsid w:val="65B74A52"/>
    <w:rsid w:val="65BD55BD"/>
    <w:rsid w:val="65C53449"/>
    <w:rsid w:val="65F27286"/>
    <w:rsid w:val="6602655A"/>
    <w:rsid w:val="66037BA1"/>
    <w:rsid w:val="660D45C7"/>
    <w:rsid w:val="66280ABB"/>
    <w:rsid w:val="665C4848"/>
    <w:rsid w:val="666717B3"/>
    <w:rsid w:val="6668032B"/>
    <w:rsid w:val="66686F5C"/>
    <w:rsid w:val="667C4290"/>
    <w:rsid w:val="66AB481F"/>
    <w:rsid w:val="66C95898"/>
    <w:rsid w:val="66F8201A"/>
    <w:rsid w:val="671C5A04"/>
    <w:rsid w:val="673F01D2"/>
    <w:rsid w:val="676777C3"/>
    <w:rsid w:val="676A25AA"/>
    <w:rsid w:val="677D4B8A"/>
    <w:rsid w:val="67802ACE"/>
    <w:rsid w:val="67804B33"/>
    <w:rsid w:val="67C40A09"/>
    <w:rsid w:val="67D020A7"/>
    <w:rsid w:val="67D600B8"/>
    <w:rsid w:val="67D76FBF"/>
    <w:rsid w:val="67E4087E"/>
    <w:rsid w:val="67E95901"/>
    <w:rsid w:val="67EC2FBF"/>
    <w:rsid w:val="6821192D"/>
    <w:rsid w:val="68337E89"/>
    <w:rsid w:val="68337EE8"/>
    <w:rsid w:val="683A6C76"/>
    <w:rsid w:val="685C5B46"/>
    <w:rsid w:val="686F1486"/>
    <w:rsid w:val="688C0656"/>
    <w:rsid w:val="68AE1735"/>
    <w:rsid w:val="68B72950"/>
    <w:rsid w:val="68D60630"/>
    <w:rsid w:val="68F00432"/>
    <w:rsid w:val="68F8555D"/>
    <w:rsid w:val="691D712E"/>
    <w:rsid w:val="69205616"/>
    <w:rsid w:val="695D23C7"/>
    <w:rsid w:val="697C715B"/>
    <w:rsid w:val="697E7396"/>
    <w:rsid w:val="69A009FE"/>
    <w:rsid w:val="69A729C5"/>
    <w:rsid w:val="69BE2739"/>
    <w:rsid w:val="69BF206E"/>
    <w:rsid w:val="69D519C4"/>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CE7EB3"/>
    <w:rsid w:val="6AD34458"/>
    <w:rsid w:val="6ADC4801"/>
    <w:rsid w:val="6ADF25FC"/>
    <w:rsid w:val="6AF24B54"/>
    <w:rsid w:val="6B020CD0"/>
    <w:rsid w:val="6B1148AC"/>
    <w:rsid w:val="6B3E0351"/>
    <w:rsid w:val="6B42449D"/>
    <w:rsid w:val="6B451364"/>
    <w:rsid w:val="6B4A5562"/>
    <w:rsid w:val="6B565807"/>
    <w:rsid w:val="6B7A369F"/>
    <w:rsid w:val="6BAC2823"/>
    <w:rsid w:val="6BBC634D"/>
    <w:rsid w:val="6BBD5024"/>
    <w:rsid w:val="6BDB5825"/>
    <w:rsid w:val="6BF37DF1"/>
    <w:rsid w:val="6C07486C"/>
    <w:rsid w:val="6C0905E4"/>
    <w:rsid w:val="6C630CE9"/>
    <w:rsid w:val="6C914CAA"/>
    <w:rsid w:val="6CB57E24"/>
    <w:rsid w:val="6CCC3665"/>
    <w:rsid w:val="6CD60113"/>
    <w:rsid w:val="6CE32BE3"/>
    <w:rsid w:val="6CEC0F34"/>
    <w:rsid w:val="6CF73CA4"/>
    <w:rsid w:val="6CFC1EF7"/>
    <w:rsid w:val="6D005FF7"/>
    <w:rsid w:val="6D021C57"/>
    <w:rsid w:val="6D05105B"/>
    <w:rsid w:val="6D207FCD"/>
    <w:rsid w:val="6D280C36"/>
    <w:rsid w:val="6D286C4C"/>
    <w:rsid w:val="6D2B5B01"/>
    <w:rsid w:val="6D36363D"/>
    <w:rsid w:val="6D381497"/>
    <w:rsid w:val="6D6A2DB3"/>
    <w:rsid w:val="6D6A69AA"/>
    <w:rsid w:val="6D79127B"/>
    <w:rsid w:val="6D832281"/>
    <w:rsid w:val="6DBE5BA3"/>
    <w:rsid w:val="6DC237AE"/>
    <w:rsid w:val="6DF46C32"/>
    <w:rsid w:val="6DF91502"/>
    <w:rsid w:val="6E01482E"/>
    <w:rsid w:val="6E0D1941"/>
    <w:rsid w:val="6E18292B"/>
    <w:rsid w:val="6E2E60E0"/>
    <w:rsid w:val="6E402C35"/>
    <w:rsid w:val="6E403BCF"/>
    <w:rsid w:val="6E424CF7"/>
    <w:rsid w:val="6E96703D"/>
    <w:rsid w:val="6E984122"/>
    <w:rsid w:val="6EC15C51"/>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31548"/>
    <w:rsid w:val="70262445"/>
    <w:rsid w:val="70334A73"/>
    <w:rsid w:val="706D65A0"/>
    <w:rsid w:val="70796EB7"/>
    <w:rsid w:val="70846EFD"/>
    <w:rsid w:val="70891E2B"/>
    <w:rsid w:val="709304FC"/>
    <w:rsid w:val="709509D2"/>
    <w:rsid w:val="70B21D55"/>
    <w:rsid w:val="70BA4068"/>
    <w:rsid w:val="70DB513F"/>
    <w:rsid w:val="70EF1D98"/>
    <w:rsid w:val="70F06D61"/>
    <w:rsid w:val="70F36F46"/>
    <w:rsid w:val="710650F2"/>
    <w:rsid w:val="711C66C3"/>
    <w:rsid w:val="71231B23"/>
    <w:rsid w:val="713B214A"/>
    <w:rsid w:val="714633CE"/>
    <w:rsid w:val="71496F8A"/>
    <w:rsid w:val="714A76D4"/>
    <w:rsid w:val="716342F2"/>
    <w:rsid w:val="718621EE"/>
    <w:rsid w:val="71894FD2"/>
    <w:rsid w:val="71A3311F"/>
    <w:rsid w:val="71AA4E1C"/>
    <w:rsid w:val="71B55135"/>
    <w:rsid w:val="71C1726B"/>
    <w:rsid w:val="72005730"/>
    <w:rsid w:val="72280301"/>
    <w:rsid w:val="7231753D"/>
    <w:rsid w:val="72386C6E"/>
    <w:rsid w:val="723A3057"/>
    <w:rsid w:val="72400885"/>
    <w:rsid w:val="724B6026"/>
    <w:rsid w:val="725273EA"/>
    <w:rsid w:val="725B1897"/>
    <w:rsid w:val="72603689"/>
    <w:rsid w:val="726C47BC"/>
    <w:rsid w:val="727B566C"/>
    <w:rsid w:val="728E7595"/>
    <w:rsid w:val="72CD2240"/>
    <w:rsid w:val="72DC19E2"/>
    <w:rsid w:val="72EC4E12"/>
    <w:rsid w:val="73373DED"/>
    <w:rsid w:val="73391B68"/>
    <w:rsid w:val="733F7A24"/>
    <w:rsid w:val="735C44F0"/>
    <w:rsid w:val="736A01CD"/>
    <w:rsid w:val="736B4D35"/>
    <w:rsid w:val="73741988"/>
    <w:rsid w:val="737D0F13"/>
    <w:rsid w:val="73814929"/>
    <w:rsid w:val="7393399F"/>
    <w:rsid w:val="739764D5"/>
    <w:rsid w:val="73984022"/>
    <w:rsid w:val="73C11347"/>
    <w:rsid w:val="73E159A2"/>
    <w:rsid w:val="73E2421D"/>
    <w:rsid w:val="74000D97"/>
    <w:rsid w:val="74185CCF"/>
    <w:rsid w:val="741D2E7E"/>
    <w:rsid w:val="74563F0C"/>
    <w:rsid w:val="74694C3B"/>
    <w:rsid w:val="746A6AAD"/>
    <w:rsid w:val="747A4FBC"/>
    <w:rsid w:val="748B466B"/>
    <w:rsid w:val="749018A2"/>
    <w:rsid w:val="74B84955"/>
    <w:rsid w:val="74D94903"/>
    <w:rsid w:val="74DC7834"/>
    <w:rsid w:val="74E271F1"/>
    <w:rsid w:val="750556C0"/>
    <w:rsid w:val="75096F5F"/>
    <w:rsid w:val="75326EC3"/>
    <w:rsid w:val="75371D1E"/>
    <w:rsid w:val="75474A77"/>
    <w:rsid w:val="7551327B"/>
    <w:rsid w:val="755F3E02"/>
    <w:rsid w:val="755F782E"/>
    <w:rsid w:val="75A16A9F"/>
    <w:rsid w:val="75BC6CCF"/>
    <w:rsid w:val="75DA08FB"/>
    <w:rsid w:val="75E27D49"/>
    <w:rsid w:val="761867BE"/>
    <w:rsid w:val="76236746"/>
    <w:rsid w:val="763149BF"/>
    <w:rsid w:val="76365AD0"/>
    <w:rsid w:val="765D57EA"/>
    <w:rsid w:val="7688585F"/>
    <w:rsid w:val="76AF1D88"/>
    <w:rsid w:val="76E97048"/>
    <w:rsid w:val="76F54CF0"/>
    <w:rsid w:val="76FD5906"/>
    <w:rsid w:val="77072866"/>
    <w:rsid w:val="770B684E"/>
    <w:rsid w:val="771D50F3"/>
    <w:rsid w:val="77204CB1"/>
    <w:rsid w:val="77356662"/>
    <w:rsid w:val="777C1603"/>
    <w:rsid w:val="77A14CDE"/>
    <w:rsid w:val="77AA2F7D"/>
    <w:rsid w:val="77C96BD3"/>
    <w:rsid w:val="77F02658"/>
    <w:rsid w:val="780221AD"/>
    <w:rsid w:val="78266CE5"/>
    <w:rsid w:val="7827421F"/>
    <w:rsid w:val="782B4A23"/>
    <w:rsid w:val="78302F8F"/>
    <w:rsid w:val="783B3DB6"/>
    <w:rsid w:val="784117AB"/>
    <w:rsid w:val="78510397"/>
    <w:rsid w:val="78552936"/>
    <w:rsid w:val="78731F0E"/>
    <w:rsid w:val="78754CBA"/>
    <w:rsid w:val="78962FA5"/>
    <w:rsid w:val="789A0E02"/>
    <w:rsid w:val="78B611AB"/>
    <w:rsid w:val="78C148AC"/>
    <w:rsid w:val="78CA1FEE"/>
    <w:rsid w:val="78CB3FEB"/>
    <w:rsid w:val="78CF4963"/>
    <w:rsid w:val="793B5CE2"/>
    <w:rsid w:val="79404E92"/>
    <w:rsid w:val="795C411F"/>
    <w:rsid w:val="796834B3"/>
    <w:rsid w:val="796D0618"/>
    <w:rsid w:val="797B3C8A"/>
    <w:rsid w:val="797F45FC"/>
    <w:rsid w:val="79970647"/>
    <w:rsid w:val="79D9682C"/>
    <w:rsid w:val="79DB75C0"/>
    <w:rsid w:val="79E37881"/>
    <w:rsid w:val="79E4486C"/>
    <w:rsid w:val="79EA2E0E"/>
    <w:rsid w:val="79ED08FA"/>
    <w:rsid w:val="79ED6E4F"/>
    <w:rsid w:val="7A067AFA"/>
    <w:rsid w:val="7A0C585A"/>
    <w:rsid w:val="7A2C7450"/>
    <w:rsid w:val="7A326B5A"/>
    <w:rsid w:val="7A553725"/>
    <w:rsid w:val="7A616D0A"/>
    <w:rsid w:val="7A707A80"/>
    <w:rsid w:val="7A7F2C76"/>
    <w:rsid w:val="7AAC462A"/>
    <w:rsid w:val="7AC5756B"/>
    <w:rsid w:val="7ACB6C20"/>
    <w:rsid w:val="7AF84FA0"/>
    <w:rsid w:val="7AF909C6"/>
    <w:rsid w:val="7B305E10"/>
    <w:rsid w:val="7B3E7693"/>
    <w:rsid w:val="7B564EC8"/>
    <w:rsid w:val="7B6273C9"/>
    <w:rsid w:val="7B6F1BD0"/>
    <w:rsid w:val="7B732126"/>
    <w:rsid w:val="7B755C15"/>
    <w:rsid w:val="7B7B20CE"/>
    <w:rsid w:val="7B8E1216"/>
    <w:rsid w:val="7B9A1345"/>
    <w:rsid w:val="7BBB7E74"/>
    <w:rsid w:val="7BCA6C86"/>
    <w:rsid w:val="7C003703"/>
    <w:rsid w:val="7C044DA1"/>
    <w:rsid w:val="7C1032C9"/>
    <w:rsid w:val="7C176405"/>
    <w:rsid w:val="7C25541E"/>
    <w:rsid w:val="7C30406C"/>
    <w:rsid w:val="7C365DE1"/>
    <w:rsid w:val="7CA33449"/>
    <w:rsid w:val="7CCE4D69"/>
    <w:rsid w:val="7D0A0BA4"/>
    <w:rsid w:val="7D107AF3"/>
    <w:rsid w:val="7D4253C7"/>
    <w:rsid w:val="7D4C5341"/>
    <w:rsid w:val="7D4E5EE6"/>
    <w:rsid w:val="7D8901AD"/>
    <w:rsid w:val="7D8A150E"/>
    <w:rsid w:val="7D8E577D"/>
    <w:rsid w:val="7D9A426A"/>
    <w:rsid w:val="7DCB394B"/>
    <w:rsid w:val="7DF509C8"/>
    <w:rsid w:val="7E006F08"/>
    <w:rsid w:val="7E01736D"/>
    <w:rsid w:val="7E333E03"/>
    <w:rsid w:val="7E391FE6"/>
    <w:rsid w:val="7E3F3803"/>
    <w:rsid w:val="7E916762"/>
    <w:rsid w:val="7EA916FD"/>
    <w:rsid w:val="7EAB552B"/>
    <w:rsid w:val="7EBD37FA"/>
    <w:rsid w:val="7EE53C64"/>
    <w:rsid w:val="7F403EC5"/>
    <w:rsid w:val="7F541580"/>
    <w:rsid w:val="7F5444E7"/>
    <w:rsid w:val="7F590594"/>
    <w:rsid w:val="7F667225"/>
    <w:rsid w:val="7F7B2EF8"/>
    <w:rsid w:val="7F844A6E"/>
    <w:rsid w:val="7F8660CC"/>
    <w:rsid w:val="7FAA1C29"/>
    <w:rsid w:val="7FAC4830"/>
    <w:rsid w:val="7FB659E5"/>
    <w:rsid w:val="7FB7407D"/>
    <w:rsid w:val="7FBD3767"/>
    <w:rsid w:val="7FC22B2C"/>
    <w:rsid w:val="7FE42AA2"/>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1"/>
    <w:autoRedefine/>
    <w:qFormat/>
    <w:uiPriority w:val="0"/>
    <w:pPr>
      <w:widowControl/>
      <w:ind w:firstLine="420"/>
      <w:jc w:val="left"/>
    </w:pPr>
    <w:rPr>
      <w:rFonts w:ascii="Calibri" w:hAnsi="Calibri" w:eastAsia="宋体" w:cs="Times New Roman"/>
    </w:r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autoRedefine/>
    <w:qFormat/>
    <w:uiPriority w:val="0"/>
    <w:pPr>
      <w:spacing w:after="120" w:afterLines="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autoRedefine/>
    <w:qFormat/>
    <w:uiPriority w:val="0"/>
    <w:pPr>
      <w:ind w:firstLine="420" w:firstLineChars="100"/>
    </w:p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paragraph" w:customStyle="1" w:styleId="20">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2">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autoRedefine/>
    <w:qFormat/>
    <w:uiPriority w:val="34"/>
    <w:pPr>
      <w:ind w:firstLine="420" w:firstLineChars="200"/>
    </w:pPr>
  </w:style>
  <w:style w:type="character" w:customStyle="1" w:styleId="24">
    <w:name w:val="font11"/>
    <w:basedOn w:val="18"/>
    <w:autoRedefine/>
    <w:qFormat/>
    <w:uiPriority w:val="0"/>
    <w:rPr>
      <w:rFonts w:ascii="Calibri" w:hAnsi="Calibri" w:cs="Calibri"/>
      <w:color w:val="000000"/>
      <w:sz w:val="21"/>
      <w:szCs w:val="21"/>
      <w:u w:val="none"/>
    </w:rPr>
  </w:style>
  <w:style w:type="character" w:customStyle="1" w:styleId="25">
    <w:name w:val="font21"/>
    <w:basedOn w:val="18"/>
    <w:autoRedefine/>
    <w:qFormat/>
    <w:uiPriority w:val="0"/>
    <w:rPr>
      <w:rFonts w:hint="eastAsia" w:ascii="宋体" w:hAnsi="宋体" w:eastAsia="宋体" w:cs="宋体"/>
      <w:color w:val="000000"/>
      <w:sz w:val="21"/>
      <w:szCs w:val="21"/>
      <w:u w:val="none"/>
    </w:rPr>
  </w:style>
  <w:style w:type="character" w:customStyle="1" w:styleId="26">
    <w:name w:val="font01"/>
    <w:basedOn w:val="18"/>
    <w:autoRedefine/>
    <w:qFormat/>
    <w:uiPriority w:val="0"/>
    <w:rPr>
      <w:rFonts w:ascii="Calibri" w:hAnsi="Calibri" w:cs="Calibri"/>
      <w:color w:val="000000"/>
      <w:sz w:val="21"/>
      <w:szCs w:val="21"/>
      <w:u w:val="none"/>
    </w:rPr>
  </w:style>
  <w:style w:type="character" w:customStyle="1" w:styleId="27">
    <w:name w:val="font31"/>
    <w:basedOn w:val="18"/>
    <w:autoRedefine/>
    <w:qFormat/>
    <w:uiPriority w:val="0"/>
    <w:rPr>
      <w:rFonts w:hint="default" w:ascii="Calibri" w:hAnsi="Calibri" w:cs="Calibri"/>
      <w:color w:val="000000"/>
      <w:sz w:val="21"/>
      <w:szCs w:val="21"/>
      <w:u w:val="none"/>
    </w:rPr>
  </w:style>
  <w:style w:type="paragraph" w:customStyle="1" w:styleId="28">
    <w:name w:val="Table Paragraph"/>
    <w:basedOn w:val="1"/>
    <w:autoRedefine/>
    <w:qFormat/>
    <w:uiPriority w:val="1"/>
    <w:rPr>
      <w:rFonts w:ascii="宋体" w:hAnsi="宋体" w:eastAsia="宋体" w:cs="宋体"/>
    </w:rPr>
  </w:style>
  <w:style w:type="paragraph" w:customStyle="1" w:styleId="29">
    <w:name w:val="表格内字体字号"/>
    <w:basedOn w:val="1"/>
    <w:autoRedefine/>
    <w:qFormat/>
    <w:uiPriority w:val="0"/>
    <w:pPr>
      <w:topLinePunct/>
      <w:snapToGrid w:val="0"/>
      <w:spacing w:beforeLines="20" w:afterLines="20" w:line="360" w:lineRule="auto"/>
      <w:ind w:left="30" w:leftChars="30" w:right="30" w:rightChars="30"/>
      <w:jc w:val="center"/>
    </w:pPr>
    <w:rPr>
      <w:rFonts w:ascii="宋体" w:hAnsi="宋体" w:eastAsia="宋体" w:cs="宋体"/>
      <w:sz w:val="18"/>
      <w:szCs w:val="18"/>
    </w:rPr>
  </w:style>
  <w:style w:type="character" w:customStyle="1" w:styleId="30">
    <w:name w:val="数字EU Char"/>
    <w:link w:val="31"/>
    <w:autoRedefine/>
    <w:qFormat/>
    <w:uiPriority w:val="0"/>
    <w:rPr>
      <w:rFonts w:ascii="EU-F1" w:hAnsi="Times New Roman" w:eastAsia="宋体" w:cs="Times New Roman"/>
      <w:kern w:val="21"/>
      <w:sz w:val="20"/>
      <w:szCs w:val="21"/>
    </w:rPr>
  </w:style>
  <w:style w:type="paragraph" w:customStyle="1" w:styleId="31">
    <w:name w:val="数字EU"/>
    <w:basedOn w:val="1"/>
    <w:link w:val="30"/>
    <w:autoRedefine/>
    <w:qFormat/>
    <w:uiPriority w:val="0"/>
    <w:pPr>
      <w:widowControl/>
      <w:wordWrap w:val="0"/>
      <w:overflowPunct w:val="0"/>
      <w:topLinePunct/>
      <w:jc w:val="left"/>
    </w:pPr>
    <w:rPr>
      <w:rFonts w:ascii="EU-F1" w:hAnsi="Times New Roman" w:eastAsia="宋体" w:cs="Times New Roman"/>
      <w:kern w:val="21"/>
      <w:sz w:val="20"/>
      <w:szCs w:val="21"/>
    </w:rPr>
  </w:style>
  <w:style w:type="paragraph" w:customStyle="1" w:styleId="32">
    <w:name w:val="正文表标题"/>
    <w:next w:val="1"/>
    <w:autoRedefine/>
    <w:qFormat/>
    <w:uiPriority w:val="0"/>
    <w:pPr>
      <w:spacing w:before="156" w:beforeLines="50" w:after="156" w:afterLines="50"/>
      <w:jc w:val="center"/>
    </w:pPr>
    <w:rPr>
      <w:rFonts w:ascii="黑体" w:hAnsi="Times New Roman" w:eastAsia="黑体" w:cs="Times New Roman"/>
      <w:sz w:val="21"/>
      <w:lang w:val="en-US" w:eastAsia="zh-CN" w:bidi="ar-SA"/>
    </w:rPr>
  </w:style>
  <w:style w:type="paragraph" w:customStyle="1" w:styleId="33">
    <w:name w:val="black1"/>
    <w:basedOn w:val="1"/>
    <w:autoRedefine/>
    <w:qFormat/>
    <w:uiPriority w:val="0"/>
    <w:pPr>
      <w:widowControl/>
      <w:spacing w:before="100" w:beforeAutospacing="1" w:after="100" w:afterAutospacing="1"/>
      <w:jc w:val="left"/>
    </w:pPr>
    <w:rPr>
      <w:rFonts w:ascii="宋体" w:hAnsi="宋体" w:eastAsia="宋体"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95</Pages>
  <Words>50000</Words>
  <Characters>55288</Characters>
  <Lines>0</Lines>
  <Paragraphs>0</Paragraphs>
  <TotalTime>9</TotalTime>
  <ScaleCrop>false</ScaleCrop>
  <LinksUpToDate>false</LinksUpToDate>
  <CharactersWithSpaces>57553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2024-02-07T03:02:51Z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349D41154D4545099115DE68E8026BBB</vt:lpwstr>
  </property>
</Properties>
</file>