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permStart w:id="0" w:edGrp="everyone"/>
      <w:r>
        <w:rPr>
          <w:rFonts w:hint="eastAsia" w:ascii="Times New Roman" w:hAnsi="Times New Roman" w:eastAsia="黑体" w:cs="Times New Roman"/>
          <w:kern w:val="0"/>
          <w:sz w:val="32"/>
          <w:szCs w:val="32"/>
          <w:highlight w:val="none"/>
          <w:u w:val="none"/>
          <w:shd w:val="clear" w:color="auto" w:fill="auto"/>
          <w:lang w:val="en-US" w:eastAsia="zh-CN"/>
        </w:rPr>
        <w:t>利辛县煤电产业园区基础设施建设一期工程（第四标段）</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交通工程及城市照明工程专业分包</w:t>
      </w:r>
      <w:permEnd w:id="0"/>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BZJK-2024- 006号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highlight w:val="none"/>
          <w:shd w:val="clear" w:color="auto" w:fill="auto"/>
          <w:lang w:val="en-US" w:eastAsia="zh-CN"/>
        </w:rPr>
        <w:t xml:space="preserve"> 安徽通康建设工程有限公司   </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2024年 1</w:t>
      </w:r>
      <w:r>
        <w:rPr>
          <w:rFonts w:hint="eastAsia" w:ascii="Times New Roman" w:hAnsi="Times New Roman" w:eastAsia="楷体" w:cs="Times New Roman"/>
          <w:kern w:val="0"/>
          <w:sz w:val="32"/>
          <w:szCs w:val="32"/>
          <w:highlight w:val="none"/>
          <w:u w:val="none"/>
          <w:shd w:val="clear" w:color="auto" w:fill="auto"/>
          <w:lang w:val="en-US" w:eastAsia="zh-CN"/>
        </w:rPr>
        <w:t>月29日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permStart w:id="4" w:edGrp="everyone"/>
      <w:r>
        <w:rPr>
          <w:rFonts w:hint="eastAsia" w:ascii="Times New Roman" w:hAnsi="Times New Roman" w:eastAsia="黑体" w:cs="Times New Roman"/>
          <w:sz w:val="28"/>
          <w:szCs w:val="28"/>
          <w:highlight w:val="none"/>
          <w:u w:val="none"/>
          <w:lang w:val="en-US" w:eastAsia="zh-CN"/>
        </w:rPr>
        <w:t>利辛县煤电产业园区基础设施建设一期工程（第四标段）交通工程及城市照明工程专业分包</w:t>
      </w:r>
      <w:permEnd w:id="4"/>
      <w:r>
        <w:rPr>
          <w:rFonts w:hint="eastAsia" w:ascii="Times New Roman" w:hAnsi="Times New Roman" w:eastAsia="黑体" w:cs="Times New Roman"/>
          <w:sz w:val="28"/>
          <w:szCs w:val="28"/>
          <w:highlight w:val="none"/>
          <w:u w:val="none"/>
          <w:lang w:val="en-US" w:eastAsia="zh-CN"/>
        </w:rPr>
        <w:t>施工招标</w:t>
      </w:r>
      <w:r>
        <w:rPr>
          <w:rFonts w:hint="eastAsia" w:ascii="Times New Roman" w:hAnsi="Times New Roman" w:eastAsia="黑体" w:cs="Times New Roman"/>
          <w:sz w:val="28"/>
          <w:szCs w:val="28"/>
          <w:highlight w:val="none"/>
          <w:lang w:val="en-US" w:eastAsia="zh-CN"/>
        </w:rPr>
        <w:t>招标公告</w:t>
      </w:r>
      <w:bookmarkStart w:id="0" w:name="_Toc152042295"/>
      <w:bookmarkStart w:id="1" w:name="_Toc179632536"/>
      <w:bookmarkStart w:id="2" w:name="_Toc246996909"/>
      <w:bookmarkStart w:id="3" w:name="_Toc144974487"/>
      <w:bookmarkStart w:id="4" w:name="_Toc152045519"/>
      <w:bookmarkStart w:id="5" w:name="_Toc247085680"/>
      <w:bookmarkStart w:id="6" w:name="_Toc246996166"/>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246996167"/>
      <w:bookmarkStart w:id="10" w:name="_Toc152042296"/>
      <w:bookmarkStart w:id="11" w:name="_Toc296602411"/>
      <w:bookmarkStart w:id="12" w:name="_Toc144974488"/>
      <w:bookmarkStart w:id="13" w:name="_Toc152045520"/>
      <w:bookmarkStart w:id="14" w:name="_Toc179632537"/>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imes New Roman" w:hAnsi="Times New Roman" w:cs="Times New Roman"/>
          <w:kern w:val="0"/>
          <w:sz w:val="28"/>
          <w:szCs w:val="28"/>
          <w:lang w:val="en-US" w:eastAsia="zh-CN"/>
        </w:rPr>
        <w:t>利辛县煤电产业园区基础设施建设一期工程（第四标段）交通工程及城市照明工程专业分包</w:t>
      </w:r>
      <w:r>
        <w:rPr>
          <w:rFonts w:hint="eastAsia" w:asciiTheme="minorEastAsia" w:hAnsiTheme="minorEastAsia" w:eastAsiaTheme="minorEastAsia" w:cstheme="minorEastAsia"/>
          <w:sz w:val="28"/>
          <w:szCs w:val="28"/>
          <w:highlight w:val="none"/>
          <w:lang w:val="en-US" w:eastAsia="zh-CN"/>
        </w:rPr>
        <w:t xml:space="preserve">   </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imes New Roman" w:hAnsi="Times New Roman" w:eastAsia="楷体" w:cs="Times New Roman"/>
          <w:kern w:val="0"/>
          <w:sz w:val="28"/>
          <w:szCs w:val="28"/>
          <w:highlight w:val="none"/>
          <w:shd w:val="clear" w:color="auto" w:fill="auto"/>
          <w:lang w:val="en-US" w:eastAsia="zh-CN"/>
        </w:rPr>
        <w:t>BZJK-2024- 006号</w:t>
      </w:r>
      <w:r>
        <w:rPr>
          <w:rFonts w:hint="eastAsia" w:asciiTheme="minorEastAsia" w:hAnsiTheme="minorEastAsia" w:eastAsiaTheme="minorEastAsia" w:cstheme="minorEastAsia"/>
          <w:sz w:val="28"/>
          <w:szCs w:val="28"/>
          <w:highlight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imes New Roman" w:hAnsi="Times New Roman" w:cs="Times New Roman"/>
          <w:kern w:val="0"/>
          <w:sz w:val="28"/>
          <w:szCs w:val="28"/>
          <w:lang w:val="en-US" w:eastAsia="zh-CN"/>
        </w:rPr>
        <w:t xml:space="preserve">企业自筹 </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cstheme="minorEastAsia"/>
          <w:sz w:val="28"/>
          <w:szCs w:val="28"/>
          <w:highlight w:val="none"/>
          <w:lang w:val="en-US" w:eastAsia="zh-CN"/>
        </w:rPr>
        <w:t>安徽通康建设工程有限公司</w:t>
      </w:r>
      <w:r>
        <w:rPr>
          <w:rFonts w:hint="eastAsia" w:asciiTheme="minorEastAsia" w:hAnsiTheme="minorEastAsia" w:eastAsiaTheme="minorEastAsia" w:cstheme="minorEastAsia"/>
          <w:sz w:val="28"/>
          <w:szCs w:val="28"/>
          <w:highlight w:val="none"/>
          <w:lang w:val="en-US" w:eastAsia="zh-CN"/>
        </w:rPr>
        <w:t xml:space="preserve">  </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利辛县煤电产业园区基础设施建设一期（第四标段）施工位于亳州市利辛县板集煤电产业园内，道路总长2026.262m，利辛县煤电产业园区基础设施建设一期工程（第四标段）交通工程及城市照明工程专业分包工程。</w:t>
      </w:r>
    </w:p>
    <w:p>
      <w:pPr>
        <w:spacing w:line="52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（二）招标范围：包含但不限于交通标识、监控设备、照明路灯等施工，具体详见图纸和工程量清单。投标人一旦中标，必须负责承包范围内所有工程的施工、验收、</w:t>
      </w:r>
      <w:r>
        <w:rPr>
          <w:rFonts w:hint="eastAsia" w:asciiTheme="minorEastAsia" w:hAnsiTheme="minorEastAsia" w:cstheme="minorEastAsia"/>
          <w:sz w:val="28"/>
          <w:szCs w:val="28"/>
          <w:highlight w:val="none"/>
          <w:lang w:val="en-US" w:eastAsia="zh-CN"/>
        </w:rPr>
        <w:t>结算</w:t>
      </w:r>
      <w:r>
        <w:rPr>
          <w:rFonts w:hint="eastAsia" w:asciiTheme="minorEastAsia" w:hAnsiTheme="minorEastAsia" w:eastAsiaTheme="minorEastAsia" w:cstheme="minorEastAsia"/>
          <w:sz w:val="28"/>
          <w:szCs w:val="28"/>
          <w:highlight w:val="none"/>
          <w:lang w:val="en-US" w:eastAsia="zh-CN"/>
        </w:rPr>
        <w:t>、保修等全部实施过程，同时也负责所在施工区域的文明施工及安全保护措施。另外，负责所承包范围内的竣工后的审计</w:t>
      </w:r>
      <w:r>
        <w:rPr>
          <w:rFonts w:hint="eastAsia" w:asciiTheme="minorEastAsia" w:hAnsiTheme="minorEastAsia" w:cstheme="minorEastAsia"/>
          <w:sz w:val="28"/>
          <w:szCs w:val="28"/>
          <w:highlight w:val="none"/>
          <w:lang w:val="en-US" w:eastAsia="zh-CN"/>
        </w:rPr>
        <w:t>结算</w:t>
      </w:r>
      <w:r>
        <w:rPr>
          <w:rFonts w:hint="eastAsia" w:asciiTheme="minorEastAsia" w:hAnsiTheme="minorEastAsia" w:eastAsiaTheme="minorEastAsia" w:cstheme="minorEastAsia"/>
          <w:sz w:val="28"/>
          <w:szCs w:val="28"/>
          <w:highlight w:val="none"/>
          <w:lang w:val="en-US" w:eastAsia="zh-CN"/>
        </w:rPr>
        <w:t>工作（包括与建设单位的</w:t>
      </w:r>
      <w:r>
        <w:rPr>
          <w:rFonts w:hint="eastAsia" w:asciiTheme="minorEastAsia" w:hAnsiTheme="minorEastAsia" w:cstheme="minorEastAsia"/>
          <w:sz w:val="28"/>
          <w:szCs w:val="28"/>
          <w:highlight w:val="none"/>
          <w:lang w:val="en-US" w:eastAsia="zh-CN"/>
        </w:rPr>
        <w:t>结算</w:t>
      </w:r>
      <w:r>
        <w:rPr>
          <w:rFonts w:hint="eastAsia" w:asciiTheme="minorEastAsia" w:hAnsiTheme="minorEastAsia" w:eastAsiaTheme="minorEastAsia" w:cstheme="minorEastAsia"/>
          <w:sz w:val="28"/>
          <w:szCs w:val="28"/>
          <w:highlight w:val="none"/>
          <w:lang w:val="en-US" w:eastAsia="zh-CN"/>
        </w:rPr>
        <w:t>对接工作）</w:t>
      </w:r>
      <w:r>
        <w:rPr>
          <w:rFonts w:hint="eastAsia" w:asciiTheme="minorEastAsia" w:hAnsiTheme="minorEastAsia" w:cstheme="minorEastAsia"/>
          <w:sz w:val="28"/>
          <w:szCs w:val="28"/>
          <w:highlight w:val="none"/>
          <w:lang w:val="en-US" w:eastAsia="zh-CN"/>
        </w:rPr>
        <w:t>。</w:t>
      </w:r>
    </w:p>
    <w:p>
      <w:pPr>
        <w:spacing w:line="52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9" w:edGrp="everyone"/>
      <w:r>
        <w:rPr>
          <w:rFonts w:hint="eastAsia" w:asciiTheme="minorEastAsia" w:hAnsiTheme="minorEastAsia" w:cstheme="minorEastAsia"/>
          <w:sz w:val="28"/>
          <w:szCs w:val="28"/>
        </w:rPr>
        <w:t>符合国家、地方、行业现行相关规范合格标准。</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0" w:edGrp="everyone"/>
      <w:r>
        <w:rPr>
          <w:rFonts w:hint="eastAsia" w:asciiTheme="minorEastAsia" w:hAnsiTheme="minorEastAsia" w:cstheme="minorEastAsia"/>
          <w:sz w:val="28"/>
          <w:szCs w:val="28"/>
          <w:highlight w:val="none"/>
          <w:lang w:val="en-US" w:eastAsia="zh-CN"/>
        </w:rPr>
        <w:t>自合同签订之日起</w:t>
      </w:r>
      <w:r>
        <w:rPr>
          <w:rFonts w:hint="eastAsia" w:asciiTheme="minorEastAsia" w:hAnsiTheme="minorEastAsia" w:eastAsiaTheme="minorEastAsia" w:cstheme="minorEastAsia"/>
          <w:sz w:val="28"/>
          <w:szCs w:val="28"/>
          <w:highlight w:val="none"/>
          <w:u w:val="single"/>
          <w:lang w:val="en-US" w:eastAsia="zh-CN"/>
        </w:rPr>
        <w:t xml:space="preserve"> 365</w:t>
      </w:r>
      <w:r>
        <w:rPr>
          <w:rFonts w:hint="eastAsia" w:asciiTheme="minorEastAsia" w:hAnsiTheme="minorEastAsia" w:eastAsiaTheme="minorEastAsia" w:cstheme="minorEastAsia"/>
          <w:sz w:val="28"/>
          <w:szCs w:val="28"/>
          <w:highlight w:val="none"/>
          <w:lang w:val="en-US" w:eastAsia="zh-CN"/>
        </w:rPr>
        <w:t>日历天。</w:t>
      </w:r>
      <w:permEnd w:id="10"/>
    </w:p>
    <w:p>
      <w:pPr>
        <w:spacing w:line="52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1" w:edGrp="everyone"/>
      <w:r>
        <w:rPr>
          <w:rFonts w:hint="eastAsia" w:asciiTheme="minorEastAsia" w:hAnsiTheme="minorEastAsia" w:cstheme="minorEastAsia"/>
          <w:color w:val="auto"/>
          <w:sz w:val="28"/>
          <w:szCs w:val="28"/>
          <w:highlight w:val="none"/>
          <w:lang w:val="en-US" w:eastAsia="zh-CN"/>
        </w:rPr>
        <w:t>（含税：9 % ）</w:t>
      </w:r>
      <w:permEnd w:id="11"/>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single"/>
        </w:rPr>
        <w:t>3127146.33元</w:t>
      </w:r>
      <w:r>
        <w:rPr>
          <w:rFonts w:hint="eastAsia" w:asciiTheme="minorEastAsia" w:hAnsiTheme="minorEastAsia" w:eastAsiaTheme="minorEastAsia" w:cstheme="minorEastAsia"/>
          <w:sz w:val="28"/>
          <w:szCs w:val="28"/>
          <w:highlight w:val="none"/>
          <w:u w:val="none"/>
          <w:lang w:val="en-US" w:eastAsia="zh-CN"/>
        </w:rPr>
        <w:t xml:space="preserve"> </w:t>
      </w:r>
      <w:permEnd w:id="12"/>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3" w:edGrp="everyone"/>
      <w:r>
        <w:rPr>
          <w:rFonts w:hint="eastAsia" w:asciiTheme="minorEastAsia" w:hAnsiTheme="minorEastAsia" w:cstheme="minorEastAsia"/>
          <w:color w:val="FF0000"/>
          <w:sz w:val="28"/>
          <w:szCs w:val="28"/>
          <w:highlight w:val="none"/>
          <w:u w:val="single"/>
          <w:lang w:val="en-US" w:eastAsia="zh-CN"/>
        </w:rPr>
        <w:t>固定总价</w:t>
      </w:r>
      <w:permEnd w:id="13"/>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u w:val="single"/>
          <w:lang w:val="en-US" w:eastAsia="zh-CN"/>
        </w:rPr>
        <w:t>城市及道路照明工程专业承包三级及以上</w:t>
      </w:r>
      <w:r>
        <w:rPr>
          <w:rFonts w:hint="eastAsia" w:asciiTheme="minorEastAsia" w:hAnsiTheme="minorEastAsia" w:cstheme="minorEastAsia"/>
          <w:sz w:val="28"/>
          <w:szCs w:val="28"/>
          <w:highlight w:val="none"/>
          <w:u w:val="single"/>
          <w:lang w:val="en-US" w:eastAsia="zh-CN"/>
        </w:rPr>
        <w:t xml:space="preserve"> </w:t>
      </w:r>
      <w:permEnd w:id="15"/>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，具有有效的安全生产许可证；</w:t>
      </w:r>
    </w:p>
    <w:p>
      <w:pPr>
        <w:spacing w:line="520" w:lineRule="exact"/>
        <w:ind w:firstLine="560" w:firstLineChars="200"/>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6" w:edGrp="everyone"/>
      <w:r>
        <w:rPr>
          <w:rFonts w:hint="eastAsia" w:asciiTheme="minorEastAsia" w:hAnsiTheme="minorEastAsia" w:cstheme="minorEastAsia"/>
          <w:sz w:val="28"/>
          <w:szCs w:val="28"/>
          <w:highlight w:val="none"/>
          <w:u w:val="single"/>
          <w:lang w:val="en-US" w:eastAsia="zh-CN"/>
        </w:rPr>
        <w:t>市政公用工程二级及以上</w:t>
      </w:r>
      <w:r>
        <w:rPr>
          <w:rFonts w:hint="eastAsia" w:asciiTheme="minorEastAsia" w:hAnsiTheme="minorEastAsia" w:eastAsiaTheme="minorEastAsia" w:cstheme="minorEastAsia"/>
          <w:sz w:val="28"/>
          <w:szCs w:val="28"/>
          <w:highlight w:val="none"/>
          <w:lang w:val="en-US" w:eastAsia="zh-CN"/>
        </w:rPr>
        <w:t>注册建造师执业资格，具备有效的安全考核合格证书B证，无被亳州市市本级及县区各行业主管部门或公共资源交易监管部门限制投标的不良行为记录（有效期内），未在其他项目上任职，工程师必须是本单位工作人员，提供2023年6月以后任意三个月社保；且符合注册建造师执业管理办法规定</w:t>
      </w:r>
      <w:r>
        <w:rPr>
          <w:rFonts w:hint="eastAsia" w:asciiTheme="minorEastAsia" w:hAnsiTheme="minorEastAsia" w:cstheme="minorEastAsia"/>
          <w:sz w:val="28"/>
          <w:szCs w:val="28"/>
          <w:highlight w:val="none"/>
          <w:lang w:val="en-US" w:eastAsia="zh-CN"/>
        </w:rPr>
        <w:t>。</w:t>
      </w:r>
      <w:permEnd w:id="16"/>
    </w:p>
    <w:p>
      <w:pPr>
        <w:spacing w:line="52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rPr>
        <w:t>提供</w:t>
      </w:r>
      <w:permStart w:id="17" w:edGrp="everyone"/>
      <w:r>
        <w:rPr>
          <w:rFonts w:hint="eastAsia" w:asciiTheme="minorEastAsia" w:hAnsiTheme="minorEastAsia" w:cstheme="minorEastAsia"/>
          <w:sz w:val="28"/>
          <w:szCs w:val="28"/>
          <w:u w:val="single"/>
        </w:rPr>
        <w:t>20</w:t>
      </w:r>
      <w:r>
        <w:rPr>
          <w:rFonts w:hint="eastAsia" w:asciiTheme="minorEastAsia" w:hAnsiTheme="minorEastAsia" w:cstheme="minorEastAsia"/>
          <w:sz w:val="28"/>
          <w:szCs w:val="28"/>
          <w:u w:val="single"/>
          <w:lang w:val="en-US" w:eastAsia="zh-CN"/>
        </w:rPr>
        <w:t>19</w:t>
      </w:r>
      <w:permEnd w:id="17"/>
      <w:r>
        <w:rPr>
          <w:rFonts w:hint="eastAsia" w:asciiTheme="minorEastAsia" w:hAnsiTheme="minorEastAsia" w:cstheme="minorEastAsia"/>
          <w:sz w:val="28"/>
          <w:szCs w:val="28"/>
        </w:rPr>
        <w:t>年至今企业类似项目业绩</w:t>
      </w:r>
      <w:permStart w:id="18" w:edGrp="everyone"/>
      <w:r>
        <w:rPr>
          <w:rFonts w:hint="eastAsia" w:asciiTheme="minorEastAsia" w:hAnsiTheme="minorEastAsia" w:cstheme="minorEastAsia"/>
          <w:sz w:val="28"/>
          <w:szCs w:val="28"/>
          <w:u w:val="single"/>
        </w:rPr>
        <w:t xml:space="preserve"> 1 </w:t>
      </w:r>
      <w:permEnd w:id="18"/>
      <w:r>
        <w:rPr>
          <w:rFonts w:hint="eastAsia" w:asciiTheme="minorEastAsia" w:hAnsiTheme="minorEastAsia" w:cstheme="minorEastAsia"/>
          <w:sz w:val="28"/>
          <w:szCs w:val="28"/>
        </w:rPr>
        <w:t>个，以</w:t>
      </w:r>
      <w:permStart w:id="19" w:edGrp="everyone"/>
      <w:r>
        <w:rPr>
          <w:rFonts w:hint="eastAsia" w:asciiTheme="minorEastAsia" w:hAnsiTheme="minorEastAsia" w:cstheme="minorEastAsia"/>
          <w:sz w:val="28"/>
          <w:szCs w:val="28"/>
        </w:rPr>
        <w:t>合同签订时间</w:t>
      </w:r>
      <w:permEnd w:id="19"/>
      <w:r>
        <w:rPr>
          <w:rFonts w:hint="eastAsia" w:asciiTheme="minorEastAsia" w:hAnsiTheme="minorEastAsia" w:cstheme="minorEastAsia"/>
          <w:sz w:val="28"/>
          <w:szCs w:val="28"/>
        </w:rPr>
        <w:t>为准。类似项目业绩指：</w:t>
      </w:r>
      <w:permStart w:id="20" w:edGrp="everyone"/>
      <w:r>
        <w:rPr>
          <w:rFonts w:hint="eastAsia" w:asciiTheme="minorEastAsia" w:hAnsiTheme="minorEastAsia" w:cstheme="minorEastAsia"/>
          <w:sz w:val="28"/>
          <w:szCs w:val="28"/>
        </w:rPr>
        <w:t>单项合同金额不低于</w:t>
      </w: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lang w:val="en-US" w:eastAsia="zh-CN"/>
        </w:rPr>
        <w:t>00</w:t>
      </w:r>
      <w:r>
        <w:rPr>
          <w:rFonts w:hint="eastAsia" w:asciiTheme="minorEastAsia" w:hAnsiTheme="minorEastAsia" w:cstheme="minorEastAsia"/>
          <w:sz w:val="28"/>
          <w:szCs w:val="28"/>
        </w:rPr>
        <w:t>万元的</w:t>
      </w:r>
      <w:r>
        <w:rPr>
          <w:rFonts w:hint="eastAsia" w:asciiTheme="minorEastAsia" w:hAnsiTheme="minorEastAsia" w:eastAsiaTheme="minorEastAsia" w:cstheme="minorEastAsia"/>
          <w:sz w:val="28"/>
          <w:szCs w:val="28"/>
          <w:highlight w:val="none"/>
          <w:lang w:val="en-US" w:eastAsia="zh-CN"/>
        </w:rPr>
        <w:t>城市及道路照明工程</w:t>
      </w:r>
      <w:r>
        <w:rPr>
          <w:rFonts w:hint="eastAsia" w:asciiTheme="minorEastAsia" w:hAnsiTheme="minorEastAsia" w:cstheme="minorEastAsia"/>
          <w:sz w:val="28"/>
          <w:szCs w:val="28"/>
          <w:highlight w:val="none"/>
          <w:lang w:val="en-US" w:eastAsia="zh-CN"/>
        </w:rPr>
        <w:t>业绩</w:t>
      </w:r>
      <w:permEnd w:id="20"/>
      <w:r>
        <w:rPr>
          <w:rFonts w:hint="eastAsia" w:asciiTheme="minorEastAsia" w:hAnsiTheme="minorEastAsia" w:eastAsiaTheme="minorEastAsia" w:cstheme="minorEastAsia"/>
          <w:sz w:val="28"/>
          <w:szCs w:val="28"/>
          <w:highlight w:val="none"/>
          <w:lang w:val="en-US" w:eastAsia="zh-CN"/>
        </w:rPr>
        <w:t>。</w:t>
      </w:r>
    </w:p>
    <w:p>
      <w:pPr>
        <w:spacing w:line="52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注：提供合同扫描件或复印件和对应合同任意结点税务发票，时间以签订合同时间为准</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1" w:edGrp="everyone"/>
      <w:r>
        <w:rPr>
          <w:rFonts w:hint="eastAsia" w:asciiTheme="minorEastAsia" w:hAnsiTheme="minorEastAsia" w:eastAsiaTheme="minorEastAsia" w:cstheme="minorEastAsia"/>
          <w:color w:val="FF0000"/>
          <w:sz w:val="28"/>
          <w:szCs w:val="28"/>
          <w:highlight w:val="none"/>
          <w:lang w:val="en-US" w:eastAsia="zh-CN"/>
        </w:rPr>
        <w:t>不接受</w:t>
      </w:r>
      <w:permEnd w:id="21"/>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2" w:edGrp="everyone"/>
      <w:r>
        <w:rPr>
          <w:rFonts w:hint="eastAsia" w:asciiTheme="minorEastAsia" w:hAnsiTheme="minorEastAsia" w:cstheme="minorEastAsia"/>
          <w:sz w:val="28"/>
          <w:szCs w:val="28"/>
          <w:highlight w:val="none"/>
          <w:lang w:val="en-US" w:eastAsia="zh-CN"/>
        </w:rPr>
        <w:t xml:space="preserve">  /  </w:t>
      </w:r>
      <w:permEnd w:id="22"/>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3"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2023 </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 xml:space="preserve"> 6 </w:t>
      </w:r>
      <w:r>
        <w:rPr>
          <w:rFonts w:hint="eastAsia" w:asciiTheme="minorEastAsia" w:hAnsiTheme="minorEastAsia" w:eastAsiaTheme="minorEastAsia" w:cstheme="minorEastAsia"/>
          <w:color w:val="FF0000"/>
          <w:sz w:val="28"/>
          <w:szCs w:val="28"/>
          <w:highlight w:val="none"/>
          <w:lang w:val="en-US" w:eastAsia="zh-CN"/>
        </w:rPr>
        <w:t>月</w:t>
      </w:r>
      <w:permEnd w:id="23"/>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4"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5" w:edGrp="everyone"/>
      <w:r>
        <w:rPr>
          <w:rFonts w:hint="eastAsia" w:asciiTheme="minorEastAsia" w:hAnsiTheme="minorEastAsia" w:cstheme="minorEastAsia"/>
          <w:color w:val="FF0000"/>
          <w:sz w:val="28"/>
          <w:szCs w:val="28"/>
          <w:highlight w:val="none"/>
          <w:lang w:val="en-US" w:eastAsia="zh-CN"/>
        </w:rPr>
        <w:t>允许</w:t>
      </w:r>
      <w:permEnd w:id="25"/>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6" w:edGrp="everyone"/>
      <w:r>
        <w:rPr>
          <w:rFonts w:hint="eastAsia" w:asciiTheme="minorEastAsia" w:hAnsiTheme="minorEastAsia" w:cstheme="minorEastAsia"/>
          <w:sz w:val="28"/>
          <w:szCs w:val="28"/>
          <w:highlight w:val="none"/>
          <w:u w:val="single"/>
          <w:lang w:val="en-US" w:eastAsia="zh-CN"/>
        </w:rPr>
        <w:t xml:space="preserve">60000.00元 </w:t>
      </w:r>
      <w:r>
        <w:rPr>
          <w:rFonts w:hint="default" w:asciiTheme="minorEastAsia" w:hAnsiTheme="minorEastAsia" w:eastAsiaTheme="minorEastAsia" w:cstheme="minorEastAsia"/>
          <w:sz w:val="28"/>
          <w:szCs w:val="28"/>
          <w:highlight w:val="none"/>
          <w:lang w:val="en-US" w:eastAsia="zh-CN"/>
        </w:rPr>
        <w:t>（人民币）</w:t>
      </w:r>
      <w:permEnd w:id="26"/>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7" w:edGrp="everyone"/>
      <w:r>
        <w:rPr>
          <w:rFonts w:hint="eastAsia" w:asciiTheme="minorEastAsia" w:hAnsiTheme="minorEastAsia" w:cstheme="minorEastAsia"/>
          <w:sz w:val="28"/>
          <w:szCs w:val="28"/>
          <w:highlight w:val="none"/>
          <w:lang w:val="en-US" w:eastAsia="zh-CN"/>
        </w:rPr>
        <w:t xml:space="preserve">安徽通康建设工程有限公司  </w:t>
      </w:r>
    </w:p>
    <w:permEnd w:id="2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8" w:edGrp="everyone"/>
      <w:r>
        <w:rPr>
          <w:rFonts w:hint="eastAsia" w:asciiTheme="minorEastAsia" w:hAnsiTheme="minorEastAsia" w:cstheme="minorEastAsia"/>
          <w:sz w:val="28"/>
          <w:szCs w:val="28"/>
          <w:highlight w:val="none"/>
          <w:lang w:val="en-US" w:eastAsia="zh-CN"/>
        </w:rPr>
        <w:t xml:space="preserve">亳州市谯城区大杨镇S309收费站院内  </w:t>
      </w:r>
      <w:permEnd w:id="2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9" w:edGrp="everyone"/>
      <w:r>
        <w:rPr>
          <w:rFonts w:hint="eastAsia" w:asciiTheme="minorEastAsia" w:hAnsiTheme="minorEastAsia" w:cstheme="minorEastAsia"/>
          <w:sz w:val="28"/>
          <w:szCs w:val="28"/>
          <w:highlight w:val="none"/>
          <w:lang w:val="en-US" w:eastAsia="zh-CN"/>
        </w:rPr>
        <w:t xml:space="preserve">李尔康   </w:t>
      </w:r>
      <w:permEnd w:id="2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0" w:edGrp="everyone"/>
      <w:r>
        <w:rPr>
          <w:rFonts w:hint="eastAsia" w:asciiTheme="minorEastAsia" w:hAnsiTheme="minorEastAsia" w:cstheme="minorEastAsia"/>
          <w:sz w:val="28"/>
          <w:szCs w:val="28"/>
          <w:highlight w:val="none"/>
          <w:lang w:val="en-US" w:eastAsia="zh-CN"/>
        </w:rPr>
        <w:t xml:space="preserve">18906343943  </w:t>
      </w:r>
      <w:permEnd w:id="30"/>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1" w:edGrp="everyone"/>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 xml:space="preserve"> 年</w:t>
      </w:r>
      <w:r>
        <w:rPr>
          <w:rFonts w:hint="eastAsia" w:asciiTheme="minorEastAsia" w:hAnsiTheme="minorEastAsia" w:cstheme="minorEastAsia"/>
          <w:color w:val="FF0000"/>
          <w:sz w:val="28"/>
          <w:szCs w:val="28"/>
          <w:highlight w:val="none"/>
          <w:lang w:val="en-US" w:eastAsia="zh-CN"/>
        </w:rPr>
        <w:t xml:space="preserve"> 1</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29</w:t>
      </w:r>
      <w:r>
        <w:rPr>
          <w:rFonts w:hint="eastAsia" w:asciiTheme="minorEastAsia" w:hAnsiTheme="minorEastAsia" w:eastAsiaTheme="minorEastAsia" w:cstheme="minorEastAsia"/>
          <w:color w:val="FF0000"/>
          <w:sz w:val="28"/>
          <w:szCs w:val="28"/>
          <w:highlight w:val="none"/>
          <w:lang w:val="en-US" w:eastAsia="zh-CN"/>
        </w:rPr>
        <w:t>日</w:t>
      </w:r>
      <w:permEnd w:id="31"/>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2"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2"/>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5"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6" w:edGrp="everyone"/>
            <w:r>
              <w:rPr>
                <w:rFonts w:hint="eastAsia" w:ascii="Times New Roman" w:hAnsi="Times New Roman" w:cs="Times New Roman"/>
                <w:color w:val="auto"/>
                <w:szCs w:val="21"/>
                <w:highlight w:val="none"/>
                <w:u w:val="single"/>
                <w:lang w:val="en-US" w:eastAsia="zh-CN"/>
              </w:rPr>
              <w:t xml:space="preserve"> 60000.00元  </w:t>
            </w:r>
            <w:permEnd w:id="3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7" w:edGrp="everyone"/>
            <w:r>
              <w:rPr>
                <w:rFonts w:hint="eastAsia" w:ascii="Times New Roman" w:hAnsi="Times New Roman" w:cs="Times New Roman"/>
                <w:color w:val="FF0000"/>
                <w:szCs w:val="21"/>
                <w:highlight w:val="none"/>
                <w:lang w:val="en-US" w:eastAsia="zh-CN"/>
              </w:rPr>
              <w:t>BZJK-2024- 006号保证金</w:t>
            </w:r>
            <w:permEnd w:id="3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8" w:edGrp="everyone"/>
            <w:permEnd w:id="38"/>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eastAsiaTheme="minorEastAsia"/>
                <w:i w:val="0"/>
                <w:iCs w:val="0"/>
                <w:color w:val="FF0000"/>
                <w:sz w:val="21"/>
                <w:szCs w:val="21"/>
                <w:highlight w:val="none"/>
                <w:u w:val="none"/>
                <w:lang w:val="en-US" w:eastAsia="zh-CN"/>
              </w:rPr>
              <w:t>亳州交通投资控股集团有限公司</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r>
              <w:rPr>
                <w:rFonts w:hint="eastAsia" w:ascii="Times New Roman" w:hAnsi="Times New Roman" w:cs="Times New Roman"/>
                <w:i w:val="0"/>
                <w:iCs w:val="0"/>
                <w:color w:val="FF0000"/>
                <w:sz w:val="21"/>
                <w:szCs w:val="21"/>
                <w:highlight w:val="none"/>
                <w:u w:val="none"/>
                <w:lang w:val="en-US" w:eastAsia="zh-CN"/>
              </w:rPr>
              <w:t>开标</w:t>
            </w:r>
            <w:r>
              <w:rPr>
                <w:rFonts w:hint="eastAsia" w:ascii="Times New Roman" w:hAnsi="Times New Roman" w:cs="Times New Roman" w:eastAsiaTheme="minorEastAsia"/>
                <w:i w:val="0"/>
                <w:iCs w:val="0"/>
                <w:color w:val="FF0000"/>
                <w:sz w:val="21"/>
                <w:szCs w:val="21"/>
                <w:highlight w:val="none"/>
                <w:u w:val="none"/>
                <w:lang w:val="en-US" w:eastAsia="zh-CN"/>
              </w:rPr>
              <w:t>室（药都大道与希夷大道交叉口东北角</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招标人：安徽通康建设工程有限公司</w:t>
            </w:r>
          </w:p>
          <w:p>
            <w:pPr>
              <w:keepNext w:val="0"/>
              <w:keepLines w:val="0"/>
              <w:pageBreakBefore w:val="0"/>
              <w:widowControl/>
              <w:kinsoku/>
              <w:wordWrap/>
              <w:overflowPunct/>
              <w:topLinePunct w:val="0"/>
              <w:autoSpaceDE/>
              <w:autoSpaceDN/>
              <w:bidi w:val="0"/>
              <w:adjustRightInd/>
              <w:snapToGrid/>
              <w:spacing w:line="520" w:lineRule="exact"/>
              <w:ind w:firstLine="420" w:firstLineChars="200"/>
              <w:jc w:val="left"/>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利辛县煤电产业园区基础设施建设一期工程（第四标段）交通工程及城市照明工程专业分包</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项目编号：BZJK-2024- 006号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default" w:ascii="Times New Roman" w:hAnsi="Times New Roman" w:cs="Times New Roman"/>
                <w:color w:val="FF0000"/>
                <w:szCs w:val="21"/>
                <w:highlight w:val="none"/>
              </w:rPr>
              <w:t>中标后，投标保证金以银行汇款或银行转账缴纳的，自动转作履约保证金，不足部分可以以上述形式补齐差额；也可以提交足额的银行保函或保兑支票或银行汇票形式的履约保证金，申请退还投标保证金。</w:t>
            </w:r>
            <w:permEnd w:id="4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2" w:edGrp="everyone"/>
            <w:r>
              <w:rPr>
                <w:rFonts w:hint="eastAsia" w:ascii="Times New Roman" w:hAnsi="Times New Roman" w:cs="Times New Roman"/>
                <w:b/>
                <w:bCs/>
                <w:color w:val="FF0000"/>
                <w:szCs w:val="21"/>
                <w:highlight w:val="none"/>
                <w:lang w:val="en-US" w:eastAsia="zh-CN"/>
              </w:rPr>
              <w:t>中标价款的10%</w:t>
            </w:r>
            <w:permEnd w:id="4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2305"/>
      <w:bookmarkStart w:id="17" w:name="_Toc144974497"/>
      <w:bookmarkStart w:id="18" w:name="_Toc296602420"/>
      <w:bookmarkStart w:id="19" w:name="_Toc247085689"/>
      <w:bookmarkStart w:id="20" w:name="_Toc246996918"/>
      <w:bookmarkStart w:id="21" w:name="_Toc246996175"/>
      <w:bookmarkStart w:id="22" w:name="_Toc179632546"/>
      <w:bookmarkStart w:id="23" w:name="_Toc152045529"/>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19"/>
      <w:bookmarkStart w:id="25" w:name="_Toc247085690"/>
      <w:bookmarkStart w:id="26" w:name="_Toc179632547"/>
      <w:bookmarkStart w:id="27" w:name="_Toc296602421"/>
      <w:bookmarkStart w:id="28" w:name="_Toc152042306"/>
      <w:bookmarkStart w:id="29" w:name="_Toc144974498"/>
      <w:bookmarkStart w:id="30" w:name="_Toc152045530"/>
      <w:bookmarkStart w:id="31" w:name="_Toc24699617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07"/>
      <w:bookmarkStart w:id="33" w:name="_Toc144974499"/>
      <w:bookmarkStart w:id="34" w:name="_Toc247085691"/>
      <w:bookmarkStart w:id="35" w:name="_Toc246996177"/>
      <w:bookmarkStart w:id="36" w:name="_Toc179632548"/>
      <w:bookmarkStart w:id="37" w:name="_Toc152045531"/>
      <w:bookmarkStart w:id="38" w:name="_Toc246996920"/>
      <w:bookmarkStart w:id="39" w:name="_Toc296602422"/>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0"/>
      <w:bookmarkStart w:id="41" w:name="_Toc152042308"/>
      <w:bookmarkStart w:id="42" w:name="_Toc296602423"/>
      <w:bookmarkStart w:id="43" w:name="_Toc152045532"/>
      <w:bookmarkStart w:id="44" w:name="_Toc246996178"/>
      <w:bookmarkStart w:id="45" w:name="_Toc246996921"/>
      <w:bookmarkStart w:id="46" w:name="_Toc247085692"/>
      <w:bookmarkStart w:id="47" w:name="_Toc179632549"/>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79632551"/>
      <w:bookmarkStart w:id="49" w:name="_Toc246996179"/>
      <w:bookmarkStart w:id="50" w:name="_Toc144974502"/>
      <w:bookmarkStart w:id="51" w:name="_Toc152045534"/>
      <w:bookmarkStart w:id="52" w:name="_Toc247085693"/>
      <w:bookmarkStart w:id="53" w:name="_Toc246996922"/>
      <w:bookmarkStart w:id="54" w:name="_Toc296602424"/>
      <w:bookmarkStart w:id="55" w:name="_Toc152042310"/>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4"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44974503"/>
      <w:bookmarkStart w:id="57" w:name="_Toc246996180"/>
      <w:bookmarkStart w:id="58" w:name="_Toc296602425"/>
      <w:bookmarkStart w:id="59" w:name="_Toc152042311"/>
      <w:bookmarkStart w:id="60" w:name="_Toc152045535"/>
      <w:bookmarkStart w:id="61" w:name="_Toc246996923"/>
      <w:bookmarkStart w:id="62" w:name="_Toc247085694"/>
      <w:bookmarkStart w:id="63" w:name="_Toc179632552"/>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79632553"/>
      <w:bookmarkStart w:id="65" w:name="_Toc152042312"/>
      <w:bookmarkStart w:id="66" w:name="_Toc296602426"/>
      <w:bookmarkStart w:id="67" w:name="_Toc144974504"/>
      <w:bookmarkStart w:id="68" w:name="_Toc247085695"/>
      <w:bookmarkStart w:id="69" w:name="_Toc152045536"/>
      <w:bookmarkStart w:id="70" w:name="_Toc246996924"/>
      <w:bookmarkStart w:id="71" w:name="_Toc246996181"/>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246996925"/>
      <w:bookmarkStart w:id="75" w:name="_Toc246996182"/>
      <w:bookmarkStart w:id="76" w:name="_Toc247085696"/>
      <w:bookmarkStart w:id="77" w:name="_Toc152045537"/>
      <w:bookmarkStart w:id="78" w:name="_Toc152042313"/>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79632555"/>
      <w:bookmarkStart w:id="81" w:name="_Toc247085697"/>
      <w:bookmarkStart w:id="82" w:name="_Toc152045538"/>
      <w:bookmarkStart w:id="83" w:name="_Toc246996183"/>
      <w:bookmarkStart w:id="84" w:name="_Toc144974506"/>
      <w:bookmarkStart w:id="85" w:name="_Toc246996926"/>
      <w:bookmarkStart w:id="86" w:name="_Toc152042314"/>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13962"/>
      <w:bookmarkStart w:id="89" w:name="_Toc152045539"/>
      <w:bookmarkStart w:id="90" w:name="_Toc144974507"/>
      <w:bookmarkStart w:id="91" w:name="_Toc296602429"/>
      <w:bookmarkStart w:id="92" w:name="_Toc152042315"/>
      <w:bookmarkStart w:id="93" w:name="_Toc247527563"/>
      <w:bookmarkStart w:id="94" w:name="_Toc247592876"/>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40"/>
      <w:bookmarkStart w:id="96" w:name="_Toc247513963"/>
      <w:bookmarkStart w:id="97" w:name="_Toc144974508"/>
      <w:bookmarkStart w:id="98" w:name="_Toc247527564"/>
      <w:bookmarkStart w:id="99" w:name="_Toc296602430"/>
      <w:bookmarkStart w:id="100" w:name="_Toc247592877"/>
      <w:bookmarkStart w:id="101" w:name="_Toc152042316"/>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246996187"/>
      <w:bookmarkStart w:id="105" w:name="_Toc246996930"/>
      <w:bookmarkStart w:id="106" w:name="_Toc144974510"/>
      <w:bookmarkStart w:id="107" w:name="_Toc247085701"/>
      <w:bookmarkStart w:id="108" w:name="_Toc152042318"/>
      <w:bookmarkStart w:id="109" w:name="_Toc152045542"/>
      <w:bookmarkStart w:id="110" w:name="_Toc29660243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61"/>
      <w:bookmarkStart w:id="112" w:name="_Toc247085702"/>
      <w:bookmarkStart w:id="113" w:name="_Toc152045543"/>
      <w:bookmarkStart w:id="114" w:name="_Toc152042319"/>
      <w:bookmarkStart w:id="115" w:name="_Toc144974511"/>
      <w:bookmarkStart w:id="116" w:name="_Toc296602433"/>
      <w:bookmarkStart w:id="117" w:name="_Toc246996931"/>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03"/>
      <w:bookmarkStart w:id="120" w:name="_Toc152045544"/>
      <w:bookmarkStart w:id="121" w:name="_Toc246996932"/>
      <w:bookmarkStart w:id="122" w:name="_Toc144974512"/>
      <w:bookmarkStart w:id="123" w:name="_Toc179632562"/>
      <w:bookmarkStart w:id="124" w:name="_Toc296602434"/>
      <w:bookmarkStart w:id="125" w:name="_Toc246996189"/>
      <w:bookmarkStart w:id="126" w:name="_Toc152042320"/>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63"/>
      <w:bookmarkStart w:id="128" w:name="_Toc246996933"/>
      <w:bookmarkStart w:id="129" w:name="_Toc246996190"/>
      <w:bookmarkStart w:id="130" w:name="_Toc247085704"/>
      <w:bookmarkStart w:id="131" w:name="_Toc152045545"/>
      <w:bookmarkStart w:id="132" w:name="_Toc144974513"/>
      <w:bookmarkStart w:id="133" w:name="_Toc296602435"/>
      <w:bookmarkStart w:id="134" w:name="_Toc152042321"/>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296602436"/>
      <w:bookmarkStart w:id="137" w:name="_Toc246996191"/>
      <w:bookmarkStart w:id="138" w:name="_Toc246996934"/>
      <w:bookmarkStart w:id="139" w:name="_Toc179632564"/>
      <w:bookmarkStart w:id="140" w:name="_Toc152045546"/>
      <w:bookmarkStart w:id="141" w:name="_Toc152042322"/>
      <w:bookmarkStart w:id="142" w:name="_Toc247085705"/>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7085706"/>
      <w:bookmarkStart w:id="144" w:name="_Toc144974515"/>
      <w:bookmarkStart w:id="145" w:name="_Toc296602437"/>
      <w:bookmarkStart w:id="146" w:name="_Toc152045547"/>
      <w:bookmarkStart w:id="147" w:name="_Toc152042323"/>
      <w:bookmarkStart w:id="148" w:name="_Toc246996935"/>
      <w:bookmarkStart w:id="149" w:name="_Toc246996192"/>
      <w:bookmarkStart w:id="150" w:name="_Toc17963256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专项施工方案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79632566"/>
      <w:bookmarkStart w:id="152" w:name="_Toc152045548"/>
      <w:bookmarkStart w:id="153" w:name="_Toc246996936"/>
      <w:bookmarkStart w:id="154" w:name="_Toc144974516"/>
      <w:bookmarkStart w:id="155" w:name="_Toc152042324"/>
      <w:bookmarkStart w:id="156" w:name="_Toc247085707"/>
      <w:bookmarkStart w:id="157" w:name="_Toc296602438"/>
      <w:bookmarkStart w:id="158" w:name="_Toc246996193"/>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44974517"/>
      <w:bookmarkStart w:id="160" w:name="_Toc179632567"/>
      <w:bookmarkStart w:id="161" w:name="_Toc152042325"/>
      <w:bookmarkStart w:id="162" w:name="_Toc15204554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937"/>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18"/>
      <w:bookmarkStart w:id="168" w:name="_Toc246996195"/>
      <w:bookmarkStart w:id="169" w:name="_Toc152045550"/>
      <w:bookmarkStart w:id="170" w:name="_Toc246996938"/>
      <w:bookmarkStart w:id="171" w:name="_Toc152042326"/>
      <w:bookmarkStart w:id="172" w:name="_Toc247085709"/>
      <w:bookmarkStart w:id="173" w:name="_Toc296602440"/>
      <w:bookmarkStart w:id="174" w:name="_Toc17963256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44974520"/>
      <w:bookmarkStart w:id="176" w:name="_Toc246996196"/>
      <w:bookmarkStart w:id="177" w:name="_Toc247085710"/>
      <w:bookmarkStart w:id="178" w:name="_Toc179632570"/>
      <w:bookmarkStart w:id="179" w:name="_Toc152042328"/>
      <w:bookmarkStart w:id="180" w:name="_Toc246996939"/>
      <w:bookmarkStart w:id="181" w:name="_Toc296602441"/>
      <w:bookmarkStart w:id="182" w:name="_Toc152045552"/>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6996197"/>
      <w:bookmarkStart w:id="185" w:name="_Toc246996940"/>
      <w:bookmarkStart w:id="186" w:name="_Toc152042329"/>
      <w:bookmarkStart w:id="187" w:name="_Toc247085711"/>
      <w:bookmarkStart w:id="188" w:name="_Toc179632571"/>
      <w:bookmarkStart w:id="189" w:name="_Toc152045553"/>
      <w:bookmarkStart w:id="190" w:name="_Toc14497452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199"/>
      <w:bookmarkStart w:id="192" w:name="_Toc179632573"/>
      <w:bookmarkStart w:id="193" w:name="_Toc152042331"/>
      <w:bookmarkStart w:id="194" w:name="_Toc152045555"/>
      <w:bookmarkStart w:id="195" w:name="_Toc247085713"/>
      <w:bookmarkStart w:id="196" w:name="_Toc246996942"/>
      <w:bookmarkStart w:id="197" w:name="_Toc14497452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5556"/>
      <w:bookmarkStart w:id="200" w:name="_Toc152042332"/>
      <w:bookmarkStart w:id="201" w:name="_Toc296602444"/>
      <w:bookmarkStart w:id="202" w:name="_Toc246996200"/>
      <w:bookmarkStart w:id="203" w:name="_Toc144974524"/>
      <w:bookmarkStart w:id="204" w:name="_Toc247085714"/>
      <w:bookmarkStart w:id="205" w:name="_Toc246996943"/>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52045557"/>
      <w:bookmarkStart w:id="208" w:name="_Toc144974525"/>
      <w:bookmarkStart w:id="209" w:name="_Toc179632575"/>
      <w:bookmarkStart w:id="210" w:name="_Toc246996944"/>
      <w:bookmarkStart w:id="211" w:name="_Toc247085715"/>
      <w:bookmarkStart w:id="212" w:name="_Toc246996201"/>
      <w:bookmarkStart w:id="213" w:name="_Toc152042333"/>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44974526"/>
      <w:bookmarkStart w:id="216" w:name="_Toc246996202"/>
      <w:bookmarkStart w:id="217" w:name="_Toc152042334"/>
      <w:bookmarkStart w:id="218" w:name="_Toc246996945"/>
      <w:bookmarkStart w:id="219" w:name="_Toc179632576"/>
      <w:bookmarkStart w:id="220" w:name="_Toc247085716"/>
      <w:bookmarkStart w:id="221" w:name="_Toc152045558"/>
      <w:bookmarkStart w:id="222" w:name="_Toc29660244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946"/>
      <w:bookmarkStart w:id="224" w:name="_Toc152042335"/>
      <w:bookmarkStart w:id="225" w:name="_Toc296602447"/>
      <w:bookmarkStart w:id="226" w:name="_Toc246996203"/>
      <w:bookmarkStart w:id="227" w:name="_Toc144974527"/>
      <w:bookmarkStart w:id="228" w:name="_Toc179632577"/>
      <w:bookmarkStart w:id="229" w:name="_Toc152045559"/>
      <w:bookmarkStart w:id="230" w:name="_Toc24708571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52042336"/>
      <w:bookmarkStart w:id="232" w:name="_Toc246996947"/>
      <w:bookmarkStart w:id="233" w:name="_Toc296602448"/>
      <w:bookmarkStart w:id="234" w:name="_Toc144974528"/>
      <w:bookmarkStart w:id="235" w:name="_Toc179632578"/>
      <w:bookmarkStart w:id="236" w:name="_Toc246996204"/>
      <w:bookmarkStart w:id="237" w:name="_Toc247085718"/>
      <w:bookmarkStart w:id="238" w:name="_Toc152045560"/>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948"/>
      <w:bookmarkStart w:id="240" w:name="_Toc246996205"/>
      <w:bookmarkStart w:id="241" w:name="_Toc296602449"/>
      <w:bookmarkStart w:id="242" w:name="_Toc179632579"/>
      <w:bookmarkStart w:id="243" w:name="_Toc152042337"/>
      <w:bookmarkStart w:id="244" w:name="_Toc144974529"/>
      <w:bookmarkStart w:id="245" w:name="_Toc152045561"/>
      <w:bookmarkStart w:id="246" w:name="_Toc24708571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949"/>
      <w:bookmarkStart w:id="249" w:name="_Toc246996206"/>
      <w:bookmarkStart w:id="250" w:name="_Toc144974530"/>
      <w:bookmarkStart w:id="251" w:name="_Toc296602451"/>
      <w:bookmarkStart w:id="252" w:name="_Toc247085720"/>
      <w:bookmarkStart w:id="253" w:name="_Toc152045562"/>
      <w:bookmarkStart w:id="254" w:name="_Toc152042338"/>
      <w:bookmarkStart w:id="255" w:name="_Toc17963258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207"/>
      <w:bookmarkStart w:id="257" w:name="_Toc152042339"/>
      <w:bookmarkStart w:id="258" w:name="_Toc296602452"/>
      <w:bookmarkStart w:id="259" w:name="_Toc179632581"/>
      <w:bookmarkStart w:id="260" w:name="_Toc144974531"/>
      <w:bookmarkStart w:id="261" w:name="_Toc152045563"/>
      <w:bookmarkStart w:id="262" w:name="_Toc247085721"/>
      <w:bookmarkStart w:id="263" w:name="_Toc246996950"/>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79632582"/>
      <w:bookmarkStart w:id="265" w:name="_Toc246996208"/>
      <w:bookmarkStart w:id="266" w:name="_Toc144974532"/>
      <w:bookmarkStart w:id="267" w:name="_Toc246996951"/>
      <w:bookmarkStart w:id="268" w:name="_Toc296602453"/>
      <w:bookmarkStart w:id="269" w:name="_Toc152042340"/>
      <w:bookmarkStart w:id="270" w:name="_Toc247085722"/>
      <w:bookmarkStart w:id="271" w:name="_Toc152045564"/>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44974533"/>
      <w:bookmarkStart w:id="273" w:name="_Toc246996209"/>
      <w:bookmarkStart w:id="274" w:name="_Toc296602454"/>
      <w:bookmarkStart w:id="275" w:name="_Toc152045565"/>
      <w:bookmarkStart w:id="276" w:name="_Toc152042341"/>
      <w:bookmarkStart w:id="277" w:name="_Toc247085723"/>
      <w:bookmarkStart w:id="278" w:name="_Toc179632583"/>
      <w:bookmarkStart w:id="279" w:name="_Toc246996952"/>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2342"/>
      <w:bookmarkStart w:id="281" w:name="_Toc296602455"/>
      <w:bookmarkStart w:id="282" w:name="_Toc247085724"/>
      <w:bookmarkStart w:id="283" w:name="_Toc152045566"/>
      <w:bookmarkStart w:id="284" w:name="_Toc246996953"/>
      <w:bookmarkStart w:id="285" w:name="_Toc179632584"/>
      <w:bookmarkStart w:id="286" w:name="_Toc144974534"/>
      <w:bookmarkStart w:id="287" w:name="_Toc246996210"/>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954"/>
      <w:bookmarkStart w:id="289" w:name="_Toc152042343"/>
      <w:bookmarkStart w:id="290" w:name="_Toc246996211"/>
      <w:bookmarkStart w:id="291" w:name="_Toc179632585"/>
      <w:bookmarkStart w:id="292" w:name="_Toc247085725"/>
      <w:bookmarkStart w:id="293" w:name="_Toc296602456"/>
      <w:bookmarkStart w:id="294" w:name="_Toc152045567"/>
      <w:bookmarkStart w:id="295" w:name="_Toc14497453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2344"/>
      <w:bookmarkStart w:id="298" w:name="_Toc179632586"/>
      <w:bookmarkStart w:id="299" w:name="_Toc246996212"/>
      <w:bookmarkStart w:id="300" w:name="_Toc247085726"/>
      <w:bookmarkStart w:id="301" w:name="_Toc144974536"/>
      <w:bookmarkStart w:id="302" w:name="_Toc296602458"/>
      <w:bookmarkStart w:id="303" w:name="_Toc246996955"/>
      <w:bookmarkStart w:id="304" w:name="_Toc152045568"/>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79632587"/>
      <w:bookmarkStart w:id="306" w:name="_Toc246996956"/>
      <w:bookmarkStart w:id="307" w:name="_Toc296602459"/>
      <w:bookmarkStart w:id="308" w:name="_Toc247085727"/>
      <w:bookmarkStart w:id="309" w:name="_Toc144974537"/>
      <w:bookmarkStart w:id="310" w:name="_Toc152045569"/>
      <w:bookmarkStart w:id="311" w:name="_Toc152042345"/>
      <w:bookmarkStart w:id="312" w:name="_Toc246996213"/>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44974538"/>
      <w:bookmarkStart w:id="314" w:name="_Toc247085728"/>
      <w:bookmarkStart w:id="315" w:name="_Toc246996214"/>
      <w:bookmarkStart w:id="316" w:name="_Toc246996957"/>
      <w:bookmarkStart w:id="317" w:name="_Toc179632588"/>
      <w:bookmarkStart w:id="318" w:name="_Toc296602460"/>
      <w:bookmarkStart w:id="319" w:name="_Toc152045570"/>
      <w:bookmarkStart w:id="320" w:name="_Toc152042346"/>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590983"/>
      <w:bookmarkStart w:id="323" w:name="_Toc144974543"/>
      <w:bookmarkStart w:id="324" w:name="_Toc179632593"/>
      <w:bookmarkStart w:id="325" w:name="_Toc296602462"/>
      <w:bookmarkStart w:id="326" w:name="_Toc152045575"/>
      <w:bookmarkStart w:id="327" w:name="_Toc246996219"/>
      <w:bookmarkStart w:id="328" w:name="_Toc246996962"/>
      <w:bookmarkStart w:id="329" w:name="_Toc247085733"/>
      <w:bookmarkStart w:id="330" w:name="_Toc152042351"/>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246996220"/>
      <w:bookmarkStart w:id="332" w:name="_Toc152042352"/>
      <w:bookmarkStart w:id="333" w:name="_Toc296602463"/>
      <w:bookmarkStart w:id="334" w:name="_Toc246996963"/>
      <w:bookmarkStart w:id="335" w:name="_Toc247085734"/>
      <w:bookmarkStart w:id="336" w:name="_Toc152045576"/>
      <w:bookmarkStart w:id="337" w:name="_Toc144974544"/>
      <w:bookmarkStart w:id="338" w:name="_Toc179632594"/>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7085735"/>
      <w:bookmarkStart w:id="340" w:name="_Toc296602464"/>
      <w:bookmarkStart w:id="341" w:name="_Toc179632595"/>
      <w:bookmarkStart w:id="342" w:name="_Toc246996964"/>
      <w:bookmarkStart w:id="343" w:name="_Toc246996221"/>
      <w:bookmarkStart w:id="344" w:name="_Toc152042353"/>
      <w:bookmarkStart w:id="345" w:name="_Toc144974545"/>
      <w:bookmarkStart w:id="346" w:name="_Toc152045577"/>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46996965"/>
      <w:bookmarkStart w:id="348" w:name="_Toc296602465"/>
      <w:bookmarkStart w:id="349" w:name="_Toc247085736"/>
      <w:bookmarkStart w:id="350" w:name="_Toc179632596"/>
      <w:bookmarkStart w:id="351" w:name="_Toc152042354"/>
      <w:bookmarkStart w:id="352" w:name="_Toc246996222"/>
      <w:bookmarkStart w:id="353" w:name="_Toc152045578"/>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79632597"/>
      <w:bookmarkStart w:id="357" w:name="_Toc296602466"/>
      <w:bookmarkStart w:id="358" w:name="_Toc247085737"/>
      <w:bookmarkStart w:id="359" w:name="_Toc246996223"/>
      <w:bookmarkStart w:id="360" w:name="_Toc152042356"/>
      <w:bookmarkStart w:id="361" w:name="_Toc246996966"/>
      <w:bookmarkStart w:id="362" w:name="_Toc152045579"/>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224"/>
      <w:bookmarkStart w:id="364" w:name="_Toc296602467"/>
      <w:bookmarkStart w:id="365" w:name="_Toc246996967"/>
      <w:bookmarkStart w:id="366" w:name="_Toc247085738"/>
      <w:bookmarkStart w:id="367" w:name="_Toc144974547"/>
      <w:bookmarkStart w:id="368" w:name="_Toc179632598"/>
      <w:bookmarkStart w:id="369" w:name="_Toc152045580"/>
      <w:bookmarkStart w:id="370" w:name="_Toc15204235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5"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2"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296602477"/>
            <w:bookmarkStart w:id="373" w:name="_Toc152042366"/>
            <w:bookmarkStart w:id="374" w:name="_Toc246996975"/>
            <w:bookmarkStart w:id="375" w:name="_Toc247085747"/>
            <w:bookmarkStart w:id="376" w:name="_Toc152045589"/>
            <w:bookmarkStart w:id="377" w:name="_Toc246996232"/>
            <w:bookmarkStart w:id="378" w:name="_Toc179632607"/>
            <w:bookmarkStart w:id="379" w:name="_Toc14497455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1"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专项施工方案</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50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 xml:space="preserve">/ </w:t>
            </w:r>
            <w:r>
              <w:rPr>
                <w:rFonts w:hint="default" w:ascii="Times New Roman" w:hAnsi="Times New Roman" w:cs="Times New Roman" w:eastAsiaTheme="minorEastAsia"/>
                <w:i w:val="0"/>
                <w:iCs w:val="0"/>
                <w:color w:val="auto"/>
                <w:kern w:val="0"/>
                <w:sz w:val="24"/>
                <w:szCs w:val="24"/>
                <w:highlight w:val="none"/>
              </w:rPr>
              <w:t>分</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2"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以通过初步评审的投标人的算数平均值作为评标基准价。</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63" w:edGrp="everyone"/>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ermEnd w:id="6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4" w:edGrp="everyone" w:colFirst="1" w:colLast="1"/>
            <w:permStart w:id="65" w:edGrp="everyone" w:colFirst="2" w:colLast="2"/>
            <w:permStart w:id="66"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专项施工方案评分标准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FF0000"/>
                <w:kern w:val="0"/>
                <w:sz w:val="24"/>
                <w:szCs w:val="24"/>
                <w:highlight w:val="yellow"/>
                <w:lang w:val="en-US" w:eastAsia="zh-CN"/>
              </w:rPr>
            </w:pPr>
            <w:r>
              <w:rPr>
                <w:rFonts w:hint="eastAsia" w:ascii="Times New Roman" w:hAnsi="Times New Roman" w:cs="Times New Roman"/>
                <w:color w:val="FF0000"/>
                <w:kern w:val="0"/>
                <w:sz w:val="24"/>
                <w:szCs w:val="24"/>
                <w:highlight w:val="yellow"/>
                <w:lang w:val="en-US" w:eastAsia="zh-CN"/>
              </w:rPr>
              <w:t>内容完整性和编制水平</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i/>
                <w:iCs/>
                <w:color w:val="FF0000"/>
                <w:kern w:val="0"/>
                <w:sz w:val="24"/>
                <w:szCs w:val="24"/>
                <w:highlight w:val="none"/>
                <w:u w:val="single"/>
                <w:lang w:val="en-US" w:eastAsia="zh-CN"/>
              </w:rPr>
              <w:t>针对项目实际情况，有总体实施内容描述表述清晰、完整、严谨、合理，措施具体、有效、成熟，施工段划分呼应总体表述，划分清晰、合理、符合规范要求，工期、质量、安全文明的标准与目标合理;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 xml:space="preserve"> 4-6 </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 xml:space="preserve"> 2-4 </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 </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64"/>
      <w:permEnd w:id="65"/>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7" w:edGrp="everyone" w:colFirst="1" w:colLast="1"/>
            <w:permStart w:id="68" w:edGrp="everyone" w:colFirst="2" w:colLast="2"/>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施工方案与技术措施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1.各主要分部施工方法符合项目实际，有详尽的、切实可行的施工技术方案，工艺先进、方法科学合理、可行，能指导具体施工并确保安全。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 xml:space="preserve"> 1-2 </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 xml:space="preserve"> 05-1</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0-0.5  </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 </w:t>
            </w:r>
            <w:r>
              <w:rPr>
                <w:rFonts w:hint="default" w:ascii="Times New Roman" w:hAnsi="Times New Roman" w:cs="Times New Roman"/>
                <w:i/>
                <w:iCs/>
                <w:color w:val="FF0000"/>
                <w:kern w:val="0"/>
                <w:sz w:val="24"/>
                <w:szCs w:val="24"/>
                <w:highlight w:val="none"/>
                <w:u w:val="singl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 xml:space="preserve"> 1-2 </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 xml:space="preserve"> 05-1</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0-0.5  </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 </w:t>
            </w:r>
            <w:r>
              <w:rPr>
                <w:rFonts w:hint="default" w:ascii="Times New Roman" w:hAnsi="Times New Roman" w:cs="Times New Roman"/>
                <w:i/>
                <w:iCs/>
                <w:color w:val="FF0000"/>
                <w:kern w:val="0"/>
                <w:sz w:val="24"/>
                <w:szCs w:val="24"/>
                <w:highlight w:val="none"/>
                <w:u w:val="single"/>
                <w:lang w:val="en-US" w:eastAsia="zh-CN"/>
              </w:rPr>
              <w:t>分。</w:t>
            </w:r>
          </w:p>
        </w:tc>
      </w:tr>
      <w:permEnd w:id="67"/>
      <w:permEnd w:id="68"/>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0" w:edGrp="everyone" w:colFirst="1" w:colLast="1"/>
            <w:permStart w:id="71" w:edGrp="everyone" w:colFirst="2" w:colLast="2"/>
            <w:permStart w:id="7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 xml:space="preserve"> 3-4 </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 xml:space="preserve"> 2-3 </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 </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0"/>
      <w:permEnd w:id="71"/>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3" w:edGrp="everyone" w:colFirst="1" w:colLast="1"/>
            <w:permStart w:id="74" w:edGrp="everyone" w:colFirst="2" w:colLast="2"/>
            <w:permStart w:id="7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 xml:space="preserve"> 3-4 </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 xml:space="preserve"> 2-3 </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 </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3"/>
      <w:permEnd w:id="74"/>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6" w:edGrp="everyone" w:colFirst="1" w:colLast="1"/>
            <w:permStart w:id="77" w:edGrp="everyone" w:colFirst="2" w:colLast="2"/>
            <w:permStart w:id="7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环境保护管理体系与措施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 xml:space="preserve"> 3-4 </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 xml:space="preserve"> 2-3 </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 </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6"/>
      <w:permEnd w:id="77"/>
      <w:permEnd w:id="7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9" w:edGrp="everyone" w:colFirst="1" w:colLast="1"/>
            <w:permStart w:id="80" w:edGrp="everyone" w:colFirst="2" w:colLast="2"/>
            <w:permStart w:id="8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在施工工艺、施工方法、材料选用、劳动力安排、技术等方面有保证工期的具体措施且措施得当，有控制工期的施工进度计划，编制完善、安排科学合理，符合本项目施工实际要求。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 xml:space="preserve"> 3-4 </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 xml:space="preserve"> 2-3 </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 </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9"/>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2" w:edGrp="everyone" w:colFirst="1" w:colLast="1"/>
            <w:permStart w:id="83" w:edGrp="everyone" w:colFirst="2" w:colLast="2"/>
            <w:permStart w:id="8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资源配备计划</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 xml:space="preserve"> 3-4 </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 xml:space="preserve"> 2-3 </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 </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82"/>
      <w:permEnd w:id="83"/>
      <w:permEnd w:id="8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5" w:edGrp="everyone" w:colFirst="1" w:colLast="1"/>
            <w:permStart w:id="86" w:edGrp="everyone" w:colFirst="2" w:colLast="2"/>
            <w:permStart w:id="87"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除投标人资格要求业绩外，每额外提供一项 企业类似业绩，得5分; 满分10分</w:t>
            </w:r>
          </w:p>
        </w:tc>
      </w:tr>
      <w:permEnd w:id="85"/>
      <w:permEnd w:id="86"/>
      <w:permEnd w:id="8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项目</w:t>
            </w:r>
            <w:r>
              <w:rPr>
                <w:rFonts w:hint="eastAsia" w:ascii="Times New Roman" w:hAnsi="Times New Roman" w:cs="Times New Roman"/>
                <w:kern w:val="0"/>
                <w:sz w:val="24"/>
                <w:szCs w:val="24"/>
                <w:highlight w:val="none"/>
                <w:lang w:val="en-US" w:eastAsia="zh-CN"/>
              </w:rPr>
              <w:t>负责人每提供一项以项目负责人身份完成的</w:t>
            </w:r>
            <w:r>
              <w:rPr>
                <w:rFonts w:hint="default" w:ascii="Times New Roman" w:hAnsi="Times New Roman" w:cs="Times New Roman"/>
                <w:kern w:val="0"/>
                <w:sz w:val="24"/>
                <w:szCs w:val="24"/>
                <w:highlight w:val="none"/>
                <w:lang w:val="en-US" w:eastAsia="zh-CN"/>
              </w:rPr>
              <w:t>单项合同金额不低于200万元的城市及道路照明工程业绩得</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满分5分。</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注：项目负责人业绩应</w:t>
            </w:r>
            <w:r>
              <w:rPr>
                <w:rFonts w:hint="default" w:ascii="Times New Roman" w:hAnsi="Times New Roman" w:cs="Times New Roman"/>
                <w:kern w:val="0"/>
                <w:sz w:val="24"/>
                <w:szCs w:val="24"/>
                <w:highlight w:val="none"/>
                <w:lang w:val="en-US" w:eastAsia="zh-CN"/>
              </w:rPr>
              <w:t>提供合同扫描件或复印件和对应合同任意结点税务发票，时间以签订合同时间为准</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1.具有有效的高新技术企业证书的得2分;</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宋体" w:hAnsi="宋体" w:cs="宋体"/>
                <w:kern w:val="0"/>
                <w:sz w:val="24"/>
                <w:lang w:val="en-US" w:eastAsia="zh-CN"/>
              </w:rPr>
              <w:t>2.</w:t>
            </w:r>
            <w:r>
              <w:rPr>
                <w:rFonts w:hint="default" w:ascii="宋体" w:hAnsi="宋体" w:cs="宋体"/>
                <w:kern w:val="0"/>
                <w:sz w:val="24"/>
              </w:rPr>
              <w:t>具有</w:t>
            </w:r>
            <w:r>
              <w:rPr>
                <w:rFonts w:hint="eastAsia" w:ascii="宋体" w:hAnsi="宋体" w:cs="宋体"/>
                <w:kern w:val="0"/>
                <w:sz w:val="24"/>
                <w:lang w:val="en-US" w:eastAsia="zh-CN"/>
              </w:rPr>
              <w:t>有效的</w:t>
            </w:r>
            <w:r>
              <w:rPr>
                <w:rFonts w:hint="default" w:ascii="宋体" w:hAnsi="宋体" w:cs="宋体"/>
                <w:kern w:val="0"/>
                <w:sz w:val="24"/>
              </w:rPr>
              <w:t>质量管理体系认证、环境管理体系认证、职业健康安全管理体系认证，</w:t>
            </w:r>
            <w:r>
              <w:rPr>
                <w:rFonts w:hint="eastAsia" w:ascii="宋体" w:hAnsi="宋体" w:cs="宋体"/>
                <w:kern w:val="0"/>
                <w:sz w:val="24"/>
                <w:lang w:val="en-US" w:eastAsia="zh-CN"/>
              </w:rPr>
              <w:t>每提供1项得1分，</w:t>
            </w:r>
            <w:r>
              <w:rPr>
                <w:rFonts w:hint="eastAsia" w:ascii="Times New Roman" w:hAnsi="Times New Roman" w:cs="Times New Roman"/>
                <w:kern w:val="0"/>
                <w:sz w:val="24"/>
                <w:szCs w:val="24"/>
                <w:highlight w:val="none"/>
                <w:lang w:val="en-US" w:eastAsia="zh-CN"/>
              </w:rPr>
              <w:t>满分3分。</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上述证书须提供证明材料，否则不得分。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8" w:edGrp="everyone" w:colFirst="1" w:colLast="1"/>
            <w:permStart w:id="89" w:edGrp="everyone" w:colFirst="2" w:colLast="2"/>
            <w:permStart w:id="9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i/>
                <w:iCs/>
                <w:color w:val="FF0000"/>
                <w:kern w:val="0"/>
                <w:sz w:val="24"/>
                <w:szCs w:val="24"/>
                <w:highlight w:val="none"/>
                <w:u w:val="single"/>
                <w:lang w:val="en-US" w:eastAsia="zh-CN"/>
              </w:rPr>
              <w:t>取所有有效投标报价的算术平均值作为评标基准价(5 家以上去掉一个最高价和最低价)，各投标人的投标报价得分按以下公式计算:</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eastAsiaTheme="minorEastAsia"/>
                <w:i/>
                <w:iCs/>
                <w:color w:val="FF0000"/>
                <w:kern w:val="0"/>
                <w:sz w:val="24"/>
                <w:szCs w:val="24"/>
                <w:lang w:val="en-US" w:eastAsia="zh-CN" w:bidi="ar-SA"/>
              </w:rPr>
              <w:t>(1)</w:t>
            </w:r>
            <w:r>
              <w:rPr>
                <w:rFonts w:hint="eastAsia" w:ascii="Times New Roman" w:hAnsi="Times New Roman" w:cs="Times New Roman"/>
                <w:i/>
                <w:iCs/>
                <w:color w:val="FF0000"/>
                <w:kern w:val="0"/>
                <w:sz w:val="24"/>
                <w:szCs w:val="24"/>
                <w:highlight w:val="none"/>
                <w:u w:val="single"/>
                <w:lang w:val="en-US" w:eastAsia="zh-CN"/>
              </w:rPr>
              <w:t>投标人的投标报价等于评标基准价得 50分;</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i/>
                <w:iCs/>
                <w:color w:val="FF0000"/>
                <w:kern w:val="0"/>
                <w:sz w:val="24"/>
                <w:szCs w:val="24"/>
                <w:highlight w:val="none"/>
                <w:u w:val="single"/>
                <w:lang w:val="en-US" w:eastAsia="zh-CN"/>
              </w:rPr>
              <w:t>(2)投标人的投标报价高于评标基准价:50-(投标人投标报价-评标基准价)/评标基准价*100*0.5;</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i/>
                <w:iCs/>
                <w:color w:val="FF0000"/>
                <w:kern w:val="0"/>
                <w:sz w:val="24"/>
                <w:szCs w:val="24"/>
                <w:highlight w:val="none"/>
                <w:u w:val="single"/>
                <w:lang w:val="en-US" w:eastAsia="zh-CN"/>
              </w:rPr>
              <w:t>(3)投标人的投标报价低于评标基准价:50+(投标人投标报价-评标基准价)/评标基准价*100*0.2。</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i/>
                <w:iCs/>
                <w:color w:val="FF0000"/>
                <w:kern w:val="0"/>
                <w:sz w:val="24"/>
                <w:szCs w:val="24"/>
                <w:highlight w:val="none"/>
                <w:u w:val="single"/>
                <w:lang w:val="en-US" w:eastAsia="zh-CN"/>
              </w:rPr>
              <w:t>最多扣 10分，最终计算结果四舍五入保留两位小数。</w:t>
            </w:r>
          </w:p>
        </w:tc>
      </w:tr>
      <w:permEnd w:id="88"/>
      <w:permEnd w:id="89"/>
      <w:permEnd w:id="9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1" w:edGrp="everyone" w:colFirst="1" w:colLast="1"/>
            <w:permStart w:id="92" w:edGrp="everyone" w:colFirst="2" w:colLast="2"/>
            <w:permStart w:id="93"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iCs/>
                <w:color w:val="FF0000"/>
                <w:kern w:val="0"/>
                <w:sz w:val="24"/>
                <w:szCs w:val="24"/>
                <w:highlight w:val="none"/>
                <w:u w:val="single"/>
                <w:lang w:val="en-US" w:eastAsia="zh-CN"/>
              </w:rPr>
              <w:t>/</w:t>
            </w:r>
          </w:p>
        </w:tc>
      </w:tr>
      <w:permEnd w:id="91"/>
      <w:permEnd w:id="92"/>
      <w:permEnd w:id="93"/>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44974557"/>
      <w:bookmarkStart w:id="381" w:name="_Toc246996976"/>
      <w:bookmarkStart w:id="382" w:name="_Toc152045590"/>
      <w:bookmarkStart w:id="383" w:name="_Toc247085748"/>
      <w:bookmarkStart w:id="384" w:name="_Toc152042367"/>
      <w:bookmarkStart w:id="385" w:name="_Toc179632608"/>
      <w:bookmarkStart w:id="386" w:name="_Toc246996233"/>
      <w:bookmarkStart w:id="387" w:name="_Toc296602478"/>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247085749"/>
      <w:bookmarkStart w:id="389" w:name="_Toc144974558"/>
      <w:bookmarkStart w:id="390" w:name="_Toc152045591"/>
      <w:bookmarkStart w:id="391" w:name="_Toc246996234"/>
      <w:bookmarkStart w:id="392" w:name="_Toc152042368"/>
      <w:bookmarkStart w:id="393" w:name="_Toc296602479"/>
      <w:bookmarkStart w:id="394" w:name="_Toc246996977"/>
      <w:bookmarkStart w:id="395"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246996979"/>
      <w:bookmarkStart w:id="397" w:name="_Toc296602481"/>
      <w:bookmarkStart w:id="398" w:name="_Toc144974560"/>
      <w:bookmarkStart w:id="399" w:name="_Toc246996236"/>
      <w:bookmarkStart w:id="400" w:name="_Toc152042370"/>
      <w:bookmarkStart w:id="401" w:name="_Toc179632611"/>
      <w:bookmarkStart w:id="402" w:name="_Toc152045593"/>
      <w:bookmarkStart w:id="403" w:name="_Toc24708575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专项施工方案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4" w:edGrp="everyone"/>
      <w:r>
        <w:rPr>
          <w:rFonts w:hint="eastAsia" w:ascii="Times New Roman" w:hAnsi="Times New Roman" w:cs="Times New Roman"/>
          <w:kern w:val="0"/>
          <w:sz w:val="24"/>
          <w:szCs w:val="24"/>
          <w:highlight w:val="none"/>
          <w:lang w:val="en-US" w:eastAsia="zh-CN"/>
        </w:rPr>
        <w:t>企业荣誉</w:t>
      </w:r>
      <w:permEnd w:id="9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5" w:edGrp="everyone"/>
      <w:r>
        <w:rPr>
          <w:rFonts w:hint="eastAsia" w:ascii="Times New Roman" w:hAnsi="Times New Roman" w:cs="Times New Roman" w:eastAsiaTheme="minorEastAsia"/>
          <w:kern w:val="0"/>
          <w:sz w:val="24"/>
          <w:szCs w:val="24"/>
          <w:highlight w:val="none"/>
          <w:lang w:val="en-US" w:eastAsia="zh-CN"/>
        </w:rPr>
        <w:t>投标报价</w:t>
      </w:r>
      <w:permEnd w:id="95"/>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6" w:edGrp="everyone"/>
      <w:r>
        <w:rPr>
          <w:rFonts w:hint="eastAsia" w:ascii="Times New Roman" w:hAnsi="Times New Roman" w:cs="Times New Roman" w:eastAsiaTheme="minorEastAsia"/>
          <w:kern w:val="0"/>
          <w:sz w:val="24"/>
          <w:szCs w:val="24"/>
          <w:highlight w:val="none"/>
          <w:lang w:val="en-US" w:eastAsia="zh-CN"/>
        </w:rPr>
        <w:t>其他评分因素</w:t>
      </w:r>
      <w:permEnd w:id="96"/>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专项施工方案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0"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0"/>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96602482"/>
      <w:bookmarkStart w:id="405" w:name="_Toc144974561"/>
      <w:bookmarkStart w:id="406" w:name="_Toc247085752"/>
      <w:bookmarkStart w:id="407" w:name="_Toc152045594"/>
      <w:bookmarkStart w:id="408" w:name="_Toc152042371"/>
      <w:bookmarkStart w:id="409" w:name="_Toc246996237"/>
      <w:bookmarkStart w:id="410" w:name="_Toc179632612"/>
      <w:bookmarkStart w:id="411" w:name="_Toc246996980"/>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144974562"/>
      <w:bookmarkStart w:id="413" w:name="_Toc296602483"/>
      <w:bookmarkStart w:id="414" w:name="_Toc152042372"/>
      <w:bookmarkStart w:id="415" w:name="_Toc246996981"/>
      <w:bookmarkStart w:id="416" w:name="_Toc246996238"/>
      <w:bookmarkStart w:id="417" w:name="_Toc152045595"/>
      <w:bookmarkStart w:id="418" w:name="_Toc179632613"/>
      <w:bookmarkStart w:id="419" w:name="_Toc247085753"/>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246996239"/>
      <w:bookmarkStart w:id="422" w:name="_Toc179632614"/>
      <w:bookmarkStart w:id="423" w:name="_Toc152042373"/>
      <w:bookmarkStart w:id="424" w:name="_Toc246996982"/>
      <w:bookmarkStart w:id="425" w:name="_Toc247085754"/>
      <w:bookmarkStart w:id="426" w:name="_Toc296602484"/>
      <w:bookmarkStart w:id="427" w:name="_Toc152045596"/>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专项施工方案</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0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101"/>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02"/>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0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03"/>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spacing w:line="520" w:lineRule="exact"/>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permStart w:id="104" w:edGrp="everyone"/>
            <w:r>
              <w:rPr>
                <w:rFonts w:hint="eastAsia" w:ascii="Times New Roman" w:hAnsi="Times New Roman" w:cs="Times New Roman"/>
                <w:kern w:val="0"/>
                <w:sz w:val="24"/>
                <w:szCs w:val="24"/>
                <w:highlight w:val="none"/>
                <w:shd w:val="clear" w:color="auto" w:fill="auto"/>
                <w:vertAlign w:val="baseline"/>
                <w:lang w:val="en-US" w:eastAsia="zh-CN"/>
              </w:rPr>
              <w:t xml:space="preserve">  安徽通康建设工程有限公司   </w:t>
            </w:r>
            <w:permEnd w:id="10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spacing w:line="520" w:lineRule="exact"/>
              <w:ind w:firstLine="480" w:firstLineChars="200"/>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工程款支付：按进度付款，中标人每月20日前将上期分包范围内的工程款上报至发包人审核，按月支付当月已完工程核定价款的75%，中标人需提供当期实际完成工程量的全额增值税专用发票；工程竣工验收合格移交后付至已完工程核定价款的85%；工程结算审计结束后三个月内付至工程结算价款的97%；余下3%作为质保金。中标人配合发包人与建设单位委托的审计单位沟通，进行工程结算价款计算、核对等工作。</w:t>
            </w:r>
          </w:p>
          <w:p>
            <w:pPr>
              <w:spacing w:line="520" w:lineRule="exact"/>
              <w:ind w:firstLine="480" w:firstLineChars="200"/>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2.中标人在竣工验收合格二十日内提交结算资料，工程审计由建设单位委托有资质的审计单位进行审核，核减在5%以内，审计费用由发包人承担；审减额超过5%，超出部分的审计费用由中标人承担。</w:t>
            </w:r>
          </w:p>
          <w:p>
            <w:pPr>
              <w:spacing w:line="520" w:lineRule="exact"/>
              <w:ind w:firstLine="480" w:firstLineChars="200"/>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中标人在每次付款时需按照发包人要求全额（当期实际完成工程量）提供符合本工程并满足财务所需的工程类增值税专用发票及进项税抵扣联（提供全额9%增值税专用发票），若分包人未按照本条约定出具符合要求的全额增值税发票的，发包人有权不予支付，发包人不承担任何违约责任，由此产生的资金占用等费用由分包人自行承担。</w:t>
            </w:r>
          </w:p>
          <w:p>
            <w:pPr>
              <w:spacing w:line="520" w:lineRule="exact"/>
              <w:ind w:firstLine="480" w:firstLineChars="200"/>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中标人须按发包人要求建立健全劳资专管员制度，对施工人员进行实名制管理和登记，中标人每月上报本工程农民工工资清单，每月10日前委托开设农民工工资专用账户的银行支付农民工工资。通过专户由银行打卡发放农民工工资并切实落实安全文明施工措施。中标人违反上述规定或者因拖欠工资出现农民工群体事件和讨薪事件发生的，中标人应承担相应的违约责任。中标人每月进度款需预留下月农民工专项账户所需金额，如预留不足或发生农民工投诉、政府监管部门处罚的情况，则由中标人补足，并承担相应损失。</w:t>
            </w:r>
          </w:p>
          <w:p>
            <w:pPr>
              <w:spacing w:line="520" w:lineRule="exact"/>
              <w:ind w:firstLine="480" w:firstLineChars="200"/>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5.工程质量保证金的返还：</w:t>
            </w:r>
          </w:p>
          <w:p>
            <w:pPr>
              <w:spacing w:line="520" w:lineRule="exact"/>
              <w:ind w:firstLine="480" w:firstLineChars="200"/>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①工程缺陷责任期为24个月，缺陷责任期自工程竣工验收合格之日起计算。缺陷责任期终止后，发包人退还剩余的质量保证金，工程质量保证金不计利息。</w:t>
            </w:r>
          </w:p>
          <w:p>
            <w:pPr>
              <w:spacing w:line="520" w:lineRule="exact"/>
              <w:ind w:firstLine="480" w:firstLineChars="200"/>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②工程量按实际完成工程量由发包单位、监理单位、建设单位共同确认进行结算。</w:t>
            </w:r>
          </w:p>
          <w:p>
            <w:pPr>
              <w:spacing w:line="520" w:lineRule="exact"/>
              <w:ind w:firstLine="480" w:firstLineChars="200"/>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备注：</w:t>
            </w:r>
          </w:p>
          <w:p>
            <w:pPr>
              <w:spacing w:line="520" w:lineRule="exact"/>
              <w:ind w:firstLine="480" w:firstLineChars="200"/>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A）由于建设单位未支付工程款等原因导致工程款未及时发放，中标人不得擅自采取停工、上访等措施，否则由此造成的发包人一切经济损失、法律责任由中标人承担。</w:t>
            </w:r>
          </w:p>
          <w:p>
            <w:pPr>
              <w:spacing w:line="520" w:lineRule="exact"/>
              <w:ind w:firstLine="480" w:firstLineChars="200"/>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B）工程进度款与质量挂钩，若所报工程的质量达不到验收规范要求、形象进度与工程资料达不到合同要求，发包人有权暂缓支付该部分工程款，中标人应承担相应损失。</w:t>
            </w:r>
          </w:p>
          <w:p>
            <w:pPr>
              <w:spacing w:line="520" w:lineRule="exact"/>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注：如中标人有人员因农民工工资投诉到市清欠办公室，或最终到建设单位、总承包单位办公室地点进行讨薪等，中标单位需承担违约金10000元/次。</w:t>
            </w:r>
          </w:p>
          <w:p>
            <w:pPr>
              <w:spacing w:line="520" w:lineRule="exact"/>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5"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105"/>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6"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7"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107"/>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108" w:edGrp="everyone"/>
      <w:r>
        <w:rPr>
          <w:rFonts w:hint="eastAsia" w:ascii="Times New Roman" w:hAnsi="Times New Roman" w:cs="Times New Roman"/>
          <w:kern w:val="0"/>
          <w:sz w:val="24"/>
          <w:szCs w:val="24"/>
          <w:highlight w:val="none"/>
          <w:u w:val="single"/>
          <w:lang w:val="en-US" w:eastAsia="zh-CN"/>
        </w:rPr>
        <w:t xml:space="preserve">    /       </w:t>
      </w:r>
      <w:permEnd w:id="108"/>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109" w:edGrp="everyone"/>
      <w:r>
        <w:rPr>
          <w:rFonts w:hint="eastAsia" w:ascii="Times New Roman" w:hAnsi="Times New Roman" w:cs="Times New Roman"/>
          <w:kern w:val="0"/>
          <w:sz w:val="24"/>
          <w:szCs w:val="24"/>
          <w:highlight w:val="none"/>
          <w:u w:val="single"/>
          <w:lang w:val="en-US" w:eastAsia="zh-CN"/>
        </w:rPr>
        <w:t xml:space="preserve">    /       </w:t>
      </w:r>
      <w:permEnd w:id="109"/>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spacing w:line="520" w:lineRule="exact"/>
        <w:ind w:firstLine="480" w:firstLineChars="200"/>
        <w:rPr>
          <w:rFonts w:hint="eastAsia" w:asciiTheme="minorEastAsia" w:hAnsiTheme="minorEastAsia" w:cstheme="minorEastAsia"/>
          <w:sz w:val="28"/>
          <w:szCs w:val="28"/>
          <w:highlight w:val="none"/>
          <w:lang w:val="en-US" w:eastAsia="zh-CN"/>
        </w:rPr>
      </w:pPr>
      <w:permStart w:id="110" w:edGrp="everyone"/>
      <w:r>
        <w:rPr>
          <w:rFonts w:hint="eastAsia" w:ascii="Times New Roman" w:hAnsi="Times New Roman" w:cs="Times New Roman"/>
          <w:kern w:val="0"/>
          <w:sz w:val="24"/>
          <w:szCs w:val="24"/>
          <w:highlight w:val="none"/>
          <w:lang w:val="en-US" w:eastAsia="zh-CN"/>
        </w:rPr>
        <w:t xml:space="preserve"> </w:t>
      </w:r>
      <w:r>
        <w:rPr>
          <w:rFonts w:hint="eastAsia" w:asciiTheme="minorEastAsia" w:hAnsiTheme="minorEastAsia" w:cstheme="minorEastAsia"/>
          <w:sz w:val="28"/>
          <w:szCs w:val="28"/>
          <w:highlight w:val="none"/>
          <w:lang w:val="en-US" w:eastAsia="zh-CN"/>
        </w:rPr>
        <w:t>1.工程量计算规则按照发包人与建设单位间工程量计算规则为准。</w:t>
      </w:r>
    </w:p>
    <w:p>
      <w:pPr>
        <w:spacing w:line="520" w:lineRule="exact"/>
        <w:ind w:firstLine="560" w:firstLineChars="200"/>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2.计价基数的确定：根据建设单位与发包人实际施工部分的合同价作为计价基数（3127146.33元，以最终审计价款为准）。</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default" w:ascii="Times New Roman" w:hAnsi="Times New Roman" w:cs="Times New Roman"/>
          <w:kern w:val="0"/>
          <w:sz w:val="24"/>
          <w:szCs w:val="24"/>
          <w:highlight w:val="none"/>
          <w:u w:val="none"/>
          <w:lang w:val="en-US" w:eastAsia="zh-CN"/>
        </w:rPr>
      </w:pPr>
      <w:r>
        <w:rPr>
          <w:rFonts w:hint="eastAsia" w:asciiTheme="minorEastAsia" w:hAnsiTheme="minorEastAsia" w:cstheme="minorEastAsia"/>
          <w:sz w:val="28"/>
          <w:szCs w:val="28"/>
          <w:highlight w:val="none"/>
          <w:lang w:val="en-US" w:eastAsia="zh-CN"/>
        </w:rPr>
        <w:t>3.中标价在中标后不得调整，在工程款支付及最终结算时按中标价及本招标文件约定相关计价方式进行按实结算。投标人对照图纸仔细核算并充分考虑各种风险因素，一旦中标，中标后均不作调整。承包单价均包括所有为完成本工程所需的人工、材料、机械、利润、税金（9%）社保及工伤保险、风险及各项福利及差旅费等，中标人不再享受总包方任何待遇。</w:t>
      </w:r>
      <w:r>
        <w:rPr>
          <w:rFonts w:hint="eastAsia" w:ascii="Times New Roman" w:hAnsi="Times New Roman" w:cs="Times New Roman"/>
          <w:kern w:val="0"/>
          <w:sz w:val="24"/>
          <w:szCs w:val="24"/>
          <w:highlight w:val="none"/>
          <w:lang w:val="en-US" w:eastAsia="zh-CN"/>
        </w:rPr>
        <w:t xml:space="preserve"> </w:t>
      </w:r>
      <w:permEnd w:id="110"/>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111" w:edGrp="everyone"/>
      <w:r>
        <w:rPr>
          <w:rFonts w:hint="eastAsia" w:ascii="Times New Roman" w:hAnsi="Times New Roman" w:cs="Times New Roman"/>
          <w:kern w:val="0"/>
          <w:sz w:val="24"/>
          <w:szCs w:val="24"/>
          <w:highlight w:val="none"/>
          <w:lang w:val="en-US" w:eastAsia="zh-CN"/>
        </w:rPr>
        <w:t>详见附件。</w:t>
      </w:r>
    </w:p>
    <w:permEnd w:id="111"/>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12" w:edGrp="everyone" w:colFirst="0" w:colLast="0"/>
            <w:permStart w:id="113"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12"/>
      <w:permEnd w:id="11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14" w:edGrp="everyone"/>
      <w:r>
        <w:rPr>
          <w:rFonts w:hint="eastAsia" w:ascii="Times New Roman" w:hAnsi="Times New Roman" w:cs="Times New Roman"/>
          <w:kern w:val="0"/>
          <w:sz w:val="24"/>
          <w:szCs w:val="24"/>
          <w:highlight w:val="none"/>
          <w:lang w:val="en-US" w:eastAsia="zh-CN"/>
        </w:rPr>
        <w:t>详见附件。</w:t>
      </w:r>
    </w:p>
    <w:permEnd w:id="114"/>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spacing w:line="520" w:lineRule="exact"/>
        <w:ind w:firstLine="560" w:firstLineChars="200"/>
        <w:rPr>
          <w:rFonts w:hint="eastAsia" w:asciiTheme="minorEastAsia" w:hAnsiTheme="minorEastAsia" w:eastAsiaTheme="minorEastAsia" w:cstheme="minorEastAsia"/>
          <w:sz w:val="28"/>
          <w:szCs w:val="28"/>
          <w:highlight w:val="none"/>
          <w:lang w:val="en-US" w:eastAsia="zh-CN"/>
        </w:rPr>
      </w:pPr>
      <w:permStart w:id="115" w:edGrp="everyone"/>
      <w:r>
        <w:rPr>
          <w:rFonts w:hint="eastAsia" w:asciiTheme="minorEastAsia" w:hAnsiTheme="minorEastAsia" w:eastAsiaTheme="minorEastAsia" w:cstheme="minorEastAsia"/>
          <w:i w:val="0"/>
          <w:iCs w:val="0"/>
          <w:color w:val="FF0000"/>
          <w:sz w:val="28"/>
          <w:szCs w:val="28"/>
          <w:highlight w:val="none"/>
          <w:u w:val="none"/>
          <w:lang w:val="en-US" w:eastAsia="zh-CN"/>
        </w:rPr>
        <w:t>本项由招标人</w:t>
      </w:r>
      <w:r>
        <w:rPr>
          <w:rFonts w:hint="eastAsia" w:asciiTheme="minorEastAsia" w:hAnsiTheme="minorEastAsia" w:cstheme="minorEastAsia"/>
          <w:i w:val="0"/>
          <w:iCs w:val="0"/>
          <w:color w:val="FF0000"/>
          <w:sz w:val="28"/>
          <w:szCs w:val="28"/>
          <w:highlight w:val="none"/>
          <w:u w:val="none"/>
          <w:lang w:val="en-US" w:eastAsia="zh-CN"/>
        </w:rPr>
        <w:t>在招标方案中</w:t>
      </w:r>
      <w:r>
        <w:rPr>
          <w:rFonts w:hint="eastAsia" w:asciiTheme="minorEastAsia" w:hAnsiTheme="minorEastAsia" w:eastAsiaTheme="minorEastAsia" w:cstheme="minorEastAsia"/>
          <w:i w:val="0"/>
          <w:iCs w:val="0"/>
          <w:color w:val="FF0000"/>
          <w:sz w:val="28"/>
          <w:szCs w:val="28"/>
          <w:highlight w:val="none"/>
          <w:u w:val="none"/>
          <w:lang w:val="en-US" w:eastAsia="zh-CN"/>
        </w:rPr>
        <w:t>提出，主要为项目概况、质量要求、适用技术规范、施工工艺、工期、竣工验收以及其他发包人要求等内容。</w:t>
      </w:r>
      <w:r>
        <w:rPr>
          <w:rFonts w:hint="eastAsia" w:asciiTheme="minorEastAsia" w:hAnsiTheme="minorEastAsia" w:eastAsiaTheme="minorEastAsia" w:cstheme="minorEastAsia"/>
          <w:sz w:val="28"/>
          <w:szCs w:val="28"/>
          <w:highlight w:val="none"/>
          <w:lang w:val="en-US" w:eastAsia="zh-CN"/>
        </w:rPr>
        <w:t>具体承包内容在实施过程中承包方有权调整</w:t>
      </w:r>
      <w:r>
        <w:rPr>
          <w:rFonts w:hint="eastAsia" w:asciiTheme="minorEastAsia" w:hAnsiTheme="minorEastAsia" w:cstheme="minorEastAsia"/>
          <w:color w:val="FF0000"/>
          <w:sz w:val="28"/>
          <w:szCs w:val="28"/>
          <w:highlight w:val="none"/>
          <w:lang w:val="en-US" w:eastAsia="zh-CN"/>
        </w:rPr>
        <w:t>（原则上包括该工程分项的所有工程）</w:t>
      </w:r>
      <w:r>
        <w:rPr>
          <w:rFonts w:hint="eastAsia" w:asciiTheme="minorEastAsia" w:hAnsiTheme="minorEastAsia" w:eastAsiaTheme="minorEastAsia" w:cstheme="minorEastAsia"/>
          <w:sz w:val="28"/>
          <w:szCs w:val="28"/>
          <w:highlight w:val="none"/>
          <w:lang w:val="en-US" w:eastAsia="zh-CN"/>
        </w:rPr>
        <w:t>。</w:t>
      </w:r>
    </w:p>
    <w:p>
      <w:pPr>
        <w:spacing w:line="52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注：A）因建设单位原因出现停工、停建、变更等情况造成承包范围增减，发包人不承担任何责任。发包人有权对中标人施工范围做出调整。</w:t>
      </w:r>
    </w:p>
    <w:p>
      <w:pPr>
        <w:spacing w:line="52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B）中标人必须负责所在施工区域的文明施工及安全保护措施（施工范围内日常清理及各种检查的文明清理，场内场外运输，所在施工区域内的文明施工及安全保护措施等都在招标范围之内，直至工程竣工验收移交前的所有文明施工）。</w:t>
      </w:r>
    </w:p>
    <w:p>
      <w:pPr>
        <w:spacing w:line="52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C）本项目部分临时设施相关费用由中标人承担（包含施工水电费、公共区安全文明施工费、扬尘治理费、样板展示区、安全体验馆、智慧工地、相关过程迎检费、创奖费、工程排污费、中标单位办公临设费及其他相关费用等）。</w:t>
      </w:r>
    </w:p>
    <w:p>
      <w:pPr>
        <w:spacing w:line="52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D）中标人应充分熟悉当地环保等相关政策，中标人在投标报价过程中应充分考虑一切可能存在的风险，相关费用已包含在投标报价中。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E）中标人应按照发包人要求配备相应管理人员，中标人配备管理人员一切费用均由中标人承担。</w:t>
      </w:r>
      <w:permEnd w:id="115"/>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中标人须组织对设计图纸进行交底及会审，指出设计图纸上任何不符施工常规、惯例或规范之处，以及设计图纸中错、漏、碰问题，并做好各系统管线的综合平衡工作。开工前认真核查设计图纸，进行现场核对并提交图纸审查报告。</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2.中标人须按照合同要求进行各项施工准备工作（包括但不限于施工范围的</w:t>
      </w:r>
      <w:r>
        <w:rPr>
          <w:rFonts w:hint="eastAsia" w:ascii="仿宋_GB2312" w:hAnsi="仿宋_GB2312" w:eastAsia="仿宋_GB2312" w:cs="仿宋_GB2312"/>
          <w:sz w:val="32"/>
          <w:szCs w:val="32"/>
          <w:lang w:eastAsia="zh-CN"/>
        </w:rPr>
        <w:t>专项施工方案</w:t>
      </w:r>
      <w:r>
        <w:rPr>
          <w:rFonts w:hint="eastAsia" w:ascii="仿宋_GB2312" w:hAnsi="仿宋_GB2312" w:eastAsia="仿宋_GB2312" w:cs="仿宋_GB2312"/>
          <w:sz w:val="32"/>
          <w:szCs w:val="32"/>
        </w:rPr>
        <w:t>、施工计划及其他各项工程施工有关的管理方案、措施的编制）。如需组织专家论证，则此部分费用投标人须综合考虑入投标报价中。</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3.投标人应完成的工作包括图纸和答疑（包含发包人及建设单位答疑）所包含的所有明示内容，包括不限于承包范围、工程规范、措施费报价说明等合同约定的所有工作内容。</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color w:val="FF0000"/>
          <w:sz w:val="32"/>
          <w:szCs w:val="32"/>
        </w:rPr>
        <w:t>中标人应配备满足项目施工要求的现场管理人员（包括但不限于安全员、施工员、质量员、材料员、造价员），其中专职安全员不少于1名，农民工工资专户管理员1名。主要管理人员现场每周现场履职时间需满足发包人要求（每周不少于7天）</w:t>
      </w:r>
      <w:r>
        <w:rPr>
          <w:rFonts w:hint="eastAsia" w:ascii="仿宋_GB2312" w:hAnsi="仿宋_GB2312" w:eastAsia="仿宋_GB2312" w:cs="仿宋_GB2312"/>
          <w:sz w:val="32"/>
          <w:szCs w:val="32"/>
        </w:rPr>
        <w:t>。</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5.工程主材参考品牌具体以总承包合同约定材料品牌为准。</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6.中标人在施工过程中必须满足扬尘治理各项工作要求，包括但不限于亳州市扬尘治理六个100%要求。</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7.中标人必须为承包范围内的扬尘治理工作配备足够的设备、物资和人员，并安排专人负责扬尘治理具体工作。</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8.中标人负责环保、城管等有关部门的迎检、协调等工作，由此发生的相关费用（含罚款等费用）由中标方负责。确保通过项目部、建设单位、监理及政府主管部门的安全、质量、文明、环保等相关验收。</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9.中标人承包范围内的扬尘治理费用均由中标人承担，如果因扬尘治理工作不到位受到主管部门处罚，发包人将对中标人处以主管部门罚款金额两倍的罚金并追究其有关责任。</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10.特别说明：该项目预计投资包含施工等所有费用，且不再追加投资。</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安全标准：</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A）安全文明施工标准：实施该项目安全文明施工必须达到 “亳州市安全文明标准化示范工地”，“扬尘治理优秀（A类）示范工地”标准，责任伤亡事故为零，责任火灾、大型机械设备事故为零；各级测评、检查安全文明成绩合格并符合建设单位相关要求。</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B）项目在实施过程中发包人会不定期对项目安全文明施工进行评审、验收，中标人对施工过程中存在问题进行整改，拒不整改的，由发包人派人员进行整改，费用从中标人工程款中扣除（若建设单位提高创优标准，则按照建设单位要求执行）。</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C）满足主管部门、建设单位、发包人的其他安全相关管理制度。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注：为满足创标要求，现场机械设备，施工工具、器材达不到发包人合同规定的安全质量标准，由此给发包人造成的经济处罚、名誉损失等一切责任，由中标人全部承担。</w:t>
      </w:r>
    </w:p>
    <w:p>
      <w:pPr>
        <w:spacing w:line="52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12.施工质量：</w:t>
      </w:r>
    </w:p>
    <w:p>
      <w:pPr>
        <w:spacing w:line="52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A）质量标准：一次性100%验收合格并通过竣工验收备案，达到国家、地方政府、行业规范、建设单位及发包人的质量检验评定标准。</w:t>
      </w:r>
    </w:p>
    <w:p>
      <w:pPr>
        <w:spacing w:line="52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B）在施工过程中必须严格按发包人技术交底进行操作，精心组织施工，坚持质量“三检制”。施工质量必须符合设计施工图及《施工及验收规范》和《建筑安装工程质量验收评定标准》要求。</w:t>
      </w:r>
    </w:p>
    <w:p>
      <w:pPr>
        <w:spacing w:line="520" w:lineRule="exact"/>
        <w:ind w:firstLine="560" w:firstLineChars="200"/>
        <w:rPr>
          <w:rFonts w:hint="default" w:ascii="仿宋_GB2312" w:hAnsi="仿宋_GB2312" w:eastAsia="仿宋_GB2312" w:cs="仿宋_GB2312"/>
          <w:sz w:val="32"/>
          <w:szCs w:val="32"/>
          <w:lang w:val="en-US" w:eastAsia="zh-CN"/>
        </w:rPr>
      </w:pPr>
      <w:r>
        <w:rPr>
          <w:rFonts w:hint="eastAsia" w:asciiTheme="minorEastAsia" w:hAnsiTheme="minorEastAsia" w:eastAsiaTheme="minorEastAsia" w:cstheme="minorEastAsia"/>
          <w:sz w:val="28"/>
          <w:szCs w:val="28"/>
          <w:highlight w:val="none"/>
          <w:lang w:val="en-US" w:eastAsia="zh-CN"/>
        </w:rPr>
        <w:t>C）材料质量标准：按国家与行业标准执行，必须保证所供材料合格并符合建设单位的相关规定。</w:t>
      </w: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利辛县煤电产业园区基础设施建设一期工程（第四标段）交通工程及城市照明工程专业分包施工招标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BZJK-2024- 006号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8" w:name="_Toc144974856"/>
      <w:bookmarkStart w:id="429" w:name="_Toc152042576"/>
      <w:bookmarkStart w:id="430" w:name="_Toc300835209"/>
      <w:bookmarkStart w:id="431" w:name="_Toc247527827"/>
      <w:bookmarkStart w:id="432" w:name="_Toc247514246"/>
      <w:bookmarkStart w:id="433" w:name="_Toc152045787"/>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五、专项施工方案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34" w:name="_Toc152042577"/>
      <w:bookmarkStart w:id="435" w:name="_Toc144974857"/>
      <w:bookmarkStart w:id="436" w:name="_Toc247514247"/>
      <w:bookmarkStart w:id="437" w:name="_Toc247527828"/>
      <w:bookmarkStart w:id="438" w:name="_Toc152045788"/>
      <w:bookmarkStart w:id="439" w:name="_Toc300835210"/>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440" w:name="_Toc152042578"/>
      <w:bookmarkStart w:id="441" w:name="_Toc144974858"/>
      <w:bookmarkStart w:id="442" w:name="_Toc300835211"/>
      <w:bookmarkStart w:id="443" w:name="_Toc247527829"/>
      <w:bookmarkStart w:id="444" w:name="_Toc247514248"/>
      <w:bookmarkStart w:id="445" w:name="_Toc152045789"/>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eastAsia" w:ascii="Times New Roman" w:hAnsi="Times New Roman" w:cs="Times New Roman"/>
          <w:szCs w:val="21"/>
          <w:u w:val="single"/>
          <w:lang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lang w:val="en-US" w:eastAsia="zh-CN"/>
        </w:rPr>
        <w:t>利辛县煤电产业园区基础设施建设一期工程（第四标段）交通工程及城市照明工程专业分包</w:t>
      </w:r>
      <w:r>
        <w:rPr>
          <w:rFonts w:hint="default" w:ascii="Times New Roman" w:hAnsi="Times New Roman" w:cs="Times New Roman"/>
          <w:szCs w:val="21"/>
        </w:rPr>
        <w:t>招标文件的全部内容，愿意以</w:t>
      </w:r>
      <w:permStart w:id="116" w:edGrp="everyone"/>
      <w:r>
        <w:rPr>
          <w:rFonts w:hint="eastAsia" w:ascii="Times New Roman" w:hAnsi="Times New Roman" w:cs="Times New Roman"/>
          <w:szCs w:val="21"/>
          <w:lang w:val="en-US" w:eastAsia="zh-CN"/>
        </w:rPr>
        <w:t>固定总价（大写）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小写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的投标总报价（其中增值税税率：9% ）</w:t>
      </w:r>
      <w:permEnd w:id="116"/>
      <w:r>
        <w:rPr>
          <w:rFonts w:hint="eastAsia" w:ascii="Times New Roman" w:hAnsi="Times New Roman" w:cs="Times New Roman"/>
          <w:szCs w:val="21"/>
          <w:lang w:val="en-US" w:eastAsia="zh-CN"/>
        </w:rPr>
        <w:t>，工期自合同签订之日起 365日历天</w:t>
      </w:r>
      <w:r>
        <w:rPr>
          <w:rFonts w:hint="eastAsia" w:ascii="Times New Roman" w:hAnsi="Times New Roman" w:cs="Times New Roman"/>
          <w:szCs w:val="21"/>
          <w:u w:val="none"/>
          <w:lang w:val="en-US" w:eastAsia="zh-CN"/>
        </w:rPr>
        <w:t>，按合同约定实施和完成承包工程，修补工程中的任何缺陷，工程质量达到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46" w:name="_Toc152042579"/>
      <w:bookmarkStart w:id="447" w:name="_Toc144974859"/>
      <w:bookmarkStart w:id="448" w:name="_Toc247527830"/>
      <w:bookmarkStart w:id="449" w:name="_Toc300835212"/>
      <w:bookmarkStart w:id="450" w:name="_Toc247514249"/>
      <w:bookmarkStart w:id="451" w:name="_Toc152045790"/>
    </w:p>
    <w:p>
      <w:pPr>
        <w:pStyle w:val="4"/>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52" w:name="_Toc247514283"/>
      <w:bookmarkStart w:id="453" w:name="_Toc300835213"/>
      <w:bookmarkStart w:id="454" w:name="_Toc247527831"/>
      <w:bookmarkStart w:id="455" w:name="_Toc144974860"/>
      <w:bookmarkStart w:id="456" w:name="_Toc152042580"/>
      <w:bookmarkStart w:id="457" w:name="_Toc152045791"/>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8" w:name="_Toc247527832"/>
      <w:bookmarkStart w:id="459" w:name="_Toc144974861"/>
      <w:bookmarkStart w:id="460" w:name="_Toc247514284"/>
      <w:bookmarkStart w:id="461" w:name="_Toc152042581"/>
      <w:bookmarkStart w:id="462" w:name="_Toc152045792"/>
      <w:bookmarkStart w:id="463" w:name="_Toc300835214"/>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附：法定代表人身份证明、委托代理人身份证复印件、委托代理人2022年1月以来任意连续3个月的养老保险证明复印件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64" w:name="_Toc152042583"/>
      <w:bookmarkStart w:id="465" w:name="_Toc152045794"/>
      <w:bookmarkStart w:id="466" w:name="_Toc144974862"/>
      <w:bookmarkStart w:id="467" w:name="_Toc247527834"/>
      <w:bookmarkStart w:id="468" w:name="_Toc300835216"/>
      <w:bookmarkStart w:id="469"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152042584"/>
      <w:bookmarkStart w:id="472" w:name="_Toc300835218"/>
      <w:bookmarkStart w:id="473" w:name="_Toc152045795"/>
      <w:bookmarkStart w:id="474" w:name="_Toc247527835"/>
      <w:bookmarkStart w:id="475" w:name="_Toc144974863"/>
      <w:bookmarkStart w:id="476" w:name="_Toc247514287"/>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152042585"/>
      <w:bookmarkStart w:id="478" w:name="_Toc144974864"/>
      <w:bookmarkStart w:id="479" w:name="_Toc152045796"/>
      <w:bookmarkStart w:id="480" w:name="_Toc247527836"/>
      <w:bookmarkStart w:id="481" w:name="_Toc300835221"/>
      <w:bookmarkStart w:id="482" w:name="_Toc247514288"/>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bookmarkStart w:id="574" w:name="_GoBack"/>
      <w:bookmarkEnd w:id="574"/>
      <w:r>
        <w:rPr>
          <w:rFonts w:hint="eastAsia" w:ascii="Times New Roman" w:hAnsi="Times New Roman" w:cs="Times New Roman"/>
          <w:highlight w:val="none"/>
          <w:lang w:val="en-US" w:eastAsia="zh-CN"/>
        </w:rPr>
        <w:t>专项施工方案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专项施工方案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84" w:name="_Toc144974865"/>
      <w:bookmarkStart w:id="485" w:name="_Toc296602610"/>
      <w:bookmarkStart w:id="486" w:name="_Toc246997108"/>
      <w:bookmarkStart w:id="487" w:name="_Toc179632817"/>
      <w:bookmarkStart w:id="488" w:name="_Toc152042586"/>
      <w:bookmarkStart w:id="489" w:name="_Toc246996365"/>
      <w:bookmarkStart w:id="490" w:name="_Toc247085883"/>
      <w:bookmarkStart w:id="491" w:name="_Toc152045797"/>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92" w:name="_Toc179632819"/>
      <w:bookmarkStart w:id="493" w:name="_Toc246997109"/>
      <w:bookmarkStart w:id="494" w:name="_Toc152045799"/>
      <w:bookmarkStart w:id="495" w:name="_Toc246996366"/>
      <w:bookmarkStart w:id="496" w:name="_Toc296602611"/>
      <w:bookmarkStart w:id="497" w:name="_Toc152042588"/>
      <w:bookmarkStart w:id="498" w:name="_Toc247085884"/>
      <w:bookmarkStart w:id="499" w:name="_Toc144974867"/>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500" w:name="_Toc246996367"/>
      <w:bookmarkStart w:id="501" w:name="_Toc179632820"/>
      <w:bookmarkStart w:id="502" w:name="_Toc144974868"/>
      <w:bookmarkStart w:id="503" w:name="_Toc152042589"/>
      <w:bookmarkStart w:id="504" w:name="_Toc152045800"/>
      <w:bookmarkStart w:id="505" w:name="_Toc246997110"/>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506" w:name="_Toc247085885"/>
      <w:bookmarkStart w:id="507" w:name="_Toc296602612"/>
      <w:r>
        <w:rPr>
          <w:rFonts w:hint="default"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3"/>
    <w:p>
      <w:pPr>
        <w:pStyle w:val="3"/>
        <w:jc w:val="center"/>
        <w:rPr>
          <w:szCs w:val="21"/>
        </w:rPr>
      </w:pPr>
      <w:bookmarkStart w:id="508" w:name="_Toc152045803"/>
      <w:bookmarkStart w:id="509" w:name="_Toc296602614"/>
      <w:bookmarkStart w:id="510" w:name="_Toc247085887"/>
      <w:bookmarkStart w:id="511" w:name="_Toc246996369"/>
      <w:bookmarkStart w:id="512" w:name="_Toc152042592"/>
      <w:bookmarkStart w:id="513" w:name="_Toc144974871"/>
      <w:bookmarkStart w:id="514" w:name="_Toc179632823"/>
      <w:bookmarkStart w:id="515" w:name="_Toc246997112"/>
      <w:bookmarkStart w:id="516" w:name="_Toc144974876"/>
      <w:bookmarkStart w:id="517" w:name="_Toc247514300"/>
      <w:bookmarkStart w:id="518" w:name="_Toc300835224"/>
      <w:bookmarkStart w:id="519" w:name="_Toc247527848"/>
      <w:bookmarkStart w:id="520" w:name="_Toc152045808"/>
      <w:bookmarkStart w:id="521" w:name="_Toc152042597"/>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4"/>
        <w:jc w:val="both"/>
      </w:pPr>
      <w:bookmarkStart w:id="522" w:name="_Toc246997113"/>
      <w:bookmarkStart w:id="523" w:name="_Toc246996370"/>
      <w:bookmarkStart w:id="524" w:name="_Toc247085888"/>
      <w:bookmarkStart w:id="525" w:name="_Toc296602615"/>
      <w:r>
        <w:t>（一）项目管理机构组成表</w:t>
      </w:r>
      <w:bookmarkEnd w:id="522"/>
      <w:bookmarkEnd w:id="523"/>
      <w:bookmarkEnd w:id="524"/>
      <w:bookmarkEnd w:id="525"/>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526" w:name="_Toc247085889"/>
      <w:bookmarkStart w:id="527" w:name="_Toc246996371"/>
      <w:bookmarkStart w:id="528" w:name="_Toc296602616"/>
      <w:bookmarkStart w:id="529" w:name="_Toc246997114"/>
      <w:r>
        <w:t>（二）</w:t>
      </w:r>
      <w:r>
        <w:rPr>
          <w:rFonts w:hint="eastAsia"/>
          <w:lang w:eastAsia="zh-CN"/>
        </w:rPr>
        <w:t>项目负责人</w:t>
      </w:r>
      <w:r>
        <w:t>简历表</w:t>
      </w:r>
      <w:bookmarkEnd w:id="526"/>
      <w:bookmarkEnd w:id="527"/>
      <w:bookmarkEnd w:id="528"/>
      <w:bookmarkEnd w:id="529"/>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530" w:name="_Toc144974875"/>
      <w:bookmarkStart w:id="531" w:name="_Toc246997115"/>
      <w:bookmarkStart w:id="532" w:name="_Toc152045807"/>
      <w:bookmarkStart w:id="533" w:name="_Toc179632827"/>
      <w:bookmarkStart w:id="534" w:name="_Toc296602617"/>
      <w:bookmarkStart w:id="535" w:name="_Toc246996372"/>
      <w:bookmarkStart w:id="536" w:name="_Toc247085890"/>
      <w:bookmarkStart w:id="537" w:name="_Toc152042596"/>
      <w:r>
        <w:rPr>
          <w:rFonts w:hint="eastAsia"/>
        </w:rPr>
        <w:t>七</w:t>
      </w:r>
      <w:r>
        <w:t>、资格审查资料</w:t>
      </w:r>
      <w:bookmarkEnd w:id="530"/>
      <w:bookmarkEnd w:id="531"/>
      <w:bookmarkEnd w:id="532"/>
      <w:bookmarkEnd w:id="533"/>
      <w:bookmarkEnd w:id="534"/>
      <w:bookmarkEnd w:id="535"/>
      <w:bookmarkEnd w:id="536"/>
      <w:bookmarkEnd w:id="537"/>
    </w:p>
    <w:p>
      <w:pPr>
        <w:pStyle w:val="4"/>
        <w:jc w:val="both"/>
        <w:rPr>
          <w:rFonts w:hint="eastAsia"/>
        </w:rPr>
      </w:pPr>
      <w:bookmarkStart w:id="538" w:name="_Toc247085891"/>
      <w:bookmarkStart w:id="539" w:name="_Toc296602618"/>
      <w:bookmarkStart w:id="540" w:name="_Toc179632828"/>
      <w:bookmarkStart w:id="541" w:name="_Toc246997116"/>
      <w:bookmarkStart w:id="542" w:name="_Toc246996373"/>
      <w:r>
        <w:t>（一）投标人基本情况表</w:t>
      </w:r>
      <w:bookmarkEnd w:id="538"/>
      <w:bookmarkEnd w:id="539"/>
      <w:bookmarkEnd w:id="540"/>
      <w:bookmarkEnd w:id="541"/>
      <w:bookmarkEnd w:id="542"/>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6"/>
    <w:bookmarkEnd w:id="517"/>
    <w:bookmarkEnd w:id="518"/>
    <w:bookmarkEnd w:id="519"/>
    <w:bookmarkEnd w:id="520"/>
    <w:bookmarkEnd w:id="521"/>
    <w:p>
      <w:pPr>
        <w:pStyle w:val="4"/>
        <w:rPr>
          <w:rFonts w:hint="default" w:ascii="Times New Roman" w:hAnsi="Times New Roman" w:cs="Times New Roman"/>
        </w:rPr>
      </w:pPr>
      <w:bookmarkStart w:id="543" w:name="_Toc247527849"/>
      <w:bookmarkStart w:id="544" w:name="_Toc144974877"/>
      <w:bookmarkStart w:id="545" w:name="_Toc152042598"/>
      <w:bookmarkStart w:id="546" w:name="_Toc300835225"/>
      <w:bookmarkStart w:id="547" w:name="_Toc247514301"/>
      <w:bookmarkStart w:id="548" w:name="_Toc152045809"/>
      <w:r>
        <w:rPr>
          <w:rFonts w:hint="default"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49" w:name="_Toc247527850"/>
      <w:bookmarkStart w:id="550" w:name="_Toc300835226"/>
      <w:bookmarkStart w:id="551" w:name="_Toc144974878"/>
      <w:bookmarkStart w:id="552" w:name="_Toc152045810"/>
      <w:bookmarkStart w:id="553" w:name="_Toc152042599"/>
      <w:bookmarkStart w:id="554" w:name="_Toc247514302"/>
      <w:r>
        <w:rPr>
          <w:rFonts w:hint="default"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5" w:name="_Toc144974879"/>
      <w:bookmarkStart w:id="556" w:name="_Toc247514303"/>
      <w:bookmarkStart w:id="557" w:name="_Toc152045811"/>
      <w:bookmarkStart w:id="558" w:name="_Toc247527851"/>
      <w:bookmarkStart w:id="559" w:name="_Toc152042600"/>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60" w:name="_Toc300835227"/>
      <w:r>
        <w:rPr>
          <w:rFonts w:hint="default"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1" w:name="_Toc144974880"/>
      <w:bookmarkStart w:id="562" w:name="_Toc247527852"/>
      <w:bookmarkStart w:id="563" w:name="_Toc247514304"/>
      <w:bookmarkStart w:id="564" w:name="_Toc152045812"/>
      <w:bookmarkStart w:id="565" w:name="_Toc152042601"/>
    </w:p>
    <w:p>
      <w:pPr>
        <w:spacing w:line="440" w:lineRule="exact"/>
        <w:rPr>
          <w:rFonts w:hint="default" w:ascii="Times New Roman" w:hAnsi="Times New Roman" w:cs="Times New Roman"/>
        </w:rPr>
      </w:pPr>
    </w:p>
    <w:bookmarkEnd w:id="561"/>
    <w:bookmarkEnd w:id="562"/>
    <w:bookmarkEnd w:id="563"/>
    <w:bookmarkEnd w:id="564"/>
    <w:bookmarkEnd w:id="565"/>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17" w:edGrp="everyone"/>
      <w:r>
        <w:rPr>
          <w:rFonts w:ascii="Times New Roman" w:hAnsi="Times New Roman"/>
        </w:rPr>
        <w:t>注：</w:t>
      </w:r>
      <w:r>
        <w:rPr>
          <w:rFonts w:hint="eastAsia" w:ascii="Times New Roman" w:hAnsi="Times New Roman"/>
          <w:lang w:val="en-US" w:eastAsia="zh-CN"/>
        </w:rPr>
        <w:t>如有，按招标文件要求提供。</w:t>
      </w:r>
    </w:p>
    <w:permEnd w:id="117"/>
    <w:p>
      <w:pPr>
        <w:spacing w:line="440" w:lineRule="exact"/>
        <w:rPr>
          <w:rFonts w:hint="default" w:ascii="Times New Roman" w:hAnsi="Times New Roman" w:cs="Times New Roman"/>
        </w:rPr>
      </w:pPr>
      <w:r>
        <w:rPr>
          <w:rFonts w:hint="default" w:ascii="Times New Roman" w:hAnsi="Times New Roman" w:cs="Times New Roman"/>
        </w:rPr>
        <w:br w:type="page"/>
      </w:r>
      <w:bookmarkStart w:id="566" w:name="_Toc144974881"/>
      <w:bookmarkStart w:id="567" w:name="_Toc152045813"/>
      <w:bookmarkStart w:id="568" w:name="_Toc247530162"/>
      <w:bookmarkStart w:id="569" w:name="_Toc152042602"/>
      <w:bookmarkStart w:id="570" w:name="_Toc247514305"/>
      <w:bookmarkStart w:id="571" w:name="_Toc247527853"/>
    </w:p>
    <w:bookmarkEnd w:id="566"/>
    <w:bookmarkEnd w:id="567"/>
    <w:bookmarkEnd w:id="568"/>
    <w:bookmarkEnd w:id="569"/>
    <w:bookmarkEnd w:id="570"/>
    <w:bookmarkEnd w:id="571"/>
    <w:p>
      <w:pPr>
        <w:pStyle w:val="3"/>
        <w:jc w:val="center"/>
        <w:rPr>
          <w:rFonts w:hint="default" w:ascii="Times New Roman" w:hAnsi="Times New Roman" w:cs="Times New Roman"/>
        </w:rPr>
      </w:pPr>
      <w:bookmarkStart w:id="572" w:name="_Toc300835233"/>
      <w:bookmarkStart w:id="573"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72"/>
      <w:bookmarkEnd w:id="573"/>
    </w:p>
    <w:p>
      <w:pPr>
        <w:ind w:firstLine="420" w:firstLineChars="200"/>
        <w:rPr>
          <w:rFonts w:hint="eastAsia" w:ascii="Times New Roman" w:hAnsi="Times New Roman" w:eastAsiaTheme="minorEastAsia"/>
          <w:lang w:eastAsia="zh-CN"/>
        </w:rPr>
      </w:pPr>
      <w:permStart w:id="118"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18"/>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3871FB"/>
    <w:rsid w:val="0040224D"/>
    <w:rsid w:val="00733B0B"/>
    <w:rsid w:val="00764376"/>
    <w:rsid w:val="00796B76"/>
    <w:rsid w:val="00850CC0"/>
    <w:rsid w:val="008E521B"/>
    <w:rsid w:val="00B00F2F"/>
    <w:rsid w:val="00FF308E"/>
    <w:rsid w:val="010D4E46"/>
    <w:rsid w:val="011E6004"/>
    <w:rsid w:val="0145105E"/>
    <w:rsid w:val="019846E3"/>
    <w:rsid w:val="01CB0CDF"/>
    <w:rsid w:val="01CD2334"/>
    <w:rsid w:val="01E140D3"/>
    <w:rsid w:val="01F16263"/>
    <w:rsid w:val="02016132"/>
    <w:rsid w:val="0210402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B529FD"/>
    <w:rsid w:val="03C10800"/>
    <w:rsid w:val="03C96DCC"/>
    <w:rsid w:val="03FB71CD"/>
    <w:rsid w:val="04043713"/>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DE55BB"/>
    <w:rsid w:val="04EB08D2"/>
    <w:rsid w:val="04EC7DA2"/>
    <w:rsid w:val="050252F6"/>
    <w:rsid w:val="05502988"/>
    <w:rsid w:val="055625ED"/>
    <w:rsid w:val="0572490A"/>
    <w:rsid w:val="057E3D65"/>
    <w:rsid w:val="058253F2"/>
    <w:rsid w:val="05872EB9"/>
    <w:rsid w:val="05933026"/>
    <w:rsid w:val="05BA17C0"/>
    <w:rsid w:val="05D9116E"/>
    <w:rsid w:val="05DD246D"/>
    <w:rsid w:val="060774EA"/>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785681"/>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5C3C"/>
    <w:rsid w:val="0B7202E7"/>
    <w:rsid w:val="0B991D46"/>
    <w:rsid w:val="0B9F686D"/>
    <w:rsid w:val="0BB4713C"/>
    <w:rsid w:val="0BCA5242"/>
    <w:rsid w:val="0BDE31B0"/>
    <w:rsid w:val="0BE557DC"/>
    <w:rsid w:val="0C110CA2"/>
    <w:rsid w:val="0C637445"/>
    <w:rsid w:val="0C773477"/>
    <w:rsid w:val="0C9526EF"/>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43752E"/>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E2334D"/>
    <w:rsid w:val="11F058CE"/>
    <w:rsid w:val="11FC3F3B"/>
    <w:rsid w:val="121534BC"/>
    <w:rsid w:val="124D3BAD"/>
    <w:rsid w:val="125A52C4"/>
    <w:rsid w:val="12655D96"/>
    <w:rsid w:val="128E3C38"/>
    <w:rsid w:val="12BF2922"/>
    <w:rsid w:val="12C17754"/>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125C9"/>
    <w:rsid w:val="1522437E"/>
    <w:rsid w:val="15283931"/>
    <w:rsid w:val="15382F40"/>
    <w:rsid w:val="15437E13"/>
    <w:rsid w:val="158374C1"/>
    <w:rsid w:val="15901D56"/>
    <w:rsid w:val="15A62ECC"/>
    <w:rsid w:val="15B14179"/>
    <w:rsid w:val="15C516BD"/>
    <w:rsid w:val="161A7ACD"/>
    <w:rsid w:val="16467BBB"/>
    <w:rsid w:val="166266B1"/>
    <w:rsid w:val="16C724D4"/>
    <w:rsid w:val="16D411E7"/>
    <w:rsid w:val="16ED0036"/>
    <w:rsid w:val="170756D4"/>
    <w:rsid w:val="170F4587"/>
    <w:rsid w:val="172178D2"/>
    <w:rsid w:val="176115DC"/>
    <w:rsid w:val="176D7525"/>
    <w:rsid w:val="177E3384"/>
    <w:rsid w:val="17824660"/>
    <w:rsid w:val="17837F2A"/>
    <w:rsid w:val="178F2FF8"/>
    <w:rsid w:val="179121FE"/>
    <w:rsid w:val="17915931"/>
    <w:rsid w:val="17C41ABF"/>
    <w:rsid w:val="18175D56"/>
    <w:rsid w:val="18276B10"/>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6B5E42"/>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7643B"/>
    <w:rsid w:val="1C5D5F8B"/>
    <w:rsid w:val="1C6E241C"/>
    <w:rsid w:val="1C9755BD"/>
    <w:rsid w:val="1CB07DF9"/>
    <w:rsid w:val="1CC3681B"/>
    <w:rsid w:val="1CE22A9B"/>
    <w:rsid w:val="1CF251D3"/>
    <w:rsid w:val="1CFF3217"/>
    <w:rsid w:val="1D0C3E62"/>
    <w:rsid w:val="1D1D0D81"/>
    <w:rsid w:val="1D577AAF"/>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39253E"/>
    <w:rsid w:val="2049266D"/>
    <w:rsid w:val="20534B67"/>
    <w:rsid w:val="20557DC5"/>
    <w:rsid w:val="205A5C16"/>
    <w:rsid w:val="205B7D6A"/>
    <w:rsid w:val="20665C82"/>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1FE50D8"/>
    <w:rsid w:val="22270787"/>
    <w:rsid w:val="224D73DD"/>
    <w:rsid w:val="22592601"/>
    <w:rsid w:val="22603DB2"/>
    <w:rsid w:val="226D7B83"/>
    <w:rsid w:val="2293123C"/>
    <w:rsid w:val="22A570EC"/>
    <w:rsid w:val="232E56FD"/>
    <w:rsid w:val="233A2439"/>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4E4B21"/>
    <w:rsid w:val="27506A4B"/>
    <w:rsid w:val="276C029F"/>
    <w:rsid w:val="27867E0A"/>
    <w:rsid w:val="27982DD4"/>
    <w:rsid w:val="279B5E80"/>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781664"/>
    <w:rsid w:val="2A9154D8"/>
    <w:rsid w:val="2AA04C57"/>
    <w:rsid w:val="2AD750C3"/>
    <w:rsid w:val="2AE77D08"/>
    <w:rsid w:val="2AEA3011"/>
    <w:rsid w:val="2B252D72"/>
    <w:rsid w:val="2B3E0375"/>
    <w:rsid w:val="2B492499"/>
    <w:rsid w:val="2B652A8D"/>
    <w:rsid w:val="2B6C55DB"/>
    <w:rsid w:val="2B8D5640"/>
    <w:rsid w:val="2BA411B4"/>
    <w:rsid w:val="2BDE6601"/>
    <w:rsid w:val="2BF4029C"/>
    <w:rsid w:val="2BF65788"/>
    <w:rsid w:val="2C1C6937"/>
    <w:rsid w:val="2C202757"/>
    <w:rsid w:val="2C270D43"/>
    <w:rsid w:val="2C2E317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9219E3"/>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FA0191"/>
    <w:rsid w:val="2F436846"/>
    <w:rsid w:val="2F4556CE"/>
    <w:rsid w:val="2F593240"/>
    <w:rsid w:val="2F6F3C93"/>
    <w:rsid w:val="2F754A27"/>
    <w:rsid w:val="2FB1448A"/>
    <w:rsid w:val="2FC802AE"/>
    <w:rsid w:val="301C41BF"/>
    <w:rsid w:val="302369A0"/>
    <w:rsid w:val="303474C0"/>
    <w:rsid w:val="305C41A9"/>
    <w:rsid w:val="30820205"/>
    <w:rsid w:val="308E41B5"/>
    <w:rsid w:val="30952C59"/>
    <w:rsid w:val="30B31E99"/>
    <w:rsid w:val="30FF4D69"/>
    <w:rsid w:val="310E5321"/>
    <w:rsid w:val="3113559B"/>
    <w:rsid w:val="311978DB"/>
    <w:rsid w:val="312421F6"/>
    <w:rsid w:val="3127420C"/>
    <w:rsid w:val="31477BEB"/>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4FA0097"/>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67162"/>
    <w:rsid w:val="36A82C1D"/>
    <w:rsid w:val="36B34449"/>
    <w:rsid w:val="36C22E36"/>
    <w:rsid w:val="36C342D9"/>
    <w:rsid w:val="370F2E93"/>
    <w:rsid w:val="370F32ED"/>
    <w:rsid w:val="374E35E0"/>
    <w:rsid w:val="37560CC6"/>
    <w:rsid w:val="378D0CEB"/>
    <w:rsid w:val="379A026D"/>
    <w:rsid w:val="37A2207E"/>
    <w:rsid w:val="37A2434F"/>
    <w:rsid w:val="37ED6D6E"/>
    <w:rsid w:val="37F45271"/>
    <w:rsid w:val="380C3B20"/>
    <w:rsid w:val="381039F4"/>
    <w:rsid w:val="38422CE2"/>
    <w:rsid w:val="38464281"/>
    <w:rsid w:val="386E21B0"/>
    <w:rsid w:val="38AE496C"/>
    <w:rsid w:val="38B54D45"/>
    <w:rsid w:val="38D242CD"/>
    <w:rsid w:val="38D26A82"/>
    <w:rsid w:val="39290F4A"/>
    <w:rsid w:val="393E0C7A"/>
    <w:rsid w:val="39470BCD"/>
    <w:rsid w:val="39821F75"/>
    <w:rsid w:val="398B5520"/>
    <w:rsid w:val="398C3DB7"/>
    <w:rsid w:val="39AB6275"/>
    <w:rsid w:val="39C649EB"/>
    <w:rsid w:val="39E17621"/>
    <w:rsid w:val="39F227B1"/>
    <w:rsid w:val="3A151290"/>
    <w:rsid w:val="3A201663"/>
    <w:rsid w:val="3A257964"/>
    <w:rsid w:val="3A292038"/>
    <w:rsid w:val="3A3556CD"/>
    <w:rsid w:val="3A4A1178"/>
    <w:rsid w:val="3A524E6B"/>
    <w:rsid w:val="3A762A49"/>
    <w:rsid w:val="3A826354"/>
    <w:rsid w:val="3A9D28F5"/>
    <w:rsid w:val="3ACD43C9"/>
    <w:rsid w:val="3AFF2C64"/>
    <w:rsid w:val="3B2F69DB"/>
    <w:rsid w:val="3B79226F"/>
    <w:rsid w:val="3B8F1138"/>
    <w:rsid w:val="3B904834"/>
    <w:rsid w:val="3B932344"/>
    <w:rsid w:val="3B9D20F5"/>
    <w:rsid w:val="3BB33F88"/>
    <w:rsid w:val="3BD93153"/>
    <w:rsid w:val="3BDA6996"/>
    <w:rsid w:val="3C0A3047"/>
    <w:rsid w:val="3C2E50FB"/>
    <w:rsid w:val="3C37637A"/>
    <w:rsid w:val="3C4A12AD"/>
    <w:rsid w:val="3C5125FC"/>
    <w:rsid w:val="3C690ECB"/>
    <w:rsid w:val="3C860AC6"/>
    <w:rsid w:val="3C8967A4"/>
    <w:rsid w:val="3C960BC8"/>
    <w:rsid w:val="3C9848A1"/>
    <w:rsid w:val="3CA509B7"/>
    <w:rsid w:val="3CA509D1"/>
    <w:rsid w:val="3CA80712"/>
    <w:rsid w:val="3CD537E6"/>
    <w:rsid w:val="3CD93879"/>
    <w:rsid w:val="3D2571D3"/>
    <w:rsid w:val="3D3C7820"/>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96772"/>
    <w:rsid w:val="408D1EA0"/>
    <w:rsid w:val="408E2DBF"/>
    <w:rsid w:val="409D2A1A"/>
    <w:rsid w:val="40A752D1"/>
    <w:rsid w:val="40B21FB5"/>
    <w:rsid w:val="40B95E2E"/>
    <w:rsid w:val="40C17F9E"/>
    <w:rsid w:val="40C43B66"/>
    <w:rsid w:val="40E247F7"/>
    <w:rsid w:val="40EE5966"/>
    <w:rsid w:val="410F1967"/>
    <w:rsid w:val="41335FC7"/>
    <w:rsid w:val="415978C8"/>
    <w:rsid w:val="415C1B4D"/>
    <w:rsid w:val="41666C40"/>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8477C0"/>
    <w:rsid w:val="469C7200"/>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BC1514"/>
    <w:rsid w:val="48CC18F2"/>
    <w:rsid w:val="48F556EA"/>
    <w:rsid w:val="48F94ED4"/>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37596"/>
    <w:rsid w:val="4A0B4FDE"/>
    <w:rsid w:val="4A343D11"/>
    <w:rsid w:val="4A497D35"/>
    <w:rsid w:val="4A8A37D8"/>
    <w:rsid w:val="4A8B4AB2"/>
    <w:rsid w:val="4AB04896"/>
    <w:rsid w:val="4AD9595B"/>
    <w:rsid w:val="4AF93EAE"/>
    <w:rsid w:val="4B311212"/>
    <w:rsid w:val="4B3E6720"/>
    <w:rsid w:val="4B43535A"/>
    <w:rsid w:val="4B476348"/>
    <w:rsid w:val="4B5C6F5D"/>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55616"/>
    <w:rsid w:val="4D1C2C8C"/>
    <w:rsid w:val="4D1E77BE"/>
    <w:rsid w:val="4D245FC5"/>
    <w:rsid w:val="4D2B3B2C"/>
    <w:rsid w:val="4D7372A0"/>
    <w:rsid w:val="4DA943B0"/>
    <w:rsid w:val="4DAA1780"/>
    <w:rsid w:val="4DC515BB"/>
    <w:rsid w:val="4DCB5984"/>
    <w:rsid w:val="4DD64458"/>
    <w:rsid w:val="4DDD4E1A"/>
    <w:rsid w:val="4DE66FB2"/>
    <w:rsid w:val="4E135BFA"/>
    <w:rsid w:val="4E1B2DDB"/>
    <w:rsid w:val="4E250E8C"/>
    <w:rsid w:val="4E35535F"/>
    <w:rsid w:val="4E355E12"/>
    <w:rsid w:val="4E5D7C3A"/>
    <w:rsid w:val="4E8D762E"/>
    <w:rsid w:val="4E9B1112"/>
    <w:rsid w:val="4EA06365"/>
    <w:rsid w:val="4EBC7D13"/>
    <w:rsid w:val="4EBD3915"/>
    <w:rsid w:val="4ECD54B1"/>
    <w:rsid w:val="4ED4046B"/>
    <w:rsid w:val="4EDF4B15"/>
    <w:rsid w:val="4EF43B16"/>
    <w:rsid w:val="4F0E1E8F"/>
    <w:rsid w:val="4F2B6C13"/>
    <w:rsid w:val="4F3153D3"/>
    <w:rsid w:val="4F5F3ED1"/>
    <w:rsid w:val="4F804E7C"/>
    <w:rsid w:val="4F85516A"/>
    <w:rsid w:val="4F944D8F"/>
    <w:rsid w:val="4FCA5221"/>
    <w:rsid w:val="4FED0FB9"/>
    <w:rsid w:val="507410D2"/>
    <w:rsid w:val="50A4392E"/>
    <w:rsid w:val="50A97681"/>
    <w:rsid w:val="50AE3B94"/>
    <w:rsid w:val="50AF7418"/>
    <w:rsid w:val="50E93575"/>
    <w:rsid w:val="50EE4AFC"/>
    <w:rsid w:val="50EE530A"/>
    <w:rsid w:val="50F04D4E"/>
    <w:rsid w:val="50F102ED"/>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0756"/>
    <w:rsid w:val="51BC2004"/>
    <w:rsid w:val="51C462A1"/>
    <w:rsid w:val="51CB0C5C"/>
    <w:rsid w:val="51CB74F6"/>
    <w:rsid w:val="51D13948"/>
    <w:rsid w:val="51E235E4"/>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B72EC"/>
    <w:rsid w:val="531E35FC"/>
    <w:rsid w:val="531E3DBA"/>
    <w:rsid w:val="532B1547"/>
    <w:rsid w:val="532C2C22"/>
    <w:rsid w:val="532D0AA4"/>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076CF"/>
    <w:rsid w:val="54C41B11"/>
    <w:rsid w:val="54EE1E00"/>
    <w:rsid w:val="550E49C6"/>
    <w:rsid w:val="552609CE"/>
    <w:rsid w:val="55A47D96"/>
    <w:rsid w:val="55C20305"/>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7210A6D"/>
    <w:rsid w:val="5744214A"/>
    <w:rsid w:val="574B480A"/>
    <w:rsid w:val="57543081"/>
    <w:rsid w:val="5759794D"/>
    <w:rsid w:val="57684EDC"/>
    <w:rsid w:val="5789649C"/>
    <w:rsid w:val="5792629F"/>
    <w:rsid w:val="57A373F0"/>
    <w:rsid w:val="57C83C57"/>
    <w:rsid w:val="57FB2FB4"/>
    <w:rsid w:val="582028C2"/>
    <w:rsid w:val="582908A2"/>
    <w:rsid w:val="583C0128"/>
    <w:rsid w:val="583D07DD"/>
    <w:rsid w:val="585F1862"/>
    <w:rsid w:val="58620D26"/>
    <w:rsid w:val="58706FB1"/>
    <w:rsid w:val="587934D0"/>
    <w:rsid w:val="587C5983"/>
    <w:rsid w:val="58E8415E"/>
    <w:rsid w:val="58FF1A45"/>
    <w:rsid w:val="591C580B"/>
    <w:rsid w:val="5926497A"/>
    <w:rsid w:val="592A1893"/>
    <w:rsid w:val="592F7A5F"/>
    <w:rsid w:val="5945230D"/>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419FF"/>
    <w:rsid w:val="5B570332"/>
    <w:rsid w:val="5B5F0395"/>
    <w:rsid w:val="5B6300A3"/>
    <w:rsid w:val="5B6520D3"/>
    <w:rsid w:val="5B6C0ED6"/>
    <w:rsid w:val="5B790B4E"/>
    <w:rsid w:val="5B7A2400"/>
    <w:rsid w:val="5B9B626D"/>
    <w:rsid w:val="5BA762EC"/>
    <w:rsid w:val="5BCC1144"/>
    <w:rsid w:val="5BD32897"/>
    <w:rsid w:val="5BF50A44"/>
    <w:rsid w:val="5C295CCC"/>
    <w:rsid w:val="5C381A3A"/>
    <w:rsid w:val="5C5C135C"/>
    <w:rsid w:val="5C872DAA"/>
    <w:rsid w:val="5C974816"/>
    <w:rsid w:val="5CA97228"/>
    <w:rsid w:val="5CBA57BD"/>
    <w:rsid w:val="5CC5471C"/>
    <w:rsid w:val="5CDC5386"/>
    <w:rsid w:val="5CEE7B85"/>
    <w:rsid w:val="5CF73D69"/>
    <w:rsid w:val="5D155A24"/>
    <w:rsid w:val="5D202057"/>
    <w:rsid w:val="5D447851"/>
    <w:rsid w:val="5D4700C2"/>
    <w:rsid w:val="5D6C4615"/>
    <w:rsid w:val="5D7C5A81"/>
    <w:rsid w:val="5DD31E8F"/>
    <w:rsid w:val="5DDF2196"/>
    <w:rsid w:val="5DF704AE"/>
    <w:rsid w:val="5DF954B7"/>
    <w:rsid w:val="5DFF05CD"/>
    <w:rsid w:val="5E1672C2"/>
    <w:rsid w:val="5E1B6033"/>
    <w:rsid w:val="5E2612F9"/>
    <w:rsid w:val="5E534129"/>
    <w:rsid w:val="5E6E3C24"/>
    <w:rsid w:val="5E7255BD"/>
    <w:rsid w:val="5E830241"/>
    <w:rsid w:val="5E937CCC"/>
    <w:rsid w:val="5EBD5B0D"/>
    <w:rsid w:val="5EF83794"/>
    <w:rsid w:val="5F0173CC"/>
    <w:rsid w:val="5F1A1A93"/>
    <w:rsid w:val="5F287F7E"/>
    <w:rsid w:val="5F475677"/>
    <w:rsid w:val="5F484198"/>
    <w:rsid w:val="5F567498"/>
    <w:rsid w:val="5F75229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584057"/>
    <w:rsid w:val="638857E1"/>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6463A"/>
    <w:rsid w:val="666717B3"/>
    <w:rsid w:val="6668032B"/>
    <w:rsid w:val="667C4290"/>
    <w:rsid w:val="66AB481F"/>
    <w:rsid w:val="66C310D1"/>
    <w:rsid w:val="66C95898"/>
    <w:rsid w:val="66F8201A"/>
    <w:rsid w:val="671C5A04"/>
    <w:rsid w:val="673F01D2"/>
    <w:rsid w:val="676777C3"/>
    <w:rsid w:val="677D4B8A"/>
    <w:rsid w:val="67802ACE"/>
    <w:rsid w:val="67804B33"/>
    <w:rsid w:val="679057A8"/>
    <w:rsid w:val="679A2E90"/>
    <w:rsid w:val="67C40A09"/>
    <w:rsid w:val="67D020A7"/>
    <w:rsid w:val="67D600B8"/>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AE265A4"/>
    <w:rsid w:val="6B020CD0"/>
    <w:rsid w:val="6B1148AC"/>
    <w:rsid w:val="6B3E0351"/>
    <w:rsid w:val="6B42449D"/>
    <w:rsid w:val="6B4A5562"/>
    <w:rsid w:val="6B565807"/>
    <w:rsid w:val="6B6F63E1"/>
    <w:rsid w:val="6B7A3154"/>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B564F3"/>
    <w:rsid w:val="6DC237AE"/>
    <w:rsid w:val="6DDB1B0C"/>
    <w:rsid w:val="6DF91502"/>
    <w:rsid w:val="6E01482E"/>
    <w:rsid w:val="6E0D1941"/>
    <w:rsid w:val="6E18292B"/>
    <w:rsid w:val="6E402C35"/>
    <w:rsid w:val="6E403BCF"/>
    <w:rsid w:val="6E424CF7"/>
    <w:rsid w:val="6E96703D"/>
    <w:rsid w:val="6E984122"/>
    <w:rsid w:val="6EB5574F"/>
    <w:rsid w:val="6EC4761A"/>
    <w:rsid w:val="6ED26905"/>
    <w:rsid w:val="6ED924EF"/>
    <w:rsid w:val="6EE20566"/>
    <w:rsid w:val="6EEB6DD8"/>
    <w:rsid w:val="6EF513F6"/>
    <w:rsid w:val="6F0230C8"/>
    <w:rsid w:val="6F1F0771"/>
    <w:rsid w:val="6F3669E2"/>
    <w:rsid w:val="6F3A0437"/>
    <w:rsid w:val="6F452492"/>
    <w:rsid w:val="6F4E1ABB"/>
    <w:rsid w:val="6F65489B"/>
    <w:rsid w:val="6F7E0543"/>
    <w:rsid w:val="6F86274A"/>
    <w:rsid w:val="6F8A6B50"/>
    <w:rsid w:val="6F9E4E98"/>
    <w:rsid w:val="6FB536E7"/>
    <w:rsid w:val="6FBB7E47"/>
    <w:rsid w:val="6FC169C6"/>
    <w:rsid w:val="6FD20CED"/>
    <w:rsid w:val="6FF15839"/>
    <w:rsid w:val="700148B1"/>
    <w:rsid w:val="700708F2"/>
    <w:rsid w:val="70262445"/>
    <w:rsid w:val="70796EB7"/>
    <w:rsid w:val="70846EFD"/>
    <w:rsid w:val="70891E2B"/>
    <w:rsid w:val="709304FC"/>
    <w:rsid w:val="70B21D55"/>
    <w:rsid w:val="70BA4068"/>
    <w:rsid w:val="70F06D61"/>
    <w:rsid w:val="70F36F46"/>
    <w:rsid w:val="71231B23"/>
    <w:rsid w:val="713B214A"/>
    <w:rsid w:val="714633CE"/>
    <w:rsid w:val="717464FF"/>
    <w:rsid w:val="71752972"/>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2B58B2"/>
    <w:rsid w:val="777C1603"/>
    <w:rsid w:val="77A14CDE"/>
    <w:rsid w:val="77AA2F7D"/>
    <w:rsid w:val="77C96BD3"/>
    <w:rsid w:val="780600CD"/>
    <w:rsid w:val="78266CE5"/>
    <w:rsid w:val="7827421F"/>
    <w:rsid w:val="782B4A23"/>
    <w:rsid w:val="78302F8F"/>
    <w:rsid w:val="784117AB"/>
    <w:rsid w:val="78510397"/>
    <w:rsid w:val="78552936"/>
    <w:rsid w:val="78731F0E"/>
    <w:rsid w:val="78754CBA"/>
    <w:rsid w:val="78962FA5"/>
    <w:rsid w:val="78C148AC"/>
    <w:rsid w:val="78C338C8"/>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C202DC"/>
    <w:rsid w:val="7AF84FA0"/>
    <w:rsid w:val="7AF909C6"/>
    <w:rsid w:val="7B6F1BD0"/>
    <w:rsid w:val="7B732126"/>
    <w:rsid w:val="7B755C15"/>
    <w:rsid w:val="7B7B20CE"/>
    <w:rsid w:val="7B8E1216"/>
    <w:rsid w:val="7B9A1345"/>
    <w:rsid w:val="7BCA6C86"/>
    <w:rsid w:val="7BD83B2F"/>
    <w:rsid w:val="7C044DA1"/>
    <w:rsid w:val="7C0466D2"/>
    <w:rsid w:val="7C365DE1"/>
    <w:rsid w:val="7CA33449"/>
    <w:rsid w:val="7CCE4D69"/>
    <w:rsid w:val="7D0A0BA4"/>
    <w:rsid w:val="7D107AF3"/>
    <w:rsid w:val="7D4253C7"/>
    <w:rsid w:val="7D4C5341"/>
    <w:rsid w:val="7D4E5EE6"/>
    <w:rsid w:val="7D8901AD"/>
    <w:rsid w:val="7D8E577D"/>
    <w:rsid w:val="7D9A426A"/>
    <w:rsid w:val="7DA261A2"/>
    <w:rsid w:val="7E006F08"/>
    <w:rsid w:val="7E333E03"/>
    <w:rsid w:val="7E391FE6"/>
    <w:rsid w:val="7E916762"/>
    <w:rsid w:val="7EA916FD"/>
    <w:rsid w:val="7EAB552B"/>
    <w:rsid w:val="7EE53C64"/>
    <w:rsid w:val="7EFB200E"/>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11541</Words>
  <Characters>12973</Characters>
  <Lines>0</Lines>
  <Paragraphs>0</Paragraphs>
  <TotalTime>5</TotalTime>
  <ScaleCrop>false</ScaleCrop>
  <LinksUpToDate>false</LinksUpToDate>
  <CharactersWithSpaces>14650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2024-01-19T09:11:00Z</cp:lastPrinted>
  <dcterms:modified xsi:type="dcterms:W3CDTF">2024-01-29T06:49:40Z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B8F79956D339444B8FD2D229969F6959_13</vt:lpwstr>
  </property>
</Properties>
</file>