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auto"/>
          <w:sz w:val="28"/>
          <w:szCs w:val="28"/>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auto"/>
          <w:sz w:val="28"/>
          <w:szCs w:val="28"/>
          <w:highlight w:val="none"/>
          <w:u w:val="none"/>
          <w:lang w:val="en-US" w:eastAsia="zh-CN"/>
        </w:rPr>
      </w:pPr>
      <w:r>
        <w:rPr>
          <w:rFonts w:hint="eastAsia" w:ascii="Times New Roman" w:hAnsi="Times New Roman" w:eastAsia="黑体" w:cs="Times New Roman"/>
          <w:color w:val="auto"/>
          <w:sz w:val="28"/>
          <w:szCs w:val="28"/>
          <w:highlight w:val="none"/>
          <w:u w:val="none"/>
          <w:lang w:val="en-US" w:eastAsia="zh-CN"/>
        </w:rPr>
        <w:t>逸合府项目售楼部沙盘区大屏、动画、区位、品牌工法馆安装采购</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FF0000"/>
          <w:sz w:val="28"/>
          <w:szCs w:val="28"/>
          <w:highlight w:val="none"/>
          <w:u w:val="singl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default" w:ascii="Times New Roman" w:hAnsi="Times New Roman" w:eastAsia="楷体" w:cs="Times New Roman"/>
          <w:kern w:val="0"/>
          <w:sz w:val="28"/>
          <w:szCs w:val="28"/>
          <w:highlight w:val="none"/>
          <w:shd w:val="clear" w:color="auto" w:fill="auto"/>
          <w:lang w:val="en-US" w:eastAsia="zh-CN"/>
        </w:rPr>
        <w:t>BZJK-</w:t>
      </w:r>
      <w:bookmarkStart w:id="480" w:name="_GoBack"/>
      <w:bookmarkEnd w:id="480"/>
      <w:r>
        <w:rPr>
          <w:rFonts w:hint="eastAsia" w:ascii="Times New Roman" w:hAnsi="Times New Roman" w:eastAsia="楷体" w:cs="Times New Roman"/>
          <w:kern w:val="0"/>
          <w:sz w:val="28"/>
          <w:szCs w:val="28"/>
          <w:highlight w:val="none"/>
          <w:shd w:val="clear" w:color="auto" w:fill="auto"/>
          <w:lang w:val="en-US" w:eastAsia="zh-CN"/>
        </w:rPr>
        <w:t>2024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009</w:t>
      </w:r>
      <w:r>
        <w:rPr>
          <w:rFonts w:hint="default" w:ascii="Times New Roman" w:hAnsi="Times New Roman" w:eastAsia="楷体" w:cs="Times New Roman"/>
          <w:kern w:val="0"/>
          <w:sz w:val="28"/>
          <w:szCs w:val="28"/>
          <w:highlight w:val="none"/>
          <w:shd w:val="clear" w:color="auto" w:fill="auto"/>
          <w:lang w:val="en-US" w:eastAsia="zh-CN"/>
        </w:rPr>
        <w:t>号</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eastAsia" w:ascii="Times New Roman" w:hAnsi="Times New Roman" w:eastAsia="楷体" w:cs="Times New Roman"/>
          <w:kern w:val="0"/>
          <w:sz w:val="32"/>
          <w:szCs w:val="32"/>
          <w:highlight w:val="none"/>
          <w:shd w:val="clear" w:color="auto" w:fill="auto"/>
          <w:lang w:val="en-US" w:eastAsia="zh-CN"/>
        </w:rPr>
        <w:t>亳州通恒置业有限公司</w:t>
      </w:r>
      <w:permEnd w:id="1"/>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2024年1月26日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供货要求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逸合府项目售楼部沙盘区大屏、动画、区位、品牌工法馆安装采购招标公告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7085680"/>
      <w:bookmarkStart w:id="1" w:name="_Toc152045519"/>
      <w:bookmarkStart w:id="2" w:name="_Toc246996166"/>
      <w:bookmarkStart w:id="3" w:name="_Toc296602410"/>
      <w:bookmarkStart w:id="4" w:name="_Toc144974487"/>
      <w:bookmarkStart w:id="5" w:name="_Toc179632536"/>
      <w:bookmarkStart w:id="6" w:name="_Toc152042295"/>
      <w:bookmarkStart w:id="7" w:name="_Toc24699690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bookmarkStart w:id="8" w:name="_Toc152045520"/>
      <w:bookmarkStart w:id="9" w:name="_Toc246996910"/>
      <w:bookmarkStart w:id="10" w:name="_Toc296602411"/>
      <w:bookmarkStart w:id="11" w:name="_Toc179632537"/>
      <w:bookmarkStart w:id="12" w:name="_Toc246996167"/>
      <w:bookmarkStart w:id="13" w:name="_Toc144974488"/>
      <w:bookmarkStart w:id="14" w:name="_Toc152042296"/>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lang w:val="en-US" w:eastAsia="zh-CN"/>
        </w:rPr>
        <w:t>逸合府项目售楼部沙盘区大屏、动画、区位、品牌工法馆安装采购</w:t>
      </w:r>
    </w:p>
    <w:permEnd w:id="4"/>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5" w:edGrp="everyone"/>
      <w:r>
        <w:rPr>
          <w:rFonts w:hint="eastAsia" w:asciiTheme="minorEastAsia" w:hAnsiTheme="minorEastAsia" w:cstheme="minorEastAsia"/>
          <w:sz w:val="28"/>
          <w:szCs w:val="28"/>
          <w:highlight w:val="none"/>
          <w:lang w:val="en-US" w:eastAsia="zh-CN"/>
        </w:rPr>
        <w:t>BZJK-2024-009号</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6" w:edGrp="everyone"/>
      <w:r>
        <w:rPr>
          <w:rFonts w:hint="eastAsia" w:asciiTheme="minorEastAsia" w:hAnsiTheme="minorEastAsia" w:cstheme="minorEastAsia"/>
          <w:sz w:val="28"/>
          <w:szCs w:val="28"/>
          <w:highlight w:val="none"/>
          <w:lang w:val="en-US" w:eastAsia="zh-CN"/>
        </w:rPr>
        <w:t>企业自筹</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7" w:edGrp="everyone"/>
      <w:r>
        <w:rPr>
          <w:rFonts w:hint="eastAsia" w:asciiTheme="minorEastAsia" w:hAnsiTheme="minorEastAsia" w:cstheme="minorEastAsia"/>
          <w:sz w:val="28"/>
          <w:szCs w:val="28"/>
          <w:highlight w:val="none"/>
          <w:lang w:val="en-US" w:eastAsia="zh-CN"/>
        </w:rPr>
        <w:t>亳州通恒置业有限公司</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8" w:edGrp="everyone"/>
      <w:r>
        <w:rPr>
          <w:rFonts w:hint="eastAsia" w:asciiTheme="minorEastAsia" w:hAnsiTheme="minorEastAsia" w:eastAsiaTheme="minorEastAsia" w:cstheme="minorEastAsia"/>
          <w:sz w:val="28"/>
          <w:szCs w:val="28"/>
          <w:highlight w:val="none"/>
          <w:lang w:val="en-US" w:eastAsia="zh-CN"/>
        </w:rPr>
        <w:t>逸合府项目售楼部位于亳州市谯城经济技术产业开发区华佗大道与利辛路交叉口</w:t>
      </w:r>
      <w:r>
        <w:rPr>
          <w:rFonts w:hint="eastAsia" w:asciiTheme="minorEastAsia" w:hAnsiTheme="minorEastAsia" w:cstheme="minorEastAsia"/>
          <w:sz w:val="28"/>
          <w:szCs w:val="28"/>
          <w:highlight w:val="none"/>
          <w:lang w:val="en-US" w:eastAsia="zh-CN"/>
        </w:rPr>
        <w:t>，现需为售楼部采购安装沙盘区大屏、动画、区位、品牌工法馆。</w:t>
      </w:r>
      <w:permEnd w:id="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9" w:edGrp="everyone"/>
      <w:r>
        <w:rPr>
          <w:rFonts w:hint="eastAsia" w:asciiTheme="minorEastAsia" w:hAnsiTheme="minorEastAsia" w:cstheme="minorEastAsia"/>
          <w:sz w:val="28"/>
          <w:szCs w:val="28"/>
          <w:highlight w:val="none"/>
          <w:lang w:val="en-US" w:eastAsia="zh-CN"/>
        </w:rPr>
        <w:t>包括但不限于沙盘区大屏、动画、区位、品牌工法馆的供货、包装、运输、装卸、安装、调试、垃圾清理、售后服务等工作内容，具体采购沙盘区大屏、动画、区位、品牌工法馆的规格、型号、数量等详见招标文件第五章供货要求及招标清单。</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质量</w:t>
      </w:r>
      <w:r>
        <w:rPr>
          <w:rFonts w:hint="eastAsia" w:asciiTheme="minorEastAsia" w:hAnsiTheme="minorEastAsia" w:eastAsiaTheme="minorEastAsia" w:cstheme="minorEastAsia"/>
          <w:sz w:val="28"/>
          <w:szCs w:val="28"/>
          <w:highlight w:val="none"/>
          <w:lang w:val="en-US" w:eastAsia="zh-CN"/>
        </w:rPr>
        <w:t>标准：</w:t>
      </w:r>
      <w:permStart w:id="10"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（四）交货地点：</w:t>
      </w:r>
      <w:permStart w:id="11" w:edGrp="everyone"/>
      <w:r>
        <w:rPr>
          <w:rFonts w:hint="eastAsia" w:asciiTheme="minorEastAsia" w:hAnsiTheme="minorEastAsia" w:cstheme="minorEastAsia"/>
          <w:sz w:val="28"/>
          <w:szCs w:val="28"/>
          <w:highlight w:val="none"/>
          <w:lang w:val="en-US" w:eastAsia="zh-CN"/>
        </w:rPr>
        <w:t>亳州市谯城经济技术产业开发区华佗大道与利辛路交叉口。</w:t>
      </w:r>
    </w:p>
    <w:permEnd w:id="11"/>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交货期</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cstheme="minorEastAsia"/>
          <w:sz w:val="28"/>
          <w:szCs w:val="28"/>
          <w:highlight w:val="none"/>
          <w:u w:val="single"/>
          <w:lang w:val="en-US" w:eastAsia="zh-CN"/>
        </w:rPr>
        <w:t>30日历天</w:t>
      </w:r>
      <w:r>
        <w:rPr>
          <w:rFonts w:hint="eastAsia" w:asciiTheme="minorEastAsia" w:hAnsiTheme="minorEastAsia" w:cstheme="minorEastAsia"/>
          <w:sz w:val="28"/>
          <w:szCs w:val="28"/>
          <w:highlight w:val="none"/>
          <w:u w:val="none"/>
          <w:lang w:val="en-US" w:eastAsia="zh-CN"/>
        </w:rPr>
        <w:t>完成供货安装。</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3" w:edGrp="everyone"/>
      <w:r>
        <w:rPr>
          <w:rFonts w:hint="eastAsia" w:asciiTheme="minorEastAsia" w:hAnsiTheme="minorEastAsia" w:cstheme="minorEastAsia"/>
          <w:color w:val="FF0000"/>
          <w:sz w:val="28"/>
          <w:szCs w:val="28"/>
          <w:highlight w:val="none"/>
          <w:lang w:val="en-US" w:eastAsia="zh-CN"/>
        </w:rPr>
        <w:t>（含税）</w:t>
      </w:r>
      <w:permEnd w:id="13"/>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cstheme="minorEastAsia"/>
          <w:sz w:val="28"/>
          <w:szCs w:val="28"/>
          <w:highlight w:val="none"/>
          <w:u w:val="single"/>
          <w:lang w:val="en-US" w:eastAsia="zh-CN"/>
        </w:rPr>
        <w:t>460000元</w:t>
      </w:r>
      <w:permEnd w:id="14"/>
      <w:r>
        <w:rPr>
          <w:rFonts w:hint="eastAsia" w:asciiTheme="minorEastAsia" w:hAnsiTheme="minorEastAsia" w:cstheme="minorEastAsia"/>
          <w:sz w:val="28"/>
          <w:szCs w:val="28"/>
          <w:highlight w:val="none"/>
          <w:lang w:val="en-US" w:eastAsia="zh-CN"/>
        </w:rPr>
        <w:t>，投标人根据附件采购清单，</w:t>
      </w:r>
      <w:r>
        <w:rPr>
          <w:rFonts w:hint="eastAsia" w:asciiTheme="minorEastAsia" w:hAnsiTheme="minorEastAsia" w:eastAsiaTheme="minorEastAsia" w:cstheme="minorEastAsia"/>
          <w:sz w:val="28"/>
          <w:szCs w:val="28"/>
          <w:highlight w:val="none"/>
          <w:lang w:val="en-US" w:eastAsia="zh-CN"/>
        </w:rPr>
        <w:t>按</w:t>
      </w:r>
      <w:permStart w:id="15" w:edGrp="everyone"/>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总价</w:t>
      </w:r>
      <w:permEnd w:id="15"/>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及税金，中标后不予调整，其他未尽事宜应统一考虑在报价内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6"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6"/>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permStart w:id="17" w:edGrp="everyone"/>
      <w:r>
        <w:rPr>
          <w:rFonts w:hint="eastAsia" w:asciiTheme="minorEastAsia" w:hAnsiTheme="minorEastAsia" w:cstheme="minorEastAsia"/>
          <w:sz w:val="28"/>
          <w:szCs w:val="28"/>
          <w:highlight w:val="none"/>
          <w:u w:val="single"/>
          <w:lang w:val="en-US" w:eastAsia="zh-CN"/>
        </w:rPr>
        <w:t>2021</w:t>
      </w:r>
      <w:permEnd w:id="17"/>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w:t>
      </w:r>
      <w:r>
        <w:rPr>
          <w:rFonts w:hint="eastAsia" w:asciiTheme="minorEastAsia" w:hAnsiTheme="minorEastAsia" w:cstheme="minorEastAsia"/>
          <w:sz w:val="28"/>
          <w:szCs w:val="28"/>
          <w:highlight w:val="none"/>
          <w:lang w:val="en-US" w:eastAsia="zh-CN"/>
        </w:rPr>
        <w:t>至少1项售楼部宣传影片（动画）制作业绩和至少1项单项合同金额不低于10万元的大屏幕供货安装业绩。业绩时间以合同签订时间为准。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8" w:edGrp="everyone"/>
      <w:r>
        <w:rPr>
          <w:rFonts w:hint="default" w:asciiTheme="minorEastAsia" w:hAnsiTheme="minorEastAsia" w:eastAsiaTheme="minorEastAsia" w:cstheme="minorEastAsia"/>
          <w:sz w:val="28"/>
          <w:szCs w:val="28"/>
          <w:highlight w:val="none"/>
          <w:lang w:val="en-US" w:eastAsia="zh-CN"/>
        </w:rPr>
        <w:t>提供业绩合同等相关资料复印件装订入投标文件中。</w:t>
      </w:r>
      <w:permEnd w:id="18"/>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本次招标</w:t>
      </w:r>
      <w:permStart w:id="19" w:edGrp="everyone"/>
      <w:r>
        <w:rPr>
          <w:rFonts w:hint="eastAsia" w:asciiTheme="minorEastAsia" w:hAnsiTheme="minorEastAsia" w:eastAsiaTheme="minorEastAsia" w:cstheme="minorEastAsia"/>
          <w:color w:val="FF0000"/>
          <w:sz w:val="28"/>
          <w:szCs w:val="28"/>
          <w:highlight w:val="none"/>
          <w:lang w:val="en-US" w:eastAsia="zh-CN"/>
        </w:rPr>
        <w:t>不接受</w:t>
      </w:r>
      <w:permEnd w:id="19"/>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0" w:edGrp="everyone"/>
      <w:r>
        <w:rPr>
          <w:rFonts w:hint="eastAsia" w:asciiTheme="minorEastAsia" w:hAnsiTheme="minorEastAsia" w:cstheme="minorEastAsia"/>
          <w:color w:val="FF0000"/>
          <w:sz w:val="28"/>
          <w:szCs w:val="28"/>
          <w:highlight w:val="none"/>
          <w:lang w:val="en-US" w:eastAsia="zh-CN"/>
        </w:rPr>
        <w:t>/</w:t>
      </w:r>
      <w:permEnd w:id="20"/>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1"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21"/>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2"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22"/>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3" w:edGrp="everyone"/>
      <w:r>
        <w:rPr>
          <w:rFonts w:hint="eastAsia" w:asciiTheme="minorEastAsia" w:hAnsiTheme="minorEastAsia" w:cstheme="minorEastAsia"/>
          <w:color w:val="FF0000"/>
          <w:sz w:val="28"/>
          <w:szCs w:val="28"/>
          <w:highlight w:val="none"/>
          <w:lang w:val="en-US" w:eastAsia="zh-CN"/>
        </w:rPr>
        <w:t>不允许</w:t>
      </w:r>
      <w:permEnd w:id="23"/>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4" w:edGrp="everyone"/>
      <w:r>
        <w:rPr>
          <w:rFonts w:hint="eastAsia" w:asciiTheme="minorEastAsia" w:hAnsiTheme="minorEastAsia" w:cstheme="minorEastAsia"/>
          <w:sz w:val="28"/>
          <w:szCs w:val="28"/>
          <w:highlight w:val="none"/>
          <w:u w:val="single"/>
          <w:lang w:val="en-US" w:eastAsia="zh-CN"/>
        </w:rPr>
        <w:t>6000元（</w:t>
      </w:r>
      <w:r>
        <w:rPr>
          <w:rFonts w:hint="default" w:asciiTheme="minorEastAsia" w:hAnsiTheme="minorEastAsia" w:eastAsiaTheme="minorEastAsia" w:cstheme="minorEastAsia"/>
          <w:sz w:val="28"/>
          <w:szCs w:val="28"/>
          <w:highlight w:val="none"/>
          <w:lang w:val="en-US" w:eastAsia="zh-CN"/>
        </w:rPr>
        <w:t>人民币）</w:t>
      </w:r>
      <w:permEnd w:id="24"/>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imes New Roman" w:hAnsi="Times New Roman" w:eastAsia="华文仿宋" w:cs="Times New Roman"/>
          <w:color w:val="000000"/>
          <w:kern w:val="0"/>
          <w:sz w:val="32"/>
          <w:szCs w:val="32"/>
          <w:lang w:eastAsia="zh-CN" w:bidi="ar"/>
        </w:rPr>
        <w:t>亳州通恒置业有限公司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permStart w:id="25" w:edGrp="everyone"/>
      <w:r>
        <w:rPr>
          <w:rFonts w:hint="eastAsia" w:asciiTheme="minorEastAsia" w:hAnsiTheme="minorEastAsia" w:cstheme="minorEastAsia"/>
          <w:sz w:val="28"/>
          <w:szCs w:val="28"/>
          <w:highlight w:val="none"/>
          <w:lang w:val="en-US" w:eastAsia="zh-CN"/>
        </w:rPr>
        <w:t>安徽省亳州市谯城区药都路1289号</w:t>
      </w:r>
      <w:permEnd w:id="25"/>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permStart w:id="26" w:edGrp="everyone"/>
      <w:r>
        <w:rPr>
          <w:rFonts w:hint="eastAsia" w:asciiTheme="minorEastAsia" w:hAnsiTheme="minorEastAsia" w:cstheme="minorEastAsia"/>
          <w:sz w:val="28"/>
          <w:szCs w:val="28"/>
          <w:highlight w:val="none"/>
          <w:lang w:val="en-US" w:eastAsia="zh-CN"/>
        </w:rPr>
        <w:t xml:space="preserve">秦工 </w:t>
      </w:r>
      <w:permEnd w:id="26"/>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yellow"/>
          <w:lang w:val="en-US" w:eastAsia="zh-CN"/>
        </w:rPr>
      </w:pPr>
      <w:r>
        <w:rPr>
          <w:rFonts w:hint="eastAsia" w:asciiTheme="minorEastAsia" w:hAnsiTheme="minorEastAsia" w:eastAsiaTheme="minorEastAsia" w:cstheme="minorEastAsia"/>
          <w:sz w:val="28"/>
          <w:szCs w:val="28"/>
          <w:highlight w:val="none"/>
          <w:shd w:val="clear"/>
          <w:lang w:val="en-US" w:eastAsia="zh-CN"/>
        </w:rPr>
        <w:t>电    话：</w:t>
      </w:r>
      <w:permStart w:id="27" w:edGrp="everyone"/>
      <w:r>
        <w:rPr>
          <w:rFonts w:hint="eastAsia" w:asciiTheme="minorEastAsia" w:hAnsiTheme="minorEastAsia" w:cstheme="minorEastAsia"/>
          <w:sz w:val="28"/>
          <w:szCs w:val="28"/>
          <w:highlight w:val="none"/>
          <w:shd w:val="clear"/>
          <w:lang w:val="en-US" w:eastAsia="zh-CN"/>
        </w:rPr>
        <w:t xml:space="preserve">15205679165 </w:t>
      </w:r>
      <w:permEnd w:id="27"/>
      <w:r>
        <w:rPr>
          <w:rFonts w:hint="eastAsia" w:asciiTheme="minorEastAsia" w:hAnsiTheme="minorEastAsia" w:eastAsiaTheme="minorEastAsia" w:cstheme="minorEastAsia"/>
          <w:sz w:val="28"/>
          <w:szCs w:val="28"/>
          <w:highlight w:val="yellow"/>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imes New Roman" w:hAnsi="Times New Roman" w:eastAsia="华文仿宋" w:cs="Times New Roman"/>
          <w:color w:val="000000"/>
          <w:kern w:val="0"/>
          <w:sz w:val="32"/>
          <w:szCs w:val="32"/>
          <w:lang w:eastAsia="zh-CN" w:bidi="ar"/>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8" w:edGrp="everyone"/>
      <w:r>
        <w:rPr>
          <w:rFonts w:hint="eastAsia" w:ascii="Times New Roman" w:hAnsi="Times New Roman" w:eastAsia="华文仿宋" w:cs="Times New Roman"/>
          <w:color w:val="000000"/>
          <w:kern w:val="0"/>
          <w:sz w:val="32"/>
          <w:szCs w:val="32"/>
          <w:lang w:eastAsia="zh-CN" w:bidi="ar"/>
        </w:rPr>
        <w:t>亳州通恒置业有限公司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2024</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26</w:t>
      </w:r>
      <w:r>
        <w:rPr>
          <w:rFonts w:hint="eastAsia" w:asciiTheme="minorEastAsia" w:hAnsiTheme="minorEastAsia" w:eastAsiaTheme="minorEastAsia" w:cstheme="minorEastAsia"/>
          <w:color w:val="auto"/>
          <w:sz w:val="28"/>
          <w:szCs w:val="28"/>
          <w:highlight w:val="none"/>
          <w:lang w:val="en-US" w:eastAsia="zh-CN"/>
        </w:rPr>
        <w:t>日</w:t>
      </w:r>
      <w:permEnd w:id="28"/>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20"/>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481"/>
        <w:gridCol w:w="50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投标人资质条件、能力</w:t>
            </w:r>
            <w:r>
              <w:rPr>
                <w:rFonts w:hint="eastAsia" w:ascii="Times New Roman" w:hAnsi="Times New Roman" w:cs="Times New Roman"/>
                <w:szCs w:val="21"/>
                <w:highlight w:val="none"/>
                <w:lang w:val="en-US" w:eastAsia="zh-CN"/>
              </w:rPr>
              <w:t>、信誉</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29"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ermEnd w:id="29"/>
          <w:p>
            <w:pPr>
              <w:autoSpaceDE w:val="0"/>
              <w:autoSpaceDN w:val="0"/>
              <w:adjustRightInd w:val="0"/>
              <w:snapToGrid w:val="0"/>
              <w:spacing w:line="440" w:lineRule="exact"/>
              <w:jc w:val="left"/>
              <w:rPr>
                <w:rFonts w:hint="default" w:ascii="Times New Roman" w:hAnsi="Times New Roman" w:cs="Times New Roman"/>
                <w:szCs w:val="21"/>
                <w:highlight w:val="none"/>
              </w:rPr>
            </w:pPr>
            <w:r>
              <w:rPr>
                <w:rFonts w:hint="eastAsia" w:hAnsi="宋体"/>
                <w:color w:val="FF0000"/>
                <w:szCs w:val="21"/>
              </w:rPr>
              <w:t>需</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3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 xml:space="preserve">接  受  </w:t>
            </w:r>
            <w:permEnd w:id="3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1" w:edGrp="everyone"/>
            <w:r>
              <w:rPr>
                <w:rFonts w:hint="eastAsia" w:hAnsi="宋体"/>
                <w:sz w:val="21"/>
                <w:szCs w:val="21"/>
                <w:lang w:val="en-US" w:eastAsia="zh-CN"/>
              </w:rPr>
              <w:t>/</w:t>
            </w:r>
            <w:permEnd w:id="3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 w:val="21"/>
                <w:szCs w:val="21"/>
                <w:highlight w:val="none"/>
              </w:rPr>
            </w:pPr>
            <w:permStart w:id="3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开</w:t>
            </w:r>
            <w:r>
              <w:rPr>
                <w:rFonts w:hint="eastAsia" w:ascii="Times New Roman" w:hAnsi="Times New Roman" w:cs="Times New Roman"/>
                <w:color w:val="FF0000"/>
                <w:sz w:val="21"/>
                <w:szCs w:val="21"/>
                <w:highlight w:val="none"/>
                <w:lang w:val="en-US" w:eastAsia="zh-CN"/>
              </w:rPr>
              <w:t xml:space="preserve"> </w:t>
            </w:r>
            <w:permEnd w:id="3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时间：</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形式：</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3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4" w:edGrp="everyone"/>
            <w:r>
              <w:rPr>
                <w:rFonts w:hint="eastAsia" w:hAnsi="宋体"/>
                <w:sz w:val="21"/>
                <w:szCs w:val="21"/>
                <w:lang w:val="en-US" w:eastAsia="zh-CN"/>
              </w:rPr>
              <w:t xml:space="preserve">详见第一章招标公告、第四章合同条款及格式、第五章供货要求。 </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5" w:edGrp="everyone"/>
            <w:r>
              <w:rPr>
                <w:rFonts w:hint="eastAsia" w:hAnsi="宋体"/>
                <w:sz w:val="21"/>
                <w:szCs w:val="21"/>
                <w:lang w:val="en-US" w:eastAsia="zh-CN"/>
              </w:rPr>
              <w:t xml:space="preserve">技术支持资料以制造商公开发布的印刷资料，政府部门出具的证明材料，或检测机构出具的检测报告为准，其他形式的技术支持资料视为无效。 </w:t>
            </w:r>
            <w:permEnd w:id="3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48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permStart w:id="36" w:edGrp="everyone"/>
            <w:r>
              <w:rPr>
                <w:rFonts w:hint="eastAsia" w:ascii="Times New Roman" w:hAnsi="Times New Roman" w:cs="Times New Roman"/>
                <w:szCs w:val="21"/>
                <w:highlight w:val="none"/>
                <w:u w:val="single"/>
                <w:lang w:val="en-US" w:eastAsia="zh-CN"/>
              </w:rPr>
              <w:t xml:space="preserve"> 详见第一章招标公告。</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jc w:val="left"/>
              <w:rPr>
                <w:rFonts w:hint="eastAsia" w:hAnsi="宋体"/>
                <w:color w:val="FF0000"/>
                <w:szCs w:val="21"/>
              </w:rPr>
            </w:pPr>
            <w:permStart w:id="37" w:edGrp="everyone"/>
            <w:r>
              <w:rPr>
                <w:rFonts w:hint="eastAsia" w:hAnsi="宋体"/>
                <w:color w:val="FF0000"/>
                <w:szCs w:val="21"/>
              </w:rPr>
              <w:t>不需要</w:t>
            </w:r>
            <w:r>
              <w:rPr>
                <w:rFonts w:hint="eastAsia" w:hAnsi="宋体"/>
                <w:color w:val="FF0000"/>
                <w:szCs w:val="21"/>
              </w:rPr>
              <w:sym w:font="Wingdings 2" w:char="00A3"/>
            </w:r>
          </w:p>
          <w:p>
            <w:pPr>
              <w:autoSpaceDE w:val="0"/>
              <w:autoSpaceDN w:val="0"/>
              <w:adjustRightInd w:val="0"/>
              <w:snapToGrid w:val="0"/>
              <w:spacing w:line="440" w:lineRule="exact"/>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需</w:t>
            </w:r>
            <w:r>
              <w:rPr>
                <w:rFonts w:hint="eastAsia" w:hAnsi="宋体"/>
                <w:color w:val="FF0000"/>
                <w:szCs w:val="21"/>
                <w:lang w:val="en-US" w:eastAsia="zh-CN"/>
              </w:rPr>
              <w:t xml:space="preserve"> </w:t>
            </w:r>
            <w:r>
              <w:rPr>
                <w:rFonts w:hint="eastAsia" w:hAnsi="宋体"/>
                <w:color w:val="FF0000"/>
                <w:szCs w:val="21"/>
              </w:rPr>
              <w:t xml:space="preserve"> 要</w:t>
            </w:r>
            <w:r>
              <w:rPr>
                <w:rFonts w:hint="eastAsia" w:hAnsi="宋体"/>
                <w:color w:val="FF0000"/>
                <w:szCs w:val="21"/>
                <w:lang w:eastAsia="zh-CN"/>
              </w:rPr>
              <w:t>☑</w:t>
            </w:r>
          </w:p>
          <w:permEnd w:id="37"/>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38" w:edGrp="everyone"/>
            <w:r>
              <w:rPr>
                <w:rFonts w:hint="eastAsia" w:ascii="Times New Roman" w:hAnsi="Times New Roman" w:cs="Times New Roman"/>
                <w:color w:val="auto"/>
                <w:szCs w:val="21"/>
                <w:highlight w:val="none"/>
                <w:u w:val="single"/>
                <w:lang w:val="en-US" w:eastAsia="zh-CN"/>
              </w:rPr>
              <w:t>6000元</w:t>
            </w:r>
            <w:permEnd w:id="38"/>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9" w:edGrp="everyone"/>
            <w:r>
              <w:rPr>
                <w:rFonts w:hint="eastAsia" w:ascii="Times New Roman" w:hAnsi="Times New Roman" w:cs="Times New Roman"/>
                <w:color w:val="FF0000"/>
                <w:szCs w:val="21"/>
                <w:highlight w:val="none"/>
                <w:lang w:val="en-US" w:eastAsia="zh-CN"/>
              </w:rPr>
              <w:t>BZJK-2024-009号保证金</w:t>
            </w:r>
            <w:permEnd w:id="39"/>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0"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4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1"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4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2"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4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43"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43"/>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u w:val="none"/>
              </w:rPr>
            </w:pPr>
            <w:r>
              <w:rPr>
                <w:rFonts w:hint="eastAsia" w:ascii="Times New Roman" w:hAnsi="Times New Roman" w:cs="Times New Roman"/>
                <w:b/>
                <w:bCs/>
                <w:szCs w:val="21"/>
                <w:highlight w:val="none"/>
                <w:u w:val="none"/>
                <w:lang w:val="en-US" w:eastAsia="zh-CN"/>
              </w:rPr>
              <w:t>述标要求：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b/>
                <w:bCs/>
                <w:szCs w:val="21"/>
                <w:highlight w:val="none"/>
                <w:u w:val="none"/>
              </w:rPr>
              <w:t>投标人对各自投标文件中的三维动画制作方案向评标委员会进行演示与讲解（投标人自带演示所需的U盘和其他相关的物品及资料，招标人提供笔记本电脑、投影仪等设备）；每家投标人演示和现场答辩时间原则上不超过15分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4"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4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5"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szCs w:val="21"/>
                <w:highlight w:val="none"/>
                <w:u w:val="none"/>
                <w:lang w:val="en-US" w:eastAsia="zh-CN"/>
              </w:rPr>
              <w:t>亳州交通投资控股集团有限公司15楼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招标人：亳州通恒置业有限公司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逸合府项目售楼部沙盘区大屏、动画、区位、品牌工法馆安装采购</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w:t>
            </w:r>
            <w:r>
              <w:rPr>
                <w:rFonts w:hint="eastAsia" w:ascii="Times New Roman" w:hAnsi="Times New Roman" w:cs="Times New Roman"/>
                <w:color w:val="FF0000"/>
                <w:szCs w:val="21"/>
                <w:highlight w:val="none"/>
                <w:u w:val="single"/>
                <w:lang w:val="en-US" w:eastAsia="zh-CN"/>
              </w:rPr>
              <w:t>009</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eastAsiaTheme="minorEastAsia"/>
                <w:color w:val="FF0000"/>
                <w:sz w:val="21"/>
                <w:szCs w:val="21"/>
                <w:highlight w:val="none"/>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6"/>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7"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w:t>
            </w:r>
            <w:permStart w:id="48"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验收合格后返还全部履约保证金（本金无息）</w:t>
            </w:r>
            <w:r>
              <w:rPr>
                <w:rFonts w:hint="default" w:ascii="Times New Roman" w:hAnsi="Times New Roman" w:cs="Times New Roman"/>
                <w:szCs w:val="21"/>
                <w:highlight w:val="none"/>
              </w:rPr>
              <w:t>。</w:t>
            </w:r>
            <w:permEnd w:id="4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rPr>
      </w:pPr>
      <w:r>
        <w:rPr>
          <w:rFonts w:hint="eastAsia" w:ascii="黑体" w:hAnsi="黑体" w:eastAsia="黑体" w:cs="黑体"/>
          <w:color w:val="000000"/>
          <w:highlight w:val="none"/>
        </w:rPr>
        <w:t>说明：</w:t>
      </w:r>
      <w:bookmarkStart w:id="16" w:name="_Toc296602420"/>
      <w:bookmarkStart w:id="17" w:name="_Toc144974497"/>
      <w:bookmarkStart w:id="18" w:name="_Toc152042305"/>
      <w:bookmarkStart w:id="19" w:name="_Toc247085689"/>
      <w:bookmarkStart w:id="20" w:name="_Toc152045529"/>
      <w:bookmarkStart w:id="21" w:name="_Toc246996175"/>
      <w:bookmarkStart w:id="22" w:name="_Toc179632546"/>
      <w:bookmarkStart w:id="23" w:name="_Toc246996918"/>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1. 总则</w:t>
      </w:r>
      <w:bookmarkEnd w:id="16"/>
      <w:bookmarkEnd w:id="17"/>
      <w:bookmarkEnd w:id="18"/>
      <w:bookmarkEnd w:id="19"/>
      <w:bookmarkEnd w:id="20"/>
      <w:bookmarkEnd w:id="21"/>
      <w:bookmarkEnd w:id="22"/>
      <w:bookmarkEnd w:id="23"/>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919"/>
      <w:bookmarkStart w:id="25" w:name="_Toc247085690"/>
      <w:bookmarkStart w:id="26" w:name="_Toc296602421"/>
      <w:bookmarkStart w:id="27" w:name="_Toc152042306"/>
      <w:bookmarkStart w:id="28" w:name="_Toc179632547"/>
      <w:bookmarkStart w:id="29" w:name="_Toc144974498"/>
      <w:bookmarkStart w:id="30" w:name="_Toc152045530"/>
      <w:bookmarkStart w:id="31" w:name="_Toc246996176"/>
      <w:r>
        <w:rPr>
          <w:rFonts w:hint="eastAsia"/>
        </w:rPr>
        <w:t xml:space="preserve">1.1 </w:t>
      </w:r>
      <w:r>
        <w:rPr>
          <w:rFonts w:hint="eastAsia"/>
          <w:lang w:val="en-US" w:eastAsia="zh-CN"/>
        </w:rPr>
        <w:t>招标</w:t>
      </w:r>
      <w:r>
        <w:rPr>
          <w:rFonts w:hint="eastAsia"/>
        </w:rPr>
        <w:t>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w:t>
      </w:r>
      <w:r>
        <w:rPr>
          <w:rFonts w:hint="eastAsia"/>
          <w:lang w:val="en-US" w:eastAsia="zh-CN"/>
        </w:rPr>
        <w:t>材料</w:t>
      </w:r>
      <w:r>
        <w:rPr>
          <w:rFonts w:hint="eastAsia"/>
        </w:rPr>
        <w:t>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招标</w:t>
      </w:r>
      <w:r>
        <w:rPr>
          <w:rFonts w:hint="eastAsia"/>
          <w:lang w:val="en-US" w:eastAsia="zh-CN"/>
        </w:rPr>
        <w:t>平台</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1.1.4 </w:t>
      </w:r>
      <w:r>
        <w:rPr>
          <w:rFonts w:hint="eastAsia"/>
          <w:lang w:val="en-US" w:eastAsia="zh-CN"/>
        </w:rPr>
        <w:t>招标</w:t>
      </w:r>
      <w:r>
        <w:rPr>
          <w:rFonts w:hint="eastAsia"/>
        </w:rPr>
        <w:t>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工程项目名称：即招标项目所属的工程建设项目，见投标人须知前附表。</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7085691"/>
      <w:bookmarkStart w:id="33" w:name="_Toc144974499"/>
      <w:bookmarkStart w:id="34" w:name="_Toc179632548"/>
      <w:bookmarkStart w:id="35" w:name="_Toc152042307"/>
      <w:bookmarkStart w:id="36" w:name="_Toc152045531"/>
      <w:bookmarkStart w:id="37" w:name="_Toc246996920"/>
      <w:bookmarkStart w:id="38" w:name="_Toc296602422"/>
      <w:bookmarkStart w:id="39" w:name="_Toc246996177"/>
      <w:r>
        <w:rPr>
          <w:rFonts w:hint="eastAsia"/>
        </w:rPr>
        <w:t>1.2 招标项目的资金来源和落实情况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资金落实情况：见投标人须知前附表。</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7085692"/>
      <w:bookmarkStart w:id="41" w:name="_Toc246996921"/>
      <w:bookmarkStart w:id="42" w:name="_Toc144974500"/>
      <w:bookmarkStart w:id="43" w:name="_Toc152042308"/>
      <w:bookmarkStart w:id="44" w:name="_Toc152045532"/>
      <w:bookmarkStart w:id="45" w:name="_Toc246996178"/>
      <w:bookmarkStart w:id="46" w:name="_Toc296602423"/>
      <w:bookmarkStart w:id="47" w:name="_Toc179632549"/>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w:t>
      </w:r>
      <w:r>
        <w:rPr>
          <w:rFonts w:hint="eastAsia"/>
        </w:rPr>
        <w:t>.3.1  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交货期：见投标人须知前附表。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交货地点：见投标人须知前附表。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1.3.4  质量标准：见投标人须知前附表。</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79632551"/>
      <w:bookmarkStart w:id="49" w:name="_Toc144974502"/>
      <w:bookmarkStart w:id="50" w:name="_Toc152042310"/>
      <w:bookmarkStart w:id="51" w:name="_Toc296602424"/>
      <w:bookmarkStart w:id="52" w:name="_Toc246996922"/>
      <w:bookmarkStart w:id="53" w:name="_Toc246996179"/>
      <w:bookmarkStart w:id="54" w:name="_Toc247085693"/>
      <w:bookmarkStart w:id="55" w:name="_Toc15204553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 1  投标人应具备承担本招标项目资质条件、能力和信誉：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投标人为代理经销商的， 对投标人的资质要求包含对制造商的资质要求，对投标人的业绩要求包含对投标材料的业绩要求。需要提交的相关证明材料见本章第 3.5 款的规定。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1.4.2 投标人须知前附表规定接受联合体投标的，联合体除应符合本章第 1.4.1 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（1）联合体各方应按招标文件提供的格式签订联合体协议书，明确联合体牵头人和各方权利义务，并承诺就中标项目向招标人承担连带责任；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（3）联合体各方不得再以自己名义单独或参加其他联合体在本招标项目中投标，否则各相关投标均无效。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（1）与招标人存在利害关系且可能影响招标公正性；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（2）与本招标项目的其他投标人为同一个单位负责人；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（3）与本招标项目的其他投标人存在控股、管理关系；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（4）与本招标项目其他投标人代理同一个制造商同一品牌同一型号的材料投标；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（5）为本招标项目提供过设计、编制技术规范和其他文件的咨询服务；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（6）为本工程项目的相关监理人，或者与本工程项目的相关监理人存在隶属关系或者其他利害关系；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（7）为本招标项目的代建人；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（8）为本招标项目的招标代理机构；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（9）与本招标项目的监理人或代建人或招标代理机构同为一个法定代表人；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（10）与本招标项目的监理人或代建人或招标代理机构存在控股或参股关系；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（11）被依法暂停或者取消投标资格；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（12）被责令停产停业、暂扣或者吊销许可证、暂扣或者吊销执照；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（13）进入清算程序，或被宣告破产，或其他丧失履约能力的情形；</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（14）在最近三年内发生重大产品质量问题（以相关行业主管部门的行政处罚决定或司法机关出具的有关法律文书为准）；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（15）被工商行政管理机关在全国企业信用信息公示系统中列入严重违法失信企业名单；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（16）被最高人民法院在“信用中国” 网站（www.creditchina.gov.cn）或各级信用信息共享平台中列入失信被执行人名单；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（17）在近三年内投标人或其法定代表人、拟委任的项目负责人有行贿犯罪行为的（以检察机关职务犯罪预防部门出具的查询结果为准）；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（18）法律法规或投标人须知前附表规定的其他情形。</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52042311"/>
      <w:bookmarkStart w:id="57" w:name="_Toc296602425"/>
      <w:bookmarkStart w:id="58" w:name="_Toc144974503"/>
      <w:bookmarkStart w:id="59" w:name="_Toc247085694"/>
      <w:bookmarkStart w:id="60" w:name="_Toc152045535"/>
      <w:bookmarkStart w:id="61" w:name="_Toc179632552"/>
      <w:bookmarkStart w:id="62" w:name="_Toc246996180"/>
      <w:bookmarkStart w:id="63" w:name="_Toc246996923"/>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44974504"/>
      <w:bookmarkStart w:id="65" w:name="_Toc152045536"/>
      <w:bookmarkStart w:id="66" w:name="_Toc152042312"/>
      <w:bookmarkStart w:id="67" w:name="_Toc246996181"/>
      <w:bookmarkStart w:id="68" w:name="_Toc179632553"/>
      <w:bookmarkStart w:id="69" w:name="_Toc296602426"/>
      <w:bookmarkStart w:id="70" w:name="_Toc247085695"/>
      <w:bookmarkStart w:id="71" w:name="_Toc246996924"/>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52042313"/>
      <w:bookmarkStart w:id="74" w:name="_Toc152045537"/>
      <w:bookmarkStart w:id="75" w:name="_Toc296602427"/>
      <w:bookmarkStart w:id="76" w:name="_Toc246996182"/>
      <w:bookmarkStart w:id="77" w:name="_Toc247085696"/>
      <w:bookmarkStart w:id="78" w:name="_Toc246996925"/>
      <w:bookmarkStart w:id="79" w:name="_Toc179632554"/>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52045538"/>
      <w:bookmarkStart w:id="81" w:name="_Toc246996183"/>
      <w:bookmarkStart w:id="82" w:name="_Toc152042314"/>
      <w:bookmarkStart w:id="83" w:name="_Toc179632555"/>
      <w:bookmarkStart w:id="84" w:name="_Toc144974506"/>
      <w:bookmarkStart w:id="85" w:name="_Toc247085697"/>
      <w:bookmarkStart w:id="86" w:name="_Toc246996926"/>
      <w:r>
        <w:rPr>
          <w:rFonts w:hint="eastAsia"/>
        </w:rPr>
        <w:t>招标投标文件使用的语言文字为中文。专用术语使用外文的，应附有中文注释。</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44974507"/>
      <w:bookmarkStart w:id="89" w:name="_Toc152045539"/>
      <w:bookmarkStart w:id="90" w:name="_Toc247527563"/>
      <w:bookmarkStart w:id="91" w:name="_Toc152042315"/>
      <w:bookmarkStart w:id="92" w:name="_Toc247592876"/>
      <w:bookmarkStart w:id="93" w:name="_Toc247513962"/>
      <w:bookmarkStart w:id="94" w:name="_Toc296602429"/>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投标人应按投标人须知前附表规定的时间和形式将提出的问题送达招标人，以便招标人在会议期间澄清。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投标预备会后， 招标人将对投标人所提问题的澄清， 以投标人须知前附表规定的形式通知所有购买招标文件的投标人。该澄清内容为招标文件的组成部分。</w:t>
      </w:r>
    </w:p>
    <w:p>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5" w:name="_Toc247513963"/>
      <w:bookmarkStart w:id="96" w:name="_Toc247527564"/>
      <w:bookmarkStart w:id="97" w:name="_Toc152045540"/>
      <w:bookmarkStart w:id="98" w:name="_Toc152042316"/>
      <w:bookmarkStart w:id="99" w:name="_Toc144974508"/>
      <w:bookmarkStart w:id="100" w:name="_Toc296602430"/>
      <w:bookmarkStart w:id="101" w:name="_Toc247592877"/>
      <w:r>
        <w:rPr>
          <w:rFonts w:hint="eastAsia"/>
        </w:rPr>
        <w:t xml:space="preserve">1.10 </w:t>
      </w:r>
      <w:bookmarkEnd w:id="95"/>
      <w:bookmarkEnd w:id="96"/>
      <w:bookmarkEnd w:id="97"/>
      <w:bookmarkEnd w:id="98"/>
      <w:bookmarkEnd w:id="99"/>
      <w:bookmarkEnd w:id="100"/>
      <w:bookmarkEnd w:id="101"/>
      <w:r>
        <w:rPr>
          <w:rFonts w:hint="eastAsia"/>
          <w:lang w:val="en-US" w:eastAsia="zh-CN"/>
        </w:rPr>
        <w:t>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投标人拟在中标后将中标项目的非主体材料进行分包的，应符合投标人须知前附表 规定的分包内容、分包金额和资质要求等限制性条件，除投标人须知前附表规定的非主体材料外，其他工作不得分包。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中标人不得向他人转让中标项目，接受分包的人不得再次分包。中标人应当就分包项目向招标人负责， 接受分包的人就分包项目承担连带责任。</w:t>
      </w:r>
    </w:p>
    <w:p>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2" w:name="_Toc296602431"/>
      <w:r>
        <w:rPr>
          <w:rFonts w:hint="eastAsia"/>
        </w:rPr>
        <w:t xml:space="preserve">1.11 </w:t>
      </w:r>
      <w:r>
        <w:rPr>
          <w:rFonts w:hint="eastAsia"/>
          <w:lang w:val="en-US" w:eastAsia="zh-CN"/>
        </w:rPr>
        <w:t>响应和</w:t>
      </w:r>
      <w:r>
        <w:rPr>
          <w:rFonts w:hint="eastAsia"/>
        </w:rPr>
        <w:t>偏</w:t>
      </w:r>
      <w:bookmarkEnd w:id="102"/>
      <w:r>
        <w:rPr>
          <w:rFonts w:hint="eastAsia"/>
          <w:lang w:val="en-US" w:eastAsia="zh-CN"/>
        </w:rPr>
        <w:t>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  投标人应根据招标文件的要求提供投标材料质量标准的详细描述、技术支持资料及相关服务计划等内容以对招标文件作出响应。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1.11.3  投标文件中应针对实质性要求和条件中列明的技术要求提供技术支持资料。技术支 持资料以制造商公开发布的印刷资料，或检测机构出具的检测报告或投标人须知前附表允许的其他形式为准， 不符合前述要求的， 视为无技术支持资料，其投标将被否决。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1.11.4  投标人须知前附表规定了可以偏差的范围和最高偏差项数的，偏差应当符合投标人须知前附表规定的偏差范围和最高项数， 超出偏差范围和最高偏差项数的投标将被否决。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1.11.5  投标文件对招标文件的全部偏差，均应在投标文件的</w:t>
      </w:r>
      <w:r>
        <w:rPr>
          <w:rFonts w:hint="eastAsia"/>
          <w:lang w:val="en-US" w:eastAsia="zh-CN"/>
        </w:rPr>
        <w:t>商务</w:t>
      </w:r>
      <w:r>
        <w:rPr>
          <w:rFonts w:hint="eastAsia"/>
        </w:rPr>
        <w:t>和技术偏差表中列明，除列明的内容外， 视为投标人响应招标文件的全部要求。</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96602432"/>
      <w:bookmarkStart w:id="104" w:name="_Toc152045542"/>
      <w:bookmarkStart w:id="105" w:name="_Toc246996187"/>
      <w:bookmarkStart w:id="106" w:name="_Toc179632560"/>
      <w:bookmarkStart w:id="107" w:name="_Toc144974510"/>
      <w:bookmarkStart w:id="108" w:name="_Toc152042318"/>
      <w:bookmarkStart w:id="109" w:name="_Toc247085701"/>
      <w:bookmarkStart w:id="110" w:name="_Toc246996930"/>
      <w:r>
        <w:rPr>
          <w:rFonts w:hint="eastAsia"/>
        </w:rPr>
        <w:t>2. 招标文件</w:t>
      </w:r>
      <w:bookmarkEnd w:id="103"/>
      <w:bookmarkEnd w:id="104"/>
      <w:bookmarkEnd w:id="105"/>
      <w:bookmarkEnd w:id="106"/>
      <w:bookmarkEnd w:id="107"/>
      <w:bookmarkEnd w:id="108"/>
      <w:bookmarkEnd w:id="109"/>
      <w:bookmarkEnd w:id="110"/>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11"/>
      <w:bookmarkStart w:id="112" w:name="_Toc152045543"/>
      <w:bookmarkStart w:id="113" w:name="_Toc296602433"/>
      <w:bookmarkStart w:id="114" w:name="_Toc152042319"/>
      <w:bookmarkStart w:id="115" w:name="_Toc179632561"/>
      <w:bookmarkStart w:id="116" w:name="_Toc246996188"/>
      <w:bookmarkStart w:id="117" w:name="_Toc247085702"/>
      <w:bookmarkStart w:id="118" w:name="_Toc24699693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（5）供货要求；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1.9 款、第 2.2 款和第 2.3 款对招标文件所作的澄清、修改，构成招标文件的组成部分。</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2320"/>
      <w:bookmarkStart w:id="120" w:name="_Toc144974512"/>
      <w:bookmarkStart w:id="121" w:name="_Toc152045544"/>
      <w:bookmarkStart w:id="122" w:name="_Toc247085703"/>
      <w:bookmarkStart w:id="123" w:name="_Toc296602434"/>
      <w:bookmarkStart w:id="124" w:name="_Toc179632562"/>
      <w:bookmarkStart w:id="125" w:name="_Toc246996189"/>
      <w:bookmarkStart w:id="126" w:name="_Toc24699693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6996933"/>
      <w:bookmarkStart w:id="128" w:name="_Toc296602435"/>
      <w:bookmarkStart w:id="129" w:name="_Toc152042321"/>
      <w:bookmarkStart w:id="130" w:name="_Toc247085704"/>
      <w:bookmarkStart w:id="131" w:name="_Toc152045545"/>
      <w:bookmarkStart w:id="132" w:name="_Toc144974513"/>
      <w:bookmarkStart w:id="133" w:name="_Toc179632563"/>
      <w:bookmarkStart w:id="134" w:name="_Toc246996190"/>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96602436"/>
      <w:bookmarkStart w:id="136" w:name="_Toc144974514"/>
      <w:bookmarkStart w:id="137" w:name="_Toc247085705"/>
      <w:bookmarkStart w:id="138" w:name="_Toc246996934"/>
      <w:bookmarkStart w:id="139" w:name="_Toc246996191"/>
      <w:bookmarkStart w:id="140" w:name="_Toc179632564"/>
      <w:bookmarkStart w:id="141" w:name="_Toc152045546"/>
      <w:bookmarkStart w:id="142" w:name="_Toc152042322"/>
      <w:r>
        <w:rPr>
          <w:rFonts w:hint="eastAsia"/>
        </w:rPr>
        <w:t>3. 投标文件</w:t>
      </w:r>
      <w:bookmarkEnd w:id="135"/>
      <w:bookmarkEnd w:id="136"/>
      <w:bookmarkEnd w:id="137"/>
      <w:bookmarkEnd w:id="138"/>
      <w:bookmarkEnd w:id="139"/>
      <w:bookmarkEnd w:id="140"/>
      <w:bookmarkEnd w:id="141"/>
      <w:bookmarkEnd w:id="142"/>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6996935"/>
      <w:bookmarkStart w:id="144" w:name="_Toc296602437"/>
      <w:bookmarkStart w:id="145" w:name="_Toc246996192"/>
      <w:bookmarkStart w:id="146" w:name="_Toc144974515"/>
      <w:bookmarkStart w:id="147" w:name="_Toc179632565"/>
      <w:bookmarkStart w:id="148" w:name="_Toc247085706"/>
      <w:bookmarkStart w:id="149" w:name="_Toc152042323"/>
      <w:bookmarkStart w:id="150" w:name="_Toc152045547"/>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  投标文件的组成</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二、法定代表人（单位负责人）身份证明（适用于无委托代理人的情况）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w:t>
      </w:r>
      <w:r>
        <w:rPr>
          <w:rFonts w:hint="eastAsia"/>
          <w:lang w:val="en-US" w:eastAsia="zh-CN"/>
        </w:rPr>
        <w:t>商务</w:t>
      </w:r>
      <w:r>
        <w:rPr>
          <w:rFonts w:hint="eastAsia"/>
        </w:rPr>
        <w:t>和技术偏差表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五、分项报价表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七、投标产品性能指标的详细描述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八、技术支持资料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九、相关服务计划</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十、其他资料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6"/>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96602438"/>
      <w:bookmarkStart w:id="152" w:name="_Toc247085707"/>
      <w:bookmarkStart w:id="153" w:name="_Toc246996193"/>
      <w:bookmarkStart w:id="154" w:name="_Toc152042324"/>
      <w:bookmarkStart w:id="155" w:name="_Toc144974516"/>
      <w:bookmarkStart w:id="156" w:name="_Toc152045548"/>
      <w:bookmarkStart w:id="157" w:name="_Toc246996936"/>
      <w:bookmarkStart w:id="158" w:name="_Toc179632566"/>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5549"/>
      <w:bookmarkStart w:id="160" w:name="_Toc144974517"/>
      <w:bookmarkStart w:id="161" w:name="_Toc152042325"/>
      <w:bookmarkStart w:id="162" w:name="_Toc179632567"/>
      <w:r>
        <w:rPr>
          <w:rFonts w:hint="eastAsia"/>
        </w:rPr>
        <w:t>3.2.1  投标报价应包括国家规定的增值税税金， 除投标人须知前附表另有规定外， 增值税税金按一般计税方法计算。投标人应按第六章“投标文件格式” 的要求在投标函中进行报价并填写分项报价表。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投标报价为各分项报价金额之和，投标报价与分项报价的合价不一致的，应以各分项合价累计数为准， 修正投标报价； 如分项报价中存在缺漏项，则视为缺漏项价格已包含在其他 分项报价之中。 投标人在投标截止时间前修改投标函中的投标报价总额，应同时修改投标文件“分项报价表”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937"/>
      <w:bookmarkStart w:id="164" w:name="_Toc246996194"/>
      <w:bookmarkStart w:id="165" w:name="_Toc247085708"/>
      <w:bookmarkStart w:id="166" w:name="_Toc296602439"/>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52042326"/>
      <w:bookmarkStart w:id="168" w:name="_Toc246996938"/>
      <w:bookmarkStart w:id="169" w:name="_Toc179632568"/>
      <w:bookmarkStart w:id="170" w:name="_Toc152045550"/>
      <w:bookmarkStart w:id="171" w:name="_Toc247085709"/>
      <w:bookmarkStart w:id="172" w:name="_Toc296602440"/>
      <w:bookmarkStart w:id="173" w:name="_Toc246996195"/>
      <w:bookmarkStart w:id="174" w:name="_Toc14497451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w:t>
      </w:r>
      <w:r>
        <w:rPr>
          <w:rFonts w:hint="eastAsia"/>
          <w:lang w:val="en-US" w:eastAsia="zh-CN"/>
        </w:rPr>
        <w:t>六</w:t>
      </w:r>
      <w:r>
        <w:rPr>
          <w:rFonts w:hint="eastAsia"/>
        </w:rPr>
        <w:t>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44974520"/>
      <w:bookmarkStart w:id="176" w:name="_Toc296602441"/>
      <w:bookmarkStart w:id="177" w:name="_Toc246996939"/>
      <w:bookmarkStart w:id="178" w:name="_Toc152045552"/>
      <w:bookmarkStart w:id="179" w:name="_Toc247085710"/>
      <w:bookmarkStart w:id="180" w:name="_Toc179632570"/>
      <w:bookmarkStart w:id="181" w:name="_Toc246996196"/>
      <w:bookmarkStart w:id="182" w:name="_Toc152042328"/>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除投标人须知前附表另有规定外，投标人应按下列规定提供资格审查资料，以证明其满足本章第 1.4 款规定的资质、财务、业绩、信誉等要求。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“投标人基本情况表”应附投标人及其制造商（适用于代理经销商投标的情形） 资格或者资质证书副本和投标材料检验或认证等材料的复印件以及：</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（1）投标人为企业的，应提交营业执照和组织机构代码证的复印件（按照“三证合一”或“五证合一”登记制度进行登记的，可仅提供营业执照复印件）；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（2）投标人为依法允许经营的事业单位的，应提交事业单位法人证书和组织机构代码证的复印件。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 债表、现金流量表、利润表和财务情况说明书的复印件，具体年份要求见投标人须知前附表。投标人的成立时间少于投标人须知前附表规定年份的，应提供成立以来的财务状况表。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“近年完成的类似项目情况表”应附中标通知书和（或）合同协议书、材料进场验收证书等的复印件， 具体时间要求见投标人须知前附表。每张表格只填写一个项目，并标明序号。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“正在供货和新承接的项目情况表”应附中标通知书和（或）合同协议书复印件。每张表格只填写一个项目，并标明序号。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 “近年发生的诉讼及仲裁情况”应说明投标人败诉的材料买卖合同的相关情况， 并附法院或仲裁机构作出的判决、裁决等有关法律文书复印件， 具体时间要求见投标人须知前附表。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  投标人须知前附表规定接受联合体投标的，本章第 3.5.1 项至第 3.5.5 项规定的表格和资料应包括联合体各方相关情况。</w:t>
      </w:r>
    </w:p>
    <w:p>
      <w:pPr>
        <w:pStyle w:val="6"/>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42"/>
      <w:bookmarkStart w:id="184" w:name="_Toc152045553"/>
      <w:bookmarkStart w:id="185" w:name="_Toc246996197"/>
      <w:bookmarkStart w:id="186" w:name="_Toc247085711"/>
      <w:bookmarkStart w:id="187" w:name="_Toc246996940"/>
      <w:bookmarkStart w:id="188" w:name="_Toc179632571"/>
      <w:bookmarkStart w:id="189" w:name="_Toc144974521"/>
      <w:bookmarkStart w:id="190" w:name="_Toc152042329"/>
      <w:r>
        <w:rPr>
          <w:rFonts w:hint="eastAsia"/>
        </w:rPr>
        <w:t>3.6</w:t>
      </w:r>
      <w:bookmarkEnd w:id="183"/>
      <w:r>
        <w:rPr>
          <w:rFonts w:hint="eastAsia"/>
          <w:lang w:val="en-US" w:eastAsia="zh-CN"/>
        </w:rPr>
        <w:t>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投标人提供两个或两个以上投标报价，或者在投标文件中提供一个报价，但同时提供两个或两个以上供货方案的， 视为提供备选方案。</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3.7  投标文件的编制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3.7.1  投标文件应按第六章“投标文件格式”进行编写，如有必要， 可以增加附页， 作为投标文件的组成部分。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投标文件应当对招标文件有关供货期、投标有效期、供货要求、招标范围等实质性内容作出响应。 投标文件在满足招标文件实质性要求的基础上，可以提出比招标文件要求更有利于招标人的承诺。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3.7.3（1）投标文件应用不褪色的材料书写或打印， 投标函及对投标文件的澄清、说明和补正应由投标人的法定代表人（单位负责人）或其授权的代理人签字或盖单位章。 由投标人的法定代表人（单位负责人）签字的，应附法定代表人（单位负责人）身份证明，由代理人签字的，应附授权委托书，身份证明或授权委托书应符合第六章“投标文件格式” 的要求。投标文件应尽量避免涂改、行间插字或删除。如果出现上述情况，改动之处应由投标人的法定代表人（单位负责人）或其授权的代理人签字或盖单位章。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（2）投标文件正本一份，副本份数见投标人须知前附表。正本和副本的封面右上角上应清楚地标记“正本”或“副本” 的字样。投标人应根据投标人须知前附表要求提供电子版文件。当副本和正本不一致或电子版文件和纸质正本文件不一致时， 以纸质正本文件为准。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（3）投标文件的正本与副本应分别装订， 并编制目录， 投标文件需分册装订的， 具体分册装订要求见投标人须知前附表规定。</w:t>
      </w:r>
      <w:bookmarkEnd w:id="184"/>
      <w:bookmarkEnd w:id="185"/>
      <w:bookmarkEnd w:id="186"/>
      <w:bookmarkEnd w:id="187"/>
      <w:bookmarkEnd w:id="188"/>
      <w:bookmarkEnd w:id="189"/>
      <w:bookmarkEnd w:id="190"/>
      <w:bookmarkStart w:id="191" w:name="_Toc246996199"/>
      <w:bookmarkStart w:id="192" w:name="_Toc179632573"/>
      <w:bookmarkStart w:id="193" w:name="_Toc152042331"/>
      <w:bookmarkStart w:id="194" w:name="_Toc152045555"/>
      <w:bookmarkStart w:id="195" w:name="_Toc247085713"/>
      <w:bookmarkStart w:id="196" w:name="_Toc246996942"/>
      <w:bookmarkStart w:id="197" w:name="_Toc144974523"/>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44974524"/>
      <w:bookmarkStart w:id="200" w:name="_Toc246996200"/>
      <w:bookmarkStart w:id="201" w:name="_Toc152042332"/>
      <w:bookmarkStart w:id="202" w:name="_Toc246996943"/>
      <w:bookmarkStart w:id="203" w:name="_Toc296602444"/>
      <w:bookmarkStart w:id="204" w:name="_Toc179632574"/>
      <w:bookmarkStart w:id="205" w:name="_Toc247085714"/>
      <w:bookmarkStart w:id="206" w:name="_Toc152045556"/>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144974525"/>
      <w:bookmarkStart w:id="208" w:name="_Toc179632575"/>
      <w:bookmarkStart w:id="209" w:name="_Toc247085715"/>
      <w:bookmarkStart w:id="210" w:name="_Toc152045557"/>
      <w:bookmarkStart w:id="211" w:name="_Toc246996201"/>
      <w:bookmarkStart w:id="212" w:name="_Toc152042333"/>
      <w:bookmarkStart w:id="213" w:name="_Toc246996944"/>
      <w:r>
        <w:rPr>
          <w:rFonts w:hint="eastAsia"/>
        </w:rPr>
        <w:t>4.1.1 （A）投标文件应密封包装，并在封套的封口处加盖投标人单位章或由投标人的法定代表人（单位负责人）或其授权的代理人签字。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52045558"/>
      <w:bookmarkStart w:id="216" w:name="_Toc179632576"/>
      <w:bookmarkStart w:id="217" w:name="_Toc144974526"/>
      <w:bookmarkStart w:id="218" w:name="_Toc247085716"/>
      <w:bookmarkStart w:id="219" w:name="_Toc152042334"/>
      <w:bookmarkStart w:id="220" w:name="_Toc296602446"/>
      <w:bookmarkStart w:id="221" w:name="_Toc246996202"/>
      <w:bookmarkStart w:id="222" w:name="_Toc246996945"/>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6996946"/>
      <w:bookmarkStart w:id="224" w:name="_Toc179632577"/>
      <w:bookmarkStart w:id="225" w:name="_Toc247085717"/>
      <w:bookmarkStart w:id="226" w:name="_Toc296602447"/>
      <w:bookmarkStart w:id="227" w:name="_Toc144974527"/>
      <w:bookmarkStart w:id="228" w:name="_Toc152042335"/>
      <w:bookmarkStart w:id="229" w:name="_Toc152045559"/>
      <w:bookmarkStart w:id="230" w:name="_Toc246996203"/>
      <w:r>
        <w:rPr>
          <w:rFonts w:hint="eastAsia"/>
        </w:rPr>
        <w:t>5. 开标</w:t>
      </w:r>
      <w:bookmarkEnd w:id="223"/>
      <w:bookmarkEnd w:id="224"/>
      <w:bookmarkEnd w:id="225"/>
      <w:bookmarkEnd w:id="226"/>
      <w:bookmarkEnd w:id="227"/>
      <w:bookmarkEnd w:id="228"/>
      <w:bookmarkEnd w:id="229"/>
      <w:bookmarkEnd w:id="230"/>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6996947"/>
      <w:bookmarkStart w:id="232" w:name="_Toc179632578"/>
      <w:bookmarkStart w:id="233" w:name="_Toc247085718"/>
      <w:bookmarkStart w:id="234" w:name="_Toc144974528"/>
      <w:bookmarkStart w:id="235" w:name="_Toc152045560"/>
      <w:bookmarkStart w:id="236" w:name="_Toc296602448"/>
      <w:bookmarkStart w:id="237" w:name="_Toc246996204"/>
      <w:bookmarkStart w:id="238" w:name="_Toc152042336"/>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并邀请所有投标人的法定代表人（单位负责人）或其委托代理人准时参加。</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96602449"/>
      <w:bookmarkStart w:id="240" w:name="_Toc152042337"/>
      <w:bookmarkStart w:id="241" w:name="_Toc179632579"/>
      <w:bookmarkStart w:id="242" w:name="_Toc247085719"/>
      <w:bookmarkStart w:id="243" w:name="_Toc144974529"/>
      <w:bookmarkStart w:id="244" w:name="_Toc152045561"/>
      <w:bookmarkStart w:id="245" w:name="_Toc246996948"/>
      <w:bookmarkStart w:id="246" w:name="_Toc246996205"/>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（4）检查投标文件的密封情况，按照投标人须知前附表规定的开标顺序当众开标， 公布招标项目名称、投标人名称、投标保证金的递交情况、投标报价、交货期、交货地点及其他内容，并记录在案；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44974530"/>
      <w:bookmarkStart w:id="249" w:name="_Toc246996206"/>
      <w:bookmarkStart w:id="250" w:name="_Toc296602451"/>
      <w:bookmarkStart w:id="251" w:name="_Toc247085720"/>
      <w:bookmarkStart w:id="252" w:name="_Toc152042338"/>
      <w:bookmarkStart w:id="253" w:name="_Toc152045562"/>
      <w:bookmarkStart w:id="254" w:name="_Toc246996949"/>
      <w:bookmarkStart w:id="255" w:name="_Toc179632580"/>
      <w:r>
        <w:rPr>
          <w:rFonts w:hint="eastAsia"/>
        </w:rPr>
        <w:t>6. 评标</w:t>
      </w:r>
      <w:bookmarkEnd w:id="248"/>
      <w:bookmarkEnd w:id="249"/>
      <w:bookmarkEnd w:id="250"/>
      <w:bookmarkEnd w:id="251"/>
      <w:bookmarkEnd w:id="252"/>
      <w:bookmarkEnd w:id="253"/>
      <w:bookmarkEnd w:id="254"/>
      <w:bookmarkEnd w:id="255"/>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79632581"/>
      <w:bookmarkStart w:id="257" w:name="_Toc246996950"/>
      <w:bookmarkStart w:id="258" w:name="_Toc152045563"/>
      <w:bookmarkStart w:id="259" w:name="_Toc246996207"/>
      <w:bookmarkStart w:id="260" w:name="_Toc144974531"/>
      <w:bookmarkStart w:id="261" w:name="_Toc152042339"/>
      <w:bookmarkStart w:id="262" w:name="_Toc247085721"/>
      <w:bookmarkStart w:id="263" w:name="_Toc296602452"/>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 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 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 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w:t>
      </w:r>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6.1.3  评标过程中， 评标委员会成员有回避事由、擅离职守或者因健康等原因不能继续评标的，招标人有权更换。被更换的评标委员会成员作出的评审结论无效，由更换后的评标委员会成员重新进行评审。</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52045564"/>
      <w:bookmarkStart w:id="265" w:name="_Toc247085722"/>
      <w:bookmarkStart w:id="266" w:name="_Toc152042340"/>
      <w:bookmarkStart w:id="267" w:name="_Toc246996208"/>
      <w:bookmarkStart w:id="268" w:name="_Toc246996951"/>
      <w:bookmarkStart w:id="269" w:name="_Toc179632582"/>
      <w:bookmarkStart w:id="270" w:name="_Toc296602453"/>
      <w:bookmarkStart w:id="271" w:name="_Toc14497453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6996952"/>
      <w:bookmarkStart w:id="273" w:name="_Toc179632583"/>
      <w:bookmarkStart w:id="274" w:name="_Toc152042341"/>
      <w:bookmarkStart w:id="275" w:name="_Toc247085723"/>
      <w:bookmarkStart w:id="276" w:name="_Toc152045565"/>
      <w:bookmarkStart w:id="277" w:name="_Toc296602454"/>
      <w:bookmarkStart w:id="278" w:name="_Toc144974533"/>
      <w:bookmarkStart w:id="279" w:name="_Toc246996209"/>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6.3.1 评标委员会按照第三章“评标办法”规定的方法、评审因素、标准和程序对投标文件进行评审。第三章“评标办法”没有规定的方法、评审因素和标准， 不作为评标依据。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6.3.2 评标完成后， 评标委员会应当向招标人提交书面评标报告和中标候选人名单。评标委员会推荐中标候选人的人数见投标人须知前附表。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46996953"/>
      <w:bookmarkStart w:id="281" w:name="_Toc144974534"/>
      <w:bookmarkStart w:id="282" w:name="_Toc152045566"/>
      <w:bookmarkStart w:id="283" w:name="_Toc247085724"/>
      <w:bookmarkStart w:id="284" w:name="_Toc152042342"/>
      <w:bookmarkStart w:id="285" w:name="_Toc246996210"/>
      <w:bookmarkStart w:id="286" w:name="_Toc179632584"/>
      <w:bookmarkStart w:id="287" w:name="_Toc296602455"/>
      <w:r>
        <w:rPr>
          <w:rFonts w:hint="eastAsia"/>
        </w:rPr>
        <w:t>7. 合同授予</w:t>
      </w:r>
      <w:bookmarkEnd w:id="280"/>
      <w:bookmarkEnd w:id="281"/>
      <w:bookmarkEnd w:id="282"/>
      <w:bookmarkEnd w:id="283"/>
      <w:bookmarkEnd w:id="284"/>
      <w:bookmarkEnd w:id="285"/>
      <w:bookmarkEnd w:id="286"/>
      <w:bookmarkEnd w:id="287"/>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96602457"/>
      <w:r>
        <w:rPr>
          <w:rFonts w:hint="eastAsia"/>
        </w:rPr>
        <w:t>7.</w:t>
      </w:r>
      <w:r>
        <w:rPr>
          <w:rFonts w:hint="eastAsia"/>
          <w:lang w:val="en-US" w:eastAsia="zh-CN"/>
        </w:rPr>
        <w:t>1</w:t>
      </w:r>
      <w:r>
        <w:rPr>
          <w:rFonts w:hint="eastAsia"/>
        </w:rPr>
        <w:t xml:space="preserve"> 中标候选人公示</w:t>
      </w:r>
      <w:bookmarkEnd w:id="28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招标人在收到评标报告之日起 3 日内， 按照投标人须知前附表规定的公示媒介和期限公示中标候选人，公示期不得少于 3 天。</w:t>
      </w:r>
    </w:p>
    <w:p>
      <w:pPr>
        <w:pStyle w:val="6"/>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89" w:name="_Toc246996212"/>
      <w:bookmarkStart w:id="290" w:name="_Toc152042344"/>
      <w:bookmarkStart w:id="291" w:name="_Toc179632586"/>
      <w:bookmarkStart w:id="292" w:name="_Toc296602458"/>
      <w:bookmarkStart w:id="293" w:name="_Toc152045568"/>
      <w:bookmarkStart w:id="294" w:name="_Toc144974536"/>
      <w:bookmarkStart w:id="295" w:name="_Toc247085726"/>
      <w:bookmarkStart w:id="296" w:name="_Toc246996955"/>
      <w:r>
        <w:rPr>
          <w:rFonts w:hint="eastAsia"/>
        </w:rPr>
        <w:t>7.</w:t>
      </w:r>
      <w:r>
        <w:rPr>
          <w:rFonts w:hint="eastAsia"/>
          <w:lang w:val="en-US" w:eastAsia="zh-CN"/>
        </w:rPr>
        <w:t>2</w:t>
      </w:r>
      <w:r>
        <w:rPr>
          <w:rFonts w:hint="eastAsia"/>
        </w:rPr>
        <w:t xml:space="preserve"> </w:t>
      </w:r>
      <w:bookmarkEnd w:id="289"/>
      <w:bookmarkEnd w:id="290"/>
      <w:bookmarkEnd w:id="291"/>
      <w:bookmarkEnd w:id="292"/>
      <w:bookmarkEnd w:id="293"/>
      <w:bookmarkEnd w:id="294"/>
      <w:bookmarkEnd w:id="295"/>
      <w:bookmarkEnd w:id="296"/>
      <w:r>
        <w:rPr>
          <w:rFonts w:hint="eastAsia"/>
          <w:lang w:val="en-US" w:eastAsia="zh-CN"/>
        </w:rPr>
        <w:t>评标结果异议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投标人或者其他利害关系人对评标结果有异议的， 应当在中标候选人公示期间提出。招标人将在收到异议之日起 3 日内作出答复； 作出答复前，将暂停招标投标活动。</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246996956"/>
      <w:bookmarkStart w:id="298" w:name="_Toc246996213"/>
      <w:bookmarkStart w:id="299" w:name="_Toc144974537"/>
      <w:bookmarkStart w:id="300" w:name="_Toc296602459"/>
      <w:bookmarkStart w:id="301" w:name="_Toc152042345"/>
      <w:bookmarkStart w:id="302" w:name="_Toc152045569"/>
      <w:bookmarkStart w:id="303" w:name="_Toc247085727"/>
      <w:bookmarkStart w:id="304" w:name="_Toc179632587"/>
      <w:r>
        <w:rPr>
          <w:rFonts w:hint="eastAsia"/>
        </w:rPr>
        <w:t>7.</w:t>
      </w:r>
      <w:r>
        <w:rPr>
          <w:rFonts w:hint="eastAsia"/>
          <w:lang w:val="en-US" w:eastAsia="zh-CN"/>
        </w:rPr>
        <w:t>3</w:t>
      </w:r>
      <w:r>
        <w:rPr>
          <w:rFonts w:hint="eastAsia"/>
        </w:rPr>
        <w:t xml:space="preserve"> </w:t>
      </w:r>
      <w:bookmarkEnd w:id="297"/>
      <w:bookmarkEnd w:id="298"/>
      <w:bookmarkEnd w:id="299"/>
      <w:bookmarkEnd w:id="300"/>
      <w:bookmarkEnd w:id="301"/>
      <w:bookmarkEnd w:id="302"/>
      <w:bookmarkEnd w:id="303"/>
      <w:bookmarkEnd w:id="304"/>
      <w:r>
        <w:rPr>
          <w:rFonts w:hint="eastAsia"/>
        </w:rPr>
        <w:t>中标候选人履约能力审查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05" w:name="_Toc144974538"/>
      <w:bookmarkStart w:id="306" w:name="_Toc246996957"/>
      <w:bookmarkStart w:id="307" w:name="_Toc179632588"/>
      <w:bookmarkStart w:id="308" w:name="_Toc246996214"/>
      <w:bookmarkStart w:id="309" w:name="_Toc296602460"/>
      <w:bookmarkStart w:id="310" w:name="_Toc152042346"/>
      <w:bookmarkStart w:id="311" w:name="_Toc152045570"/>
      <w:bookmarkStart w:id="312" w:name="_Toc247085728"/>
      <w:r>
        <w:rPr>
          <w:rFonts w:hint="eastAsia"/>
        </w:rPr>
        <w:t>7.</w:t>
      </w:r>
      <w:r>
        <w:rPr>
          <w:rFonts w:hint="eastAsia"/>
          <w:lang w:val="en-US" w:eastAsia="zh-CN"/>
        </w:rPr>
        <w:t>4</w:t>
      </w:r>
      <w:r>
        <w:rPr>
          <w:rFonts w:hint="eastAsia"/>
        </w:rPr>
        <w:t xml:space="preserve"> </w:t>
      </w:r>
      <w:bookmarkEnd w:id="305"/>
      <w:bookmarkEnd w:id="306"/>
      <w:bookmarkEnd w:id="307"/>
      <w:bookmarkEnd w:id="308"/>
      <w:bookmarkEnd w:id="309"/>
      <w:bookmarkEnd w:id="310"/>
      <w:bookmarkEnd w:id="311"/>
      <w:bookmarkEnd w:id="312"/>
      <w:r>
        <w:rPr>
          <w:rFonts w:hint="eastAsia"/>
          <w:lang w:val="en-US" w:eastAsia="zh-CN"/>
        </w:rPr>
        <w:t>定标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按照投标人须知前附表的规定， 招标人或招标人授权的评标委员会依法确定中标人。</w:t>
      </w:r>
    </w:p>
    <w:p>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5</w:t>
      </w:r>
      <w:r>
        <w:rPr>
          <w:rFonts w:hint="eastAsia"/>
        </w:rPr>
        <w:t xml:space="preserve"> </w:t>
      </w:r>
      <w:r>
        <w:rPr>
          <w:rFonts w:hint="eastAsia"/>
          <w:lang w:val="en-US" w:eastAsia="zh-CN"/>
        </w:rPr>
        <w:t>中标通知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 3.3 款规定的投标有效期内，招标人以书面形式向中标人发出中标通知书，同时将中标结果通知未中标的投标人。</w:t>
      </w:r>
    </w:p>
    <w:p>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6</w:t>
      </w:r>
      <w:r>
        <w:rPr>
          <w:rFonts w:hint="eastAsia"/>
        </w:rPr>
        <w:t xml:space="preserve"> </w:t>
      </w:r>
      <w:r>
        <w:rPr>
          <w:rFonts w:hint="eastAsia"/>
          <w:lang w:val="en-US" w:eastAsia="zh-CN"/>
        </w:rPr>
        <w:t>履约保证金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7</w:t>
      </w:r>
      <w:r>
        <w:rPr>
          <w:rFonts w:hint="eastAsia"/>
        </w:rPr>
        <w:t xml:space="preserve"> </w:t>
      </w:r>
      <w:r>
        <w:rPr>
          <w:rFonts w:hint="eastAsia"/>
          <w:lang w:val="en-US" w:eastAsia="zh-CN"/>
        </w:rPr>
        <w:t>签订合同</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7.7.1  招标人和中标人应当在中标通知书发出之日起 30 日内，根据招标文件和中标人的投 标文件订立书面合同。 中标人无正当理由拒签合同，在签订合同时向招标人提出附加条件， 或 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7.7.3 联合体中标的， 联合体各方应当共同与招标人签订合同， 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96602461"/>
      <w:r>
        <w:rPr>
          <w:rFonts w:hint="eastAsia"/>
        </w:rPr>
        <w:t>8. 纪律和监督</w:t>
      </w:r>
      <w:bookmarkEnd w:id="313"/>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14" w:name="_Toc296602462"/>
      <w:bookmarkStart w:id="315" w:name="_Toc152045575"/>
      <w:bookmarkStart w:id="316" w:name="_Toc152042351"/>
      <w:bookmarkStart w:id="317" w:name="_Toc296590983"/>
      <w:bookmarkStart w:id="318" w:name="_Toc247085733"/>
      <w:bookmarkStart w:id="319" w:name="_Toc246996219"/>
      <w:bookmarkStart w:id="320" w:name="_Toc246996962"/>
      <w:bookmarkStart w:id="321" w:name="_Toc144974543"/>
      <w:bookmarkStart w:id="322" w:name="_Toc179632593"/>
      <w:r>
        <w:rPr>
          <w:rFonts w:hint="eastAsia"/>
        </w:rPr>
        <w:t>8.1 对招标人的纪律要求</w:t>
      </w:r>
      <w:bookmarkEnd w:id="314"/>
      <w:bookmarkEnd w:id="315"/>
      <w:bookmarkEnd w:id="316"/>
      <w:bookmarkEnd w:id="317"/>
      <w:bookmarkEnd w:id="318"/>
      <w:bookmarkEnd w:id="319"/>
      <w:bookmarkEnd w:id="320"/>
      <w:bookmarkEnd w:id="321"/>
      <w:bookmarkEnd w:id="3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5"/>
        <w:bidi w:val="0"/>
        <w:rPr>
          <w:rFonts w:hint="eastAsia"/>
        </w:rPr>
      </w:pPr>
      <w:bookmarkStart w:id="323" w:name="_Toc247085734"/>
      <w:bookmarkStart w:id="324" w:name="_Toc246996963"/>
      <w:bookmarkStart w:id="325" w:name="_Toc144974544"/>
      <w:bookmarkStart w:id="326" w:name="_Toc152045576"/>
      <w:bookmarkStart w:id="327" w:name="_Toc296602463"/>
      <w:bookmarkStart w:id="328" w:name="_Toc246996220"/>
      <w:bookmarkStart w:id="329" w:name="_Toc179632594"/>
      <w:bookmarkStart w:id="330" w:name="_Toc152042352"/>
      <w:r>
        <w:rPr>
          <w:rFonts w:hint="eastAsia"/>
        </w:rPr>
        <w:t>8.2 对投标人的纪律要求</w:t>
      </w:r>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31" w:name="_Toc296602464"/>
      <w:bookmarkStart w:id="332" w:name="_Toc246996221"/>
      <w:bookmarkStart w:id="333" w:name="_Toc152045577"/>
      <w:bookmarkStart w:id="334" w:name="_Toc144974545"/>
      <w:bookmarkStart w:id="335" w:name="_Toc152042353"/>
      <w:bookmarkStart w:id="336" w:name="_Toc247085735"/>
      <w:bookmarkStart w:id="337" w:name="_Toc246996964"/>
      <w:bookmarkStart w:id="338" w:name="_Toc179632595"/>
      <w:r>
        <w:rPr>
          <w:rFonts w:hint="eastAsia"/>
        </w:rPr>
        <w:t>8.3 对评标委员会成员的纪律要求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247085736"/>
      <w:bookmarkStart w:id="340" w:name="_Toc296602465"/>
      <w:bookmarkStart w:id="341" w:name="_Toc246996965"/>
      <w:bookmarkStart w:id="342" w:name="_Toc152045578"/>
      <w:bookmarkStart w:id="343" w:name="_Toc179632596"/>
      <w:bookmarkStart w:id="344" w:name="_Toc152042354"/>
      <w:bookmarkStart w:id="345" w:name="_Toc246996222"/>
      <w:bookmarkStart w:id="346" w:name="_Toc144974546"/>
      <w:r>
        <w:rPr>
          <w:rFonts w:hint="eastAsia"/>
        </w:rPr>
        <w:t>8.4 对与评标活动有关的工作人员的纪律要求</w:t>
      </w:r>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47"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47"/>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48" w:name="_Toc247085737"/>
      <w:bookmarkStart w:id="349" w:name="_Toc246996223"/>
      <w:bookmarkStart w:id="350" w:name="_Toc152042356"/>
      <w:bookmarkStart w:id="351" w:name="_Toc296602466"/>
      <w:bookmarkStart w:id="352" w:name="_Toc179632597"/>
      <w:bookmarkStart w:id="353" w:name="_Toc246996966"/>
      <w:bookmarkStart w:id="354" w:name="_Toc152045579"/>
      <w:r>
        <w:rPr>
          <w:rFonts w:hint="eastAsia"/>
        </w:rPr>
        <w:t>8.5 投诉</w:t>
      </w:r>
      <w:bookmarkEnd w:id="346"/>
      <w:bookmarkEnd w:id="348"/>
      <w:bookmarkEnd w:id="349"/>
      <w:bookmarkEnd w:id="350"/>
      <w:bookmarkEnd w:id="351"/>
      <w:bookmarkEnd w:id="352"/>
      <w:bookmarkEnd w:id="353"/>
      <w:bookmarkEnd w:id="35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8.5.1  投标人或者其他利害关系人认为招标投标活动不符合法律、行政法规规定的， 可以自知道或者应当知道之日起 10 日内向有关行政监督部门投诉。投诉应当有明确的请求和必要的证明材料。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8.5.2  投标人或者其他利害关系人对招标文件、开标和评标结果提出投诉的， 应当按照投标人须知第 2.4 款、第 5.3 款和第 7.2 款的规定先向招标人提出异议。异议答复期间不计算在第 8.5.1项规定的期限内。</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96602468"/>
      <w:r>
        <w:rPr>
          <w:rFonts w:hint="eastAsia"/>
          <w:lang w:val="en-US" w:eastAsia="zh-CN"/>
        </w:rPr>
        <w:t>9</w:t>
      </w:r>
      <w:r>
        <w:rPr>
          <w:rFonts w:hint="eastAsia"/>
        </w:rPr>
        <w:t>．电子招标投标</w:t>
      </w:r>
      <w:bookmarkEnd w:id="355"/>
    </w:p>
    <w:p>
      <w:pPr>
        <w:rPr>
          <w:rFonts w:hint="eastAsia"/>
        </w:rPr>
      </w:pPr>
      <w:r>
        <w:rPr>
          <w:rFonts w:hint="eastAsia"/>
        </w:rPr>
        <w:t>本招标项目是否采用电子招标投标方式， 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179632598"/>
      <w:bookmarkStart w:id="357" w:name="_Toc152042357"/>
      <w:bookmarkStart w:id="358" w:name="_Toc144974547"/>
      <w:bookmarkStart w:id="359" w:name="_Toc152045580"/>
      <w:bookmarkStart w:id="360" w:name="_Toc247085738"/>
      <w:bookmarkStart w:id="361" w:name="_Toc246996224"/>
      <w:bookmarkStart w:id="362" w:name="_Toc296602467"/>
      <w:bookmarkStart w:id="363" w:name="_Toc246996967"/>
      <w:r>
        <w:rPr>
          <w:rFonts w:hint="eastAsia"/>
          <w:lang w:val="en-US" w:eastAsia="zh-CN"/>
        </w:rPr>
        <w:t>10</w:t>
      </w:r>
      <w:r>
        <w:rPr>
          <w:rFonts w:hint="eastAsia"/>
        </w:rPr>
        <w:t>. 需要补充的其他内容</w:t>
      </w:r>
      <w:bookmarkEnd w:id="356"/>
      <w:bookmarkEnd w:id="357"/>
      <w:bookmarkEnd w:id="358"/>
      <w:bookmarkEnd w:id="359"/>
      <w:bookmarkEnd w:id="360"/>
      <w:bookmarkEnd w:id="361"/>
      <w:bookmarkEnd w:id="362"/>
      <w:bookmarkEnd w:id="3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20"/>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997"/>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997"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9" w:edGrp="everyone" w:colFirst="3" w:colLast="3"/>
            <w:r>
              <w:rPr>
                <w:rFonts w:hint="eastAsia" w:ascii="Times New Roman" w:hAnsi="Times New Roman" w:cs="Times New Roman"/>
                <w:kern w:val="0"/>
                <w:sz w:val="24"/>
                <w:szCs w:val="24"/>
                <w:highlight w:val="none"/>
                <w:lang w:val="en-US" w:eastAsia="zh-CN"/>
              </w:rPr>
              <w:t>2.1.2</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53" w:edGrp="everyone"/>
            <w:r>
              <w:rPr>
                <w:rFonts w:hint="eastAsia" w:ascii="Times New Roman" w:hAnsi="Times New Roman" w:cs="Times New Roman"/>
                <w:kern w:val="0"/>
                <w:sz w:val="24"/>
                <w:szCs w:val="24"/>
                <w:highlight w:val="none"/>
                <w:lang w:val="en-US" w:eastAsia="zh-CN"/>
              </w:rPr>
              <w:t>符合第二章“投标人须知”第1.4.1项规定</w:t>
            </w:r>
            <w:permEnd w:id="53"/>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56" w:edGrp="everyone"/>
            <w:r>
              <w:rPr>
                <w:rFonts w:hint="eastAsia" w:ascii="Times New Roman" w:hAnsi="Times New Roman" w:cs="Times New Roman"/>
                <w:kern w:val="0"/>
                <w:sz w:val="24"/>
                <w:szCs w:val="24"/>
                <w:highlight w:val="none"/>
                <w:lang w:val="en-US" w:eastAsia="zh-CN"/>
              </w:rPr>
              <w:t>符合第二章“投标人须知”第1.4.1项规定</w:t>
            </w:r>
            <w:permEnd w:id="56"/>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7" w:edGrp="everyone" w:colFirst="3" w:colLast="3"/>
            <w:r>
              <w:rPr>
                <w:rFonts w:hint="eastAsia" w:ascii="Times New Roman" w:hAnsi="Times New Roman" w:cs="Times New Roman"/>
                <w:kern w:val="0"/>
                <w:sz w:val="24"/>
                <w:szCs w:val="24"/>
                <w:highlight w:val="none"/>
                <w:lang w:val="en-US" w:eastAsia="zh-CN"/>
              </w:rPr>
              <w:t>2.1.3</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kern w:val="0"/>
                <w:sz w:val="24"/>
                <w:szCs w:val="24"/>
                <w:highlight w:val="none"/>
                <w:lang w:val="en-US" w:eastAsia="zh-CN"/>
              </w:rPr>
            </w:pPr>
            <w:permStart w:id="63" w:edGrp="everyone"/>
            <w:r>
              <w:rPr>
                <w:rFonts w:hint="eastAsia" w:ascii="Times New Roman" w:hAnsi="Times New Roman" w:cs="Times New Roman"/>
                <w:color w:val="auto"/>
                <w:kern w:val="0"/>
                <w:sz w:val="24"/>
                <w:szCs w:val="24"/>
                <w:highlight w:val="none"/>
                <w:lang w:val="en-US" w:eastAsia="zh-CN"/>
              </w:rPr>
              <w:t>符合第二章“投标人须知”第1.11.3项规定</w:t>
            </w:r>
            <w:permEnd w:id="63"/>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yellow"/>
                <w:lang w:val="en-US" w:eastAsia="zh-CN" w:bidi="ar-SA"/>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符合第五章“供货要求”和附件采购清单中的实质性要求和条件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64" w:name="_Toc247085747"/>
            <w:bookmarkStart w:id="365" w:name="_Toc296602477"/>
            <w:bookmarkStart w:id="366" w:name="_Toc152045589"/>
            <w:bookmarkStart w:id="367" w:name="_Toc246996975"/>
            <w:bookmarkStart w:id="368" w:name="_Toc179632607"/>
            <w:bookmarkStart w:id="369" w:name="_Toc246996232"/>
            <w:bookmarkStart w:id="370" w:name="_Toc144974556"/>
            <w:bookmarkStart w:id="371" w:name="_Toc152042366"/>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i w:val="0"/>
                <w:iCs w:val="0"/>
                <w:color w:val="auto"/>
                <w:kern w:val="0"/>
                <w:sz w:val="24"/>
                <w:szCs w:val="24"/>
                <w:highlight w:val="none"/>
                <w:lang w:eastAsia="zh-CN"/>
              </w:rPr>
            </w:pPr>
            <w:permStart w:id="64" w:edGrp="everyone"/>
            <w:r>
              <w:rPr>
                <w:rFonts w:hint="eastAsia" w:ascii="Times New Roman" w:hAnsi="Times New Roman" w:cs="Times New Roman"/>
                <w:i w:val="0"/>
                <w:iCs w:val="0"/>
                <w:color w:val="auto"/>
                <w:kern w:val="0"/>
                <w:sz w:val="24"/>
                <w:szCs w:val="24"/>
                <w:highlight w:val="none"/>
                <w:lang w:val="en-US" w:eastAsia="zh-CN"/>
              </w:rPr>
              <w:t>业绩评分部分</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10</w:t>
            </w:r>
            <w:r>
              <w:rPr>
                <w:rFonts w:hint="default" w:ascii="Times New Roman" w:hAnsi="Times New Roman" w:cs="Times New Roman" w:eastAsiaTheme="minorEastAsia"/>
                <w:i w:val="0"/>
                <w:iCs w:val="0"/>
                <w:color w:val="auto"/>
                <w:kern w:val="0"/>
                <w:sz w:val="24"/>
                <w:szCs w:val="24"/>
                <w:highlight w:val="none"/>
              </w:rPr>
              <w:t>分</w:t>
            </w:r>
            <w:r>
              <w:rPr>
                <w:rFonts w:hint="eastAsia" w:ascii="Times New Roman" w:hAnsi="Times New Roman" w:cs="Times New Roman"/>
                <w:i w:val="0"/>
                <w:iCs w:val="0"/>
                <w:color w:val="auto"/>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i w:val="0"/>
                <w:iCs w:val="0"/>
                <w:color w:val="auto"/>
                <w:kern w:val="0"/>
                <w:sz w:val="24"/>
                <w:szCs w:val="24"/>
                <w:highlight w:val="none"/>
                <w:lang w:eastAsia="zh-CN"/>
              </w:rPr>
            </w:pPr>
            <w:r>
              <w:rPr>
                <w:rFonts w:hint="eastAsia" w:ascii="Times New Roman" w:hAnsi="Times New Roman" w:cs="Times New Roman"/>
                <w:i w:val="0"/>
                <w:iCs w:val="0"/>
                <w:color w:val="auto"/>
                <w:kern w:val="0"/>
                <w:sz w:val="24"/>
                <w:szCs w:val="24"/>
                <w:highlight w:val="none"/>
                <w:lang w:val="en-US" w:eastAsia="zh-CN"/>
              </w:rPr>
              <w:t>技术部分：</w:t>
            </w:r>
            <w:r>
              <w:rPr>
                <w:rFonts w:hint="eastAsia" w:ascii="Times New Roman" w:hAnsi="Times New Roman" w:cs="Times New Roman"/>
                <w:i w:val="0"/>
                <w:iCs w:val="0"/>
                <w:color w:val="auto"/>
                <w:kern w:val="0"/>
                <w:sz w:val="24"/>
                <w:szCs w:val="24"/>
                <w:highlight w:val="none"/>
                <w:u w:val="single"/>
                <w:lang w:val="en-US" w:eastAsia="zh-CN"/>
              </w:rPr>
              <w:t>40</w:t>
            </w:r>
            <w:r>
              <w:rPr>
                <w:rFonts w:hint="default" w:ascii="Times New Roman" w:hAnsi="Times New Roman" w:cs="Times New Roman" w:eastAsiaTheme="minorEastAsia"/>
                <w:i w:val="0"/>
                <w:iCs w:val="0"/>
                <w:color w:val="auto"/>
                <w:kern w:val="0"/>
                <w:sz w:val="24"/>
                <w:szCs w:val="24"/>
                <w:highlight w:val="none"/>
              </w:rPr>
              <w:t>分</w:t>
            </w:r>
            <w:r>
              <w:rPr>
                <w:rFonts w:hint="eastAsia" w:ascii="Times New Roman" w:hAnsi="Times New Roman" w:cs="Times New Roman"/>
                <w:i w:val="0"/>
                <w:iCs w:val="0"/>
                <w:color w:val="auto"/>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50</w:t>
            </w:r>
            <w:r>
              <w:rPr>
                <w:rFonts w:hint="default" w:ascii="Times New Roman" w:hAnsi="Times New Roman" w:cs="Times New Roman" w:eastAsiaTheme="minorEastAsia"/>
                <w:i w:val="0"/>
                <w:iCs w:val="0"/>
                <w:color w:val="auto"/>
                <w:kern w:val="0"/>
                <w:sz w:val="24"/>
                <w:szCs w:val="24"/>
                <w:highlight w:val="none"/>
              </w:rPr>
              <w:t>分</w:t>
            </w:r>
            <w:r>
              <w:rPr>
                <w:rFonts w:hint="eastAsia" w:ascii="Times New Roman" w:hAnsi="Times New Roman" w:cs="Times New Roman"/>
                <w:i w:val="0"/>
                <w:iCs w:val="0"/>
                <w:color w:val="auto"/>
                <w:kern w:val="0"/>
                <w:sz w:val="24"/>
                <w:szCs w:val="24"/>
                <w:highlight w:val="none"/>
                <w:lang w:eastAsia="zh-CN"/>
              </w:rPr>
              <w:t>。</w:t>
            </w:r>
            <w:permEnd w:id="64"/>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permStart w:id="65" w:edGrp="everyone"/>
            <w:r>
              <w:rPr>
                <w:rFonts w:hint="eastAsia" w:ascii="Times New Roman" w:hAnsi="Times New Roman" w:cs="Times New Roman"/>
                <w:i w:val="0"/>
                <w:iCs w:val="0"/>
                <w:color w:val="FF0000"/>
                <w:kern w:val="0"/>
                <w:sz w:val="24"/>
                <w:szCs w:val="24"/>
                <w:highlight w:val="none"/>
                <w:u w:val="single"/>
                <w:lang w:val="en-US" w:eastAsia="zh-CN"/>
              </w:rPr>
              <w:t>以所有有效投标人报价（以不含税价为准）算数平均值作为基准价。</w:t>
            </w:r>
            <w:permEnd w:id="65"/>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permStart w:id="66" w:edGrp="everyone"/>
            <w:r>
              <w:rPr>
                <w:rFonts w:hint="eastAsia" w:ascii="Times New Roman" w:hAnsi="Times New Roman" w:cs="Times New Roman"/>
                <w:i w:val="0"/>
                <w:iCs w:val="0"/>
                <w:color w:val="auto"/>
                <w:kern w:val="0"/>
                <w:sz w:val="24"/>
                <w:szCs w:val="24"/>
                <w:highlight w:val="none"/>
                <w:lang w:val="en-US" w:eastAsia="zh-CN"/>
              </w:rPr>
              <w:t>偏差率=100%×（投标人报价（不含税价）</w:t>
            </w:r>
            <w:r>
              <w:rPr>
                <w:rFonts w:hint="eastAsia" w:ascii="宋体" w:hAnsi="宋体" w:eastAsia="宋体" w:cs="宋体"/>
                <w:i w:val="0"/>
                <w:iCs w:val="0"/>
                <w:color w:val="auto"/>
                <w:kern w:val="0"/>
                <w:sz w:val="24"/>
                <w:szCs w:val="24"/>
                <w:highlight w:val="none"/>
                <w:lang w:val="en-US" w:eastAsia="zh-CN"/>
              </w:rPr>
              <w:t>－</w:t>
            </w:r>
            <w:r>
              <w:rPr>
                <w:rFonts w:hint="eastAsia" w:ascii="Times New Roman" w:hAnsi="Times New Roman" w:cs="Times New Roman"/>
                <w:i w:val="0"/>
                <w:iCs w:val="0"/>
                <w:color w:val="auto"/>
                <w:kern w:val="0"/>
                <w:sz w:val="24"/>
                <w:szCs w:val="24"/>
                <w:highlight w:val="none"/>
                <w:lang w:val="en-US" w:eastAsia="zh-CN"/>
              </w:rPr>
              <w:t>评标基准价）/评标基准价</w:t>
            </w:r>
            <w:permEnd w:id="66"/>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kern w:val="0"/>
                <w:sz w:val="24"/>
                <w:szCs w:val="24"/>
                <w:highlight w:val="none"/>
                <w:lang w:val="en-US" w:eastAsia="zh-CN"/>
              </w:rPr>
            </w:pPr>
            <w:r>
              <w:rPr>
                <w:rFonts w:hint="default" w:ascii="Times New Roman" w:hAnsi="Times New Roman" w:cs="Times New Roman"/>
                <w:b/>
                <w:bCs/>
                <w:i w:val="0"/>
                <w:iCs w:val="0"/>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i w:val="0"/>
                <w:iCs w:val="0"/>
                <w:kern w:val="0"/>
                <w:sz w:val="24"/>
                <w:szCs w:val="24"/>
                <w:highlight w:val="none"/>
                <w:lang w:val="en-US" w:eastAsia="zh-CN"/>
              </w:rPr>
            </w:pPr>
            <w:r>
              <w:rPr>
                <w:rFonts w:hint="default" w:ascii="Times New Roman" w:hAnsi="Times New Roman" w:cs="Times New Roman"/>
                <w:b/>
                <w:bCs/>
                <w:i w:val="0"/>
                <w:iCs w:val="0"/>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1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67" w:edGrp="everyone" w:colFirst="0" w:colLast="1"/>
            <w:permStart w:id="68" w:edGrp="everyone" w:colFirst="2" w:colLast="2"/>
            <w:permStart w:id="69"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企业类似的业绩</w:t>
            </w: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 10 </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auto"/>
              <w:ind w:firstLine="480" w:firstLineChars="200"/>
              <w:jc w:val="left"/>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color w:val="000000" w:themeColor="text1"/>
                <w:kern w:val="0"/>
                <w:sz w:val="24"/>
                <w:highlight w:val="none"/>
                <w:lang w:val="en-US" w:eastAsia="zh-CN" w:bidi="ar"/>
                <w14:textFill>
                  <w14:solidFill>
                    <w14:schemeClr w14:val="tx1"/>
                  </w14:solidFill>
                </w14:textFill>
              </w:rPr>
              <w:t>除投标人资格要求外，投标人每额外提供1项企业类似项目业绩（</w:t>
            </w:r>
            <w:r>
              <w:rPr>
                <w:rFonts w:hint="eastAsia" w:ascii="Times New Roman" w:hAnsi="Times New Roman" w:cs="Times New Roman"/>
                <w:color w:val="000000" w:themeColor="text1"/>
                <w:kern w:val="0"/>
                <w:sz w:val="24"/>
                <w:highlight w:val="none"/>
                <w:lang w:bidi="ar"/>
                <w14:textFill>
                  <w14:solidFill>
                    <w14:schemeClr w14:val="tx1"/>
                  </w14:solidFill>
                </w14:textFill>
              </w:rPr>
              <w:t>售楼部宣传影片（动画）制作业绩</w:t>
            </w:r>
            <w:r>
              <w:rPr>
                <w:rFonts w:hint="eastAsia" w:ascii="Times New Roman" w:hAnsi="Times New Roman" w:cs="Times New Roman"/>
                <w:color w:val="000000" w:themeColor="text1"/>
                <w:kern w:val="0"/>
                <w:sz w:val="24"/>
                <w:highlight w:val="none"/>
                <w:lang w:val="en-US" w:eastAsia="zh-CN" w:bidi="ar"/>
                <w14:textFill>
                  <w14:solidFill>
                    <w14:schemeClr w14:val="tx1"/>
                  </w14:solidFill>
                </w14:textFill>
              </w:rPr>
              <w:t>或</w:t>
            </w:r>
            <w:r>
              <w:rPr>
                <w:rFonts w:hint="eastAsia" w:ascii="Times New Roman" w:hAnsi="Times New Roman" w:cs="Times New Roman"/>
                <w:color w:val="000000" w:themeColor="text1"/>
                <w:kern w:val="0"/>
                <w:sz w:val="24"/>
                <w:highlight w:val="none"/>
                <w:lang w:bidi="ar"/>
                <w14:textFill>
                  <w14:solidFill>
                    <w14:schemeClr w14:val="tx1"/>
                  </w14:solidFill>
                </w14:textFill>
              </w:rPr>
              <w:t>单项合同金额不低于10万元的大屏幕供货安装业绩</w:t>
            </w:r>
            <w:r>
              <w:rPr>
                <w:rFonts w:hint="eastAsia" w:ascii="Times New Roman" w:hAnsi="Times New Roman" w:cs="Times New Roman"/>
                <w:color w:val="000000" w:themeColor="text1"/>
                <w:kern w:val="0"/>
                <w:sz w:val="24"/>
                <w:highlight w:val="none"/>
                <w:lang w:val="en-US" w:eastAsia="zh-CN" w:bidi="ar"/>
                <w14:textFill>
                  <w14:solidFill>
                    <w14:schemeClr w14:val="tx1"/>
                  </w14:solidFill>
                </w14:textFill>
              </w:rPr>
              <w:t>），得5分，本项满分10分，多分不计。</w:t>
            </w:r>
          </w:p>
        </w:tc>
      </w:tr>
      <w:permEnd w:id="67"/>
      <w:permEnd w:id="68"/>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70" w:edGrp="everyone" w:colFirst="0" w:colLast="1"/>
            <w:permStart w:id="71" w:edGrp="everyone" w:colFirst="2" w:colLast="2"/>
            <w:permStart w:id="72"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技术评分标准</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40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对投标人</w:t>
            </w:r>
            <w:r>
              <w:rPr>
                <w:rFonts w:hint="eastAsia" w:ascii="Times New Roman" w:hAnsi="Times New Roman" w:cs="Times New Roman"/>
                <w:i w:val="0"/>
                <w:iCs w:val="0"/>
                <w:color w:val="FF0000"/>
                <w:kern w:val="0"/>
                <w:sz w:val="24"/>
                <w:szCs w:val="24"/>
                <w:highlight w:val="none"/>
                <w:u w:val="single"/>
                <w:lang w:val="en-US" w:eastAsia="zh-CN"/>
              </w:rPr>
              <w:t>供货服务能力</w:t>
            </w:r>
            <w:r>
              <w:rPr>
                <w:rFonts w:hint="eastAsia" w:ascii="Times New Roman" w:hAnsi="Times New Roman" w:cs="Times New Roman"/>
                <w:i w:val="0"/>
                <w:iCs w:val="0"/>
                <w:kern w:val="0"/>
                <w:sz w:val="24"/>
                <w:szCs w:val="24"/>
                <w:highlight w:val="none"/>
                <w:lang w:val="en-US" w:eastAsia="zh-CN"/>
              </w:rPr>
              <w:t>的评价</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 10 </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根据投标人提供的供货方案，从产品特色、响应供货、服务内容、应急处理及其他服务承诺等方面综合分析，由评委酌情评分。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优：8＜F≤10，良：5＜F≤8一般：0≤F≤5，未提供不得分。</w:t>
            </w:r>
          </w:p>
        </w:tc>
      </w:tr>
      <w:permEnd w:id="70"/>
      <w:permEnd w:id="71"/>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73" w:edGrp="everyone"/>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对投标人</w:t>
            </w:r>
            <w:r>
              <w:rPr>
                <w:rFonts w:hint="eastAsia" w:ascii="Times New Roman" w:hAnsi="Times New Roman" w:cs="Times New Roman"/>
                <w:i w:val="0"/>
                <w:iCs w:val="0"/>
                <w:color w:val="FF0000"/>
                <w:kern w:val="0"/>
                <w:sz w:val="24"/>
                <w:szCs w:val="24"/>
                <w:highlight w:val="none"/>
                <w:u w:val="single"/>
                <w:lang w:val="en-US" w:eastAsia="zh-CN"/>
              </w:rPr>
              <w:t>相关服务能力</w:t>
            </w:r>
            <w:r>
              <w:rPr>
                <w:rFonts w:hint="eastAsia" w:ascii="Times New Roman" w:hAnsi="Times New Roman" w:cs="Times New Roman"/>
                <w:i w:val="0"/>
                <w:iCs w:val="0"/>
                <w:kern w:val="0"/>
                <w:sz w:val="24"/>
                <w:szCs w:val="24"/>
                <w:highlight w:val="none"/>
                <w:lang w:val="en-US" w:eastAsia="zh-CN"/>
              </w:rPr>
              <w:t>的评价</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 10</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25"/>
                <w:tab w:val="left" w:pos="945"/>
                <w:tab w:val="left" w:pos="987"/>
                <w:tab w:val="left" w:pos="1128"/>
                <w:tab w:val="left" w:pos="1155"/>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b w:val="0"/>
                <w:color w:val="FF0000"/>
                <w:kern w:val="0"/>
                <w:sz w:val="24"/>
                <w:highlight w:val="none"/>
                <w:u w:val="single"/>
              </w:rPr>
              <w:t>售后服务方案包括服务人员、响应时间、服务体系、</w:t>
            </w:r>
            <w:r>
              <w:rPr>
                <w:rFonts w:hint="eastAsia" w:ascii="Times New Roman" w:hAnsi="Times New Roman" w:cs="Times New Roman"/>
                <w:i w:val="0"/>
                <w:iCs w:val="0"/>
                <w:color w:val="FF0000"/>
                <w:kern w:val="0"/>
                <w:sz w:val="24"/>
                <w:szCs w:val="24"/>
                <w:highlight w:val="none"/>
                <w:u w:val="single"/>
                <w:lang w:val="en-US" w:eastAsia="zh-CN"/>
              </w:rPr>
              <w:t>质保、</w:t>
            </w:r>
            <w:r>
              <w:rPr>
                <w:rFonts w:hint="eastAsia" w:ascii="Times New Roman" w:hAnsi="Times New Roman" w:cs="Times New Roman"/>
                <w:b w:val="0"/>
                <w:color w:val="FF0000"/>
                <w:kern w:val="0"/>
                <w:sz w:val="24"/>
                <w:highlight w:val="none"/>
                <w:u w:val="single"/>
              </w:rPr>
              <w:t>服务内容等。</w:t>
            </w:r>
            <w:r>
              <w:rPr>
                <w:rFonts w:hint="eastAsia" w:ascii="Times New Roman" w:hAnsi="Times New Roman" w:cs="Times New Roman"/>
                <w:color w:val="FF0000"/>
                <w:kern w:val="0"/>
                <w:sz w:val="24"/>
                <w:highlight w:val="none"/>
                <w:u w:val="single"/>
              </w:rPr>
              <w:t>方案全面、合理、贴合项目实际的得</w:t>
            </w:r>
            <w:r>
              <w:rPr>
                <w:rFonts w:hint="eastAsia" w:ascii="Times New Roman" w:hAnsi="Times New Roman" w:cs="Times New Roman"/>
                <w:i w:val="0"/>
                <w:iCs w:val="0"/>
                <w:color w:val="FF0000"/>
                <w:kern w:val="0"/>
                <w:sz w:val="24"/>
                <w:szCs w:val="24"/>
                <w:highlight w:val="none"/>
                <w:u w:val="single"/>
                <w:lang w:val="en-US" w:eastAsia="zh-CN"/>
              </w:rPr>
              <w:t>8＜F≤10</w:t>
            </w:r>
            <w:r>
              <w:rPr>
                <w:rFonts w:hint="eastAsia" w:ascii="Times New Roman" w:hAnsi="Times New Roman" w:cs="Times New Roman"/>
                <w:color w:val="FF0000"/>
                <w:kern w:val="0"/>
                <w:sz w:val="24"/>
                <w:highlight w:val="none"/>
                <w:u w:val="single"/>
              </w:rPr>
              <w:t>分；方案较全面、较合理、贴合项目实际，得</w:t>
            </w:r>
            <w:r>
              <w:rPr>
                <w:rFonts w:hint="eastAsia" w:ascii="Times New Roman" w:hAnsi="Times New Roman" w:cs="Times New Roman"/>
                <w:i w:val="0"/>
                <w:iCs w:val="0"/>
                <w:color w:val="FF0000"/>
                <w:kern w:val="0"/>
                <w:sz w:val="24"/>
                <w:szCs w:val="24"/>
                <w:highlight w:val="none"/>
                <w:u w:val="single"/>
                <w:lang w:val="en-US" w:eastAsia="zh-CN"/>
              </w:rPr>
              <w:t>5＜F≤8</w:t>
            </w:r>
            <w:r>
              <w:rPr>
                <w:rFonts w:hint="eastAsia" w:ascii="Times New Roman" w:hAnsi="Times New Roman" w:cs="Times New Roman"/>
                <w:color w:val="FF0000"/>
                <w:kern w:val="0"/>
                <w:sz w:val="24"/>
                <w:highlight w:val="none"/>
                <w:u w:val="single"/>
              </w:rPr>
              <w:t>分；方案一般的得</w:t>
            </w:r>
            <w:r>
              <w:rPr>
                <w:rFonts w:hint="eastAsia" w:ascii="Times New Roman" w:hAnsi="Times New Roman" w:cs="Times New Roman"/>
                <w:i w:val="0"/>
                <w:iCs w:val="0"/>
                <w:color w:val="FF0000"/>
                <w:kern w:val="0"/>
                <w:sz w:val="24"/>
                <w:szCs w:val="24"/>
                <w:highlight w:val="none"/>
                <w:u w:val="single"/>
                <w:lang w:val="en-US" w:eastAsia="zh-CN"/>
              </w:rPr>
              <w:t>0≤F≤5</w:t>
            </w:r>
            <w:r>
              <w:rPr>
                <w:rFonts w:hint="eastAsia" w:ascii="Times New Roman" w:hAnsi="Times New Roman" w:cs="Times New Roman"/>
                <w:color w:val="FF0000"/>
                <w:kern w:val="0"/>
                <w:sz w:val="24"/>
                <w:highlight w:val="none"/>
                <w:u w:val="single"/>
              </w:rPr>
              <w:t>分；不提供不得分。</w:t>
            </w:r>
          </w:p>
        </w:tc>
      </w:tr>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74" w:edGrp="everyone" w:colFirst="0" w:colLast="0"/>
            <w:permStart w:id="75" w:edGrp="everyone" w:colFirst="1" w:colLast="1"/>
            <w:permStart w:id="76" w:edGrp="everyone" w:colFirst="2" w:colLast="2"/>
            <w:permStart w:id="77" w:edGrp="everyone" w:colFirst="3" w:colLast="3"/>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三维动画脚本述标，时长不超15分钟</w:t>
            </w: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20</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kern w:val="0"/>
                <w:sz w:val="24"/>
                <w:szCs w:val="24"/>
                <w:highlight w:val="none"/>
                <w:lang w:val="en-US" w:eastAsia="zh-CN"/>
              </w:rPr>
              <w:t>制作三维动画创意脚本，演绎</w:t>
            </w:r>
            <w:r>
              <w:rPr>
                <w:rFonts w:hint="eastAsia" w:ascii="Times New Roman" w:hAnsi="Times New Roman" w:cs="Times New Roman"/>
                <w:i w:val="0"/>
                <w:iCs w:val="0"/>
                <w:color w:val="FF0000"/>
                <w:kern w:val="0"/>
                <w:sz w:val="24"/>
                <w:szCs w:val="24"/>
                <w:highlight w:val="none"/>
                <w:u w:val="single"/>
                <w:lang w:val="en-US" w:eastAsia="zh-CN"/>
              </w:rPr>
              <w:t xml:space="preserve">时长240s。进行篇章划分，主要架构解读；要求影片题材为三维动画宣传片；语种：中文旁白语；制作方式：三维动画+后期合成；配乐：强调高级、典雅的格调和品味。 </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由评委酌情评分，未提供不得分。</w:t>
            </w:r>
          </w:p>
        </w:tc>
      </w:tr>
      <w:permEnd w:id="74"/>
      <w:permEnd w:id="75"/>
      <w:permEnd w:id="76"/>
      <w:permEnd w:id="7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78" w:edGrp="everyone" w:colFirst="0" w:colLast="0"/>
            <w:permStart w:id="79" w:edGrp="everyone" w:colFirst="1" w:colLast="1"/>
            <w:permStart w:id="80" w:edGrp="everyone" w:colFirst="2" w:colLast="2"/>
            <w:permStart w:id="81"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997"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50  </w:t>
            </w:r>
            <w:r>
              <w:rPr>
                <w:rFonts w:hint="default" w:ascii="Times New Roman" w:hAnsi="Times New Roman" w:cs="Times New Roman"/>
                <w:i w:val="0"/>
                <w:iCs w:val="0"/>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投标报价（不含税价）</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50 </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以所有有效投标人报价（以不含税价为准）算数平均值作为基准价，公式如下：</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投标报价（不含税价）等于基准价的，得满分50分。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投标报价（不含税价）高于基准价的，报价得分计算公式：50-（投标报价（不含税价）-基准价）/基准价*0.6*100；</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投标报价（不含税价）低于基准价的，报价得分计算公式：50+（投标报价（不含税价）-基准价）/基准价*0.3*100。</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注：保留得分小数点后两位，第三位四舍五入。</w:t>
            </w:r>
          </w:p>
        </w:tc>
      </w:tr>
      <w:permEnd w:id="78"/>
      <w:permEnd w:id="79"/>
      <w:permEnd w:id="80"/>
      <w:permEnd w:id="8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82" w:edGrp="everyone"/>
            <w:permStart w:id="83" w:edGrp="everyone" w:colFirst="1" w:colLast="1"/>
            <w:permStart w:id="84" w:edGrp="everyone" w:colFirst="2" w:colLast="2"/>
            <w:permStart w:id="85"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ermEnd w:id="82"/>
          </w:p>
        </w:tc>
        <w:tc>
          <w:tcPr>
            <w:tcW w:w="997"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其他因素评分标准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  </w:t>
            </w:r>
            <w:r>
              <w:rPr>
                <w:rFonts w:hint="default" w:ascii="Times New Roman" w:hAnsi="Times New Roman" w:cs="Times New Roman"/>
                <w:i w:val="0"/>
                <w:iCs w:val="0"/>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w:t>
            </w:r>
          </w:p>
        </w:tc>
      </w:tr>
      <w:permEnd w:id="83"/>
      <w:permEnd w:id="84"/>
      <w:permEnd w:id="85"/>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2" w:name="_Toc246996233"/>
      <w:bookmarkStart w:id="373" w:name="_Toc152045590"/>
      <w:bookmarkStart w:id="374" w:name="_Toc144974557"/>
      <w:bookmarkStart w:id="375" w:name="_Toc296602478"/>
      <w:bookmarkStart w:id="376" w:name="_Toc179632608"/>
      <w:bookmarkStart w:id="377" w:name="_Toc152042367"/>
      <w:bookmarkStart w:id="378" w:name="_Toc246996976"/>
      <w:bookmarkStart w:id="379" w:name="_Toc247085748"/>
      <w:r>
        <w:rPr>
          <w:rFonts w:hint="default" w:ascii="Times New Roman" w:hAnsi="Times New Roman" w:cs="Times New Roman" w:eastAsiaTheme="minorEastAsia"/>
          <w:b/>
          <w:bCs/>
          <w:kern w:val="0"/>
          <w:sz w:val="28"/>
          <w:szCs w:val="28"/>
          <w:highlight w:val="none"/>
        </w:rPr>
        <w:t>2. 评审标准</w:t>
      </w:r>
      <w:bookmarkEnd w:id="372"/>
      <w:bookmarkEnd w:id="373"/>
      <w:bookmarkEnd w:id="374"/>
      <w:bookmarkEnd w:id="375"/>
      <w:bookmarkEnd w:id="376"/>
      <w:bookmarkEnd w:id="377"/>
      <w:bookmarkEnd w:id="378"/>
      <w:bookmarkEnd w:id="379"/>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144974558"/>
      <w:bookmarkStart w:id="381" w:name="_Toc296602479"/>
      <w:bookmarkStart w:id="382" w:name="_Toc179632609"/>
      <w:bookmarkStart w:id="383" w:name="_Toc152045591"/>
      <w:bookmarkStart w:id="384" w:name="_Toc246996977"/>
      <w:bookmarkStart w:id="385" w:name="_Toc247085749"/>
      <w:bookmarkStart w:id="386" w:name="_Toc152042368"/>
      <w:bookmarkStart w:id="387" w:name="_Toc246996234"/>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88" w:name="_Toc296602481"/>
      <w:bookmarkStart w:id="389" w:name="_Toc246996979"/>
      <w:bookmarkStart w:id="390" w:name="_Toc144974560"/>
      <w:bookmarkStart w:id="391" w:name="_Toc179632611"/>
      <w:bookmarkStart w:id="392" w:name="_Toc247085751"/>
      <w:bookmarkStart w:id="393" w:name="_Toc246996236"/>
      <w:bookmarkStart w:id="394" w:name="_Toc152045593"/>
      <w:bookmarkStart w:id="395" w:name="_Toc15204237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86" w:edGrp="everyone"/>
      <w:r>
        <w:rPr>
          <w:rFonts w:hint="eastAsia" w:ascii="Times New Roman" w:hAnsi="Times New Roman" w:cs="Times New Roman"/>
          <w:kern w:val="0"/>
          <w:sz w:val="24"/>
          <w:szCs w:val="24"/>
          <w:highlight w:val="none"/>
          <w:lang w:val="en-US" w:eastAsia="zh-CN"/>
        </w:rPr>
        <w:t>业绩部分</w:t>
      </w:r>
      <w:permEnd w:id="86"/>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87" w:edGrp="everyone"/>
      <w:r>
        <w:rPr>
          <w:rFonts w:hint="eastAsia" w:ascii="Times New Roman" w:hAnsi="Times New Roman" w:cs="Times New Roman"/>
          <w:kern w:val="0"/>
          <w:sz w:val="24"/>
          <w:szCs w:val="24"/>
          <w:highlight w:val="none"/>
          <w:lang w:val="en-US" w:eastAsia="zh-CN"/>
        </w:rPr>
        <w:t>技术部分</w:t>
      </w:r>
      <w:permEnd w:id="87"/>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88" w:edGrp="everyone"/>
      <w:r>
        <w:rPr>
          <w:rFonts w:hint="eastAsia" w:ascii="Times New Roman" w:hAnsi="Times New Roman" w:cs="Times New Roman" w:eastAsiaTheme="minorEastAsia"/>
          <w:kern w:val="0"/>
          <w:sz w:val="24"/>
          <w:szCs w:val="24"/>
          <w:highlight w:val="none"/>
          <w:lang w:val="en-US" w:eastAsia="zh-CN"/>
        </w:rPr>
        <w:t>投标报价</w:t>
      </w:r>
      <w:permEnd w:id="88"/>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89" w:edGrp="everyone"/>
      <w:r>
        <w:rPr>
          <w:rFonts w:hint="eastAsia" w:ascii="Times New Roman" w:hAnsi="Times New Roman" w:cs="Times New Roman" w:eastAsiaTheme="minorEastAsia"/>
          <w:kern w:val="0"/>
          <w:sz w:val="24"/>
          <w:szCs w:val="24"/>
          <w:highlight w:val="none"/>
          <w:lang w:val="en-US" w:eastAsia="zh-CN"/>
        </w:rPr>
        <w:t>其他评分因素</w:t>
      </w:r>
      <w:permEnd w:id="89"/>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9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业绩部分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0"/>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9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1"/>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92"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92"/>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93"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93"/>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96" w:name="_Toc246996237"/>
      <w:bookmarkStart w:id="397" w:name="_Toc152042371"/>
      <w:bookmarkStart w:id="398" w:name="_Toc144974561"/>
      <w:bookmarkStart w:id="399" w:name="_Toc296602482"/>
      <w:bookmarkStart w:id="400" w:name="_Toc247085752"/>
      <w:bookmarkStart w:id="401" w:name="_Toc246996980"/>
      <w:bookmarkStart w:id="402" w:name="_Toc152045594"/>
      <w:bookmarkStart w:id="403" w:name="_Toc179632612"/>
      <w:r>
        <w:rPr>
          <w:rFonts w:hint="default" w:ascii="Times New Roman" w:hAnsi="Times New Roman" w:cs="Times New Roman" w:eastAsiaTheme="minorEastAsia"/>
          <w:b/>
          <w:bCs/>
          <w:kern w:val="0"/>
          <w:sz w:val="28"/>
          <w:szCs w:val="28"/>
          <w:highlight w:val="none"/>
        </w:rPr>
        <w:t>3.1 初步评审</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152045595"/>
      <w:bookmarkStart w:id="405" w:name="_Toc296602483"/>
      <w:bookmarkStart w:id="406" w:name="_Toc247085753"/>
      <w:bookmarkStart w:id="407" w:name="_Toc179632613"/>
      <w:bookmarkStart w:id="408" w:name="_Toc144974562"/>
      <w:bookmarkStart w:id="409" w:name="_Toc152042372"/>
      <w:bookmarkStart w:id="410" w:name="_Toc246996238"/>
      <w:bookmarkStart w:id="411" w:name="_Toc246996981"/>
      <w:r>
        <w:rPr>
          <w:rFonts w:hint="default" w:ascii="Times New Roman" w:hAnsi="Times New Roman" w:cs="Times New Roman" w:eastAsiaTheme="minorEastAsia"/>
          <w:b/>
          <w:bCs/>
          <w:kern w:val="0"/>
          <w:sz w:val="28"/>
          <w:szCs w:val="28"/>
          <w:highlight w:val="none"/>
        </w:rPr>
        <w:t>3.2 详细评审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2" w:name="_Toc144974563"/>
      <w:bookmarkStart w:id="413" w:name="_Toc152045596"/>
      <w:bookmarkStart w:id="414" w:name="_Toc179632614"/>
      <w:bookmarkStart w:id="415" w:name="_Toc247085754"/>
      <w:bookmarkStart w:id="416" w:name="_Toc246996239"/>
      <w:bookmarkStart w:id="417" w:name="_Toc152042373"/>
      <w:bookmarkStart w:id="418" w:name="_Toc246996982"/>
      <w:bookmarkStart w:id="419" w:name="_Toc29660248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9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业绩部分</w:t>
      </w:r>
      <w:permEnd w:id="94"/>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95"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permEnd w:id="95"/>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96"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96"/>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9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97"/>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2"/>
      <w:r>
        <w:rPr>
          <w:rFonts w:hint="default" w:ascii="Times New Roman" w:hAnsi="Times New Roman" w:cs="Times New Roman" w:eastAsiaTheme="minorEastAsia"/>
          <w:b/>
          <w:bCs/>
          <w:kern w:val="0"/>
          <w:sz w:val="28"/>
          <w:szCs w:val="28"/>
          <w:highlight w:val="none"/>
        </w:rPr>
        <w:t>和补正</w:t>
      </w:r>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1"/>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98"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亳州通恒置业有限公司 </w:t>
            </w:r>
            <w:permEnd w:id="9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r>
              <w:rPr>
                <w:rFonts w:hint="eastAsia" w:ascii="Times New Roman" w:hAnsi="Times New Roman" w:cs="Times New Roman"/>
                <w:kern w:val="0"/>
                <w:sz w:val="24"/>
                <w:szCs w:val="24"/>
                <w:highlight w:val="none"/>
                <w:shd w:val="clear" w:color="auto" w:fill="auto"/>
                <w:vertAlign w:val="baseline"/>
                <w:lang w:val="en-US" w:eastAsia="zh-CN"/>
              </w:rPr>
              <w:t>沙盘区大屏、动画、区位以及品牌工法馆安装</w:t>
            </w:r>
            <w:r>
              <w:rPr>
                <w:rFonts w:hint="default" w:ascii="Times New Roman" w:hAnsi="Times New Roman" w:cs="Times New Roman"/>
                <w:kern w:val="0"/>
                <w:sz w:val="24"/>
                <w:szCs w:val="24"/>
                <w:highlight w:val="none"/>
                <w:shd w:val="clear" w:color="auto" w:fill="auto"/>
                <w:vertAlign w:val="baseline"/>
                <w:lang w:val="en-US" w:eastAsia="zh-CN"/>
              </w:rPr>
              <w:t>验收合格后付至合同价款的85%；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2.试运行3个月后付至合同价款的97%；</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3.余款3%作为质量保证金，质保期满且无质量问题后无息付清。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99" w:edGrp="everyone"/>
            <w:r>
              <w:rPr>
                <w:rFonts w:hint="eastAsia" w:ascii="Times New Roman" w:hAnsi="Times New Roman" w:cs="Times New Roman"/>
                <w:kern w:val="0"/>
                <w:sz w:val="24"/>
                <w:szCs w:val="24"/>
                <w:highlight w:val="none"/>
                <w:shd w:val="clear" w:color="auto" w:fill="auto"/>
                <w:vertAlign w:val="baseline"/>
                <w:lang w:val="en-US" w:eastAsia="zh-CN"/>
              </w:rPr>
              <w:t>自招标人验收合格之日起</w:t>
            </w:r>
            <w:r>
              <w:rPr>
                <w:rFonts w:hint="eastAsia" w:ascii="Times New Roman" w:hAnsi="Times New Roman" w:cs="Times New Roman"/>
                <w:kern w:val="0"/>
                <w:sz w:val="24"/>
                <w:szCs w:val="24"/>
                <w:highlight w:val="none"/>
                <w:u w:val="single"/>
                <w:shd w:val="clear" w:color="auto" w:fill="auto"/>
                <w:vertAlign w:val="baseline"/>
                <w:lang w:val="en-US" w:eastAsia="zh-CN"/>
              </w:rPr>
              <w:t>2</w:t>
            </w:r>
            <w:r>
              <w:rPr>
                <w:rFonts w:hint="eastAsia" w:ascii="Times New Roman" w:hAnsi="Times New Roman" w:cs="Times New Roman"/>
                <w:kern w:val="0"/>
                <w:sz w:val="24"/>
                <w:szCs w:val="24"/>
                <w:highlight w:val="none"/>
                <w:shd w:val="clear" w:color="auto" w:fill="auto"/>
                <w:vertAlign w:val="baseline"/>
                <w:lang w:val="en-US" w:eastAsia="zh-CN"/>
              </w:rPr>
              <w:t>年。</w:t>
            </w: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permEnd w:id="9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0" w:edGrp="everyone"/>
            <w:r>
              <w:rPr>
                <w:rFonts w:hint="eastAsia" w:ascii="Times New Roman" w:hAnsi="Times New Roman" w:cs="Times New Roman"/>
                <w:kern w:val="0"/>
                <w:sz w:val="24"/>
                <w:szCs w:val="24"/>
                <w:highlight w:val="none"/>
                <w:shd w:val="clear" w:color="auto" w:fill="auto"/>
                <w:vertAlign w:val="baseline"/>
                <w:lang w:val="en-US" w:eastAsia="zh-CN"/>
              </w:rPr>
              <w:t>/</w:t>
            </w:r>
            <w:permEnd w:id="100"/>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64"/>
      <w:bookmarkEnd w:id="365"/>
      <w:bookmarkEnd w:id="366"/>
      <w:bookmarkEnd w:id="367"/>
      <w:bookmarkEnd w:id="368"/>
      <w:bookmarkEnd w:id="369"/>
      <w:bookmarkEnd w:id="370"/>
      <w:bookmarkEnd w:id="371"/>
      <w:r>
        <w:rPr>
          <w:rFonts w:hint="eastAsia" w:asciiTheme="majorEastAsia" w:hAnsiTheme="majorEastAsia" w:eastAsiaTheme="majorEastAsia" w:cstheme="majorEastAsia"/>
          <w:b/>
          <w:bCs/>
          <w:sz w:val="32"/>
          <w:szCs w:val="32"/>
          <w:highlight w:val="none"/>
          <w:lang w:val="en-US" w:eastAsia="zh-CN"/>
        </w:rPr>
        <w:t>供货要求</w:t>
      </w:r>
    </w:p>
    <w:p>
      <w:pPr>
        <w:tabs>
          <w:tab w:val="left" w:pos="720"/>
        </w:tabs>
        <w:spacing w:line="360" w:lineRule="auto"/>
        <w:ind w:firstLine="484" w:firstLineChars="202"/>
        <w:rPr>
          <w:rFonts w:hint="eastAsia" w:ascii="宋体" w:hAnsi="宋体"/>
          <w:sz w:val="24"/>
        </w:rPr>
      </w:pPr>
      <w:r>
        <w:rPr>
          <w:rFonts w:hint="eastAsia" w:ascii="宋体" w:hAnsi="宋体"/>
          <w:sz w:val="24"/>
        </w:rPr>
        <w:t>（一）</w:t>
      </w:r>
      <w:r>
        <w:rPr>
          <w:rFonts w:hint="eastAsia" w:ascii="宋体" w:hAnsi="宋体"/>
          <w:sz w:val="24"/>
          <w:lang w:eastAsia="zh-CN"/>
        </w:rPr>
        <w:t>工期</w:t>
      </w:r>
      <w:r>
        <w:rPr>
          <w:rFonts w:hint="eastAsia" w:ascii="宋体" w:hAnsi="宋体"/>
          <w:sz w:val="24"/>
        </w:rPr>
        <w:t>要求</w:t>
      </w:r>
    </w:p>
    <w:p>
      <w:pPr>
        <w:tabs>
          <w:tab w:val="left" w:pos="720"/>
        </w:tabs>
        <w:spacing w:line="360" w:lineRule="auto"/>
        <w:ind w:firstLine="484" w:firstLineChars="202"/>
        <w:rPr>
          <w:rFonts w:hint="eastAsia" w:ascii="宋体" w:hAnsi="宋体" w:cs="Arial"/>
          <w:color w:val="auto"/>
          <w:sz w:val="24"/>
        </w:rPr>
      </w:pPr>
      <w:r>
        <w:rPr>
          <w:rFonts w:hint="eastAsia" w:ascii="宋体" w:hAnsi="宋体" w:cs="宋体"/>
          <w:bCs/>
          <w:color w:val="auto"/>
          <w:sz w:val="24"/>
          <w:lang w:val="zh-CN"/>
        </w:rPr>
        <w:t>1.1自合同签订之日起30日历天完成供货安装。</w:t>
      </w:r>
    </w:p>
    <w:p>
      <w:pPr>
        <w:tabs>
          <w:tab w:val="left" w:pos="720"/>
        </w:tabs>
        <w:spacing w:line="360" w:lineRule="auto"/>
        <w:ind w:firstLine="484" w:firstLineChars="202"/>
        <w:rPr>
          <w:rFonts w:hint="eastAsia" w:ascii="宋体" w:hAnsi="宋体" w:eastAsia="宋体"/>
          <w:sz w:val="24"/>
          <w:lang w:eastAsia="zh-CN"/>
        </w:rPr>
      </w:pPr>
      <w:r>
        <w:rPr>
          <w:rFonts w:hint="eastAsia" w:ascii="宋体" w:hAnsi="宋体"/>
          <w:sz w:val="24"/>
        </w:rPr>
        <w:t>（二）质量</w:t>
      </w:r>
      <w:r>
        <w:rPr>
          <w:rFonts w:hint="eastAsia" w:ascii="宋体" w:hAnsi="宋体"/>
          <w:sz w:val="24"/>
          <w:lang w:eastAsia="zh-CN"/>
        </w:rPr>
        <w:t>要求</w:t>
      </w:r>
    </w:p>
    <w:p>
      <w:pPr>
        <w:tabs>
          <w:tab w:val="left" w:pos="720"/>
        </w:tabs>
        <w:spacing w:line="360" w:lineRule="auto"/>
        <w:ind w:firstLine="484" w:firstLineChars="202"/>
        <w:rPr>
          <w:rFonts w:hint="eastAsia" w:ascii="宋体" w:hAnsi="宋体"/>
          <w:sz w:val="24"/>
        </w:rPr>
      </w:pPr>
      <w:r>
        <w:rPr>
          <w:rFonts w:hint="eastAsia" w:ascii="宋体" w:hAnsi="宋体"/>
          <w:sz w:val="24"/>
        </w:rPr>
        <w:t>2.1所有货物及物品均应符合国家相关技术标准和双方约定的质量标准；</w:t>
      </w:r>
    </w:p>
    <w:p>
      <w:pPr>
        <w:tabs>
          <w:tab w:val="left" w:pos="720"/>
        </w:tabs>
        <w:spacing w:line="360" w:lineRule="auto"/>
        <w:ind w:firstLine="484" w:firstLineChars="202"/>
        <w:rPr>
          <w:rFonts w:hint="eastAsia" w:ascii="宋体" w:hAnsi="宋体"/>
          <w:sz w:val="24"/>
        </w:rPr>
      </w:pPr>
      <w:r>
        <w:rPr>
          <w:rFonts w:hint="eastAsia" w:ascii="宋体" w:hAnsi="宋体"/>
          <w:sz w:val="24"/>
          <w:lang w:val="en-US" w:eastAsia="zh-CN"/>
        </w:rPr>
        <w:t>2.</w:t>
      </w:r>
      <w:r>
        <w:rPr>
          <w:rFonts w:hint="eastAsia" w:ascii="宋体" w:hAnsi="宋体"/>
          <w:sz w:val="24"/>
        </w:rPr>
        <w:t>2所有品牌、款式、规格、颜色、材质均以</w:t>
      </w:r>
      <w:r>
        <w:rPr>
          <w:rFonts w:hint="eastAsia" w:ascii="宋体" w:hAnsi="宋体"/>
          <w:sz w:val="24"/>
          <w:lang w:eastAsia="zh-CN"/>
        </w:rPr>
        <w:t>招标人</w:t>
      </w:r>
      <w:r>
        <w:rPr>
          <w:rFonts w:hint="eastAsia" w:ascii="宋体" w:hAnsi="宋体"/>
          <w:sz w:val="24"/>
        </w:rPr>
        <w:t>确认的图片以及报价单所述为准；所有</w:t>
      </w:r>
      <w:r>
        <w:rPr>
          <w:rFonts w:hint="eastAsia" w:ascii="宋体" w:hAnsi="宋体"/>
          <w:sz w:val="24"/>
          <w:lang w:eastAsia="zh-CN"/>
        </w:rPr>
        <w:t>沙盘区大屏、动画、区位、品牌工法馆安装</w:t>
      </w:r>
      <w:r>
        <w:rPr>
          <w:rFonts w:hint="eastAsia" w:ascii="宋体" w:hAnsi="宋体"/>
          <w:sz w:val="24"/>
        </w:rPr>
        <w:t>物品，经</w:t>
      </w:r>
      <w:r>
        <w:rPr>
          <w:rFonts w:hint="eastAsia" w:ascii="宋体" w:hAnsi="宋体"/>
          <w:sz w:val="24"/>
          <w:lang w:eastAsia="zh-CN"/>
        </w:rPr>
        <w:t>招标人</w:t>
      </w:r>
      <w:r>
        <w:rPr>
          <w:rFonts w:hint="eastAsia" w:ascii="宋体" w:hAnsi="宋体"/>
          <w:sz w:val="24"/>
        </w:rPr>
        <w:t>确认后方可加工制作；</w:t>
      </w:r>
    </w:p>
    <w:p>
      <w:pPr>
        <w:tabs>
          <w:tab w:val="left" w:pos="720"/>
        </w:tabs>
        <w:spacing w:line="360" w:lineRule="auto"/>
        <w:ind w:firstLine="484" w:firstLineChars="202"/>
        <w:rPr>
          <w:rFonts w:ascii="宋体" w:hAnsi="宋体"/>
          <w:sz w:val="24"/>
        </w:rPr>
      </w:pPr>
      <w:r>
        <w:rPr>
          <w:rFonts w:hint="eastAsia" w:ascii="宋体" w:hAnsi="宋体"/>
          <w:sz w:val="24"/>
          <w:lang w:val="en-US" w:eastAsia="zh-CN"/>
        </w:rPr>
        <w:t>2.</w:t>
      </w:r>
      <w:r>
        <w:rPr>
          <w:rFonts w:hint="eastAsia" w:ascii="宋体" w:hAnsi="宋体"/>
          <w:sz w:val="24"/>
        </w:rPr>
        <w:t>3所有货物及物品均为崭新产品，不得有破损、油污、掉漆等情况发生，否则乙方须无条件在</w:t>
      </w:r>
      <w:r>
        <w:rPr>
          <w:rFonts w:hint="eastAsia" w:ascii="宋体" w:hAnsi="宋体"/>
          <w:sz w:val="24"/>
          <w:lang w:eastAsia="zh-CN"/>
        </w:rPr>
        <w:t>招标人</w:t>
      </w:r>
      <w:r>
        <w:rPr>
          <w:rFonts w:hint="eastAsia" w:ascii="宋体" w:hAnsi="宋体"/>
          <w:sz w:val="24"/>
        </w:rPr>
        <w:t>指定的时间内免费更换。</w:t>
      </w:r>
    </w:p>
    <w:p>
      <w:pPr>
        <w:tabs>
          <w:tab w:val="left" w:pos="720"/>
        </w:tabs>
        <w:spacing w:line="360" w:lineRule="auto"/>
        <w:ind w:firstLine="484" w:firstLineChars="202"/>
        <w:rPr>
          <w:rFonts w:hint="eastAsia" w:ascii="宋体" w:hAnsi="宋体"/>
          <w:sz w:val="24"/>
        </w:rPr>
      </w:pPr>
      <w:r>
        <w:rPr>
          <w:rFonts w:hint="eastAsia" w:ascii="宋体" w:hAnsi="宋体"/>
          <w:sz w:val="24"/>
        </w:rPr>
        <w:t>（三）采购清单</w:t>
      </w:r>
    </w:p>
    <w:p>
      <w:pPr>
        <w:tabs>
          <w:tab w:val="left" w:pos="720"/>
        </w:tabs>
        <w:spacing w:line="360" w:lineRule="auto"/>
        <w:ind w:firstLine="487" w:firstLineChars="202"/>
        <w:rPr>
          <w:rFonts w:hint="eastAsia" w:ascii="宋体" w:hAnsi="宋体"/>
          <w:b/>
          <w:bCs/>
          <w:sz w:val="24"/>
        </w:rPr>
      </w:pPr>
      <w:r>
        <w:rPr>
          <w:rFonts w:hint="eastAsia" w:ascii="宋体" w:hAnsi="宋体"/>
          <w:b/>
          <w:bCs/>
          <w:sz w:val="24"/>
        </w:rPr>
        <w:t>3.1详见附件《</w:t>
      </w:r>
      <w:r>
        <w:rPr>
          <w:rFonts w:hint="eastAsia" w:ascii="宋体" w:hAnsi="宋体"/>
          <w:b/>
          <w:bCs/>
          <w:sz w:val="24"/>
          <w:lang w:val="en-US" w:eastAsia="zh-CN"/>
        </w:rPr>
        <w:t>沙盘区大屏、动画、区位、品牌工法馆安装采购</w:t>
      </w:r>
      <w:r>
        <w:rPr>
          <w:rFonts w:hint="eastAsia" w:ascii="宋体" w:hAnsi="宋体"/>
          <w:b/>
          <w:bCs/>
          <w:sz w:val="24"/>
        </w:rPr>
        <w:t>清单》。</w:t>
      </w:r>
    </w:p>
    <w:p>
      <w:pPr>
        <w:tabs>
          <w:tab w:val="left" w:pos="720"/>
        </w:tabs>
        <w:spacing w:line="360" w:lineRule="auto"/>
        <w:ind w:firstLine="484" w:firstLineChars="202"/>
        <w:rPr>
          <w:rFonts w:hint="eastAsia" w:ascii="宋体" w:hAnsi="宋体"/>
          <w:sz w:val="24"/>
        </w:rPr>
      </w:pPr>
      <w:r>
        <w:rPr>
          <w:rFonts w:hint="eastAsia" w:ascii="宋体" w:hAnsi="宋体"/>
          <w:sz w:val="24"/>
        </w:rPr>
        <w:t>（四）投标报价</w:t>
      </w:r>
    </w:p>
    <w:p>
      <w:pPr>
        <w:tabs>
          <w:tab w:val="left" w:pos="720"/>
        </w:tabs>
        <w:spacing w:line="360" w:lineRule="auto"/>
        <w:ind w:firstLine="484" w:firstLineChars="202"/>
        <w:rPr>
          <w:rFonts w:hint="default" w:ascii="宋体" w:hAnsi="宋体" w:eastAsia="宋体"/>
          <w:sz w:val="24"/>
          <w:lang w:val="en-US" w:eastAsia="zh-CN"/>
        </w:rPr>
      </w:pPr>
      <w:r>
        <w:rPr>
          <w:rFonts w:hint="eastAsia" w:ascii="宋体" w:hAnsi="宋体"/>
          <w:sz w:val="24"/>
        </w:rPr>
        <w:t>4.1投标人必须填报报价清单附表中各项价格及投标报价汇总等。报价清单中投标人没有填入单价或价格的子目，其费用视为已分摊在报价清单中其他相关子目的单价或价格之中。</w:t>
      </w:r>
      <w:r>
        <w:rPr>
          <w:rFonts w:hint="eastAsia" w:ascii="宋体" w:hAnsi="宋体"/>
          <w:sz w:val="24"/>
          <w:lang w:eastAsia="zh-CN"/>
        </w:rPr>
        <w:t>报价清单明细表由投标人填报</w:t>
      </w:r>
      <w:r>
        <w:rPr>
          <w:rFonts w:hint="eastAsia" w:ascii="宋体" w:hAnsi="宋体"/>
          <w:sz w:val="24"/>
          <w:lang w:val="en-US" w:eastAsia="zh-CN"/>
        </w:rPr>
        <w:t>.</w:t>
      </w:r>
    </w:p>
    <w:p>
      <w:pPr>
        <w:tabs>
          <w:tab w:val="left" w:pos="720"/>
        </w:tabs>
        <w:spacing w:line="360" w:lineRule="auto"/>
        <w:ind w:firstLine="484" w:firstLineChars="202"/>
        <w:rPr>
          <w:rFonts w:hint="eastAsia" w:ascii="宋体" w:hAnsi="宋体"/>
          <w:sz w:val="24"/>
        </w:rPr>
      </w:pPr>
      <w:r>
        <w:rPr>
          <w:rFonts w:hint="eastAsia" w:ascii="宋体" w:hAnsi="宋体"/>
          <w:sz w:val="24"/>
        </w:rPr>
        <w:t>4.2综合单价内容：</w:t>
      </w:r>
    </w:p>
    <w:p>
      <w:pPr>
        <w:tabs>
          <w:tab w:val="left" w:pos="720"/>
        </w:tabs>
        <w:spacing w:line="360" w:lineRule="auto"/>
        <w:ind w:firstLine="487" w:firstLineChars="202"/>
        <w:rPr>
          <w:rFonts w:hint="eastAsia" w:ascii="宋体" w:hAnsi="宋体"/>
          <w:b/>
          <w:sz w:val="24"/>
        </w:rPr>
      </w:pPr>
      <w:r>
        <w:rPr>
          <w:rFonts w:hint="eastAsia" w:ascii="宋体" w:hAnsi="宋体"/>
          <w:b/>
          <w:sz w:val="24"/>
          <w:lang w:val="en-US" w:eastAsia="zh-CN"/>
        </w:rPr>
        <w:t>4.2.</w:t>
      </w:r>
      <w:r>
        <w:rPr>
          <w:rFonts w:hint="eastAsia" w:ascii="宋体" w:hAnsi="宋体"/>
          <w:b/>
          <w:sz w:val="24"/>
        </w:rPr>
        <w:t>1本次综合单价为全费用综合单价，包含直接购买费、成品运输费、装卸货费、现场搬运费、摆放、清扫费用、安装、成品保护、管理费、利润、税金以及存在的风险费用等；</w:t>
      </w:r>
    </w:p>
    <w:p>
      <w:pPr>
        <w:tabs>
          <w:tab w:val="left" w:pos="720"/>
        </w:tabs>
        <w:spacing w:line="360" w:lineRule="auto"/>
        <w:ind w:firstLine="487" w:firstLineChars="202"/>
        <w:rPr>
          <w:rFonts w:hint="eastAsia" w:ascii="宋体" w:hAnsi="宋体"/>
          <w:sz w:val="24"/>
        </w:rPr>
      </w:pPr>
      <w:r>
        <w:rPr>
          <w:rFonts w:hint="eastAsia" w:ascii="宋体" w:hAnsi="宋体"/>
          <w:b/>
          <w:sz w:val="24"/>
          <w:lang w:val="en-US" w:eastAsia="zh-CN"/>
        </w:rPr>
        <w:t>4.2.2</w:t>
      </w:r>
      <w:r>
        <w:rPr>
          <w:rFonts w:hint="eastAsia" w:ascii="宋体" w:hAnsi="宋体"/>
          <w:b/>
          <w:sz w:val="24"/>
        </w:rPr>
        <w:t>若部分</w:t>
      </w:r>
      <w:r>
        <w:rPr>
          <w:rFonts w:hint="eastAsia" w:ascii="宋体" w:hAnsi="宋体"/>
          <w:b/>
          <w:sz w:val="24"/>
          <w:lang w:eastAsia="zh-CN"/>
        </w:rPr>
        <w:t>沙盘区大屏、动画、区位、品牌工法馆安装</w:t>
      </w:r>
      <w:r>
        <w:rPr>
          <w:rFonts w:hint="eastAsia" w:ascii="宋体" w:hAnsi="宋体"/>
          <w:b/>
          <w:sz w:val="24"/>
        </w:rPr>
        <w:t>产品因市场因素或者现场原因需要及时调整</w:t>
      </w:r>
      <w:r>
        <w:rPr>
          <w:rFonts w:hint="eastAsia" w:ascii="宋体" w:hAnsi="宋体"/>
          <w:b/>
          <w:sz w:val="24"/>
          <w:lang w:eastAsia="zh-CN"/>
        </w:rPr>
        <w:t>沙盘区大屏、动画、区位、品牌工法馆安装</w:t>
      </w:r>
      <w:r>
        <w:rPr>
          <w:rFonts w:hint="eastAsia" w:ascii="宋体" w:hAnsi="宋体"/>
          <w:b/>
          <w:sz w:val="24"/>
        </w:rPr>
        <w:t>方案，</w:t>
      </w:r>
      <w:r>
        <w:rPr>
          <w:rFonts w:hint="eastAsia" w:ascii="宋体" w:hAnsi="宋体"/>
          <w:b/>
          <w:sz w:val="24"/>
          <w:lang w:eastAsia="zh-CN"/>
        </w:rPr>
        <w:t>中标人</w:t>
      </w:r>
      <w:r>
        <w:rPr>
          <w:rFonts w:hint="eastAsia" w:ascii="宋体" w:hAnsi="宋体"/>
          <w:b/>
          <w:sz w:val="24"/>
        </w:rPr>
        <w:t>将替换的产品方案提交给</w:t>
      </w:r>
      <w:r>
        <w:rPr>
          <w:rFonts w:hint="eastAsia" w:ascii="宋体" w:hAnsi="宋体"/>
          <w:b/>
          <w:sz w:val="24"/>
          <w:lang w:eastAsia="zh-CN"/>
        </w:rPr>
        <w:t>招标人</w:t>
      </w:r>
      <w:r>
        <w:rPr>
          <w:rFonts w:hint="eastAsia" w:ascii="宋体" w:hAnsi="宋体"/>
          <w:b/>
          <w:sz w:val="24"/>
        </w:rPr>
        <w:t>，经</w:t>
      </w:r>
      <w:r>
        <w:rPr>
          <w:rFonts w:hint="eastAsia" w:ascii="宋体" w:hAnsi="宋体"/>
          <w:b/>
          <w:sz w:val="24"/>
          <w:lang w:eastAsia="zh-CN"/>
        </w:rPr>
        <w:t>招标人</w:t>
      </w:r>
      <w:r>
        <w:rPr>
          <w:rFonts w:hint="eastAsia" w:ascii="宋体" w:hAnsi="宋体"/>
          <w:b/>
          <w:sz w:val="24"/>
        </w:rPr>
        <w:t>确认后，</w:t>
      </w:r>
      <w:r>
        <w:rPr>
          <w:rFonts w:hint="eastAsia" w:ascii="宋体" w:hAnsi="宋体"/>
          <w:b/>
          <w:sz w:val="24"/>
          <w:lang w:eastAsia="zh-CN"/>
        </w:rPr>
        <w:t>中标人</w:t>
      </w:r>
      <w:r>
        <w:rPr>
          <w:rFonts w:hint="eastAsia" w:ascii="宋体" w:hAnsi="宋体"/>
          <w:b/>
          <w:sz w:val="24"/>
        </w:rPr>
        <w:t>可按调整后的方案进行布置；因方案调整导致售楼部</w:t>
      </w:r>
      <w:r>
        <w:rPr>
          <w:rFonts w:hint="eastAsia" w:ascii="宋体" w:hAnsi="宋体"/>
          <w:b/>
          <w:sz w:val="24"/>
          <w:lang w:eastAsia="zh-CN"/>
        </w:rPr>
        <w:t>沙盘区大屏、动画、区位、品牌工法馆安装</w:t>
      </w:r>
      <w:r>
        <w:rPr>
          <w:rFonts w:hint="eastAsia" w:ascii="宋体" w:hAnsi="宋体"/>
          <w:b/>
          <w:sz w:val="24"/>
        </w:rPr>
        <w:t>物料调整的，如合同内有相同价格的，按合同内价格执行，合同内无相同价格的，按市场价格，由双方参照市场价格协商确定。</w:t>
      </w:r>
    </w:p>
    <w:p>
      <w:pPr>
        <w:tabs>
          <w:tab w:val="left" w:pos="720"/>
        </w:tabs>
        <w:spacing w:line="360" w:lineRule="auto"/>
        <w:ind w:firstLine="484" w:firstLineChars="202"/>
        <w:rPr>
          <w:rFonts w:ascii="宋体" w:hAnsi="宋体"/>
          <w:sz w:val="24"/>
        </w:rPr>
      </w:pPr>
      <w:r>
        <w:rPr>
          <w:rFonts w:hint="eastAsia" w:ascii="宋体" w:hAnsi="宋体"/>
          <w:sz w:val="24"/>
        </w:rPr>
        <w:t>4.</w:t>
      </w:r>
      <w:r>
        <w:rPr>
          <w:rFonts w:hint="eastAsia" w:ascii="宋体" w:hAnsi="宋体"/>
          <w:sz w:val="24"/>
          <w:lang w:val="en-US" w:eastAsia="zh-CN"/>
        </w:rPr>
        <w:t>3</w:t>
      </w:r>
      <w:r>
        <w:rPr>
          <w:rFonts w:hint="eastAsia" w:ascii="宋体" w:hAnsi="宋体"/>
          <w:sz w:val="24"/>
        </w:rPr>
        <w:t>只允许一个报价，不接受投标报价修正函。</w:t>
      </w:r>
    </w:p>
    <w:p>
      <w:pPr>
        <w:tabs>
          <w:tab w:val="left" w:pos="720"/>
        </w:tabs>
        <w:spacing w:line="360" w:lineRule="auto"/>
        <w:ind w:firstLine="480" w:firstLineChars="200"/>
        <w:rPr>
          <w:rFonts w:hint="eastAsia" w:ascii="宋体" w:hAnsi="宋体"/>
          <w:sz w:val="24"/>
        </w:rPr>
      </w:pPr>
      <w:r>
        <w:rPr>
          <w:rFonts w:hint="eastAsia" w:ascii="宋体" w:hAnsi="宋体"/>
          <w:sz w:val="24"/>
        </w:rPr>
        <w:t>（</w:t>
      </w:r>
      <w:r>
        <w:rPr>
          <w:rFonts w:hint="eastAsia" w:ascii="宋体" w:hAnsi="宋体"/>
          <w:sz w:val="24"/>
          <w:lang w:val="en-US" w:eastAsia="zh-CN"/>
        </w:rPr>
        <w:t>五</w:t>
      </w:r>
      <w:r>
        <w:rPr>
          <w:rFonts w:hint="eastAsia" w:ascii="宋体" w:hAnsi="宋体"/>
          <w:sz w:val="24"/>
        </w:rPr>
        <w:t>）其他要求</w:t>
      </w:r>
    </w:p>
    <w:p>
      <w:pPr>
        <w:tabs>
          <w:tab w:val="left" w:pos="720"/>
        </w:tabs>
        <w:spacing w:line="360" w:lineRule="auto"/>
        <w:ind w:firstLine="484" w:firstLineChars="202"/>
        <w:rPr>
          <w:rFonts w:hint="eastAsia" w:ascii="宋体" w:hAnsi="宋体" w:eastAsia="宋体" w:cs="Times New Roman"/>
          <w:sz w:val="24"/>
          <w:lang w:val="en-US" w:eastAsia="zh-CN"/>
        </w:rPr>
      </w:pPr>
      <w:r>
        <w:rPr>
          <w:rFonts w:hint="eastAsia" w:ascii="宋体" w:hAnsi="宋体" w:eastAsia="宋体" w:cs="Times New Roman"/>
          <w:sz w:val="24"/>
          <w:lang w:val="en-US" w:eastAsia="zh-CN"/>
        </w:rPr>
        <w:t>1</w:t>
      </w:r>
      <w:r>
        <w:rPr>
          <w:rFonts w:hint="eastAsia" w:ascii="宋体" w:hAnsi="宋体" w:eastAsia="宋体" w:cs="Times New Roman"/>
          <w:sz w:val="24"/>
        </w:rPr>
        <w:t>、实际</w:t>
      </w:r>
      <w:r>
        <w:rPr>
          <w:rFonts w:hint="eastAsia" w:ascii="宋体" w:hAnsi="宋体" w:eastAsia="宋体" w:cs="Times New Roman"/>
          <w:sz w:val="24"/>
          <w:lang w:val="en-US" w:eastAsia="zh-CN"/>
        </w:rPr>
        <w:t>提供</w:t>
      </w:r>
      <w:r>
        <w:rPr>
          <w:rFonts w:hint="eastAsia" w:ascii="宋体" w:hAnsi="宋体" w:eastAsia="宋体" w:cs="Times New Roman"/>
          <w:sz w:val="24"/>
        </w:rPr>
        <w:t>的</w:t>
      </w:r>
      <w:r>
        <w:rPr>
          <w:rFonts w:hint="eastAsia" w:ascii="宋体" w:hAnsi="宋体" w:eastAsia="宋体" w:cs="Times New Roman"/>
          <w:sz w:val="24"/>
          <w:lang w:eastAsia="zh-CN"/>
        </w:rPr>
        <w:t>沙盘区大屏、动画、区位、品牌工法馆安装</w:t>
      </w:r>
      <w:r>
        <w:rPr>
          <w:rFonts w:hint="eastAsia" w:ascii="宋体" w:hAnsi="宋体" w:eastAsia="宋体" w:cs="Times New Roman"/>
          <w:sz w:val="24"/>
        </w:rPr>
        <w:t>物料比清单减少的，</w:t>
      </w:r>
      <w:r>
        <w:rPr>
          <w:rFonts w:hint="eastAsia" w:ascii="宋体" w:hAnsi="宋体" w:eastAsia="宋体" w:cs="Times New Roman"/>
          <w:sz w:val="24"/>
          <w:lang w:val="en-US" w:eastAsia="zh-CN"/>
        </w:rPr>
        <w:t>据实结算。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2.成果文件的组成</w:t>
      </w:r>
      <w:r>
        <w:rPr>
          <w:rFonts w:hint="default"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宣传影片，需经甲方审核批准。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3.成果文件的深度</w:t>
      </w:r>
      <w:r>
        <w:rPr>
          <w:rFonts w:hint="default"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满足业主需要。</w:t>
      </w:r>
    </w:p>
    <w:p>
      <w:pPr>
        <w:pStyle w:val="7"/>
        <w:ind w:firstLine="480" w:firstLineChars="200"/>
        <w:rPr>
          <w:rFonts w:hint="default" w:eastAsia="宋体"/>
          <w:lang w:val="en-US" w:eastAsia="zh-CN"/>
        </w:rPr>
      </w:pPr>
      <w:r>
        <w:rPr>
          <w:rFonts w:hint="eastAsia" w:ascii="Times New Roman" w:hAnsi="Times New Roman" w:cs="Times New Roman"/>
          <w:kern w:val="0"/>
          <w:sz w:val="24"/>
          <w:szCs w:val="24"/>
          <w:highlight w:val="none"/>
          <w:lang w:val="en-US" w:eastAsia="zh-CN"/>
        </w:rPr>
        <w:t>4.成果文件的份数要求</w:t>
      </w:r>
      <w:r>
        <w:rPr>
          <w:rFonts w:hint="default" w:ascii="Times New Roman" w:hAnsi="Times New Roman" w:cs="Times New Roman"/>
          <w:kern w:val="0"/>
          <w:sz w:val="24"/>
          <w:szCs w:val="24"/>
          <w:highlight w:val="none"/>
          <w:lang w:eastAsia="zh-CN"/>
        </w:rPr>
        <w:t>：</w:t>
      </w:r>
      <w:r>
        <w:rPr>
          <w:rFonts w:hint="eastAsia"/>
          <w:lang w:val="en-US" w:eastAsia="zh-CN"/>
        </w:rPr>
        <w:t>纸质5份，电子版1份。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5.成果文件的载体要求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（1）纸质版的要求</w:t>
      </w:r>
      <w:r>
        <w:rPr>
          <w:rFonts w:hint="default" w:ascii="Times New Roman" w:hAnsi="Times New Roman" w:cs="Times New Roman"/>
          <w:kern w:val="0"/>
          <w:sz w:val="24"/>
          <w:szCs w:val="24"/>
          <w:highlight w:val="none"/>
          <w:lang w:eastAsia="zh-CN"/>
        </w:rPr>
        <w:t>：相关方案胶装成册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（2）电子版的要求</w:t>
      </w:r>
      <w:r>
        <w:rPr>
          <w:rFonts w:hint="default" w:ascii="Times New Roman" w:hAnsi="Times New Roman" w:cs="Times New Roman"/>
          <w:kern w:val="0"/>
          <w:sz w:val="24"/>
          <w:szCs w:val="24"/>
          <w:highlight w:val="none"/>
          <w:lang w:eastAsia="zh-CN"/>
        </w:rPr>
        <w:t>：U盘</w:t>
      </w:r>
    </w:p>
    <w:p>
      <w:pPr>
        <w:tabs>
          <w:tab w:val="left" w:pos="720"/>
        </w:tabs>
        <w:spacing w:line="360" w:lineRule="auto"/>
        <w:ind w:firstLine="484" w:firstLineChars="202"/>
        <w:rPr>
          <w:rFonts w:hint="eastAsia" w:ascii="宋体" w:hAnsi="宋体" w:eastAsia="宋体" w:cs="Times New Roman"/>
          <w:sz w:val="24"/>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5"/>
        <w:jc w:val="center"/>
        <w:rPr>
          <w:rFonts w:hint="default" w:ascii="Times New Roman" w:hAnsi="Times New Roman" w:cs="Times New Roman"/>
        </w:rPr>
      </w:pPr>
      <w:bookmarkStart w:id="420" w:name="_Toc247527827"/>
      <w:bookmarkStart w:id="421" w:name="_Toc144974856"/>
      <w:bookmarkStart w:id="422" w:name="_Toc247514246"/>
      <w:bookmarkStart w:id="423" w:name="_Toc152042576"/>
      <w:bookmarkStart w:id="424" w:name="_Toc300835209"/>
      <w:bookmarkStart w:id="425" w:name="_Toc152045787"/>
      <w:r>
        <w:rPr>
          <w:rFonts w:hint="default" w:ascii="Times New Roman" w:hAnsi="Times New Roman" w:cs="Times New Roman"/>
        </w:rPr>
        <w:t>目    录</w:t>
      </w:r>
      <w:bookmarkEnd w:id="420"/>
      <w:bookmarkEnd w:id="421"/>
      <w:bookmarkEnd w:id="422"/>
      <w:bookmarkEnd w:id="423"/>
      <w:bookmarkEnd w:id="424"/>
      <w:bookmarkEnd w:id="425"/>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十、其他资料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5"/>
        <w:jc w:val="center"/>
        <w:rPr>
          <w:rFonts w:hint="default" w:ascii="Times New Roman" w:hAnsi="Times New Roman" w:cs="Times New Roman"/>
          <w:sz w:val="20"/>
          <w:szCs w:val="20"/>
        </w:rPr>
      </w:pPr>
      <w:bookmarkStart w:id="426" w:name="_Toc247527828"/>
      <w:bookmarkStart w:id="427" w:name="_Toc144974857"/>
      <w:bookmarkStart w:id="428" w:name="_Toc152042577"/>
      <w:bookmarkStart w:id="429" w:name="_Toc247514247"/>
      <w:bookmarkStart w:id="430" w:name="_Toc300835210"/>
      <w:bookmarkStart w:id="431" w:name="_Toc152045788"/>
      <w:r>
        <w:rPr>
          <w:rFonts w:hint="default" w:ascii="Times New Roman" w:hAnsi="Times New Roman" w:cs="Times New Roman"/>
        </w:rPr>
        <w:t>一、投标函</w:t>
      </w:r>
      <w:bookmarkEnd w:id="426"/>
      <w:bookmarkEnd w:id="427"/>
      <w:bookmarkEnd w:id="428"/>
      <w:bookmarkEnd w:id="429"/>
      <w:bookmarkEnd w:id="430"/>
      <w:bookmarkEnd w:id="431"/>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及项目编号</w:t>
      </w:r>
      <w:r>
        <w:rPr>
          <w:rFonts w:hint="default" w:ascii="Times New Roman" w:hAnsi="Times New Roman" w:cs="Times New Roman"/>
          <w:szCs w:val="21"/>
        </w:rPr>
        <w:t>）</w:t>
      </w:r>
      <w:r>
        <w:rPr>
          <w:rFonts w:hint="eastAsia" w:ascii="Times New Roman" w:hAnsi="Times New Roman" w:cs="Times New Roman"/>
          <w:szCs w:val="21"/>
          <w:lang w:val="en-US" w:eastAsia="zh-CN"/>
        </w:rPr>
        <w:t>采购招标项目招标文件的全部内容，愿意以</w:t>
      </w:r>
      <w:permStart w:id="101"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的投标总报价（含</w:t>
      </w:r>
      <w:r>
        <w:rPr>
          <w:rFonts w:hint="eastAsia" w:ascii="Times New Roman" w:hAnsi="Times New Roman" w:cs="Times New Roman"/>
          <w:szCs w:val="21"/>
          <w:u w:val="none"/>
          <w:lang w:val="en-US" w:eastAsia="zh-CN"/>
        </w:rPr>
        <w:t>税</w:t>
      </w:r>
      <w:r>
        <w:rPr>
          <w:rFonts w:hint="eastAsia" w:ascii="Times New Roman" w:hAnsi="Times New Roman" w:cs="Times New Roman"/>
          <w:szCs w:val="21"/>
          <w:lang w:val="en-US" w:eastAsia="zh-CN"/>
        </w:rPr>
        <w:t xml:space="preserve"> ）</w:t>
      </w:r>
      <w:permEnd w:id="101"/>
      <w:r>
        <w:rPr>
          <w:rFonts w:hint="eastAsia" w:ascii="Times New Roman" w:hAnsi="Times New Roman" w:cs="Times New Roman"/>
          <w:szCs w:val="21"/>
          <w:lang w:val="en-US" w:eastAsia="zh-CN"/>
        </w:rPr>
        <w:t>提供完成本项目全部供货内容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1）投标函；（2）法定代表人（单位负责人）身份证明或授权委托书；（2）授权委托书；（3）投标保证金；（4）商务和技术偏差表；（5）分项报价表；（6）资格审查资料；（7）投标产品性能指标的详细描述；（8）技术支持资料；（9）相关服务计划；（10）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432" w:name="_Toc152042580"/>
      <w:bookmarkStart w:id="433" w:name="_Toc247527831"/>
      <w:bookmarkStart w:id="434" w:name="_Toc247514283"/>
      <w:bookmarkStart w:id="435" w:name="_Toc152045791"/>
      <w:bookmarkStart w:id="436" w:name="_Toc300835213"/>
      <w:bookmarkStart w:id="437" w:name="_Toc144974860"/>
      <w:r>
        <w:rPr>
          <w:rFonts w:hint="default" w:ascii="Times New Roman" w:hAnsi="Times New Roman" w:cs="Times New Roman"/>
        </w:rPr>
        <w:br w:type="page"/>
      </w:r>
    </w:p>
    <w:p>
      <w:pPr>
        <w:pStyle w:val="5"/>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432"/>
      <w:bookmarkEnd w:id="433"/>
      <w:bookmarkEnd w:id="434"/>
      <w:bookmarkEnd w:id="435"/>
      <w:bookmarkEnd w:id="436"/>
      <w:bookmarkEnd w:id="43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5"/>
        <w:jc w:val="center"/>
        <w:rPr>
          <w:rFonts w:hint="default" w:ascii="Times New Roman" w:hAnsi="Times New Roman" w:cs="Times New Roman"/>
        </w:rPr>
      </w:pPr>
      <w:bookmarkStart w:id="438" w:name="_Toc247527832"/>
      <w:bookmarkStart w:id="439" w:name="_Toc152042581"/>
      <w:bookmarkStart w:id="440" w:name="_Toc247514284"/>
      <w:bookmarkStart w:id="441" w:name="_Toc144974861"/>
      <w:bookmarkStart w:id="442" w:name="_Toc152045792"/>
      <w:bookmarkStart w:id="443"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438"/>
      <w:bookmarkEnd w:id="439"/>
      <w:bookmarkEnd w:id="440"/>
      <w:bookmarkEnd w:id="441"/>
      <w:bookmarkEnd w:id="442"/>
      <w:bookmarkEnd w:id="44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委托代理人身份证复印件、委托代理人</w:t>
      </w:r>
      <w:r>
        <w:rPr>
          <w:rFonts w:hint="eastAsia" w:ascii="Times New Roman" w:hAnsi="Times New Roman" w:cs="Times New Roman"/>
          <w:color w:val="FF0000"/>
          <w:szCs w:val="21"/>
          <w:lang w:val="en-US" w:eastAsia="zh-CN"/>
        </w:rPr>
        <w:t>2023年6月</w:t>
      </w:r>
      <w:r>
        <w:rPr>
          <w:rFonts w:hint="eastAsia" w:ascii="Times New Roman" w:hAnsi="Times New Roman" w:cs="Times New Roman"/>
          <w:szCs w:val="21"/>
          <w:lang w:val="en-US" w:eastAsia="zh-CN"/>
        </w:rPr>
        <w:t>起任意3个月及以上养老保险证明。</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5"/>
        <w:jc w:val="center"/>
        <w:rPr>
          <w:rFonts w:hint="default" w:ascii="Times New Roman" w:hAnsi="Times New Roman" w:cs="Times New Roman"/>
          <w:highlight w:val="none"/>
        </w:rPr>
      </w:pPr>
      <w:bookmarkStart w:id="444" w:name="_Toc152045794"/>
      <w:bookmarkStart w:id="445" w:name="_Toc247527834"/>
      <w:bookmarkStart w:id="446" w:name="_Toc247514286"/>
      <w:bookmarkStart w:id="447" w:name="_Toc300835216"/>
      <w:bookmarkStart w:id="448" w:name="_Toc144974862"/>
      <w:bookmarkStart w:id="449" w:name="_Toc152042583"/>
      <w:r>
        <w:rPr>
          <w:rFonts w:hint="eastAsia"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44"/>
      <w:bookmarkEnd w:id="445"/>
      <w:bookmarkEnd w:id="446"/>
      <w:bookmarkEnd w:id="447"/>
      <w:bookmarkEnd w:id="448"/>
      <w:bookmarkEnd w:id="44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5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default" w:ascii="Times New Roman" w:hAnsi="Times New Roman" w:eastAsiaTheme="minorEastAsia"/>
          <w:szCs w:val="21"/>
          <w:highlight w:val="yellow"/>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50"/>
    <w:p>
      <w:pPr>
        <w:pStyle w:val="5"/>
        <w:jc w:val="center"/>
        <w:rPr>
          <w:rFonts w:hint="default" w:ascii="Times New Roman" w:hAnsi="Times New Roman" w:eastAsia="黑体" w:cs="Times New Roman"/>
          <w:lang w:val="en-US" w:eastAsia="zh-CN"/>
        </w:rPr>
      </w:pPr>
      <w:bookmarkStart w:id="451" w:name="_Toc300835218"/>
      <w:bookmarkStart w:id="452" w:name="_Toc152042584"/>
      <w:bookmarkStart w:id="453" w:name="_Toc152045795"/>
      <w:bookmarkStart w:id="454" w:name="_Toc247514287"/>
      <w:bookmarkStart w:id="455" w:name="_Toc247527835"/>
      <w:bookmarkStart w:id="456" w:name="_Toc144974863"/>
      <w:r>
        <w:rPr>
          <w:rFonts w:hint="default" w:ascii="Times New Roman" w:hAnsi="Times New Roman" w:cs="Times New Roman"/>
        </w:rPr>
        <w:br w:type="page"/>
      </w:r>
      <w:bookmarkEnd w:id="451"/>
      <w:bookmarkEnd w:id="452"/>
      <w:bookmarkEnd w:id="453"/>
      <w:bookmarkEnd w:id="454"/>
      <w:bookmarkEnd w:id="455"/>
      <w:bookmarkEnd w:id="456"/>
      <w:bookmarkStart w:id="457" w:name="_Toc300835223"/>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57"/>
    <w:p>
      <w:pPr>
        <w:pStyle w:val="5"/>
        <w:jc w:val="center"/>
        <w:rPr>
          <w:rFonts w:hint="default" w:ascii="Times New Roman" w:hAnsi="Times New Roman" w:eastAsia="黑体" w:cs="Times New Roman"/>
          <w:highlight w:val="none"/>
          <w:lang w:val="en-US" w:eastAsia="zh-CN"/>
        </w:rPr>
      </w:pPr>
      <w:bookmarkStart w:id="458" w:name="_Toc247085887"/>
      <w:bookmarkStart w:id="459" w:name="_Toc152045803"/>
      <w:bookmarkStart w:id="460" w:name="_Toc296602614"/>
      <w:bookmarkStart w:id="461" w:name="_Toc152042592"/>
      <w:bookmarkStart w:id="462" w:name="_Toc179632823"/>
      <w:bookmarkStart w:id="463" w:name="_Toc246997112"/>
      <w:bookmarkStart w:id="464" w:name="_Toc144974871"/>
      <w:bookmarkStart w:id="465" w:name="_Toc246996369"/>
      <w:bookmarkStart w:id="466" w:name="_Toc247527848"/>
      <w:bookmarkStart w:id="467" w:name="_Toc144974876"/>
      <w:bookmarkStart w:id="468" w:name="_Toc152042597"/>
      <w:bookmarkStart w:id="469" w:name="_Toc300835224"/>
      <w:bookmarkStart w:id="470" w:name="_Toc152045808"/>
      <w:bookmarkStart w:id="471" w:name="_Toc247514300"/>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分项报价表</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1. 分项报价表说明</w:t>
      </w:r>
    </w:p>
    <w:p>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2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
        <w:gridCol w:w="1467"/>
        <w:gridCol w:w="883"/>
        <w:gridCol w:w="883"/>
        <w:gridCol w:w="1762"/>
        <w:gridCol w:w="1759"/>
        <w:gridCol w:w="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pct"/>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861" w:type="pct"/>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518" w:type="pct"/>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518" w:type="pct"/>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033" w:type="pct"/>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032" w:type="pct"/>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518" w:type="pct"/>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pct"/>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861"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033"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032"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pct"/>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861"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033"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032"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pct"/>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861"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033"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032"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pct"/>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861"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033"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032"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pct"/>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w:t>
            </w:r>
          </w:p>
        </w:tc>
        <w:tc>
          <w:tcPr>
            <w:tcW w:w="861"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033"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032"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pct"/>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61" w:type="pct"/>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033"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032"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9" w:type="pct"/>
            <w:gridSpan w:val="5"/>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*合计报价（不含税价）</w:t>
            </w:r>
          </w:p>
        </w:tc>
        <w:tc>
          <w:tcPr>
            <w:tcW w:w="1032"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9" w:type="pct"/>
            <w:gridSpan w:val="5"/>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合计报价（含税）</w:t>
            </w:r>
          </w:p>
        </w:tc>
        <w:tc>
          <w:tcPr>
            <w:tcW w:w="1032"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bl>
    <w:p>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lang w:val="en-US" w:eastAsia="zh-CN"/>
        </w:rPr>
        <w:t>注：投标人可根据行业具体情况及招标项目特点对上表格式进行调整。</w:t>
      </w: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eastAsia" w:ascii="Times New Roman" w:hAnsi="Times New Roman" w:cs="Times New Roman"/>
          <w:szCs w:val="21"/>
          <w:lang w:val="en-US" w:eastAsia="zh-CN"/>
        </w:rPr>
      </w:pPr>
    </w:p>
    <w:p>
      <w:pPr>
        <w:rPr>
          <w:rFonts w:hint="eastAsia"/>
          <w:highlight w:val="none"/>
          <w:lang w:val="en-US" w:eastAsia="zh-CN"/>
        </w:rPr>
      </w:pPr>
    </w:p>
    <w:p>
      <w:pPr>
        <w:rPr>
          <w:rFonts w:hint="eastAsia"/>
          <w:highlight w:val="none"/>
          <w:lang w:val="en-US" w:eastAsia="zh-CN"/>
        </w:rPr>
      </w:pPr>
      <w:r>
        <w:rPr>
          <w:rFonts w:hint="eastAsia"/>
          <w:highlight w:val="none"/>
          <w:lang w:val="en-US" w:eastAsia="zh-CN"/>
        </w:rPr>
        <w:br w:type="page"/>
      </w:r>
    </w:p>
    <w:p>
      <w:pPr>
        <w:pStyle w:val="5"/>
        <w:jc w:val="center"/>
        <w:rPr>
          <w:rFonts w:hint="eastAsia"/>
          <w:highlight w:val="none"/>
        </w:rPr>
      </w:pPr>
      <w:r>
        <w:rPr>
          <w:rFonts w:hint="eastAsia"/>
          <w:highlight w:val="none"/>
          <w:lang w:val="en-US" w:eastAsia="zh-CN"/>
        </w:rPr>
        <w:t>六</w:t>
      </w:r>
      <w:r>
        <w:rPr>
          <w:highlight w:val="none"/>
        </w:rPr>
        <w:t>、资格审查资料</w:t>
      </w:r>
    </w:p>
    <w:p>
      <w:pPr>
        <w:pStyle w:val="6"/>
        <w:jc w:val="both"/>
        <w:rPr>
          <w:rFonts w:hint="eastAsia"/>
        </w:rPr>
      </w:pPr>
      <w:r>
        <w:t>（一）基本情况表</w:t>
      </w:r>
    </w:p>
    <w:tbl>
      <w:tblPr>
        <w:tblStyle w:val="20"/>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w:t>
      </w:r>
    </w:p>
    <w:p>
      <w:pPr>
        <w:rPr>
          <w:rFonts w:hint="default" w:ascii="Times New Roman" w:hAnsi="Times New Roman" w:cs="Times New Roman"/>
          <w:lang w:val="en-US" w:eastAsia="zh-CN"/>
        </w:rPr>
      </w:pPr>
    </w:p>
    <w:p>
      <w:pPr>
        <w:rPr>
          <w:rFonts w:hint="eastAsia"/>
        </w:rPr>
      </w:pPr>
      <w:r>
        <w:rPr>
          <w:rFonts w:hint="eastAsia"/>
        </w:rPr>
        <w:br w:type="page"/>
      </w:r>
    </w:p>
    <w:p>
      <w:pPr>
        <w:pStyle w:val="6"/>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default" w:ascii="Times New Roman" w:hAnsi="Times New Roman" w:cs="Times New Roman"/>
        </w:rPr>
      </w:pPr>
    </w:p>
    <w:p>
      <w:pPr>
        <w:rPr>
          <w:rFonts w:hint="eastAsia"/>
        </w:rPr>
      </w:pPr>
      <w:r>
        <w:rPr>
          <w:rFonts w:hint="eastAsia"/>
        </w:rPr>
        <w:br w:type="page"/>
      </w:r>
    </w:p>
    <w:p>
      <w:pPr>
        <w:pStyle w:val="6"/>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ermStart w:id="102" w:edGrp="everyone"/>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产品</w:t>
      </w:r>
      <w:r>
        <w:rPr>
          <w:rFonts w:hint="default" w:ascii="Times New Roman" w:hAnsi="Times New Roman" w:cs="Times New Roman"/>
          <w:lang w:val="en-US" w:eastAsia="zh-CN"/>
        </w:rPr>
        <w:t>的业绩的，投标人应按照上表的格式提供投标设备的业绩情况并根据投标人须知第3.5.3项的要求在本表后附相关证明材料。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“近年完成的类似项目情况表”应附合同协议书的复印件，具体时间要求见投标人须知前附表。每张表格只填写一个项目，并标明序号。</w:t>
      </w:r>
    </w:p>
    <w:permEnd w:id="102"/>
    <w:p>
      <w:pPr>
        <w:rPr>
          <w:rFonts w:hint="eastAsia"/>
        </w:rPr>
      </w:pPr>
      <w:r>
        <w:rPr>
          <w:rFonts w:hint="eastAsia"/>
        </w:rPr>
        <w:br w:type="page"/>
      </w:r>
    </w:p>
    <w:p>
      <w:pPr>
        <w:pStyle w:val="6"/>
        <w:numPr>
          <w:ilvl w:val="0"/>
          <w:numId w:val="0"/>
        </w:numPr>
        <w:spacing w:before="240" w:after="120" w:line="240" w:lineRule="auto"/>
        <w:jc w:val="center"/>
        <w:rPr>
          <w:rFonts w:hint="default" w:eastAsia="黑体"/>
          <w:szCs w:val="21"/>
          <w:lang w:val="en-US" w:eastAsia="zh-CN"/>
        </w:rPr>
      </w:pPr>
      <w:r>
        <w:rPr>
          <w:rFonts w:hint="eastAsia"/>
          <w:lang w:val="en-US" w:eastAsia="zh-CN"/>
        </w:rPr>
        <w:t>七、</w:t>
      </w:r>
      <w:bookmarkEnd w:id="458"/>
      <w:bookmarkEnd w:id="459"/>
      <w:bookmarkEnd w:id="460"/>
      <w:bookmarkEnd w:id="461"/>
      <w:bookmarkEnd w:id="462"/>
      <w:bookmarkEnd w:id="463"/>
      <w:bookmarkEnd w:id="464"/>
      <w:bookmarkEnd w:id="465"/>
      <w:r>
        <w:rPr>
          <w:rFonts w:hint="eastAsia"/>
          <w:lang w:val="en-US" w:eastAsia="zh-CN"/>
        </w:rPr>
        <w:t>投标产品技术性能指标的详细描述</w:t>
      </w:r>
    </w:p>
    <w:bookmarkEnd w:id="466"/>
    <w:bookmarkEnd w:id="467"/>
    <w:bookmarkEnd w:id="468"/>
    <w:bookmarkEnd w:id="469"/>
    <w:bookmarkEnd w:id="470"/>
    <w:bookmarkEnd w:id="471"/>
    <w:p>
      <w:pPr>
        <w:rPr>
          <w:rFonts w:hint="default" w:ascii="Times New Roman" w:hAnsi="Times New Roman" w:cs="Times New Roman"/>
        </w:rPr>
      </w:pPr>
      <w:r>
        <w:rPr>
          <w:rFonts w:hint="default" w:ascii="Times New Roman" w:hAnsi="Times New Roman" w:cs="Times New Roman"/>
        </w:rPr>
        <w:br w:type="page"/>
      </w:r>
    </w:p>
    <w:p>
      <w:pPr>
        <w:pStyle w:val="5"/>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5"/>
        <w:jc w:val="center"/>
        <w:rPr>
          <w:rFonts w:hint="default"/>
          <w:lang w:val="en-US" w:eastAsia="zh-CN"/>
        </w:rPr>
      </w:pPr>
      <w:r>
        <w:rPr>
          <w:rFonts w:hint="eastAsia"/>
          <w:lang w:val="en-US" w:eastAsia="zh-CN"/>
        </w:rPr>
        <w:t>九、相关服务计划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472" w:name="_Toc152045813"/>
      <w:bookmarkStart w:id="473" w:name="_Toc247527853"/>
      <w:bookmarkStart w:id="474" w:name="_Toc144974881"/>
      <w:bookmarkStart w:id="475" w:name="_Toc247530162"/>
      <w:bookmarkStart w:id="476" w:name="_Toc152042602"/>
      <w:bookmarkStart w:id="477" w:name="_Toc247514305"/>
    </w:p>
    <w:bookmarkEnd w:id="472"/>
    <w:bookmarkEnd w:id="473"/>
    <w:bookmarkEnd w:id="474"/>
    <w:bookmarkEnd w:id="475"/>
    <w:bookmarkEnd w:id="476"/>
    <w:bookmarkEnd w:id="477"/>
    <w:p>
      <w:pPr>
        <w:pStyle w:val="5"/>
        <w:jc w:val="center"/>
        <w:rPr>
          <w:rFonts w:hint="default" w:ascii="Times New Roman" w:hAnsi="Times New Roman" w:cs="Times New Roman"/>
        </w:rPr>
      </w:pPr>
      <w:bookmarkStart w:id="478" w:name="_Toc271821942"/>
      <w:bookmarkStart w:id="479"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478"/>
      <w:bookmarkEnd w:id="479"/>
    </w:p>
    <w:p>
      <w:pPr>
        <w:ind w:firstLine="420" w:firstLineChars="200"/>
        <w:rPr>
          <w:rFonts w:hint="eastAsia" w:ascii="Times New Roman" w:hAnsi="Times New Roman" w:eastAsiaTheme="minorEastAsia"/>
          <w:lang w:eastAsia="zh-CN"/>
        </w:rPr>
      </w:pPr>
      <w:permStart w:id="103"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ermEnd w:id="103"/>
    </w:p>
    <w:p>
      <w:pPr>
        <w:spacing w:line="400" w:lineRule="exact"/>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0"/>
  <w:bordersDoNotSurroundFooter w:val="0"/>
  <w:trackRevisions w:val="1"/>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1978C2"/>
    <w:rsid w:val="002609D3"/>
    <w:rsid w:val="00296707"/>
    <w:rsid w:val="002C069E"/>
    <w:rsid w:val="0040224D"/>
    <w:rsid w:val="00733B0B"/>
    <w:rsid w:val="00764376"/>
    <w:rsid w:val="00796B76"/>
    <w:rsid w:val="00850CC0"/>
    <w:rsid w:val="00B00F2F"/>
    <w:rsid w:val="00D032BE"/>
    <w:rsid w:val="00FA4BF8"/>
    <w:rsid w:val="00FF308E"/>
    <w:rsid w:val="011E6004"/>
    <w:rsid w:val="01423F24"/>
    <w:rsid w:val="0145105E"/>
    <w:rsid w:val="014A102B"/>
    <w:rsid w:val="01611D08"/>
    <w:rsid w:val="01814321"/>
    <w:rsid w:val="018E53BB"/>
    <w:rsid w:val="019846E3"/>
    <w:rsid w:val="01CB0CDF"/>
    <w:rsid w:val="01CD2334"/>
    <w:rsid w:val="01E140D3"/>
    <w:rsid w:val="01EE4D0C"/>
    <w:rsid w:val="01F16263"/>
    <w:rsid w:val="02016132"/>
    <w:rsid w:val="0212370C"/>
    <w:rsid w:val="021D348F"/>
    <w:rsid w:val="024C62D4"/>
    <w:rsid w:val="026E5FAB"/>
    <w:rsid w:val="026F1774"/>
    <w:rsid w:val="02983D41"/>
    <w:rsid w:val="029F2BC9"/>
    <w:rsid w:val="02A31129"/>
    <w:rsid w:val="02A46690"/>
    <w:rsid w:val="02AC508C"/>
    <w:rsid w:val="02BA21E0"/>
    <w:rsid w:val="02BE075F"/>
    <w:rsid w:val="02D2752A"/>
    <w:rsid w:val="02D50DC8"/>
    <w:rsid w:val="02F4317E"/>
    <w:rsid w:val="03030333"/>
    <w:rsid w:val="0324584F"/>
    <w:rsid w:val="032652C7"/>
    <w:rsid w:val="033964DC"/>
    <w:rsid w:val="034877EC"/>
    <w:rsid w:val="035021B2"/>
    <w:rsid w:val="03642557"/>
    <w:rsid w:val="03696450"/>
    <w:rsid w:val="038E65F9"/>
    <w:rsid w:val="03C10800"/>
    <w:rsid w:val="03C96DCC"/>
    <w:rsid w:val="03FB71CD"/>
    <w:rsid w:val="04127BBC"/>
    <w:rsid w:val="041515CF"/>
    <w:rsid w:val="04210376"/>
    <w:rsid w:val="04212D24"/>
    <w:rsid w:val="042C575E"/>
    <w:rsid w:val="04382327"/>
    <w:rsid w:val="043A6EF6"/>
    <w:rsid w:val="043F5557"/>
    <w:rsid w:val="044363A4"/>
    <w:rsid w:val="044D01AC"/>
    <w:rsid w:val="04856772"/>
    <w:rsid w:val="04885B47"/>
    <w:rsid w:val="048C4343"/>
    <w:rsid w:val="04A52387"/>
    <w:rsid w:val="04B54547"/>
    <w:rsid w:val="04CD15E8"/>
    <w:rsid w:val="04CF4810"/>
    <w:rsid w:val="04D63FDF"/>
    <w:rsid w:val="04EB08D2"/>
    <w:rsid w:val="04EC7DA2"/>
    <w:rsid w:val="050252F6"/>
    <w:rsid w:val="05137986"/>
    <w:rsid w:val="0530678A"/>
    <w:rsid w:val="05535400"/>
    <w:rsid w:val="055625ED"/>
    <w:rsid w:val="0560706F"/>
    <w:rsid w:val="0572490A"/>
    <w:rsid w:val="057E3D65"/>
    <w:rsid w:val="058253F2"/>
    <w:rsid w:val="05872EB9"/>
    <w:rsid w:val="05933026"/>
    <w:rsid w:val="059835D0"/>
    <w:rsid w:val="05AF1F5A"/>
    <w:rsid w:val="05BA17C0"/>
    <w:rsid w:val="05D9116E"/>
    <w:rsid w:val="05DB04A3"/>
    <w:rsid w:val="05F41565"/>
    <w:rsid w:val="061F0438"/>
    <w:rsid w:val="06292F58"/>
    <w:rsid w:val="063F4D83"/>
    <w:rsid w:val="064B59D4"/>
    <w:rsid w:val="06501BB5"/>
    <w:rsid w:val="06624967"/>
    <w:rsid w:val="06626753"/>
    <w:rsid w:val="06714440"/>
    <w:rsid w:val="067240CC"/>
    <w:rsid w:val="06866D3C"/>
    <w:rsid w:val="06972E4E"/>
    <w:rsid w:val="06A31B6E"/>
    <w:rsid w:val="06A848F7"/>
    <w:rsid w:val="06A905A2"/>
    <w:rsid w:val="06B86823"/>
    <w:rsid w:val="06BF2153"/>
    <w:rsid w:val="06D375E0"/>
    <w:rsid w:val="06D9502E"/>
    <w:rsid w:val="06E329B2"/>
    <w:rsid w:val="06EB4F76"/>
    <w:rsid w:val="06ED1728"/>
    <w:rsid w:val="06F81D74"/>
    <w:rsid w:val="07153E89"/>
    <w:rsid w:val="071A70F3"/>
    <w:rsid w:val="071C5FA3"/>
    <w:rsid w:val="074267A8"/>
    <w:rsid w:val="074A7C93"/>
    <w:rsid w:val="07571DAC"/>
    <w:rsid w:val="07666E00"/>
    <w:rsid w:val="07723470"/>
    <w:rsid w:val="077965A7"/>
    <w:rsid w:val="07832BA1"/>
    <w:rsid w:val="07972327"/>
    <w:rsid w:val="07A85930"/>
    <w:rsid w:val="07C03DF5"/>
    <w:rsid w:val="07EE56D8"/>
    <w:rsid w:val="07F43A9E"/>
    <w:rsid w:val="083726B7"/>
    <w:rsid w:val="083D48CB"/>
    <w:rsid w:val="08554A0D"/>
    <w:rsid w:val="08563EE1"/>
    <w:rsid w:val="086D3DA1"/>
    <w:rsid w:val="08774BE1"/>
    <w:rsid w:val="088F5820"/>
    <w:rsid w:val="08903F11"/>
    <w:rsid w:val="08932D8F"/>
    <w:rsid w:val="08BD6586"/>
    <w:rsid w:val="08ED571D"/>
    <w:rsid w:val="08F024B8"/>
    <w:rsid w:val="08F53A28"/>
    <w:rsid w:val="08F85810"/>
    <w:rsid w:val="09105EDD"/>
    <w:rsid w:val="0922447E"/>
    <w:rsid w:val="0926237D"/>
    <w:rsid w:val="092D0C4C"/>
    <w:rsid w:val="0946657C"/>
    <w:rsid w:val="096213E6"/>
    <w:rsid w:val="09641BD1"/>
    <w:rsid w:val="0967298A"/>
    <w:rsid w:val="098F4C8F"/>
    <w:rsid w:val="099948FD"/>
    <w:rsid w:val="09A71C3D"/>
    <w:rsid w:val="09AF2C22"/>
    <w:rsid w:val="09B32D8C"/>
    <w:rsid w:val="09C37FE6"/>
    <w:rsid w:val="09D236A1"/>
    <w:rsid w:val="09DB25D9"/>
    <w:rsid w:val="09DE0562"/>
    <w:rsid w:val="09DF226A"/>
    <w:rsid w:val="09EC69D2"/>
    <w:rsid w:val="0A074254"/>
    <w:rsid w:val="0A3B332D"/>
    <w:rsid w:val="0A466107"/>
    <w:rsid w:val="0A500304"/>
    <w:rsid w:val="0A5234C1"/>
    <w:rsid w:val="0A5B2776"/>
    <w:rsid w:val="0A704DEE"/>
    <w:rsid w:val="0A8B5261"/>
    <w:rsid w:val="0A8E5075"/>
    <w:rsid w:val="0AA913FB"/>
    <w:rsid w:val="0AAE6B76"/>
    <w:rsid w:val="0AB37F43"/>
    <w:rsid w:val="0AB930A2"/>
    <w:rsid w:val="0ADD0DF0"/>
    <w:rsid w:val="0AEB40E8"/>
    <w:rsid w:val="0B0E131B"/>
    <w:rsid w:val="0B416906"/>
    <w:rsid w:val="0B5D1C2A"/>
    <w:rsid w:val="0B685C3C"/>
    <w:rsid w:val="0B7202E7"/>
    <w:rsid w:val="0B991D46"/>
    <w:rsid w:val="0B9F686D"/>
    <w:rsid w:val="0BB023D2"/>
    <w:rsid w:val="0BDE31B0"/>
    <w:rsid w:val="0BF01333"/>
    <w:rsid w:val="0C110CA2"/>
    <w:rsid w:val="0C773477"/>
    <w:rsid w:val="0C9F113B"/>
    <w:rsid w:val="0CD3448B"/>
    <w:rsid w:val="0CF072F3"/>
    <w:rsid w:val="0CF11A1F"/>
    <w:rsid w:val="0D2466BD"/>
    <w:rsid w:val="0D3A1668"/>
    <w:rsid w:val="0D3C216F"/>
    <w:rsid w:val="0D49488C"/>
    <w:rsid w:val="0D5C2246"/>
    <w:rsid w:val="0D6A3C45"/>
    <w:rsid w:val="0D7F3B4D"/>
    <w:rsid w:val="0D84383E"/>
    <w:rsid w:val="0DA13B17"/>
    <w:rsid w:val="0DA277FF"/>
    <w:rsid w:val="0DB22432"/>
    <w:rsid w:val="0DB8057F"/>
    <w:rsid w:val="0DBD75AC"/>
    <w:rsid w:val="0DC57869"/>
    <w:rsid w:val="0DD331D8"/>
    <w:rsid w:val="0DDB677F"/>
    <w:rsid w:val="0E093A81"/>
    <w:rsid w:val="0E1201C4"/>
    <w:rsid w:val="0E35096D"/>
    <w:rsid w:val="0E3C08A3"/>
    <w:rsid w:val="0E453306"/>
    <w:rsid w:val="0E626142"/>
    <w:rsid w:val="0E6D3EE4"/>
    <w:rsid w:val="0E8168AC"/>
    <w:rsid w:val="0E9601D9"/>
    <w:rsid w:val="0EAA3109"/>
    <w:rsid w:val="0EB16245"/>
    <w:rsid w:val="0EDF4D5E"/>
    <w:rsid w:val="0EF860F0"/>
    <w:rsid w:val="0F024085"/>
    <w:rsid w:val="0F1438EF"/>
    <w:rsid w:val="0F1B0A07"/>
    <w:rsid w:val="0F1B7B63"/>
    <w:rsid w:val="0F463825"/>
    <w:rsid w:val="0F4B0F6A"/>
    <w:rsid w:val="0F575798"/>
    <w:rsid w:val="0F5F5CB1"/>
    <w:rsid w:val="0F6D192D"/>
    <w:rsid w:val="0F6E4AA0"/>
    <w:rsid w:val="0F73174D"/>
    <w:rsid w:val="0F886069"/>
    <w:rsid w:val="0FA819A2"/>
    <w:rsid w:val="0FCA08C0"/>
    <w:rsid w:val="0FCA14B6"/>
    <w:rsid w:val="0FE42DE8"/>
    <w:rsid w:val="0FFA6EBC"/>
    <w:rsid w:val="101038A7"/>
    <w:rsid w:val="101E2D38"/>
    <w:rsid w:val="102758B4"/>
    <w:rsid w:val="10446D2F"/>
    <w:rsid w:val="104957CA"/>
    <w:rsid w:val="104D6EF3"/>
    <w:rsid w:val="105C0433"/>
    <w:rsid w:val="1069417C"/>
    <w:rsid w:val="106C1E4B"/>
    <w:rsid w:val="106E61FD"/>
    <w:rsid w:val="108A23D3"/>
    <w:rsid w:val="1095135B"/>
    <w:rsid w:val="10D35E97"/>
    <w:rsid w:val="11114551"/>
    <w:rsid w:val="112269D1"/>
    <w:rsid w:val="11356135"/>
    <w:rsid w:val="117874EE"/>
    <w:rsid w:val="11800917"/>
    <w:rsid w:val="118955AD"/>
    <w:rsid w:val="11970BCB"/>
    <w:rsid w:val="1197226B"/>
    <w:rsid w:val="11AA0839"/>
    <w:rsid w:val="11C42470"/>
    <w:rsid w:val="11C71895"/>
    <w:rsid w:val="11CD444A"/>
    <w:rsid w:val="11CF4EA5"/>
    <w:rsid w:val="11D54941"/>
    <w:rsid w:val="11E2334D"/>
    <w:rsid w:val="11F058CE"/>
    <w:rsid w:val="11FC3F3B"/>
    <w:rsid w:val="123F625E"/>
    <w:rsid w:val="124D3BAD"/>
    <w:rsid w:val="125A52C4"/>
    <w:rsid w:val="12655D96"/>
    <w:rsid w:val="128E3C38"/>
    <w:rsid w:val="12BF2922"/>
    <w:rsid w:val="12C942C8"/>
    <w:rsid w:val="12DC5F5E"/>
    <w:rsid w:val="12DC7F8C"/>
    <w:rsid w:val="12E82A0B"/>
    <w:rsid w:val="131873D2"/>
    <w:rsid w:val="13274F9C"/>
    <w:rsid w:val="13325EC2"/>
    <w:rsid w:val="133E2072"/>
    <w:rsid w:val="13417410"/>
    <w:rsid w:val="134A448A"/>
    <w:rsid w:val="134F7EA7"/>
    <w:rsid w:val="135107A8"/>
    <w:rsid w:val="136066CF"/>
    <w:rsid w:val="13657E31"/>
    <w:rsid w:val="136C3340"/>
    <w:rsid w:val="13767A5D"/>
    <w:rsid w:val="1387094F"/>
    <w:rsid w:val="139C08EB"/>
    <w:rsid w:val="13B900E7"/>
    <w:rsid w:val="13D35238"/>
    <w:rsid w:val="13D81B1F"/>
    <w:rsid w:val="14061B66"/>
    <w:rsid w:val="142B5FE2"/>
    <w:rsid w:val="14542872"/>
    <w:rsid w:val="14587163"/>
    <w:rsid w:val="147E2423"/>
    <w:rsid w:val="1487273A"/>
    <w:rsid w:val="148C28CB"/>
    <w:rsid w:val="14944440"/>
    <w:rsid w:val="14A059A0"/>
    <w:rsid w:val="14B97B05"/>
    <w:rsid w:val="14C44177"/>
    <w:rsid w:val="14CD31B9"/>
    <w:rsid w:val="14DA6BBE"/>
    <w:rsid w:val="14E67563"/>
    <w:rsid w:val="14F926F4"/>
    <w:rsid w:val="15021B62"/>
    <w:rsid w:val="150A21BA"/>
    <w:rsid w:val="151779D1"/>
    <w:rsid w:val="1522437E"/>
    <w:rsid w:val="15283931"/>
    <w:rsid w:val="15382F40"/>
    <w:rsid w:val="158374C1"/>
    <w:rsid w:val="15A30AEB"/>
    <w:rsid w:val="15A62ECC"/>
    <w:rsid w:val="15AE56B5"/>
    <w:rsid w:val="15B14179"/>
    <w:rsid w:val="15C516BD"/>
    <w:rsid w:val="15E213DA"/>
    <w:rsid w:val="16026A2A"/>
    <w:rsid w:val="165A5C02"/>
    <w:rsid w:val="166266B1"/>
    <w:rsid w:val="166C6DC5"/>
    <w:rsid w:val="16847333"/>
    <w:rsid w:val="169528F0"/>
    <w:rsid w:val="16C724D4"/>
    <w:rsid w:val="16D411E7"/>
    <w:rsid w:val="16ED0036"/>
    <w:rsid w:val="170756D4"/>
    <w:rsid w:val="170F4587"/>
    <w:rsid w:val="176115DC"/>
    <w:rsid w:val="176D7525"/>
    <w:rsid w:val="17824660"/>
    <w:rsid w:val="178F2FF8"/>
    <w:rsid w:val="179121FE"/>
    <w:rsid w:val="17915931"/>
    <w:rsid w:val="17C41ABF"/>
    <w:rsid w:val="181066D2"/>
    <w:rsid w:val="181141F9"/>
    <w:rsid w:val="18175D56"/>
    <w:rsid w:val="18276B10"/>
    <w:rsid w:val="18930C59"/>
    <w:rsid w:val="189B5F22"/>
    <w:rsid w:val="18A70256"/>
    <w:rsid w:val="18A944F8"/>
    <w:rsid w:val="18B73074"/>
    <w:rsid w:val="18C272A1"/>
    <w:rsid w:val="18DA76F1"/>
    <w:rsid w:val="19034C2D"/>
    <w:rsid w:val="190A1DE3"/>
    <w:rsid w:val="190B7F24"/>
    <w:rsid w:val="1916127C"/>
    <w:rsid w:val="193D465D"/>
    <w:rsid w:val="193D4E12"/>
    <w:rsid w:val="194131A1"/>
    <w:rsid w:val="19565565"/>
    <w:rsid w:val="196C6238"/>
    <w:rsid w:val="198A59D6"/>
    <w:rsid w:val="19A075E2"/>
    <w:rsid w:val="19A73D74"/>
    <w:rsid w:val="19AA5416"/>
    <w:rsid w:val="19CE7FF6"/>
    <w:rsid w:val="19D70C6D"/>
    <w:rsid w:val="19E2271F"/>
    <w:rsid w:val="19EF2669"/>
    <w:rsid w:val="1A075570"/>
    <w:rsid w:val="1A1C623A"/>
    <w:rsid w:val="1A270D5F"/>
    <w:rsid w:val="1A4D4CED"/>
    <w:rsid w:val="1A797469"/>
    <w:rsid w:val="1A7D49DD"/>
    <w:rsid w:val="1A8850B8"/>
    <w:rsid w:val="1A9B5FFB"/>
    <w:rsid w:val="1AA066C8"/>
    <w:rsid w:val="1ADB0B95"/>
    <w:rsid w:val="1AF44089"/>
    <w:rsid w:val="1AF5570C"/>
    <w:rsid w:val="1AF80851"/>
    <w:rsid w:val="1B0361BC"/>
    <w:rsid w:val="1B116412"/>
    <w:rsid w:val="1B262D26"/>
    <w:rsid w:val="1B2670F4"/>
    <w:rsid w:val="1B2D1E19"/>
    <w:rsid w:val="1B2D7FD6"/>
    <w:rsid w:val="1B3A5220"/>
    <w:rsid w:val="1B3B258E"/>
    <w:rsid w:val="1B652C95"/>
    <w:rsid w:val="1B70155F"/>
    <w:rsid w:val="1B723039"/>
    <w:rsid w:val="1B7700FA"/>
    <w:rsid w:val="1B824429"/>
    <w:rsid w:val="1B894EBC"/>
    <w:rsid w:val="1B8C1172"/>
    <w:rsid w:val="1B9269B7"/>
    <w:rsid w:val="1BB12BB2"/>
    <w:rsid w:val="1BC64A2C"/>
    <w:rsid w:val="1BCE49E9"/>
    <w:rsid w:val="1BD12722"/>
    <w:rsid w:val="1BD15865"/>
    <w:rsid w:val="1BD417C5"/>
    <w:rsid w:val="1BFE7E24"/>
    <w:rsid w:val="1C026332"/>
    <w:rsid w:val="1C100B6A"/>
    <w:rsid w:val="1C2075D6"/>
    <w:rsid w:val="1C2B6CB4"/>
    <w:rsid w:val="1C3774BA"/>
    <w:rsid w:val="1C4E114E"/>
    <w:rsid w:val="1C533032"/>
    <w:rsid w:val="1C5D5F8B"/>
    <w:rsid w:val="1C6E241C"/>
    <w:rsid w:val="1C7D00AF"/>
    <w:rsid w:val="1C8168BA"/>
    <w:rsid w:val="1C9176B6"/>
    <w:rsid w:val="1CB07DF9"/>
    <w:rsid w:val="1CC3681B"/>
    <w:rsid w:val="1CDB6B83"/>
    <w:rsid w:val="1CF251D3"/>
    <w:rsid w:val="1CFF3217"/>
    <w:rsid w:val="1D0C3E62"/>
    <w:rsid w:val="1D1D0D81"/>
    <w:rsid w:val="1D5835F0"/>
    <w:rsid w:val="1D594678"/>
    <w:rsid w:val="1D8C5045"/>
    <w:rsid w:val="1D9244F8"/>
    <w:rsid w:val="1D931CEA"/>
    <w:rsid w:val="1DC177D9"/>
    <w:rsid w:val="1E1A236E"/>
    <w:rsid w:val="1E225BB3"/>
    <w:rsid w:val="1E286E22"/>
    <w:rsid w:val="1E2A6113"/>
    <w:rsid w:val="1E2D212B"/>
    <w:rsid w:val="1E2E6E13"/>
    <w:rsid w:val="1E32182A"/>
    <w:rsid w:val="1E5A61EE"/>
    <w:rsid w:val="1E713E2F"/>
    <w:rsid w:val="1E91399D"/>
    <w:rsid w:val="1E980FE4"/>
    <w:rsid w:val="1EA573D8"/>
    <w:rsid w:val="1EA77665"/>
    <w:rsid w:val="1EB0513B"/>
    <w:rsid w:val="1EB72F76"/>
    <w:rsid w:val="1EC10726"/>
    <w:rsid w:val="1EE36B2C"/>
    <w:rsid w:val="1EF342CB"/>
    <w:rsid w:val="1F020A44"/>
    <w:rsid w:val="1F041BC7"/>
    <w:rsid w:val="1F127B09"/>
    <w:rsid w:val="1F2354C8"/>
    <w:rsid w:val="1F264A2D"/>
    <w:rsid w:val="1F36160E"/>
    <w:rsid w:val="1F3F33F9"/>
    <w:rsid w:val="1F417171"/>
    <w:rsid w:val="1F4D1086"/>
    <w:rsid w:val="1F5D00BF"/>
    <w:rsid w:val="1F5E5F75"/>
    <w:rsid w:val="1F640255"/>
    <w:rsid w:val="1F671677"/>
    <w:rsid w:val="1F722047"/>
    <w:rsid w:val="1F904945"/>
    <w:rsid w:val="1FA771DD"/>
    <w:rsid w:val="1FAA6A2E"/>
    <w:rsid w:val="1FC11059"/>
    <w:rsid w:val="1FDC7161"/>
    <w:rsid w:val="1FE4351E"/>
    <w:rsid w:val="1FE570E2"/>
    <w:rsid w:val="1FE7673E"/>
    <w:rsid w:val="200E38F2"/>
    <w:rsid w:val="201E585F"/>
    <w:rsid w:val="2049266D"/>
    <w:rsid w:val="20515ADA"/>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647640"/>
    <w:rsid w:val="217422B6"/>
    <w:rsid w:val="2188758A"/>
    <w:rsid w:val="21A61686"/>
    <w:rsid w:val="21C13A32"/>
    <w:rsid w:val="21DC13D3"/>
    <w:rsid w:val="221F7512"/>
    <w:rsid w:val="22270787"/>
    <w:rsid w:val="224D73DD"/>
    <w:rsid w:val="22592601"/>
    <w:rsid w:val="22603DB2"/>
    <w:rsid w:val="226D7B83"/>
    <w:rsid w:val="2293123C"/>
    <w:rsid w:val="22A570EC"/>
    <w:rsid w:val="22EF3388"/>
    <w:rsid w:val="232E56FD"/>
    <w:rsid w:val="233F5F96"/>
    <w:rsid w:val="235F4D23"/>
    <w:rsid w:val="236C49D9"/>
    <w:rsid w:val="236D4028"/>
    <w:rsid w:val="238A4DFC"/>
    <w:rsid w:val="24226CC5"/>
    <w:rsid w:val="24312A4A"/>
    <w:rsid w:val="244A5E9A"/>
    <w:rsid w:val="244C4BB8"/>
    <w:rsid w:val="24691193"/>
    <w:rsid w:val="246C3A46"/>
    <w:rsid w:val="247152E7"/>
    <w:rsid w:val="24724271"/>
    <w:rsid w:val="24BD0029"/>
    <w:rsid w:val="24FF7718"/>
    <w:rsid w:val="251A7612"/>
    <w:rsid w:val="25237A22"/>
    <w:rsid w:val="252E0774"/>
    <w:rsid w:val="253B28B5"/>
    <w:rsid w:val="25481BCE"/>
    <w:rsid w:val="256E1E26"/>
    <w:rsid w:val="256E2C8A"/>
    <w:rsid w:val="25812F8D"/>
    <w:rsid w:val="25814DB7"/>
    <w:rsid w:val="25824959"/>
    <w:rsid w:val="25987A23"/>
    <w:rsid w:val="25BC46FF"/>
    <w:rsid w:val="25C517A2"/>
    <w:rsid w:val="25EF41EA"/>
    <w:rsid w:val="25F5789E"/>
    <w:rsid w:val="25FD6A72"/>
    <w:rsid w:val="2608561B"/>
    <w:rsid w:val="26196938"/>
    <w:rsid w:val="26261861"/>
    <w:rsid w:val="26382AAC"/>
    <w:rsid w:val="26396DF4"/>
    <w:rsid w:val="26506FAD"/>
    <w:rsid w:val="26656277"/>
    <w:rsid w:val="26663117"/>
    <w:rsid w:val="267771CA"/>
    <w:rsid w:val="26807144"/>
    <w:rsid w:val="26851ABB"/>
    <w:rsid w:val="268A362E"/>
    <w:rsid w:val="269560EE"/>
    <w:rsid w:val="26AF686C"/>
    <w:rsid w:val="26B741BD"/>
    <w:rsid w:val="26CA60FC"/>
    <w:rsid w:val="26D16018"/>
    <w:rsid w:val="26D7660D"/>
    <w:rsid w:val="26DB3228"/>
    <w:rsid w:val="26DF6074"/>
    <w:rsid w:val="26E01966"/>
    <w:rsid w:val="26E05716"/>
    <w:rsid w:val="26FE679C"/>
    <w:rsid w:val="270A69E3"/>
    <w:rsid w:val="27301EDB"/>
    <w:rsid w:val="2738423C"/>
    <w:rsid w:val="27453115"/>
    <w:rsid w:val="274A285D"/>
    <w:rsid w:val="276C029F"/>
    <w:rsid w:val="27867E0A"/>
    <w:rsid w:val="27982DD4"/>
    <w:rsid w:val="27DD09CE"/>
    <w:rsid w:val="27EC553C"/>
    <w:rsid w:val="27F37477"/>
    <w:rsid w:val="280C4BFC"/>
    <w:rsid w:val="2813394B"/>
    <w:rsid w:val="281C1F63"/>
    <w:rsid w:val="281C54D8"/>
    <w:rsid w:val="283610D5"/>
    <w:rsid w:val="28485A15"/>
    <w:rsid w:val="284D302B"/>
    <w:rsid w:val="285F5293"/>
    <w:rsid w:val="28622D71"/>
    <w:rsid w:val="286E69FD"/>
    <w:rsid w:val="28A10C81"/>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306760"/>
    <w:rsid w:val="2A475858"/>
    <w:rsid w:val="2A4913A2"/>
    <w:rsid w:val="2A794DC8"/>
    <w:rsid w:val="2A8940C2"/>
    <w:rsid w:val="2A9154D8"/>
    <w:rsid w:val="2AA04C57"/>
    <w:rsid w:val="2AD510B6"/>
    <w:rsid w:val="2AD750C3"/>
    <w:rsid w:val="2AE77D08"/>
    <w:rsid w:val="2AEA3011"/>
    <w:rsid w:val="2AEB08D9"/>
    <w:rsid w:val="2AFD214B"/>
    <w:rsid w:val="2B0E6374"/>
    <w:rsid w:val="2B151AF7"/>
    <w:rsid w:val="2B252D72"/>
    <w:rsid w:val="2B3E0375"/>
    <w:rsid w:val="2B492499"/>
    <w:rsid w:val="2B652A8D"/>
    <w:rsid w:val="2B6C55DB"/>
    <w:rsid w:val="2B8D5640"/>
    <w:rsid w:val="2B9176D3"/>
    <w:rsid w:val="2BF4029C"/>
    <w:rsid w:val="2C1C6937"/>
    <w:rsid w:val="2C202757"/>
    <w:rsid w:val="2C270D43"/>
    <w:rsid w:val="2C6436A6"/>
    <w:rsid w:val="2C7A2A8F"/>
    <w:rsid w:val="2C9023A5"/>
    <w:rsid w:val="2C937549"/>
    <w:rsid w:val="2C9D6A04"/>
    <w:rsid w:val="2CB62598"/>
    <w:rsid w:val="2CBC136A"/>
    <w:rsid w:val="2CD45AC9"/>
    <w:rsid w:val="2CD47877"/>
    <w:rsid w:val="2CFE607B"/>
    <w:rsid w:val="2D0317F4"/>
    <w:rsid w:val="2D095409"/>
    <w:rsid w:val="2D3A3199"/>
    <w:rsid w:val="2D4B38E7"/>
    <w:rsid w:val="2D5470D9"/>
    <w:rsid w:val="2D551303"/>
    <w:rsid w:val="2D772574"/>
    <w:rsid w:val="2D8D31B7"/>
    <w:rsid w:val="2D8D5835"/>
    <w:rsid w:val="2DAB1C25"/>
    <w:rsid w:val="2DCC12FC"/>
    <w:rsid w:val="2DD66E3A"/>
    <w:rsid w:val="2DF17D73"/>
    <w:rsid w:val="2E016ADE"/>
    <w:rsid w:val="2E652B8E"/>
    <w:rsid w:val="2E66167A"/>
    <w:rsid w:val="2E6C7EF1"/>
    <w:rsid w:val="2E6D69DB"/>
    <w:rsid w:val="2E6F6584"/>
    <w:rsid w:val="2E7823B0"/>
    <w:rsid w:val="2E933BCE"/>
    <w:rsid w:val="2E9C6490"/>
    <w:rsid w:val="2E9D1EEA"/>
    <w:rsid w:val="2EA40069"/>
    <w:rsid w:val="2EAA3B87"/>
    <w:rsid w:val="2EB66E96"/>
    <w:rsid w:val="2EBC23A0"/>
    <w:rsid w:val="2EFA0191"/>
    <w:rsid w:val="2F436846"/>
    <w:rsid w:val="2F4556CE"/>
    <w:rsid w:val="2F6F3C93"/>
    <w:rsid w:val="2F754A27"/>
    <w:rsid w:val="2F890E3A"/>
    <w:rsid w:val="2FA1186B"/>
    <w:rsid w:val="2FB1448A"/>
    <w:rsid w:val="2FC802AE"/>
    <w:rsid w:val="2FD63906"/>
    <w:rsid w:val="2FE66F94"/>
    <w:rsid w:val="2FFB336C"/>
    <w:rsid w:val="301C41BF"/>
    <w:rsid w:val="302369A0"/>
    <w:rsid w:val="303474C0"/>
    <w:rsid w:val="30550CCF"/>
    <w:rsid w:val="305C41A9"/>
    <w:rsid w:val="307C26FF"/>
    <w:rsid w:val="30820205"/>
    <w:rsid w:val="308E41B5"/>
    <w:rsid w:val="30952C59"/>
    <w:rsid w:val="30C220DC"/>
    <w:rsid w:val="30FF4D69"/>
    <w:rsid w:val="310E5321"/>
    <w:rsid w:val="3113559B"/>
    <w:rsid w:val="311978DB"/>
    <w:rsid w:val="312421F6"/>
    <w:rsid w:val="3127420C"/>
    <w:rsid w:val="31477BEB"/>
    <w:rsid w:val="315523B1"/>
    <w:rsid w:val="3198056E"/>
    <w:rsid w:val="31CD31BF"/>
    <w:rsid w:val="31E10F55"/>
    <w:rsid w:val="31FA3D10"/>
    <w:rsid w:val="320B7F80"/>
    <w:rsid w:val="3219008D"/>
    <w:rsid w:val="322150A3"/>
    <w:rsid w:val="32215B79"/>
    <w:rsid w:val="322241F2"/>
    <w:rsid w:val="3229379D"/>
    <w:rsid w:val="32294133"/>
    <w:rsid w:val="322D5AFA"/>
    <w:rsid w:val="32514C44"/>
    <w:rsid w:val="328916BE"/>
    <w:rsid w:val="32974C7A"/>
    <w:rsid w:val="32BB4ABE"/>
    <w:rsid w:val="32C8549C"/>
    <w:rsid w:val="32CA16D9"/>
    <w:rsid w:val="32E83928"/>
    <w:rsid w:val="32F45590"/>
    <w:rsid w:val="331C19F3"/>
    <w:rsid w:val="33296443"/>
    <w:rsid w:val="33380434"/>
    <w:rsid w:val="334234A4"/>
    <w:rsid w:val="33552D94"/>
    <w:rsid w:val="33582884"/>
    <w:rsid w:val="33773188"/>
    <w:rsid w:val="337E77C9"/>
    <w:rsid w:val="338F53C2"/>
    <w:rsid w:val="33925662"/>
    <w:rsid w:val="339B7AA1"/>
    <w:rsid w:val="33B7637D"/>
    <w:rsid w:val="33C022CD"/>
    <w:rsid w:val="33D4661F"/>
    <w:rsid w:val="33ED39C2"/>
    <w:rsid w:val="340F56DE"/>
    <w:rsid w:val="3425597D"/>
    <w:rsid w:val="342A5DF5"/>
    <w:rsid w:val="344851FD"/>
    <w:rsid w:val="34986785"/>
    <w:rsid w:val="349B5E0E"/>
    <w:rsid w:val="34A432B6"/>
    <w:rsid w:val="34AA020B"/>
    <w:rsid w:val="34BC17DA"/>
    <w:rsid w:val="34D015E3"/>
    <w:rsid w:val="34F85DA8"/>
    <w:rsid w:val="3509398E"/>
    <w:rsid w:val="3518051D"/>
    <w:rsid w:val="3547266B"/>
    <w:rsid w:val="3554479E"/>
    <w:rsid w:val="357D63E5"/>
    <w:rsid w:val="357F00D0"/>
    <w:rsid w:val="35894506"/>
    <w:rsid w:val="35954DCB"/>
    <w:rsid w:val="35A377DB"/>
    <w:rsid w:val="35E7387F"/>
    <w:rsid w:val="35E81F7A"/>
    <w:rsid w:val="35EF4AF5"/>
    <w:rsid w:val="35F52BF3"/>
    <w:rsid w:val="360530D8"/>
    <w:rsid w:val="3605698A"/>
    <w:rsid w:val="36162F1C"/>
    <w:rsid w:val="363277D2"/>
    <w:rsid w:val="364245EB"/>
    <w:rsid w:val="366244D5"/>
    <w:rsid w:val="36A82C1D"/>
    <w:rsid w:val="36B34449"/>
    <w:rsid w:val="36C342D9"/>
    <w:rsid w:val="36CA265A"/>
    <w:rsid w:val="36D87F64"/>
    <w:rsid w:val="370F2E93"/>
    <w:rsid w:val="370F32ED"/>
    <w:rsid w:val="37217B5C"/>
    <w:rsid w:val="374E35E0"/>
    <w:rsid w:val="37560CC6"/>
    <w:rsid w:val="377F2AD5"/>
    <w:rsid w:val="378D0CEB"/>
    <w:rsid w:val="379A026D"/>
    <w:rsid w:val="37A2207E"/>
    <w:rsid w:val="37A2434F"/>
    <w:rsid w:val="37E47653"/>
    <w:rsid w:val="37ED6D6E"/>
    <w:rsid w:val="380C3B20"/>
    <w:rsid w:val="380F20AB"/>
    <w:rsid w:val="381039F4"/>
    <w:rsid w:val="381B27FE"/>
    <w:rsid w:val="38262F51"/>
    <w:rsid w:val="38422CE2"/>
    <w:rsid w:val="38464281"/>
    <w:rsid w:val="386E21B0"/>
    <w:rsid w:val="38AE496C"/>
    <w:rsid w:val="38B54D45"/>
    <w:rsid w:val="38D242CD"/>
    <w:rsid w:val="393E0C7A"/>
    <w:rsid w:val="394125EA"/>
    <w:rsid w:val="39470BCD"/>
    <w:rsid w:val="3947398A"/>
    <w:rsid w:val="3962445C"/>
    <w:rsid w:val="39821F75"/>
    <w:rsid w:val="398B5520"/>
    <w:rsid w:val="398C3DB7"/>
    <w:rsid w:val="39AB6275"/>
    <w:rsid w:val="39E17621"/>
    <w:rsid w:val="39E8044A"/>
    <w:rsid w:val="39F227B1"/>
    <w:rsid w:val="3A151290"/>
    <w:rsid w:val="3A201663"/>
    <w:rsid w:val="3A257964"/>
    <w:rsid w:val="3A292038"/>
    <w:rsid w:val="3A4A1178"/>
    <w:rsid w:val="3A524E6B"/>
    <w:rsid w:val="3A6D4E67"/>
    <w:rsid w:val="3A6D513F"/>
    <w:rsid w:val="3A762A49"/>
    <w:rsid w:val="3A826354"/>
    <w:rsid w:val="3A9D28F5"/>
    <w:rsid w:val="3AC0143A"/>
    <w:rsid w:val="3AC30B19"/>
    <w:rsid w:val="3ACD43C9"/>
    <w:rsid w:val="3AFF2C64"/>
    <w:rsid w:val="3B007A89"/>
    <w:rsid w:val="3B135A0E"/>
    <w:rsid w:val="3B1479D8"/>
    <w:rsid w:val="3B2F69DB"/>
    <w:rsid w:val="3B49637F"/>
    <w:rsid w:val="3B79226F"/>
    <w:rsid w:val="3B8F1138"/>
    <w:rsid w:val="3B904834"/>
    <w:rsid w:val="3B932344"/>
    <w:rsid w:val="3B950B19"/>
    <w:rsid w:val="3B9D20F5"/>
    <w:rsid w:val="3BB33F88"/>
    <w:rsid w:val="3BC15D34"/>
    <w:rsid w:val="3BD93153"/>
    <w:rsid w:val="3BDA6996"/>
    <w:rsid w:val="3C0A3047"/>
    <w:rsid w:val="3C2E50FB"/>
    <w:rsid w:val="3C37637A"/>
    <w:rsid w:val="3C4A12AD"/>
    <w:rsid w:val="3C5125FC"/>
    <w:rsid w:val="3C690ECB"/>
    <w:rsid w:val="3C7A386B"/>
    <w:rsid w:val="3C860AC6"/>
    <w:rsid w:val="3C8967A4"/>
    <w:rsid w:val="3C960BC8"/>
    <w:rsid w:val="3C9848A1"/>
    <w:rsid w:val="3CA470D9"/>
    <w:rsid w:val="3CA509B7"/>
    <w:rsid w:val="3CA509D1"/>
    <w:rsid w:val="3CD537E6"/>
    <w:rsid w:val="3CD93879"/>
    <w:rsid w:val="3D2571D3"/>
    <w:rsid w:val="3D29776B"/>
    <w:rsid w:val="3D7A2818"/>
    <w:rsid w:val="3D8106EA"/>
    <w:rsid w:val="3D834DF8"/>
    <w:rsid w:val="3DA352B1"/>
    <w:rsid w:val="3DB80517"/>
    <w:rsid w:val="3DBA0AB6"/>
    <w:rsid w:val="3DBA61E7"/>
    <w:rsid w:val="3DC14624"/>
    <w:rsid w:val="3DD55956"/>
    <w:rsid w:val="3E100FFC"/>
    <w:rsid w:val="3E201534"/>
    <w:rsid w:val="3E625352"/>
    <w:rsid w:val="3E651EE9"/>
    <w:rsid w:val="3E784A78"/>
    <w:rsid w:val="3E8554F5"/>
    <w:rsid w:val="3EB65E71"/>
    <w:rsid w:val="3EC33032"/>
    <w:rsid w:val="3EC61DB3"/>
    <w:rsid w:val="3ECE4FFB"/>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DF6392"/>
    <w:rsid w:val="40E247F7"/>
    <w:rsid w:val="40E35E83"/>
    <w:rsid w:val="40EE5966"/>
    <w:rsid w:val="410F1967"/>
    <w:rsid w:val="41126768"/>
    <w:rsid w:val="4130498B"/>
    <w:rsid w:val="41335FC7"/>
    <w:rsid w:val="415978C8"/>
    <w:rsid w:val="415C1B4D"/>
    <w:rsid w:val="417843F2"/>
    <w:rsid w:val="41807B75"/>
    <w:rsid w:val="418A1799"/>
    <w:rsid w:val="41943621"/>
    <w:rsid w:val="41A61C3F"/>
    <w:rsid w:val="41B17185"/>
    <w:rsid w:val="41F05895"/>
    <w:rsid w:val="42040076"/>
    <w:rsid w:val="420C70DA"/>
    <w:rsid w:val="4226611D"/>
    <w:rsid w:val="425402BB"/>
    <w:rsid w:val="42564ADA"/>
    <w:rsid w:val="425C32D7"/>
    <w:rsid w:val="42703746"/>
    <w:rsid w:val="42747A95"/>
    <w:rsid w:val="427E52C8"/>
    <w:rsid w:val="429D02B3"/>
    <w:rsid w:val="42CA464A"/>
    <w:rsid w:val="42D812EB"/>
    <w:rsid w:val="42E158CE"/>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92209A"/>
    <w:rsid w:val="44A72CB4"/>
    <w:rsid w:val="44DC0CFE"/>
    <w:rsid w:val="44DC4FCA"/>
    <w:rsid w:val="44FD1C6D"/>
    <w:rsid w:val="453F207E"/>
    <w:rsid w:val="454276A8"/>
    <w:rsid w:val="45465AD9"/>
    <w:rsid w:val="457C4AF8"/>
    <w:rsid w:val="45815C6A"/>
    <w:rsid w:val="45A100BA"/>
    <w:rsid w:val="45A31600"/>
    <w:rsid w:val="45E526C2"/>
    <w:rsid w:val="45EC7588"/>
    <w:rsid w:val="45ED75B7"/>
    <w:rsid w:val="45EF5694"/>
    <w:rsid w:val="45F32D75"/>
    <w:rsid w:val="45FE4441"/>
    <w:rsid w:val="460934CE"/>
    <w:rsid w:val="461F685B"/>
    <w:rsid w:val="462E5DF2"/>
    <w:rsid w:val="463A35BA"/>
    <w:rsid w:val="464478D6"/>
    <w:rsid w:val="46594972"/>
    <w:rsid w:val="46763AFA"/>
    <w:rsid w:val="4680073B"/>
    <w:rsid w:val="46A86AC5"/>
    <w:rsid w:val="46AF0ACC"/>
    <w:rsid w:val="46CD2EA3"/>
    <w:rsid w:val="46E33C2A"/>
    <w:rsid w:val="46EB5C2E"/>
    <w:rsid w:val="46F77BF9"/>
    <w:rsid w:val="47191F43"/>
    <w:rsid w:val="471B210D"/>
    <w:rsid w:val="47330BB1"/>
    <w:rsid w:val="47411B55"/>
    <w:rsid w:val="474340E1"/>
    <w:rsid w:val="4754737E"/>
    <w:rsid w:val="476E5DEA"/>
    <w:rsid w:val="4779309D"/>
    <w:rsid w:val="478D50EB"/>
    <w:rsid w:val="47914A33"/>
    <w:rsid w:val="479B0044"/>
    <w:rsid w:val="479C10BC"/>
    <w:rsid w:val="47A4380D"/>
    <w:rsid w:val="47A6297A"/>
    <w:rsid w:val="47B35BF8"/>
    <w:rsid w:val="47C01A50"/>
    <w:rsid w:val="47C041C7"/>
    <w:rsid w:val="47C22C96"/>
    <w:rsid w:val="47CB4E60"/>
    <w:rsid w:val="47CD1E0C"/>
    <w:rsid w:val="47D964DB"/>
    <w:rsid w:val="47FC33A5"/>
    <w:rsid w:val="48012A31"/>
    <w:rsid w:val="48140B28"/>
    <w:rsid w:val="481D4366"/>
    <w:rsid w:val="48272AF9"/>
    <w:rsid w:val="485803F1"/>
    <w:rsid w:val="485E2C28"/>
    <w:rsid w:val="4865215C"/>
    <w:rsid w:val="486942C4"/>
    <w:rsid w:val="48763A80"/>
    <w:rsid w:val="487B552A"/>
    <w:rsid w:val="48842F37"/>
    <w:rsid w:val="48970623"/>
    <w:rsid w:val="48A34F21"/>
    <w:rsid w:val="48B05292"/>
    <w:rsid w:val="48B12D0A"/>
    <w:rsid w:val="48B971DC"/>
    <w:rsid w:val="48DD53FB"/>
    <w:rsid w:val="48F556EA"/>
    <w:rsid w:val="491946D3"/>
    <w:rsid w:val="4924047E"/>
    <w:rsid w:val="49276380"/>
    <w:rsid w:val="493354CD"/>
    <w:rsid w:val="493A2D00"/>
    <w:rsid w:val="49441489"/>
    <w:rsid w:val="4948117F"/>
    <w:rsid w:val="494B0B0D"/>
    <w:rsid w:val="49510EF2"/>
    <w:rsid w:val="497E20AD"/>
    <w:rsid w:val="49820EB7"/>
    <w:rsid w:val="499416E9"/>
    <w:rsid w:val="49A63EAD"/>
    <w:rsid w:val="49B4166E"/>
    <w:rsid w:val="49BA2C9E"/>
    <w:rsid w:val="49BC3715"/>
    <w:rsid w:val="49C56A6D"/>
    <w:rsid w:val="49F72310"/>
    <w:rsid w:val="49FD2EE4"/>
    <w:rsid w:val="4A0B4FDE"/>
    <w:rsid w:val="4A343D11"/>
    <w:rsid w:val="4A497D35"/>
    <w:rsid w:val="4A6773C9"/>
    <w:rsid w:val="4A8A37D8"/>
    <w:rsid w:val="4A8B4AB2"/>
    <w:rsid w:val="4ABC0E71"/>
    <w:rsid w:val="4AD9595B"/>
    <w:rsid w:val="4AF93EAE"/>
    <w:rsid w:val="4AFC3A3A"/>
    <w:rsid w:val="4B232749"/>
    <w:rsid w:val="4B26353C"/>
    <w:rsid w:val="4B311212"/>
    <w:rsid w:val="4B3E6720"/>
    <w:rsid w:val="4B43535A"/>
    <w:rsid w:val="4B476348"/>
    <w:rsid w:val="4B625BF7"/>
    <w:rsid w:val="4B72052F"/>
    <w:rsid w:val="4BB21AF4"/>
    <w:rsid w:val="4BB351AA"/>
    <w:rsid w:val="4BB54107"/>
    <w:rsid w:val="4BB67EEE"/>
    <w:rsid w:val="4BD17814"/>
    <w:rsid w:val="4BDC5109"/>
    <w:rsid w:val="4BE84FA7"/>
    <w:rsid w:val="4BF70C92"/>
    <w:rsid w:val="4BFD0513"/>
    <w:rsid w:val="4C005E77"/>
    <w:rsid w:val="4C1A02C6"/>
    <w:rsid w:val="4C2B76C1"/>
    <w:rsid w:val="4C5419A1"/>
    <w:rsid w:val="4C5429A3"/>
    <w:rsid w:val="4C645A11"/>
    <w:rsid w:val="4C87254B"/>
    <w:rsid w:val="4CA0731E"/>
    <w:rsid w:val="4CDE4416"/>
    <w:rsid w:val="4D004DF6"/>
    <w:rsid w:val="4D0478AD"/>
    <w:rsid w:val="4D1B69A4"/>
    <w:rsid w:val="4D1C2C8C"/>
    <w:rsid w:val="4D1E77BE"/>
    <w:rsid w:val="4D245FC5"/>
    <w:rsid w:val="4D2B3B2C"/>
    <w:rsid w:val="4D671BE9"/>
    <w:rsid w:val="4D8409ED"/>
    <w:rsid w:val="4DA943B0"/>
    <w:rsid w:val="4DC515BB"/>
    <w:rsid w:val="4DCB5984"/>
    <w:rsid w:val="4DD610A9"/>
    <w:rsid w:val="4DD64458"/>
    <w:rsid w:val="4DDD4E1A"/>
    <w:rsid w:val="4E135BFA"/>
    <w:rsid w:val="4E1B2DDB"/>
    <w:rsid w:val="4E250E8C"/>
    <w:rsid w:val="4E355E12"/>
    <w:rsid w:val="4E5D7C3A"/>
    <w:rsid w:val="4E69586F"/>
    <w:rsid w:val="4E8D762E"/>
    <w:rsid w:val="4E9B1112"/>
    <w:rsid w:val="4EA06365"/>
    <w:rsid w:val="4EAC01FC"/>
    <w:rsid w:val="4EBD3915"/>
    <w:rsid w:val="4EC14021"/>
    <w:rsid w:val="4ECD54B1"/>
    <w:rsid w:val="4ED4046B"/>
    <w:rsid w:val="4EDF4B15"/>
    <w:rsid w:val="4EF43B16"/>
    <w:rsid w:val="4F0E1E8F"/>
    <w:rsid w:val="4F2B6C13"/>
    <w:rsid w:val="4F3153D3"/>
    <w:rsid w:val="4F3D2C02"/>
    <w:rsid w:val="4F5F3ED1"/>
    <w:rsid w:val="4F766639"/>
    <w:rsid w:val="4F804E7C"/>
    <w:rsid w:val="4F85516A"/>
    <w:rsid w:val="4F944D8F"/>
    <w:rsid w:val="4FA64C4B"/>
    <w:rsid w:val="4FCA5221"/>
    <w:rsid w:val="4FED0FB9"/>
    <w:rsid w:val="50306C0B"/>
    <w:rsid w:val="50526B81"/>
    <w:rsid w:val="507410D2"/>
    <w:rsid w:val="50A4392E"/>
    <w:rsid w:val="50A97681"/>
    <w:rsid w:val="50AE3B94"/>
    <w:rsid w:val="50AF7418"/>
    <w:rsid w:val="50E772C9"/>
    <w:rsid w:val="50E93575"/>
    <w:rsid w:val="50EE4AFC"/>
    <w:rsid w:val="50F04D4E"/>
    <w:rsid w:val="50F57385"/>
    <w:rsid w:val="50F6016F"/>
    <w:rsid w:val="50F9524E"/>
    <w:rsid w:val="50FB1FB9"/>
    <w:rsid w:val="51132FF4"/>
    <w:rsid w:val="51151213"/>
    <w:rsid w:val="5116195C"/>
    <w:rsid w:val="513225F9"/>
    <w:rsid w:val="513F5114"/>
    <w:rsid w:val="51440384"/>
    <w:rsid w:val="515E6A1B"/>
    <w:rsid w:val="516B705C"/>
    <w:rsid w:val="516C3C72"/>
    <w:rsid w:val="5177537A"/>
    <w:rsid w:val="518806E3"/>
    <w:rsid w:val="519A635A"/>
    <w:rsid w:val="51A1217B"/>
    <w:rsid w:val="51A47CAD"/>
    <w:rsid w:val="51BC2004"/>
    <w:rsid w:val="51C462A1"/>
    <w:rsid w:val="51C8534D"/>
    <w:rsid w:val="51CB0C5C"/>
    <w:rsid w:val="51CB74F6"/>
    <w:rsid w:val="51D13948"/>
    <w:rsid w:val="51EB5979"/>
    <w:rsid w:val="51F232DE"/>
    <w:rsid w:val="521A0101"/>
    <w:rsid w:val="521F2A93"/>
    <w:rsid w:val="52241967"/>
    <w:rsid w:val="52263E21"/>
    <w:rsid w:val="522D1CB6"/>
    <w:rsid w:val="524425DD"/>
    <w:rsid w:val="52444C58"/>
    <w:rsid w:val="5263075C"/>
    <w:rsid w:val="52660A26"/>
    <w:rsid w:val="52717995"/>
    <w:rsid w:val="528315FB"/>
    <w:rsid w:val="528B1ED6"/>
    <w:rsid w:val="52910142"/>
    <w:rsid w:val="52990759"/>
    <w:rsid w:val="529E42FF"/>
    <w:rsid w:val="52B87033"/>
    <w:rsid w:val="52BE5917"/>
    <w:rsid w:val="52ED3633"/>
    <w:rsid w:val="531B72EC"/>
    <w:rsid w:val="531E35FC"/>
    <w:rsid w:val="531E3DBA"/>
    <w:rsid w:val="532B1547"/>
    <w:rsid w:val="532C2C22"/>
    <w:rsid w:val="53334A48"/>
    <w:rsid w:val="533E6E17"/>
    <w:rsid w:val="5343182D"/>
    <w:rsid w:val="53552E21"/>
    <w:rsid w:val="535A0C26"/>
    <w:rsid w:val="535D3886"/>
    <w:rsid w:val="536C4A63"/>
    <w:rsid w:val="539B26A9"/>
    <w:rsid w:val="53A201DA"/>
    <w:rsid w:val="53B22D34"/>
    <w:rsid w:val="53B6236C"/>
    <w:rsid w:val="53BD6F30"/>
    <w:rsid w:val="540540F5"/>
    <w:rsid w:val="5415414D"/>
    <w:rsid w:val="542913B3"/>
    <w:rsid w:val="543F18BA"/>
    <w:rsid w:val="54883400"/>
    <w:rsid w:val="54932F58"/>
    <w:rsid w:val="54A81CB5"/>
    <w:rsid w:val="54C41B11"/>
    <w:rsid w:val="550E49C6"/>
    <w:rsid w:val="556E6B20"/>
    <w:rsid w:val="55A47D96"/>
    <w:rsid w:val="55C94049"/>
    <w:rsid w:val="55DA287E"/>
    <w:rsid w:val="55DD1819"/>
    <w:rsid w:val="55EE6DAD"/>
    <w:rsid w:val="56073162"/>
    <w:rsid w:val="5609127C"/>
    <w:rsid w:val="56243B92"/>
    <w:rsid w:val="563D619D"/>
    <w:rsid w:val="56413F2B"/>
    <w:rsid w:val="56537C47"/>
    <w:rsid w:val="56A010C0"/>
    <w:rsid w:val="56B96B8E"/>
    <w:rsid w:val="56C747B5"/>
    <w:rsid w:val="56C90CFA"/>
    <w:rsid w:val="56D42684"/>
    <w:rsid w:val="56DD2471"/>
    <w:rsid w:val="57210A6D"/>
    <w:rsid w:val="573C40E7"/>
    <w:rsid w:val="5744214A"/>
    <w:rsid w:val="574B480A"/>
    <w:rsid w:val="57543081"/>
    <w:rsid w:val="575E5D20"/>
    <w:rsid w:val="576378C6"/>
    <w:rsid w:val="5789649C"/>
    <w:rsid w:val="57A373F0"/>
    <w:rsid w:val="57C83C57"/>
    <w:rsid w:val="57FB2FB4"/>
    <w:rsid w:val="582028C2"/>
    <w:rsid w:val="582908A2"/>
    <w:rsid w:val="583D07DD"/>
    <w:rsid w:val="58507E4A"/>
    <w:rsid w:val="585F1862"/>
    <w:rsid w:val="58613E05"/>
    <w:rsid w:val="58620D26"/>
    <w:rsid w:val="58706FB1"/>
    <w:rsid w:val="587C5983"/>
    <w:rsid w:val="58BB5009"/>
    <w:rsid w:val="58E8415E"/>
    <w:rsid w:val="58ED1995"/>
    <w:rsid w:val="58FE588D"/>
    <w:rsid w:val="58FF1A45"/>
    <w:rsid w:val="591578E8"/>
    <w:rsid w:val="591C580B"/>
    <w:rsid w:val="59232E69"/>
    <w:rsid w:val="5926497A"/>
    <w:rsid w:val="592A1893"/>
    <w:rsid w:val="593F0F15"/>
    <w:rsid w:val="595B4CF8"/>
    <w:rsid w:val="595D3E12"/>
    <w:rsid w:val="59961EFB"/>
    <w:rsid w:val="59A11353"/>
    <w:rsid w:val="59B40569"/>
    <w:rsid w:val="5A0336C4"/>
    <w:rsid w:val="5A1D0D82"/>
    <w:rsid w:val="5A20315B"/>
    <w:rsid w:val="5A4C2893"/>
    <w:rsid w:val="5A5827FE"/>
    <w:rsid w:val="5A70211C"/>
    <w:rsid w:val="5A851901"/>
    <w:rsid w:val="5A872BED"/>
    <w:rsid w:val="5A9A53AC"/>
    <w:rsid w:val="5A9D2064"/>
    <w:rsid w:val="5AAB2A29"/>
    <w:rsid w:val="5AAB3211"/>
    <w:rsid w:val="5AAC7307"/>
    <w:rsid w:val="5AB656D2"/>
    <w:rsid w:val="5AB86388"/>
    <w:rsid w:val="5ABF41C0"/>
    <w:rsid w:val="5ACA577B"/>
    <w:rsid w:val="5AD07CB2"/>
    <w:rsid w:val="5ADC59C5"/>
    <w:rsid w:val="5AE37CAA"/>
    <w:rsid w:val="5AEF1DC1"/>
    <w:rsid w:val="5B09375B"/>
    <w:rsid w:val="5B353486"/>
    <w:rsid w:val="5B3A7E78"/>
    <w:rsid w:val="5B3D442E"/>
    <w:rsid w:val="5B412C22"/>
    <w:rsid w:val="5B4B2EB1"/>
    <w:rsid w:val="5B510D60"/>
    <w:rsid w:val="5B570332"/>
    <w:rsid w:val="5B5714EF"/>
    <w:rsid w:val="5B5F0395"/>
    <w:rsid w:val="5B6300A3"/>
    <w:rsid w:val="5B6C0ED6"/>
    <w:rsid w:val="5B790B4E"/>
    <w:rsid w:val="5B7A2400"/>
    <w:rsid w:val="5B90055D"/>
    <w:rsid w:val="5B9B626D"/>
    <w:rsid w:val="5BA762EC"/>
    <w:rsid w:val="5BD32897"/>
    <w:rsid w:val="5BF50A44"/>
    <w:rsid w:val="5C272C70"/>
    <w:rsid w:val="5C295CCC"/>
    <w:rsid w:val="5C381A3A"/>
    <w:rsid w:val="5C5C135C"/>
    <w:rsid w:val="5C872DAA"/>
    <w:rsid w:val="5C974816"/>
    <w:rsid w:val="5CA97228"/>
    <w:rsid w:val="5CBA57BD"/>
    <w:rsid w:val="5CC5471C"/>
    <w:rsid w:val="5CDC5386"/>
    <w:rsid w:val="5CDD77D2"/>
    <w:rsid w:val="5CEE7B85"/>
    <w:rsid w:val="5CF07506"/>
    <w:rsid w:val="5CF73D69"/>
    <w:rsid w:val="5D202057"/>
    <w:rsid w:val="5D303DA6"/>
    <w:rsid w:val="5D4700C2"/>
    <w:rsid w:val="5D6879E4"/>
    <w:rsid w:val="5D6C4615"/>
    <w:rsid w:val="5D7C5A81"/>
    <w:rsid w:val="5DD31E8F"/>
    <w:rsid w:val="5DDF2196"/>
    <w:rsid w:val="5DF01C4B"/>
    <w:rsid w:val="5DF704AE"/>
    <w:rsid w:val="5DF954B7"/>
    <w:rsid w:val="5DFF05CD"/>
    <w:rsid w:val="5E015742"/>
    <w:rsid w:val="5E1672C2"/>
    <w:rsid w:val="5E1B6033"/>
    <w:rsid w:val="5E2612F9"/>
    <w:rsid w:val="5E534129"/>
    <w:rsid w:val="5E6E3C24"/>
    <w:rsid w:val="5E7255BD"/>
    <w:rsid w:val="5E937CCC"/>
    <w:rsid w:val="5E9D546B"/>
    <w:rsid w:val="5EF83794"/>
    <w:rsid w:val="5F0173CC"/>
    <w:rsid w:val="5F0F0BB5"/>
    <w:rsid w:val="5F1A1A93"/>
    <w:rsid w:val="5F287F7E"/>
    <w:rsid w:val="5F475677"/>
    <w:rsid w:val="5F484198"/>
    <w:rsid w:val="5F50072F"/>
    <w:rsid w:val="5F567498"/>
    <w:rsid w:val="5F7D71F9"/>
    <w:rsid w:val="5F8420E2"/>
    <w:rsid w:val="5F887220"/>
    <w:rsid w:val="5F9022AB"/>
    <w:rsid w:val="5F922A16"/>
    <w:rsid w:val="5FB81E56"/>
    <w:rsid w:val="5FD85FDC"/>
    <w:rsid w:val="5FEB78D3"/>
    <w:rsid w:val="5FEC00EE"/>
    <w:rsid w:val="600951D4"/>
    <w:rsid w:val="6010358A"/>
    <w:rsid w:val="60156960"/>
    <w:rsid w:val="601A25EF"/>
    <w:rsid w:val="60250EC1"/>
    <w:rsid w:val="603E7832"/>
    <w:rsid w:val="6044067F"/>
    <w:rsid w:val="60793AF7"/>
    <w:rsid w:val="60912DAE"/>
    <w:rsid w:val="6099592B"/>
    <w:rsid w:val="60A13AB9"/>
    <w:rsid w:val="60A7744C"/>
    <w:rsid w:val="60CF04AB"/>
    <w:rsid w:val="60DB5486"/>
    <w:rsid w:val="60E82C1A"/>
    <w:rsid w:val="60EC0541"/>
    <w:rsid w:val="60FD245E"/>
    <w:rsid w:val="61033EA8"/>
    <w:rsid w:val="610A1613"/>
    <w:rsid w:val="610E0DD2"/>
    <w:rsid w:val="61157719"/>
    <w:rsid w:val="61251167"/>
    <w:rsid w:val="61432D9E"/>
    <w:rsid w:val="61683AEB"/>
    <w:rsid w:val="618A70BC"/>
    <w:rsid w:val="61963F6D"/>
    <w:rsid w:val="61BD1F9D"/>
    <w:rsid w:val="61C55405"/>
    <w:rsid w:val="61EA093B"/>
    <w:rsid w:val="62024DB4"/>
    <w:rsid w:val="62117D72"/>
    <w:rsid w:val="62140656"/>
    <w:rsid w:val="62210A89"/>
    <w:rsid w:val="62285DB7"/>
    <w:rsid w:val="626857C6"/>
    <w:rsid w:val="626C17E1"/>
    <w:rsid w:val="62923991"/>
    <w:rsid w:val="62966DA1"/>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15DFA"/>
    <w:rsid w:val="63E631E1"/>
    <w:rsid w:val="63F66CE6"/>
    <w:rsid w:val="640146EE"/>
    <w:rsid w:val="640E7E19"/>
    <w:rsid w:val="641C32D6"/>
    <w:rsid w:val="647527CB"/>
    <w:rsid w:val="648A0F84"/>
    <w:rsid w:val="648E4974"/>
    <w:rsid w:val="648F4377"/>
    <w:rsid w:val="64935AC5"/>
    <w:rsid w:val="64994927"/>
    <w:rsid w:val="649E65A7"/>
    <w:rsid w:val="64B70C4D"/>
    <w:rsid w:val="64D14920"/>
    <w:rsid w:val="64DB76E4"/>
    <w:rsid w:val="64DC3A26"/>
    <w:rsid w:val="64E738E4"/>
    <w:rsid w:val="64EA382F"/>
    <w:rsid w:val="64ED3306"/>
    <w:rsid w:val="65112EA3"/>
    <w:rsid w:val="6511603A"/>
    <w:rsid w:val="65162422"/>
    <w:rsid w:val="65206DF6"/>
    <w:rsid w:val="652763A9"/>
    <w:rsid w:val="653B0F51"/>
    <w:rsid w:val="65434194"/>
    <w:rsid w:val="65477730"/>
    <w:rsid w:val="654912E0"/>
    <w:rsid w:val="656A4332"/>
    <w:rsid w:val="65733372"/>
    <w:rsid w:val="65744876"/>
    <w:rsid w:val="657845AE"/>
    <w:rsid w:val="658D0170"/>
    <w:rsid w:val="65991D3E"/>
    <w:rsid w:val="659E280B"/>
    <w:rsid w:val="65A45331"/>
    <w:rsid w:val="65B65064"/>
    <w:rsid w:val="65B74A52"/>
    <w:rsid w:val="65BA107B"/>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F01D2"/>
    <w:rsid w:val="674E7C4A"/>
    <w:rsid w:val="67650AF0"/>
    <w:rsid w:val="676777C3"/>
    <w:rsid w:val="677D4B8A"/>
    <w:rsid w:val="67802ACE"/>
    <w:rsid w:val="67804B33"/>
    <w:rsid w:val="67C40A09"/>
    <w:rsid w:val="67D020A7"/>
    <w:rsid w:val="67D600B8"/>
    <w:rsid w:val="67E4087E"/>
    <w:rsid w:val="67E95901"/>
    <w:rsid w:val="67EC2FBF"/>
    <w:rsid w:val="6821192D"/>
    <w:rsid w:val="68337E89"/>
    <w:rsid w:val="68337EE8"/>
    <w:rsid w:val="683A6C76"/>
    <w:rsid w:val="685C5B46"/>
    <w:rsid w:val="686F1486"/>
    <w:rsid w:val="688C0656"/>
    <w:rsid w:val="68AE1735"/>
    <w:rsid w:val="68B24209"/>
    <w:rsid w:val="68B72950"/>
    <w:rsid w:val="68C217C3"/>
    <w:rsid w:val="68D60630"/>
    <w:rsid w:val="68E45463"/>
    <w:rsid w:val="68F00432"/>
    <w:rsid w:val="68F8555D"/>
    <w:rsid w:val="691D712E"/>
    <w:rsid w:val="69286279"/>
    <w:rsid w:val="693835C8"/>
    <w:rsid w:val="69392234"/>
    <w:rsid w:val="694641A7"/>
    <w:rsid w:val="695D23C7"/>
    <w:rsid w:val="697E7396"/>
    <w:rsid w:val="69825989"/>
    <w:rsid w:val="69A009FE"/>
    <w:rsid w:val="69A729C5"/>
    <w:rsid w:val="69BE2739"/>
    <w:rsid w:val="69BF206E"/>
    <w:rsid w:val="69E2057A"/>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62431"/>
    <w:rsid w:val="6ADC4801"/>
    <w:rsid w:val="6ADF25FC"/>
    <w:rsid w:val="6B020CD0"/>
    <w:rsid w:val="6B1148AC"/>
    <w:rsid w:val="6B3E0351"/>
    <w:rsid w:val="6B42449D"/>
    <w:rsid w:val="6B451364"/>
    <w:rsid w:val="6B4A5562"/>
    <w:rsid w:val="6B565807"/>
    <w:rsid w:val="6B7A369F"/>
    <w:rsid w:val="6BAC2823"/>
    <w:rsid w:val="6BBD5024"/>
    <w:rsid w:val="6BF37DF1"/>
    <w:rsid w:val="6BFF59B7"/>
    <w:rsid w:val="6BFF6D2D"/>
    <w:rsid w:val="6C07486C"/>
    <w:rsid w:val="6C353187"/>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C237AE"/>
    <w:rsid w:val="6DEF3269"/>
    <w:rsid w:val="6DF91502"/>
    <w:rsid w:val="6E01482E"/>
    <w:rsid w:val="6E0D1941"/>
    <w:rsid w:val="6E18292B"/>
    <w:rsid w:val="6E402C35"/>
    <w:rsid w:val="6E403BCF"/>
    <w:rsid w:val="6E424CF7"/>
    <w:rsid w:val="6E96703D"/>
    <w:rsid w:val="6E984122"/>
    <w:rsid w:val="6EC15C51"/>
    <w:rsid w:val="6EC4761A"/>
    <w:rsid w:val="6ED26905"/>
    <w:rsid w:val="6ED924EF"/>
    <w:rsid w:val="6EE20566"/>
    <w:rsid w:val="6EEB6DD8"/>
    <w:rsid w:val="6EF513F6"/>
    <w:rsid w:val="6EFD680A"/>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313C65"/>
    <w:rsid w:val="70334A73"/>
    <w:rsid w:val="70796EB7"/>
    <w:rsid w:val="70846EFD"/>
    <w:rsid w:val="70862182"/>
    <w:rsid w:val="70891E2B"/>
    <w:rsid w:val="709304FC"/>
    <w:rsid w:val="70A97C9F"/>
    <w:rsid w:val="70B21D55"/>
    <w:rsid w:val="70BA4068"/>
    <w:rsid w:val="70CB5E68"/>
    <w:rsid w:val="70D139EC"/>
    <w:rsid w:val="70EF1D98"/>
    <w:rsid w:val="70F06D61"/>
    <w:rsid w:val="70F36F46"/>
    <w:rsid w:val="71231B23"/>
    <w:rsid w:val="713B214A"/>
    <w:rsid w:val="714633CE"/>
    <w:rsid w:val="714A76D4"/>
    <w:rsid w:val="715045BF"/>
    <w:rsid w:val="716342F2"/>
    <w:rsid w:val="717E112C"/>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8E7595"/>
    <w:rsid w:val="72CD2240"/>
    <w:rsid w:val="72DC19E2"/>
    <w:rsid w:val="72EC4E12"/>
    <w:rsid w:val="73373DED"/>
    <w:rsid w:val="73391B68"/>
    <w:rsid w:val="733F7A24"/>
    <w:rsid w:val="735C44F0"/>
    <w:rsid w:val="736A01CD"/>
    <w:rsid w:val="736B4D35"/>
    <w:rsid w:val="737010AF"/>
    <w:rsid w:val="73741988"/>
    <w:rsid w:val="73814929"/>
    <w:rsid w:val="7393399F"/>
    <w:rsid w:val="73984022"/>
    <w:rsid w:val="739C3AEB"/>
    <w:rsid w:val="73A54D45"/>
    <w:rsid w:val="73C11347"/>
    <w:rsid w:val="73E2421D"/>
    <w:rsid w:val="74000D97"/>
    <w:rsid w:val="74185CCF"/>
    <w:rsid w:val="741D2E7E"/>
    <w:rsid w:val="74563F0C"/>
    <w:rsid w:val="74620891"/>
    <w:rsid w:val="74694C3B"/>
    <w:rsid w:val="746A6AAD"/>
    <w:rsid w:val="747A4FBC"/>
    <w:rsid w:val="748B466B"/>
    <w:rsid w:val="749018A2"/>
    <w:rsid w:val="74C4658C"/>
    <w:rsid w:val="74D94903"/>
    <w:rsid w:val="74DC7834"/>
    <w:rsid w:val="74E271F1"/>
    <w:rsid w:val="75096F5F"/>
    <w:rsid w:val="750E6C6B"/>
    <w:rsid w:val="751C1388"/>
    <w:rsid w:val="75267B11"/>
    <w:rsid w:val="75326EC3"/>
    <w:rsid w:val="75371D1E"/>
    <w:rsid w:val="75474A77"/>
    <w:rsid w:val="7551327B"/>
    <w:rsid w:val="755F3E02"/>
    <w:rsid w:val="755F782E"/>
    <w:rsid w:val="759C6025"/>
    <w:rsid w:val="75A16A9F"/>
    <w:rsid w:val="75A849CA"/>
    <w:rsid w:val="75BC6CCF"/>
    <w:rsid w:val="75E27D49"/>
    <w:rsid w:val="761867BE"/>
    <w:rsid w:val="76365AD0"/>
    <w:rsid w:val="765D57EA"/>
    <w:rsid w:val="766C3C49"/>
    <w:rsid w:val="7688585F"/>
    <w:rsid w:val="76E97048"/>
    <w:rsid w:val="76F54CF0"/>
    <w:rsid w:val="76FD5906"/>
    <w:rsid w:val="77072866"/>
    <w:rsid w:val="770B684E"/>
    <w:rsid w:val="771D50F3"/>
    <w:rsid w:val="77204CB1"/>
    <w:rsid w:val="77356662"/>
    <w:rsid w:val="777C1603"/>
    <w:rsid w:val="77A14CDE"/>
    <w:rsid w:val="77AA2F7D"/>
    <w:rsid w:val="77C96BD3"/>
    <w:rsid w:val="78266CE5"/>
    <w:rsid w:val="7827421F"/>
    <w:rsid w:val="782B4A23"/>
    <w:rsid w:val="78301325"/>
    <w:rsid w:val="78302F8F"/>
    <w:rsid w:val="784117AB"/>
    <w:rsid w:val="78510397"/>
    <w:rsid w:val="78552936"/>
    <w:rsid w:val="78731F0E"/>
    <w:rsid w:val="78754CBA"/>
    <w:rsid w:val="78962FA5"/>
    <w:rsid w:val="78B611AB"/>
    <w:rsid w:val="78C148AC"/>
    <w:rsid w:val="78C807D6"/>
    <w:rsid w:val="78CA1FEE"/>
    <w:rsid w:val="78CB3FEB"/>
    <w:rsid w:val="78CF4963"/>
    <w:rsid w:val="793B5CE2"/>
    <w:rsid w:val="79404E92"/>
    <w:rsid w:val="795C411F"/>
    <w:rsid w:val="796834B3"/>
    <w:rsid w:val="796D0618"/>
    <w:rsid w:val="797328D8"/>
    <w:rsid w:val="797B3C8A"/>
    <w:rsid w:val="797F45FC"/>
    <w:rsid w:val="79970647"/>
    <w:rsid w:val="79B80F53"/>
    <w:rsid w:val="79B86E35"/>
    <w:rsid w:val="79CF6ED7"/>
    <w:rsid w:val="79D9682C"/>
    <w:rsid w:val="79DB75C0"/>
    <w:rsid w:val="79E20334"/>
    <w:rsid w:val="79E373F2"/>
    <w:rsid w:val="79E37881"/>
    <w:rsid w:val="79E4486C"/>
    <w:rsid w:val="79EA2E0E"/>
    <w:rsid w:val="79ED08FA"/>
    <w:rsid w:val="7A067AFA"/>
    <w:rsid w:val="7A0C585A"/>
    <w:rsid w:val="7A2C7450"/>
    <w:rsid w:val="7A326B5A"/>
    <w:rsid w:val="7A517591"/>
    <w:rsid w:val="7A553725"/>
    <w:rsid w:val="7A616D0A"/>
    <w:rsid w:val="7A6C06BC"/>
    <w:rsid w:val="7A7F2C76"/>
    <w:rsid w:val="7AAC462A"/>
    <w:rsid w:val="7AF84FA0"/>
    <w:rsid w:val="7AF909C6"/>
    <w:rsid w:val="7B6273C9"/>
    <w:rsid w:val="7B6F1BD0"/>
    <w:rsid w:val="7B732126"/>
    <w:rsid w:val="7B755C15"/>
    <w:rsid w:val="7B7B20CE"/>
    <w:rsid w:val="7B8E1216"/>
    <w:rsid w:val="7B9A1345"/>
    <w:rsid w:val="7BBB7E74"/>
    <w:rsid w:val="7BC167E5"/>
    <w:rsid w:val="7BCA6C86"/>
    <w:rsid w:val="7C003703"/>
    <w:rsid w:val="7C044DA1"/>
    <w:rsid w:val="7C176405"/>
    <w:rsid w:val="7C30406C"/>
    <w:rsid w:val="7C365DE1"/>
    <w:rsid w:val="7C9B5288"/>
    <w:rsid w:val="7CA33449"/>
    <w:rsid w:val="7CCE4D69"/>
    <w:rsid w:val="7D0A0BA4"/>
    <w:rsid w:val="7D107AF3"/>
    <w:rsid w:val="7D283C15"/>
    <w:rsid w:val="7D4253C7"/>
    <w:rsid w:val="7D45005F"/>
    <w:rsid w:val="7D4C5341"/>
    <w:rsid w:val="7D4E5EE6"/>
    <w:rsid w:val="7D8901AD"/>
    <w:rsid w:val="7D8E577D"/>
    <w:rsid w:val="7D9A426A"/>
    <w:rsid w:val="7E006F08"/>
    <w:rsid w:val="7E01736D"/>
    <w:rsid w:val="7E333E03"/>
    <w:rsid w:val="7E391FE6"/>
    <w:rsid w:val="7E916762"/>
    <w:rsid w:val="7EA916FD"/>
    <w:rsid w:val="7EAB552B"/>
    <w:rsid w:val="7EC108AA"/>
    <w:rsid w:val="7EE53C64"/>
    <w:rsid w:val="7F403EC5"/>
    <w:rsid w:val="7F541580"/>
    <w:rsid w:val="7F5444E7"/>
    <w:rsid w:val="7F590594"/>
    <w:rsid w:val="7F667225"/>
    <w:rsid w:val="7F7B2EF8"/>
    <w:rsid w:val="7F7D0C75"/>
    <w:rsid w:val="7F844A6E"/>
    <w:rsid w:val="7F9164CE"/>
    <w:rsid w:val="7FAA1C29"/>
    <w:rsid w:val="7FAC4830"/>
    <w:rsid w:val="7FB659E5"/>
    <w:rsid w:val="7FB7407D"/>
    <w:rsid w:val="7FBD3767"/>
    <w:rsid w:val="7FE80861"/>
    <w:rsid w:val="7FEF65CD"/>
    <w:rsid w:val="7FF337B8"/>
    <w:rsid w:val="7FF61AD5"/>
    <w:rsid w:val="7FFB603E"/>
    <w:rsid w:val="7FFD64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qFormat/>
    <w:uiPriority w:val="0"/>
    <w:pPr>
      <w:keepNext/>
      <w:keepLines/>
      <w:spacing w:before="260" w:after="260" w:line="416" w:lineRule="auto"/>
      <w:outlineLvl w:val="2"/>
    </w:pPr>
    <w:rPr>
      <w:b/>
      <w:bCs/>
      <w:sz w:val="32"/>
      <w:szCs w:val="32"/>
    </w:rPr>
  </w:style>
  <w:style w:type="character" w:default="1" w:styleId="22">
    <w:name w:val="Default Paragraph Font"/>
    <w:semiHidden/>
    <w:qFormat/>
    <w:uiPriority w:val="0"/>
  </w:style>
  <w:style w:type="table" w:default="1" w:styleId="20">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Subtitle"/>
    <w:basedOn w:val="1"/>
    <w:next w:val="1"/>
    <w:qFormat/>
    <w:uiPriority w:val="0"/>
    <w:pPr>
      <w:spacing w:before="240" w:after="60" w:line="312" w:lineRule="atLeast"/>
      <w:ind w:firstLine="471" w:firstLineChars="200"/>
      <w:jc w:val="center"/>
      <w:outlineLvl w:val="1"/>
    </w:pPr>
    <w:rPr>
      <w:rFonts w:ascii="Arial" w:hAnsi="Arial"/>
      <w:b/>
      <w:bCs/>
      <w:kern w:val="28"/>
      <w:sz w:val="32"/>
      <w:szCs w:val="32"/>
    </w:rPr>
  </w:style>
  <w:style w:type="paragraph" w:styleId="7">
    <w:name w:val="annotation text"/>
    <w:basedOn w:val="1"/>
    <w:qFormat/>
    <w:uiPriority w:val="0"/>
    <w:pPr>
      <w:jc w:val="left"/>
    </w:pPr>
    <w:rPr>
      <w:rFonts w:eastAsia="宋体"/>
      <w:kern w:val="2"/>
      <w:sz w:val="21"/>
      <w:szCs w:val="24"/>
      <w:lang w:val="en-US" w:eastAsia="zh-CN" w:bidi="ar-SA"/>
    </w:rPr>
  </w:style>
  <w:style w:type="paragraph" w:styleId="8">
    <w:name w:val="Body Text 3"/>
    <w:basedOn w:val="1"/>
    <w:qFormat/>
    <w:uiPriority w:val="0"/>
    <w:rPr>
      <w:rFonts w:ascii="宋体"/>
      <w:sz w:val="24"/>
      <w:szCs w:val="20"/>
    </w:r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Body Text Indent 2"/>
    <w:basedOn w:val="1"/>
    <w:next w:val="1"/>
    <w:qFormat/>
    <w:uiPriority w:val="0"/>
    <w:pPr>
      <w:tabs>
        <w:tab w:val="left" w:pos="2160"/>
      </w:tabs>
      <w:spacing w:line="360" w:lineRule="auto"/>
      <w:ind w:left="420" w:leftChars="200" w:firstLine="360" w:firstLineChars="150"/>
    </w:pPr>
    <w:rPr>
      <w:rFonts w:ascii="宋体" w:hAnsi="宋体"/>
      <w:bCs/>
      <w:sz w:val="24"/>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envelope return"/>
    <w:basedOn w:val="1"/>
    <w:next w:val="14"/>
    <w:qFormat/>
    <w:uiPriority w:val="99"/>
    <w:pPr>
      <w:snapToGrid w:val="0"/>
    </w:pPr>
    <w:rPr>
      <w:rFonts w:ascii="Arial" w:hAnsi="Arial"/>
      <w:kern w:val="2"/>
    </w:rPr>
  </w:style>
  <w:style w:type="paragraph" w:styleId="14">
    <w:name w:val="Title"/>
    <w:basedOn w:val="1"/>
    <w:next w:val="1"/>
    <w:qFormat/>
    <w:uiPriority w:val="10"/>
    <w:pPr>
      <w:suppressAutoHyphens w:val="0"/>
      <w:spacing w:before="240" w:after="60"/>
      <w:jc w:val="center"/>
      <w:outlineLvl w:val="0"/>
    </w:pPr>
    <w:rPr>
      <w:rFonts w:ascii="Cambria" w:cs="Cambria"/>
      <w:b/>
      <w:bCs/>
      <w:kern w:val="0"/>
      <w:sz w:val="32"/>
      <w:szCs w:val="32"/>
      <w:lang w:eastAsia="zh-CN"/>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1"/>
    <w:basedOn w:val="1"/>
    <w:next w:val="1"/>
    <w:semiHidden/>
    <w:qFormat/>
    <w:uiPriority w:val="0"/>
    <w:pPr>
      <w:spacing w:line="440" w:lineRule="exact"/>
      <w:jc w:val="center"/>
    </w:pPr>
  </w:style>
  <w:style w:type="paragraph" w:styleId="1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8">
    <w:name w:val="Body Text First Indent"/>
    <w:basedOn w:val="2"/>
    <w:qFormat/>
    <w:uiPriority w:val="0"/>
    <w:pPr>
      <w:ind w:firstLine="420" w:firstLineChars="100"/>
    </w:pPr>
  </w:style>
  <w:style w:type="paragraph" w:styleId="19">
    <w:name w:val="Body Text First Indent 2"/>
    <w:basedOn w:val="9"/>
    <w:next w:val="1"/>
    <w:qFormat/>
    <w:uiPriority w:val="0"/>
    <w:pPr>
      <w:ind w:firstLine="420" w:firstLineChars="200"/>
    </w:pPr>
    <w:rPr>
      <w:kern w:val="2"/>
      <w:szCs w:val="22"/>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qFormat/>
    <w:uiPriority w:val="0"/>
  </w:style>
  <w:style w:type="paragraph" w:customStyle="1" w:styleId="24">
    <w:name w:val="样式 标题 2 + Times New Roman 四号 非加粗 段前: 5 磅 段后: 0 磅 行距: 固定值 20..."/>
    <w:basedOn w:val="5"/>
    <w:qFormat/>
    <w:uiPriority w:val="0"/>
    <w:pPr>
      <w:spacing w:before="100" w:after="0" w:line="400" w:lineRule="exact"/>
    </w:pPr>
    <w:rPr>
      <w:rFonts w:ascii="Times New Roman" w:hAnsi="Times New Roman" w:cs="宋体"/>
      <w:b w:val="0"/>
      <w:bCs w:val="0"/>
      <w:sz w:val="28"/>
      <w:szCs w:val="20"/>
    </w:rPr>
  </w:style>
  <w:style w:type="paragraph" w:customStyle="1" w:styleId="25">
    <w:name w:val="样式 标题 3 + (中文) 黑体 小四 非加粗 段前: 7.8 磅 段后: 0 磅 行距: 固定值 20 磅"/>
    <w:basedOn w:val="6"/>
    <w:qFormat/>
    <w:uiPriority w:val="0"/>
    <w:pPr>
      <w:spacing w:before="0" w:after="0" w:line="400" w:lineRule="exact"/>
    </w:pPr>
    <w:rPr>
      <w:rFonts w:eastAsia="黑体" w:cs="宋体"/>
      <w:b w:val="0"/>
      <w:bCs w:val="0"/>
      <w:sz w:val="24"/>
      <w:szCs w:val="20"/>
    </w:rPr>
  </w:style>
  <w:style w:type="paragraph" w:customStyle="1" w:styleId="26">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7">
    <w:name w:val="列出段落1"/>
    <w:basedOn w:val="1"/>
    <w:qFormat/>
    <w:uiPriority w:val="34"/>
    <w:pPr>
      <w:ind w:firstLine="420" w:firstLineChars="200"/>
    </w:pPr>
  </w:style>
  <w:style w:type="character" w:customStyle="1" w:styleId="28">
    <w:name w:val="font11"/>
    <w:basedOn w:val="22"/>
    <w:qFormat/>
    <w:uiPriority w:val="0"/>
    <w:rPr>
      <w:rFonts w:ascii="Calibri" w:hAnsi="Calibri" w:cs="Calibri"/>
      <w:color w:val="000000"/>
      <w:sz w:val="21"/>
      <w:szCs w:val="21"/>
      <w:u w:val="none"/>
    </w:rPr>
  </w:style>
  <w:style w:type="character" w:customStyle="1" w:styleId="29">
    <w:name w:val="font21"/>
    <w:basedOn w:val="22"/>
    <w:qFormat/>
    <w:uiPriority w:val="0"/>
    <w:rPr>
      <w:rFonts w:hint="eastAsia" w:ascii="宋体" w:hAnsi="宋体" w:eastAsia="宋体" w:cs="宋体"/>
      <w:color w:val="000000"/>
      <w:sz w:val="21"/>
      <w:szCs w:val="21"/>
      <w:u w:val="none"/>
    </w:rPr>
  </w:style>
  <w:style w:type="character" w:customStyle="1" w:styleId="30">
    <w:name w:val="font01"/>
    <w:basedOn w:val="22"/>
    <w:qFormat/>
    <w:uiPriority w:val="0"/>
    <w:rPr>
      <w:rFonts w:ascii="Calibri" w:hAnsi="Calibri" w:cs="Calibri"/>
      <w:color w:val="000000"/>
      <w:sz w:val="21"/>
      <w:szCs w:val="21"/>
      <w:u w:val="none"/>
    </w:rPr>
  </w:style>
  <w:style w:type="character" w:customStyle="1" w:styleId="31">
    <w:name w:val="font31"/>
    <w:basedOn w:val="22"/>
    <w:qFormat/>
    <w:uiPriority w:val="0"/>
    <w:rPr>
      <w:rFonts w:hint="default" w:ascii="Calibri" w:hAnsi="Calibri" w:cs="Calibri"/>
      <w:color w:val="000000"/>
      <w:sz w:val="21"/>
      <w:szCs w:val="21"/>
      <w:u w:val="none"/>
    </w:rPr>
  </w:style>
  <w:style w:type="paragraph" w:customStyle="1" w:styleId="32">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47</Pages>
  <Words>20023</Words>
  <Characters>22022</Characters>
  <Lines>0</Lines>
  <Paragraphs>0</Paragraphs>
  <TotalTime>62</TotalTime>
  <ScaleCrop>false</ScaleCrop>
  <LinksUpToDate>false</LinksUpToDate>
  <CharactersWithSpaces>23467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2021-01-22T03:33:00Z</cp:lastPrinted>
  <dcterms:modified xsi:type="dcterms:W3CDTF">2024-01-26T07:39:19Z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1EAD6D0FC1234F80B6A28DE44CEDC52C_13</vt:lpwstr>
  </property>
</Properties>
</file>