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ind w:firstLine="640" w:firstLineChars="200"/>
        <w:rPr>
          <w:rFonts w:hint="eastAsia"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（一）中标单位须提供生产标线涂料成品的材料配方，并保证提供的生产配方质量及所供应的原材料，应符合《路面标线涂料》（JT/T280-2004）、</w:t>
      </w:r>
      <w:bookmarkStart w:id="0" w:name="_Hlk156372216"/>
      <w:r>
        <w:rPr>
          <w:rFonts w:hint="eastAsia" w:ascii="仿宋_GB2312" w:hAnsi="Times New Roman" w:eastAsia="仿宋_GB2312"/>
          <w:sz w:val="32"/>
          <w:szCs w:val="32"/>
          <w:lang w:val="en-US" w:eastAsia="zh-CN"/>
        </w:rPr>
        <w:t>《路面标线用玻璃珠》（GB/T 24722-2009）</w:t>
      </w:r>
      <w:bookmarkEnd w:id="0"/>
      <w:r>
        <w:rPr>
          <w:rFonts w:hint="eastAsia" w:ascii="仿宋_GB2312" w:hAnsi="Times New Roman" w:eastAsia="仿宋_GB2312"/>
          <w:sz w:val="32"/>
          <w:szCs w:val="32"/>
          <w:lang w:val="en-US" w:eastAsia="zh-CN"/>
        </w:rPr>
        <w:t>、《路面标线材料有害物质限量》（JT∕T 1326-2020）等相关规定（详见附件1）。若中标单位所提供的生产配方质量及所供应的原材料不符合采购方要求，采购方有权解除合同。”</w:t>
      </w:r>
    </w:p>
    <w:p>
      <w:pPr>
        <w:ind w:firstLine="640" w:firstLineChars="200"/>
        <w:rPr>
          <w:rFonts w:hint="eastAsia"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（二）中标单位与采购方签订的合同为固定单价合同，采购数量为暂定数量，具体数量以实际使用为准，合同期间内按照采购方需求分批次进行发货。</w:t>
      </w:r>
    </w:p>
    <w:p>
      <w:pPr>
        <w:ind w:firstLine="640" w:firstLineChars="200"/>
        <w:rPr>
          <w:rFonts w:hint="eastAsia" w:ascii="仿宋_GB2312" w:hAnsi="Times New Roman" w:eastAsia="仿宋_GB2312"/>
          <w:sz w:val="32"/>
          <w:szCs w:val="32"/>
          <w:lang w:val="en-US" w:eastAsia="zh-CN"/>
        </w:rPr>
      </w:pPr>
      <w:bookmarkStart w:id="1" w:name="_GoBack"/>
      <w:bookmarkEnd w:id="1"/>
      <w:r>
        <w:rPr>
          <w:rFonts w:hint="eastAsia" w:ascii="仿宋_GB2312" w:hAnsi="Times New Roman" w:eastAsia="仿宋_GB2312"/>
          <w:sz w:val="32"/>
          <w:szCs w:val="32"/>
          <w:lang w:val="en-US" w:eastAsia="zh-CN"/>
        </w:rPr>
        <w:t>（三）中标单位负责热熔标线涂料生产过程中的配方指导技术服务，赴采购方现场指导调试并实施生产（不少于2次，合计不低于3天），期间发生的一切费用均中标方承担。</w:t>
      </w:r>
    </w:p>
    <w:p>
      <w:pPr>
        <w:rPr>
          <w:rFonts w:hint="eastAsia" w:ascii="仿宋_GB2312" w:hAnsi="Times New Roman" w:eastAsia="仿宋_GB2312"/>
          <w:sz w:val="32"/>
          <w:szCs w:val="32"/>
        </w:rPr>
      </w:pPr>
      <w:r>
        <w:rPr>
          <w:rFonts w:hint="eastAsia" w:ascii="仿宋_GB2312" w:hAnsi="Times New Roman" w:eastAsia="仿宋_GB2312"/>
          <w:sz w:val="32"/>
          <w:szCs w:val="32"/>
        </w:rPr>
        <w:br w:type="page"/>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材料清单表：</w:t>
      </w:r>
    </w:p>
    <w:tbl>
      <w:tblPr>
        <w:tblStyle w:val="10"/>
        <w:tblW w:w="8930" w:type="dxa"/>
        <w:tblInd w:w="137" w:type="dxa"/>
        <w:tblLayout w:type="fixed"/>
        <w:tblCellMar>
          <w:top w:w="0" w:type="dxa"/>
          <w:left w:w="108" w:type="dxa"/>
          <w:bottom w:w="0" w:type="dxa"/>
          <w:right w:w="108" w:type="dxa"/>
        </w:tblCellMar>
      </w:tblPr>
      <w:tblGrid>
        <w:gridCol w:w="709"/>
        <w:gridCol w:w="1657"/>
        <w:gridCol w:w="2028"/>
        <w:gridCol w:w="1188"/>
        <w:gridCol w:w="1248"/>
        <w:gridCol w:w="1108"/>
        <w:gridCol w:w="992"/>
      </w:tblGrid>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序号</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名称</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规格要求</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暂定采购数量（吨）</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lang w:bidi="ar"/>
              </w:rPr>
            </w:pPr>
            <w:r>
              <w:rPr>
                <w:rFonts w:hint="eastAsia" w:ascii="宋体" w:hAnsi="宋体" w:cs="宋体"/>
                <w:sz w:val="24"/>
                <w:lang w:eastAsia="zh-CN" w:bidi="ar"/>
              </w:rPr>
              <w:t>单</w:t>
            </w:r>
            <w:r>
              <w:rPr>
                <w:rFonts w:hint="eastAsia" w:ascii="宋体" w:hAnsi="宋体" w:cs="宋体"/>
                <w:sz w:val="24"/>
                <w:lang w:bidi="ar"/>
              </w:rPr>
              <w:t>价</w:t>
            </w:r>
          </w:p>
          <w:p>
            <w:pPr>
              <w:widowControl/>
              <w:jc w:val="center"/>
              <w:textAlignment w:val="center"/>
              <w:rPr>
                <w:rFonts w:ascii="宋体" w:hAnsi="宋体" w:cs="宋体"/>
                <w:color w:val="000000"/>
                <w:sz w:val="24"/>
              </w:rPr>
            </w:pPr>
            <w:r>
              <w:rPr>
                <w:rFonts w:hint="eastAsia" w:ascii="宋体" w:hAnsi="宋体" w:cs="宋体"/>
                <w:sz w:val="24"/>
                <w:lang w:bidi="ar"/>
              </w:rPr>
              <w:t>（元/吨）</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lang w:eastAsia="zh-CN" w:bidi="ar"/>
              </w:rPr>
            </w:pPr>
            <w:r>
              <w:rPr>
                <w:rFonts w:hint="eastAsia" w:ascii="宋体" w:hAnsi="宋体" w:cs="宋体"/>
                <w:color w:val="000000"/>
                <w:sz w:val="24"/>
                <w:lang w:eastAsia="zh-CN" w:bidi="ar"/>
              </w:rPr>
              <w:t>总价</w:t>
            </w:r>
          </w:p>
          <w:p>
            <w:pPr>
              <w:widowControl/>
              <w:jc w:val="center"/>
              <w:textAlignment w:val="center"/>
              <w:rPr>
                <w:rFonts w:ascii="宋体" w:hAnsi="宋体" w:cs="宋体"/>
                <w:color w:val="000000"/>
                <w:sz w:val="24"/>
              </w:rPr>
            </w:pPr>
            <w:r>
              <w:rPr>
                <w:rFonts w:hint="eastAsia" w:ascii="宋体" w:hAnsi="宋体" w:cs="宋体"/>
                <w:color w:val="000000"/>
                <w:sz w:val="24"/>
                <w:lang w:bidi="ar"/>
              </w:rPr>
              <w:t>（元）</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备注</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1</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等线" w:hAnsi="等线" w:eastAsia="等线"/>
                <w:color w:val="000000"/>
                <w:kern w:val="0"/>
                <w:sz w:val="22"/>
                <w:szCs w:val="22"/>
              </w:rPr>
            </w:pPr>
            <w:r>
              <w:rPr>
                <w:rFonts w:hint="eastAsia" w:ascii="宋体" w:hAnsi="宋体" w:cs="宋体"/>
                <w:color w:val="000000"/>
                <w:sz w:val="24"/>
                <w:lang w:bidi="ar"/>
              </w:rPr>
              <w:t>C5石油树脂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60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220" w:firstLineChars="100"/>
              <w:rPr>
                <w:rFonts w:ascii="等线" w:hAnsi="等线" w:eastAsia="等线"/>
                <w:color w:val="000000"/>
                <w:sz w:val="22"/>
              </w:rPr>
            </w:pPr>
            <w:r>
              <w:rPr>
                <w:rFonts w:hint="eastAsia" w:ascii="等线" w:hAnsi="等线" w:eastAsia="等线"/>
                <w:color w:val="000000"/>
                <w:sz w:val="22"/>
              </w:rPr>
              <w:t>10000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等线" w:hAnsi="等线" w:eastAsia="等线"/>
                <w:color w:val="000000"/>
                <w:sz w:val="22"/>
              </w:rPr>
            </w:pPr>
            <w:r>
              <w:rPr>
                <w:rFonts w:hint="eastAsia" w:ascii="等线" w:hAnsi="等线" w:eastAsia="等线"/>
                <w:color w:val="000000"/>
                <w:sz w:val="22"/>
              </w:rPr>
              <w:t>600000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2</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钛白粉</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6</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17000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102000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3</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增塑剂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1*850</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7</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9500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66500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4</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聚乙烯蜡</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6</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8700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52200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5</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流平剂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9000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18000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6</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增白剂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19000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38000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7</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振荡助剂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1*20</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32000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64000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8</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中铬黄</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25000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50000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9</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下涂剂（底胶）</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桶装（25kg</w:t>
            </w:r>
            <w:r>
              <w:rPr>
                <w:rFonts w:ascii="宋体" w:hAnsi="宋体" w:cs="宋体"/>
                <w:color w:val="000000"/>
                <w:sz w:val="24"/>
                <w:lang w:bidi="ar"/>
              </w:rPr>
              <w:t>/</w:t>
            </w:r>
            <w:r>
              <w:rPr>
                <w:rFonts w:hint="eastAsia" w:ascii="宋体" w:hAnsi="宋体" w:cs="宋体"/>
                <w:color w:val="000000"/>
                <w:sz w:val="24"/>
                <w:lang w:bidi="ar"/>
              </w:rPr>
              <w:t>桶）</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7500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150000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10</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预混玻璃珠</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20-80</w:t>
            </w:r>
            <w:r>
              <w:rPr>
                <w:rFonts w:hint="eastAsia" w:ascii="宋体" w:hAnsi="宋体" w:cs="宋体"/>
                <w:color w:val="000000"/>
                <w:sz w:val="24"/>
                <w:lang w:bidi="ar"/>
              </w:rPr>
              <w:t>，1*25，吨包装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40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2500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100000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11</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面撒玻璃珠</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16-50</w:t>
            </w:r>
            <w:r>
              <w:rPr>
                <w:rFonts w:hint="eastAsia" w:ascii="宋体" w:hAnsi="宋体" w:cs="宋体"/>
                <w:color w:val="000000"/>
                <w:sz w:val="24"/>
                <w:lang w:bidi="ar"/>
              </w:rPr>
              <w:t>，1*25，吨包装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30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2900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87000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钙粉</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按采购方规格要求，吨包装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180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450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81000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13</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混合砂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按采购方规格要求，吨包装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210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450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94500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6830"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合计人民币</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1503200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p>
        </w:tc>
      </w:tr>
    </w:tbl>
    <w:p>
      <w:pPr>
        <w:rPr>
          <w:rFonts w:hint="eastAsia" w:ascii="黑体" w:hAnsi="黑体" w:eastAsia="黑体"/>
          <w:sz w:val="28"/>
          <w:szCs w:val="32"/>
          <w:lang w:bidi="ar"/>
        </w:rPr>
      </w:pPr>
      <w:r>
        <w:rPr>
          <w:rFonts w:hint="eastAsia" w:ascii="黑体" w:hAnsi="黑体" w:eastAsia="黑体"/>
          <w:sz w:val="28"/>
          <w:szCs w:val="32"/>
          <w:lang w:bidi="ar"/>
        </w:rPr>
        <w:br w:type="page"/>
      </w:r>
    </w:p>
    <w:p>
      <w:pPr>
        <w:adjustRightInd w:val="0"/>
        <w:snapToGrid w:val="0"/>
        <w:spacing w:line="600" w:lineRule="exact"/>
        <w:ind w:firstLine="173" w:firstLineChars="62"/>
        <w:rPr>
          <w:rFonts w:ascii="黑体" w:hAnsi="黑体" w:eastAsia="黑体"/>
          <w:sz w:val="28"/>
          <w:szCs w:val="32"/>
          <w:lang w:bidi="ar"/>
        </w:rPr>
      </w:pPr>
      <w:r>
        <w:rPr>
          <w:rFonts w:hint="eastAsia" w:ascii="黑体" w:hAnsi="黑体" w:eastAsia="黑体"/>
          <w:sz w:val="28"/>
          <w:szCs w:val="32"/>
          <w:lang w:bidi="ar"/>
        </w:rPr>
        <w:t>热熔标线涂料性能要求</w:t>
      </w:r>
    </w:p>
    <w:tbl>
      <w:tblPr>
        <w:tblStyle w:val="10"/>
        <w:tblW w:w="9463" w:type="dxa"/>
        <w:jc w:val="center"/>
        <w:tblLayout w:type="autofit"/>
        <w:tblCellMar>
          <w:top w:w="0" w:type="dxa"/>
          <w:left w:w="108" w:type="dxa"/>
          <w:bottom w:w="0" w:type="dxa"/>
          <w:right w:w="108" w:type="dxa"/>
        </w:tblCellMar>
      </w:tblPr>
      <w:tblGrid>
        <w:gridCol w:w="3556"/>
        <w:gridCol w:w="1965"/>
        <w:gridCol w:w="1240"/>
        <w:gridCol w:w="2702"/>
      </w:tblGrid>
      <w:tr>
        <w:tblPrEx>
          <w:tblCellMar>
            <w:top w:w="0" w:type="dxa"/>
            <w:left w:w="108" w:type="dxa"/>
            <w:bottom w:w="0" w:type="dxa"/>
            <w:right w:w="108" w:type="dxa"/>
          </w:tblCellMar>
        </w:tblPrEx>
        <w:trPr>
          <w:trHeight w:val="540" w:hRule="atLeast"/>
          <w:jc w:val="center"/>
        </w:trPr>
        <w:tc>
          <w:tcPr>
            <w:tcW w:w="3556" w:type="dxa"/>
            <w:vMerge w:val="restart"/>
            <w:tcBorders>
              <w:top w:val="single" w:color="auto" w:sz="8" w:space="0"/>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项    目</w:t>
            </w:r>
          </w:p>
        </w:tc>
        <w:tc>
          <w:tcPr>
            <w:tcW w:w="5907" w:type="dxa"/>
            <w:gridSpan w:val="3"/>
            <w:tcBorders>
              <w:top w:val="single" w:color="auto" w:sz="8" w:space="0"/>
              <w:left w:val="nil"/>
              <w:bottom w:val="single" w:color="auto" w:sz="4" w:space="0"/>
              <w:right w:val="single" w:color="000000"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热熔型</w:t>
            </w:r>
          </w:p>
        </w:tc>
      </w:tr>
      <w:tr>
        <w:tblPrEx>
          <w:tblCellMar>
            <w:top w:w="0" w:type="dxa"/>
            <w:left w:w="108" w:type="dxa"/>
            <w:bottom w:w="0" w:type="dxa"/>
            <w:right w:w="108" w:type="dxa"/>
          </w:tblCellMar>
        </w:tblPrEx>
        <w:trPr>
          <w:trHeight w:val="544" w:hRule="atLeast"/>
          <w:jc w:val="center"/>
        </w:trPr>
        <w:tc>
          <w:tcPr>
            <w:tcW w:w="3556" w:type="dxa"/>
            <w:vMerge w:val="continue"/>
            <w:tcBorders>
              <w:top w:val="single" w:color="auto" w:sz="8" w:space="0"/>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4"/>
              </w:rPr>
            </w:pP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普通型</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反光型</w:t>
            </w:r>
          </w:p>
        </w:tc>
        <w:tc>
          <w:tcPr>
            <w:tcW w:w="2702"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突起型</w:t>
            </w:r>
          </w:p>
        </w:tc>
      </w:tr>
      <w:tr>
        <w:tblPrEx>
          <w:tblCellMar>
            <w:top w:w="0" w:type="dxa"/>
            <w:left w:w="108" w:type="dxa"/>
            <w:bottom w:w="0" w:type="dxa"/>
            <w:right w:w="108" w:type="dxa"/>
          </w:tblCellMar>
        </w:tblPrEx>
        <w:trPr>
          <w:trHeight w:val="510"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密度，g/cm³</w:t>
            </w:r>
          </w:p>
        </w:tc>
        <w:tc>
          <w:tcPr>
            <w:tcW w:w="5907" w:type="dxa"/>
            <w:gridSpan w:val="3"/>
            <w:tcBorders>
              <w:top w:val="single" w:color="auto" w:sz="4" w:space="0"/>
              <w:left w:val="nil"/>
              <w:bottom w:val="single" w:color="auto" w:sz="4" w:space="0"/>
              <w:right w:val="single" w:color="000000"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1.8-2.3</w:t>
            </w:r>
          </w:p>
        </w:tc>
      </w:tr>
      <w:tr>
        <w:tblPrEx>
          <w:tblCellMar>
            <w:top w:w="0" w:type="dxa"/>
            <w:left w:w="108" w:type="dxa"/>
            <w:bottom w:w="0" w:type="dxa"/>
            <w:right w:w="108" w:type="dxa"/>
          </w:tblCellMar>
        </w:tblPrEx>
        <w:trPr>
          <w:trHeight w:val="456"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软化点，℃</w:t>
            </w:r>
          </w:p>
        </w:tc>
        <w:tc>
          <w:tcPr>
            <w:tcW w:w="320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90-125</w:t>
            </w:r>
          </w:p>
        </w:tc>
        <w:tc>
          <w:tcPr>
            <w:tcW w:w="2702"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r>
      <w:tr>
        <w:tblPrEx>
          <w:tblCellMar>
            <w:top w:w="0" w:type="dxa"/>
            <w:left w:w="108" w:type="dxa"/>
            <w:bottom w:w="0" w:type="dxa"/>
            <w:right w:w="108" w:type="dxa"/>
          </w:tblCellMar>
        </w:tblPrEx>
        <w:trPr>
          <w:trHeight w:val="690"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涂膜外观</w:t>
            </w:r>
          </w:p>
        </w:tc>
        <w:tc>
          <w:tcPr>
            <w:tcW w:w="5907" w:type="dxa"/>
            <w:gridSpan w:val="3"/>
            <w:tcBorders>
              <w:top w:val="single" w:color="auto" w:sz="4" w:space="0"/>
              <w:left w:val="nil"/>
              <w:bottom w:val="single" w:color="auto" w:sz="4" w:space="0"/>
              <w:right w:val="single" w:color="000000" w:sz="8"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干燥后,应无皱纹、斑点、起泡、裂纹、脱落、粘胎现象,涂膜的颜色和外观应与标准板差别不大</w:t>
            </w:r>
          </w:p>
        </w:tc>
      </w:tr>
      <w:tr>
        <w:tblPrEx>
          <w:tblCellMar>
            <w:top w:w="0" w:type="dxa"/>
            <w:left w:w="108" w:type="dxa"/>
            <w:bottom w:w="0" w:type="dxa"/>
            <w:right w:w="108" w:type="dxa"/>
          </w:tblCellMar>
        </w:tblPrEx>
        <w:trPr>
          <w:trHeight w:val="411"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不粘胎干燥时间，min</w:t>
            </w:r>
          </w:p>
        </w:tc>
        <w:tc>
          <w:tcPr>
            <w:tcW w:w="5907" w:type="dxa"/>
            <w:gridSpan w:val="3"/>
            <w:tcBorders>
              <w:top w:val="single" w:color="auto" w:sz="4" w:space="0"/>
              <w:left w:val="nil"/>
              <w:bottom w:val="single" w:color="auto" w:sz="4" w:space="0"/>
              <w:right w:val="single" w:color="000000"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w:t>
            </w:r>
          </w:p>
        </w:tc>
      </w:tr>
      <w:tr>
        <w:tblPrEx>
          <w:tblCellMar>
            <w:top w:w="0" w:type="dxa"/>
            <w:left w:w="108" w:type="dxa"/>
            <w:bottom w:w="0" w:type="dxa"/>
            <w:right w:w="108" w:type="dxa"/>
          </w:tblCellMar>
        </w:tblPrEx>
        <w:trPr>
          <w:trHeight w:val="295" w:hRule="atLeast"/>
          <w:jc w:val="center"/>
        </w:trPr>
        <w:tc>
          <w:tcPr>
            <w:tcW w:w="3556"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色度性能(45/0)</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白色</w:t>
            </w:r>
          </w:p>
        </w:tc>
        <w:tc>
          <w:tcPr>
            <w:tcW w:w="3942" w:type="dxa"/>
            <w:gridSpan w:val="2"/>
            <w:vMerge w:val="restart"/>
            <w:tcBorders>
              <w:top w:val="single" w:color="auto" w:sz="4" w:space="0"/>
              <w:left w:val="single" w:color="auto" w:sz="4" w:space="0"/>
              <w:bottom w:val="single" w:color="auto" w:sz="4" w:space="0"/>
              <w:right w:val="single" w:color="000000" w:sz="8"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符合《路面标线涂料》（JT/T280-2004）相关标准要求</w:t>
            </w:r>
          </w:p>
        </w:tc>
      </w:tr>
      <w:tr>
        <w:tblPrEx>
          <w:tblCellMar>
            <w:top w:w="0" w:type="dxa"/>
            <w:left w:w="108" w:type="dxa"/>
            <w:bottom w:w="0" w:type="dxa"/>
            <w:right w:w="108" w:type="dxa"/>
          </w:tblCellMar>
        </w:tblPrEx>
        <w:trPr>
          <w:trHeight w:val="289" w:hRule="atLeast"/>
          <w:jc w:val="center"/>
        </w:trPr>
        <w:tc>
          <w:tcPr>
            <w:tcW w:w="3556" w:type="dxa"/>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4"/>
              </w:rPr>
            </w:pP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黄色</w:t>
            </w:r>
          </w:p>
        </w:tc>
        <w:tc>
          <w:tcPr>
            <w:tcW w:w="3942" w:type="dxa"/>
            <w:gridSpan w:val="2"/>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915"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抗压强度,MPa</w:t>
            </w:r>
          </w:p>
        </w:tc>
        <w:tc>
          <w:tcPr>
            <w:tcW w:w="320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≥12</w:t>
            </w:r>
          </w:p>
        </w:tc>
        <w:tc>
          <w:tcPr>
            <w:tcW w:w="2702" w:type="dxa"/>
            <w:tcBorders>
              <w:top w:val="nil"/>
              <w:left w:val="nil"/>
              <w:bottom w:val="single" w:color="auto" w:sz="4" w:space="0"/>
              <w:right w:val="single" w:color="auto" w:sz="8"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23℃士1℃时, ≥12</w:t>
            </w:r>
          </w:p>
          <w:p>
            <w:pPr>
              <w:widowControl/>
              <w:jc w:val="center"/>
              <w:rPr>
                <w:rFonts w:ascii="宋体" w:hAnsi="宋体" w:cs="宋体"/>
                <w:kern w:val="0"/>
                <w:sz w:val="24"/>
              </w:rPr>
            </w:pPr>
            <w:r>
              <w:rPr>
                <w:rFonts w:hint="eastAsia" w:ascii="宋体" w:hAnsi="宋体" w:cs="宋体"/>
                <w:kern w:val="0"/>
                <w:sz w:val="24"/>
              </w:rPr>
              <w:t>50℃土2℃时,≥2</w:t>
            </w:r>
          </w:p>
        </w:tc>
      </w:tr>
      <w:tr>
        <w:tblPrEx>
          <w:tblCellMar>
            <w:top w:w="0" w:type="dxa"/>
            <w:left w:w="108" w:type="dxa"/>
            <w:bottom w:w="0" w:type="dxa"/>
            <w:right w:w="108" w:type="dxa"/>
          </w:tblCellMar>
        </w:tblPrEx>
        <w:trPr>
          <w:trHeight w:val="690" w:hRule="atLeast"/>
          <w:jc w:val="center"/>
        </w:trPr>
        <w:tc>
          <w:tcPr>
            <w:tcW w:w="3556" w:type="dxa"/>
            <w:tcBorders>
              <w:top w:val="nil"/>
              <w:left w:val="single" w:color="auto" w:sz="8"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耐磨性,mg</w:t>
            </w:r>
            <w:r>
              <w:rPr>
                <w:rFonts w:hint="eastAsia" w:ascii="宋体" w:hAnsi="宋体" w:cs="宋体"/>
                <w:kern w:val="0"/>
                <w:sz w:val="24"/>
              </w:rPr>
              <w:br w:type="textWrapping"/>
            </w:r>
            <w:r>
              <w:rPr>
                <w:rFonts w:hint="eastAsia" w:ascii="宋体" w:hAnsi="宋体" w:cs="宋体"/>
                <w:kern w:val="0"/>
                <w:sz w:val="24"/>
              </w:rPr>
              <w:t>(200转/1000g后减重)</w:t>
            </w:r>
          </w:p>
        </w:tc>
        <w:tc>
          <w:tcPr>
            <w:tcW w:w="320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≤80(JM-100橡胶砂轮)</w:t>
            </w:r>
          </w:p>
        </w:tc>
        <w:tc>
          <w:tcPr>
            <w:tcW w:w="2702"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w:t>
            </w:r>
          </w:p>
        </w:tc>
      </w:tr>
      <w:tr>
        <w:tblPrEx>
          <w:tblCellMar>
            <w:top w:w="0" w:type="dxa"/>
            <w:left w:w="108" w:type="dxa"/>
            <w:bottom w:w="0" w:type="dxa"/>
            <w:right w:w="108" w:type="dxa"/>
          </w:tblCellMar>
        </w:tblPrEx>
        <w:trPr>
          <w:trHeight w:val="690"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耐水性</w:t>
            </w:r>
          </w:p>
        </w:tc>
        <w:tc>
          <w:tcPr>
            <w:tcW w:w="5907" w:type="dxa"/>
            <w:gridSpan w:val="3"/>
            <w:tcBorders>
              <w:top w:val="single" w:color="auto" w:sz="4" w:space="0"/>
              <w:left w:val="nil"/>
              <w:bottom w:val="single" w:color="auto" w:sz="4" w:space="0"/>
              <w:right w:val="single" w:color="000000"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在水中浸 24h 应无异常现象</w:t>
            </w:r>
          </w:p>
        </w:tc>
      </w:tr>
      <w:tr>
        <w:tblPrEx>
          <w:tblCellMar>
            <w:top w:w="0" w:type="dxa"/>
            <w:left w:w="108" w:type="dxa"/>
            <w:bottom w:w="0" w:type="dxa"/>
            <w:right w:w="108" w:type="dxa"/>
          </w:tblCellMar>
        </w:tblPrEx>
        <w:trPr>
          <w:trHeight w:val="690"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耐碱性</w:t>
            </w:r>
          </w:p>
        </w:tc>
        <w:tc>
          <w:tcPr>
            <w:tcW w:w="5907" w:type="dxa"/>
            <w:gridSpan w:val="3"/>
            <w:tcBorders>
              <w:top w:val="single" w:color="auto" w:sz="4" w:space="0"/>
              <w:left w:val="nil"/>
              <w:bottom w:val="single" w:color="auto" w:sz="4" w:space="0"/>
              <w:right w:val="single" w:color="000000"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在氢氧化饱和溶液中浸 24h 无异常现象</w:t>
            </w:r>
          </w:p>
        </w:tc>
      </w:tr>
      <w:tr>
        <w:tblPrEx>
          <w:tblCellMar>
            <w:top w:w="0" w:type="dxa"/>
            <w:left w:w="108" w:type="dxa"/>
            <w:bottom w:w="0" w:type="dxa"/>
            <w:right w:w="108" w:type="dxa"/>
          </w:tblCellMar>
        </w:tblPrEx>
        <w:trPr>
          <w:trHeight w:val="488"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玻璃珠含量，%</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w:t>
            </w:r>
          </w:p>
        </w:tc>
        <w:tc>
          <w:tcPr>
            <w:tcW w:w="3942" w:type="dxa"/>
            <w:gridSpan w:val="2"/>
            <w:tcBorders>
              <w:top w:val="single" w:color="auto" w:sz="4" w:space="0"/>
              <w:left w:val="nil"/>
              <w:bottom w:val="single" w:color="auto" w:sz="4" w:space="0"/>
              <w:right w:val="single" w:color="000000"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18—25</w:t>
            </w:r>
          </w:p>
        </w:tc>
      </w:tr>
      <w:tr>
        <w:tblPrEx>
          <w:tblCellMar>
            <w:top w:w="0" w:type="dxa"/>
            <w:left w:w="108" w:type="dxa"/>
            <w:bottom w:w="0" w:type="dxa"/>
            <w:right w:w="108" w:type="dxa"/>
          </w:tblCellMar>
        </w:tblPrEx>
        <w:trPr>
          <w:trHeight w:val="512"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流动度，s</w:t>
            </w:r>
          </w:p>
        </w:tc>
        <w:tc>
          <w:tcPr>
            <w:tcW w:w="320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35土10</w:t>
            </w:r>
          </w:p>
        </w:tc>
        <w:tc>
          <w:tcPr>
            <w:tcW w:w="2702"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w:t>
            </w:r>
          </w:p>
        </w:tc>
      </w:tr>
      <w:tr>
        <w:tblPrEx>
          <w:tblCellMar>
            <w:top w:w="0" w:type="dxa"/>
            <w:left w:w="108" w:type="dxa"/>
            <w:bottom w:w="0" w:type="dxa"/>
            <w:right w:w="108" w:type="dxa"/>
          </w:tblCellMar>
        </w:tblPrEx>
        <w:trPr>
          <w:trHeight w:val="690"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涂层低温抗裂性</w:t>
            </w:r>
          </w:p>
        </w:tc>
        <w:tc>
          <w:tcPr>
            <w:tcW w:w="5907" w:type="dxa"/>
            <w:gridSpan w:val="3"/>
            <w:tcBorders>
              <w:top w:val="single" w:color="auto" w:sz="4" w:space="0"/>
              <w:left w:val="nil"/>
              <w:bottom w:val="single" w:color="auto" w:sz="4" w:space="0"/>
              <w:right w:val="single" w:color="000000" w:sz="8"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—10℃保持4h,室温放置4h 为一个循环,连续做三个循环后应无裂纹</w:t>
            </w:r>
          </w:p>
        </w:tc>
      </w:tr>
      <w:tr>
        <w:tblPrEx>
          <w:tblCellMar>
            <w:top w:w="0" w:type="dxa"/>
            <w:left w:w="108" w:type="dxa"/>
            <w:bottom w:w="0" w:type="dxa"/>
            <w:right w:w="108" w:type="dxa"/>
          </w:tblCellMar>
        </w:tblPrEx>
        <w:trPr>
          <w:trHeight w:val="690" w:hRule="atLeast"/>
          <w:jc w:val="center"/>
        </w:trPr>
        <w:tc>
          <w:tcPr>
            <w:tcW w:w="355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加热稳定性</w:t>
            </w:r>
          </w:p>
        </w:tc>
        <w:tc>
          <w:tcPr>
            <w:tcW w:w="5907" w:type="dxa"/>
            <w:gridSpan w:val="3"/>
            <w:tcBorders>
              <w:top w:val="single" w:color="auto" w:sz="4" w:space="0"/>
              <w:left w:val="nil"/>
              <w:bottom w:val="single" w:color="auto" w:sz="4" w:space="0"/>
              <w:right w:val="single" w:color="000000" w:sz="8"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200℃-220℃在搅拌状态下保持 4h,应无明显泛黄、焦化、结块等现象</w:t>
            </w:r>
          </w:p>
        </w:tc>
      </w:tr>
      <w:tr>
        <w:tblPrEx>
          <w:tblCellMar>
            <w:top w:w="0" w:type="dxa"/>
            <w:left w:w="108" w:type="dxa"/>
            <w:bottom w:w="0" w:type="dxa"/>
            <w:right w:w="108" w:type="dxa"/>
          </w:tblCellMar>
        </w:tblPrEx>
        <w:trPr>
          <w:trHeight w:val="1530" w:hRule="atLeast"/>
          <w:jc w:val="center"/>
        </w:trPr>
        <w:tc>
          <w:tcPr>
            <w:tcW w:w="3556"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人工加速耐候性</w:t>
            </w:r>
          </w:p>
        </w:tc>
        <w:tc>
          <w:tcPr>
            <w:tcW w:w="5907" w:type="dxa"/>
            <w:gridSpan w:val="3"/>
            <w:tcBorders>
              <w:top w:val="single" w:color="auto" w:sz="4" w:space="0"/>
              <w:left w:val="nil"/>
              <w:bottom w:val="single" w:color="auto" w:sz="8" w:space="0"/>
              <w:right w:val="single" w:color="000000" w:sz="8"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经人工加速耐候性试验后,试板涂层不产生龟裂、剥落;允许轻微粉化和变色，但色品坐标应符合相关标准规定的范围，亮度因数变化范围应不大于原样板亮度因数的 20%</w:t>
            </w:r>
          </w:p>
        </w:tc>
      </w:tr>
    </w:tbl>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仿宋_GB2312" w:hAnsi="Times New Roman" w:eastAsia="仿宋_GB2312"/>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hNTU3M2ZhM2FhNmQzODBlMGYwNDdiYzRlMTI3NGI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1B3387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052219"/>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063D8B"/>
    <w:rsid w:val="672E75A8"/>
    <w:rsid w:val="6783033A"/>
    <w:rsid w:val="679715F1"/>
    <w:rsid w:val="68135F6B"/>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autoRedefine/>
    <w:qFormat/>
    <w:uiPriority w:val="0"/>
    <w:pPr>
      <w:snapToGrid w:val="0"/>
    </w:pPr>
    <w:rPr>
      <w:rFonts w:ascii="Arial" w:hAnsi="Arial"/>
      <w:szCs w:val="20"/>
    </w:rPr>
  </w:style>
  <w:style w:type="paragraph" w:styleId="9">
    <w:name w:val="Body Text First Indent 2"/>
    <w:basedOn w:val="6"/>
    <w:autoRedefine/>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72</Characters>
  <Lines>22</Lines>
  <Paragraphs>6</Paragraphs>
  <TotalTime>0</TotalTime>
  <ScaleCrop>false</ScaleCrop>
  <LinksUpToDate>false</LinksUpToDate>
  <CharactersWithSpaces>72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未定义</cp:lastModifiedBy>
  <cp:lastPrinted>2024-01-25T07:33:44Z</cp:lastPrinted>
  <dcterms:modified xsi:type="dcterms:W3CDTF">2024-01-25T07:40:07Z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ECC8566045A84053B9B6B5C8CA024709</vt:lpwstr>
  </property>
</Properties>
</file>