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逸合府项目招标代理服务（二次）</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001</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亳州通恒置业有限公司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2024年1</w:t>
      </w:r>
      <w:r>
        <w:rPr>
          <w:rFonts w:hint="eastAsia" w:ascii="Times New Roman" w:hAnsi="Times New Roman" w:eastAsia="楷体" w:cs="Times New Roman"/>
          <w:kern w:val="0"/>
          <w:sz w:val="32"/>
          <w:szCs w:val="32"/>
          <w:highlight w:val="none"/>
          <w:u w:val="none"/>
          <w:shd w:val="clear" w:color="auto" w:fill="auto"/>
          <w:lang w:val="en-US" w:eastAsia="zh-CN"/>
        </w:rPr>
        <w:t>月18日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逸合府项目招标代理服务（二次）</w:t>
      </w:r>
      <w:permEnd w:id="5"/>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152045519"/>
      <w:bookmarkStart w:id="2" w:name="_Toc296602410"/>
      <w:bookmarkStart w:id="3" w:name="_Toc247085680"/>
      <w:bookmarkStart w:id="4" w:name="_Toc152042295"/>
      <w:bookmarkStart w:id="5" w:name="_Toc246996909"/>
      <w:bookmarkStart w:id="6" w:name="_Toc179632536"/>
      <w:bookmarkStart w:id="7" w:name="_Toc144974487"/>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79632537"/>
      <w:bookmarkStart w:id="9" w:name="_Toc144974488"/>
      <w:bookmarkStart w:id="10" w:name="_Toc246996167"/>
      <w:bookmarkStart w:id="11" w:name="_Toc152042296"/>
      <w:bookmarkStart w:id="12" w:name="_Toc247085681"/>
      <w:bookmarkStart w:id="13" w:name="_Toc246996910"/>
      <w:bookmarkStart w:id="14" w:name="_Toc152045520"/>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逸合府项目招标代理服务</w:t>
      </w:r>
      <w:r>
        <w:rPr>
          <w:rFonts w:hint="eastAsia" w:asciiTheme="minorEastAsia" w:hAnsiTheme="minorEastAsia" w:cstheme="minorEastAsia"/>
          <w:sz w:val="28"/>
          <w:szCs w:val="28"/>
          <w:highlight w:val="none"/>
          <w:lang w:val="en-US" w:eastAsia="zh-CN"/>
        </w:rPr>
        <w:t>（二次）</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BZJK-2024-001号</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cstheme="minorEastAsia"/>
          <w:sz w:val="28"/>
          <w:szCs w:val="28"/>
          <w:highlight w:val="none"/>
          <w:lang w:val="en-US" w:eastAsia="zh-CN"/>
        </w:rPr>
        <w:t>企业自筹</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cstheme="minorEastAsia"/>
          <w:sz w:val="28"/>
          <w:szCs w:val="28"/>
          <w:highlight w:val="none"/>
          <w:lang w:val="en-US" w:eastAsia="zh-CN"/>
        </w:rPr>
        <w:t>亳州通恒置业有限公司</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cstheme="minorEastAsia"/>
          <w:sz w:val="28"/>
          <w:szCs w:val="28"/>
          <w:highlight w:val="none"/>
          <w:lang w:val="en-US" w:eastAsia="zh-CN"/>
        </w:rPr>
        <w:t>逸合府项目，地块位于亳州市谯城区利辛路与华佗大道交叉口，其中项目占地约202.021亩，容积率不大于2.0。</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eastAsia" w:asciiTheme="minorEastAsia" w:hAnsiTheme="minorEastAsia" w:cstheme="minorEastAsia"/>
          <w:sz w:val="28"/>
          <w:szCs w:val="28"/>
          <w:highlight w:val="none"/>
          <w:lang w:val="en-US" w:eastAsia="zh-CN"/>
        </w:rPr>
        <w:t>根据招标人业务安排</w:t>
      </w:r>
      <w:r>
        <w:rPr>
          <w:rFonts w:hint="eastAsia" w:asciiTheme="minorEastAsia" w:hAnsiTheme="minorEastAsia" w:eastAsiaTheme="minorEastAsia" w:cstheme="minorEastAsia"/>
          <w:sz w:val="28"/>
          <w:szCs w:val="28"/>
          <w:highlight w:val="none"/>
          <w:lang w:val="en-US" w:eastAsia="zh-CN"/>
        </w:rPr>
        <w:t>的招标代理服务</w:t>
      </w:r>
      <w:r>
        <w:rPr>
          <w:rFonts w:hint="eastAsia" w:asciiTheme="minorEastAsia" w:hAnsiTheme="minorEastAsia" w:cstheme="minorEastAsia"/>
          <w:color w:val="FF0000"/>
          <w:sz w:val="28"/>
          <w:szCs w:val="28"/>
          <w:highlight w:val="none"/>
          <w:lang w:val="en-US" w:eastAsia="zh-CN"/>
        </w:rPr>
        <w:t>，具体招标代理内容包括但不限于：1）服务类（专项设计等）、2）工程类（施工、配套项目及其他零星工程等）、3）货物类（材料、设备等）。主要工作有编制招标工作方案、招标公告（含资格预审文件）、招标文件等，向招标监管部门办理招标计划、申请、招标全过程备案手续，完成招标公告发布，向住建部门进行清单控制价的备案，组织资格审查，配合主管部门组织招标文件（含技术经济资料、招标控制价、答疑文件等）的发放，组织整理答疑纪要文件，组织抽取评标专家和开标、评标，定标前应根据所有合格投标人的投标文件编制定标资料，预约定标场地，组织定标会议，整理会议定标过程记录，编制定标报告，办理、发放中标通知书，编制、整理招标全过程资料，装订成册移交招标单位归档等招标相关系列工作及协助招标人起草合同。</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：具体为确定招标代理机构之日（以签订招标代理服务合同时间为准）起，至所有招标代理工作完成并将整套相关资料移交给招标人止，最终服务期以实际时间为准。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cstheme="minorEastAsia"/>
          <w:color w:val="FF0000"/>
          <w:sz w:val="28"/>
          <w:szCs w:val="28"/>
          <w:highlight w:val="none"/>
          <w:lang w:val="en-US" w:eastAsia="zh-CN"/>
        </w:rPr>
        <w:t>（含税6%）</w:t>
      </w:r>
      <w:permEnd w:id="1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照《国家计委关于印发&lt;招标代理服务收费管理暂行办法&gt;的通知》(计价格[2002]1980号)、《国家发展改革委办公厅关于招标代理服务收费有关问题的通知》(发改办价格[2003]857号)、《国家发展改革委关于降低部分建设项目收费标准规范收费行为等有关问题的通知》(发改价格[2011]534号)等文件规定的取费标准，以招标代理服务完成后中标人中标金额为计算基数，按照费率进行报价，最高</w:t>
      </w:r>
      <w:r>
        <w:rPr>
          <w:rFonts w:hint="eastAsia" w:asciiTheme="minorEastAsia" w:hAnsiTheme="minorEastAsia" w:cstheme="minorEastAsia"/>
          <w:sz w:val="28"/>
          <w:szCs w:val="28"/>
          <w:highlight w:val="none"/>
          <w:lang w:val="en-US" w:eastAsia="zh-CN"/>
        </w:rPr>
        <w:t>投标</w:t>
      </w:r>
      <w:r>
        <w:rPr>
          <w:rFonts w:hint="eastAsia" w:asciiTheme="minorEastAsia" w:hAnsiTheme="minorEastAsia" w:eastAsiaTheme="minorEastAsia" w:cstheme="minorEastAsia"/>
          <w:sz w:val="28"/>
          <w:szCs w:val="28"/>
          <w:highlight w:val="none"/>
          <w:lang w:val="en-US" w:eastAsia="zh-CN"/>
        </w:rPr>
        <w:t>限价为</w:t>
      </w:r>
      <w:r>
        <w:rPr>
          <w:rFonts w:hint="eastAsia" w:asciiTheme="minorEastAsia" w:hAnsiTheme="minorEastAsia" w:cstheme="minorEastAsia"/>
          <w:sz w:val="28"/>
          <w:szCs w:val="28"/>
          <w:highlight w:val="none"/>
          <w:lang w:val="en-US" w:eastAsia="zh-CN"/>
        </w:rPr>
        <w:t>基数的7</w:t>
      </w:r>
      <w:r>
        <w:rPr>
          <w:rFonts w:hint="eastAsia" w:asciiTheme="minorEastAsia" w:hAnsiTheme="minorEastAsia" w:eastAsiaTheme="minorEastAsia" w:cstheme="minorEastAsia"/>
          <w:sz w:val="28"/>
          <w:szCs w:val="28"/>
          <w:highlight w:val="none"/>
          <w:lang w:val="en-US" w:eastAsia="zh-CN"/>
        </w:rPr>
        <w:t>0%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4"/>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permStart w:id="15" w:edGrp="everyone"/>
      <w:r>
        <w:rPr>
          <w:rFonts w:hint="eastAsia" w:asciiTheme="minorEastAsia" w:hAnsiTheme="minorEastAsia" w:cstheme="minorEastAsia"/>
          <w:sz w:val="28"/>
          <w:szCs w:val="28"/>
          <w:highlight w:val="none"/>
          <w:u w:val="single"/>
          <w:lang w:val="en-US" w:eastAsia="zh-CN"/>
        </w:rPr>
        <w:t>2020</w:t>
      </w:r>
      <w:permEnd w:id="15"/>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6" w:edGrp="everyone"/>
      <w:r>
        <w:rPr>
          <w:rFonts w:hint="eastAsia" w:asciiTheme="minorEastAsia" w:hAnsiTheme="minorEastAsia" w:cstheme="minorEastAsia"/>
          <w:sz w:val="28"/>
          <w:szCs w:val="28"/>
          <w:highlight w:val="none"/>
          <w:u w:val="single"/>
          <w:lang w:val="en-US" w:eastAsia="zh-CN"/>
        </w:rPr>
        <w:t>1</w:t>
      </w:r>
      <w:permEnd w:id="16"/>
      <w:r>
        <w:rPr>
          <w:rFonts w:hint="eastAsia" w:asciiTheme="minorEastAsia" w:hAnsiTheme="minorEastAsia" w:eastAsiaTheme="minorEastAsia" w:cstheme="minorEastAsia"/>
          <w:sz w:val="28"/>
          <w:szCs w:val="28"/>
          <w:highlight w:val="none"/>
          <w:lang w:val="en-US" w:eastAsia="zh-CN"/>
        </w:rPr>
        <w:t>个，以</w:t>
      </w:r>
      <w:permStart w:id="17"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7"/>
      <w:r>
        <w:rPr>
          <w:rFonts w:hint="eastAsia" w:asciiTheme="minorEastAsia" w:hAnsiTheme="minorEastAsia" w:eastAsiaTheme="minorEastAsia" w:cstheme="minorEastAsia"/>
          <w:sz w:val="28"/>
          <w:szCs w:val="28"/>
          <w:highlight w:val="none"/>
          <w:lang w:val="en-US" w:eastAsia="zh-CN"/>
        </w:rPr>
        <w:t>为准。类似项目业绩指：</w:t>
      </w:r>
      <w:permStart w:id="18" w:edGrp="everyone"/>
      <w:r>
        <w:rPr>
          <w:rFonts w:hint="eastAsia" w:asciiTheme="minorEastAsia" w:hAnsiTheme="minorEastAsia" w:cstheme="minorEastAsia"/>
          <w:sz w:val="28"/>
          <w:szCs w:val="28"/>
          <w:highlight w:val="none"/>
          <w:lang w:val="en-US" w:eastAsia="zh-CN"/>
        </w:rPr>
        <w:t>单个项目中标金额不低于10000万元的建设工程施工总承包招标代理业绩；</w:t>
      </w:r>
    </w:p>
    <w:permEnd w:id="1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9" w:edGrp="everyone"/>
      <w:r>
        <w:rPr>
          <w:rFonts w:hint="default" w:asciiTheme="minorEastAsia" w:hAnsiTheme="minorEastAsia" w:eastAsiaTheme="minorEastAsia" w:cstheme="minorEastAsia"/>
          <w:sz w:val="28"/>
          <w:szCs w:val="28"/>
          <w:highlight w:val="none"/>
          <w:lang w:val="en-US" w:eastAsia="zh-CN"/>
        </w:rPr>
        <w:t>须提供招标委托代理协议复印件、招标采购公告和中标（成交）公示网页截图（同时提供网址链接），时间及金额以中标（成交）公告显示内容为准。</w:t>
      </w:r>
      <w:permEnd w:id="19"/>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20" w:edGrp="everyone"/>
      <w:r>
        <w:rPr>
          <w:rFonts w:hint="eastAsia" w:asciiTheme="minorEastAsia" w:hAnsiTheme="minorEastAsia" w:eastAsiaTheme="minorEastAsia" w:cstheme="minorEastAsia"/>
          <w:color w:val="FF0000"/>
          <w:sz w:val="28"/>
          <w:szCs w:val="28"/>
          <w:highlight w:val="none"/>
          <w:lang w:val="en-US" w:eastAsia="zh-CN"/>
        </w:rPr>
        <w:t>不接受</w:t>
      </w:r>
      <w:permEnd w:id="20"/>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1"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w:t>
      </w:r>
      <w:r>
        <w:rPr>
          <w:rFonts w:hint="eastAsia" w:asciiTheme="minorEastAsia" w:hAnsiTheme="minorEastAsia" w:cstheme="minorEastAsia"/>
          <w:sz w:val="28"/>
          <w:szCs w:val="28"/>
          <w:highlight w:val="none"/>
          <w:lang w:val="en-US" w:eastAsia="zh-CN"/>
        </w:rPr>
        <w:t xml:space="preserve"> </w:t>
      </w:r>
      <w:permEnd w:id="21"/>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2"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22"/>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3"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25</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3"/>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4" w:edGrp="everyone"/>
      <w:r>
        <w:rPr>
          <w:rFonts w:hint="eastAsia" w:asciiTheme="minorEastAsia" w:hAnsiTheme="minorEastAsia" w:cstheme="minorEastAsia"/>
          <w:color w:val="FF0000"/>
          <w:sz w:val="28"/>
          <w:szCs w:val="28"/>
          <w:highlight w:val="none"/>
          <w:lang w:val="en-US" w:eastAsia="zh-CN"/>
        </w:rPr>
        <w:t>不允许</w:t>
      </w:r>
      <w:permEnd w:id="24"/>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5" w:edGrp="everyone"/>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lang w:val="en-US" w:eastAsia="zh-CN"/>
        </w:rPr>
        <w:t>（人民币）</w:t>
      </w:r>
      <w:permEnd w:id="25"/>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亳州通恒置业有限公司</w:t>
      </w:r>
    </w:p>
    <w:permEnd w:id="2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7" w:edGrp="everyone"/>
      <w:r>
        <w:rPr>
          <w:rFonts w:hint="eastAsia" w:asciiTheme="minorEastAsia" w:hAnsiTheme="minorEastAsia" w:eastAsiaTheme="minorEastAsia" w:cstheme="minorEastAsia"/>
          <w:sz w:val="28"/>
          <w:szCs w:val="28"/>
          <w:highlight w:val="none"/>
          <w:lang w:val="en-US" w:eastAsia="zh-CN"/>
        </w:rPr>
        <w:t>亳州市谯城区药都大道1289号</w:t>
      </w:r>
    </w:p>
    <w:permEnd w:id="2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8" w:edGrp="everyone"/>
      <w:r>
        <w:rPr>
          <w:rFonts w:hint="eastAsia" w:asciiTheme="minorEastAsia" w:hAnsiTheme="minorEastAsia" w:cstheme="minorEastAsia"/>
          <w:sz w:val="28"/>
          <w:szCs w:val="28"/>
          <w:highlight w:val="none"/>
          <w:lang w:val="en-US" w:eastAsia="zh-CN"/>
        </w:rPr>
        <w:t>秦工</w:t>
      </w:r>
      <w:permEnd w:id="2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9" w:edGrp="everyone"/>
      <w:r>
        <w:rPr>
          <w:rFonts w:hint="eastAsia" w:asciiTheme="minorEastAsia" w:hAnsiTheme="minorEastAsia" w:cstheme="minorEastAsia"/>
          <w:sz w:val="28"/>
          <w:szCs w:val="28"/>
          <w:highlight w:val="none"/>
          <w:lang w:val="en-US" w:eastAsia="zh-CN"/>
        </w:rPr>
        <w:t>15205679165</w:t>
      </w:r>
      <w:permEnd w:id="2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0" w:edGrp="everyone"/>
      <w:r>
        <w:rPr>
          <w:rFonts w:hint="eastAsia" w:asciiTheme="minorEastAsia" w:hAnsiTheme="minorEastAsia" w:eastAsiaTheme="minorEastAsia" w:cstheme="minorEastAsia"/>
          <w:color w:val="FF0000"/>
          <w:sz w:val="28"/>
          <w:szCs w:val="28"/>
          <w:highlight w:val="none"/>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18</w:t>
      </w:r>
      <w:r>
        <w:rPr>
          <w:rFonts w:hint="eastAsia" w:asciiTheme="minorEastAsia" w:hAnsiTheme="minorEastAsia" w:eastAsiaTheme="minorEastAsia" w:cstheme="minorEastAsia"/>
          <w:color w:val="FF0000"/>
          <w:sz w:val="28"/>
          <w:szCs w:val="28"/>
          <w:highlight w:val="none"/>
          <w:lang w:val="en-US" w:eastAsia="zh-CN"/>
        </w:rPr>
        <w:t>日</w:t>
      </w:r>
      <w:permEnd w:id="30"/>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1"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1"/>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pStyle w:val="6"/>
              <w:topLinePunct/>
              <w:spacing w:line="440" w:lineRule="exact"/>
              <w:rPr>
                <w:rFonts w:hint="default" w:ascii="Times New Roman" w:hAnsi="Times New Roman" w:cs="Times New Roman"/>
                <w:szCs w:val="21"/>
                <w:highlight w:val="none"/>
              </w:rPr>
            </w:pPr>
            <w:permStart w:id="32" w:edGrp="everyone"/>
            <w:r>
              <w:rPr>
                <w:rFonts w:hint="eastAsia" w:hAnsi="宋体"/>
                <w:sz w:val="21"/>
                <w:szCs w:val="21"/>
                <w:lang w:val="en-US" w:eastAsia="zh-CN"/>
              </w:rPr>
              <w:t>/</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接受</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  受</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34" w:edGrp="everyone"/>
            <w:r>
              <w:rPr>
                <w:rFonts w:hint="eastAsia" w:hAnsi="宋体"/>
                <w:sz w:val="21"/>
                <w:szCs w:val="21"/>
                <w:lang w:val="en-US" w:eastAsia="zh-CN"/>
              </w:rPr>
              <w:t>/</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5"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织</w:t>
            </w:r>
            <w:r>
              <w:rPr>
                <w:rFonts w:hint="eastAsia" w:ascii="Times New Roman" w:hAnsi="Times New Roman" w:cs="Times New Roman"/>
                <w:color w:val="FF0000"/>
                <w:sz w:val="21"/>
                <w:szCs w:val="21"/>
                <w:highlight w:val="none"/>
                <w:lang w:val="en-US" w:eastAsia="zh-CN"/>
              </w:rPr>
              <w:t xml:space="preserve">   </w:t>
            </w:r>
          </w:p>
        </w:tc>
      </w:tr>
      <w:permEnd w:id="35"/>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6"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21"/>
                <w:szCs w:val="21"/>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p>
        </w:tc>
      </w:tr>
      <w:permEnd w:id="36"/>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38" w:edGrp="everyone"/>
            <w:r>
              <w:rPr>
                <w:rFonts w:hint="eastAsia" w:ascii="Times New Roman" w:hAnsi="Times New Roman" w:cs="Times New Roman"/>
                <w:color w:val="FF0000"/>
                <w:sz w:val="21"/>
                <w:szCs w:val="21"/>
                <w:highlight w:val="none"/>
                <w:lang w:val="en-US" w:eastAsia="zh-CN"/>
              </w:rPr>
              <w:t xml:space="preserve">详见第一章招标公告、第四章合同条款及格式、第五章发包人要求。  </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39" w:edGrp="everyone"/>
            <w:r>
              <w:rPr>
                <w:rFonts w:hint="eastAsia" w:ascii="Times New Roman" w:hAnsi="Times New Roman" w:cs="Times New Roman"/>
                <w:kern w:val="2"/>
                <w:sz w:val="21"/>
                <w:szCs w:val="21"/>
                <w:highlight w:val="none"/>
                <w:u w:val="single"/>
                <w:lang w:val="en-US" w:eastAsia="zh-CN" w:bidi="ar-SA"/>
              </w:rPr>
              <w:t xml:space="preserve">详见第一章招标公告。 </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jc w:val="left"/>
              <w:rPr>
                <w:rFonts w:hint="eastAsia" w:hAnsi="宋体"/>
                <w:color w:val="FF0000"/>
                <w:szCs w:val="21"/>
              </w:rPr>
            </w:pPr>
            <w:permStart w:id="40"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ermEnd w:id="40"/>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投标保证金的形式：</w:t>
            </w:r>
            <w:permStart w:id="41" w:edGrp="everyone"/>
            <w:r>
              <w:rPr>
                <w:rFonts w:hint="default" w:ascii="Times New Roman" w:hAnsi="Times New Roman" w:cs="Times New Roman"/>
                <w:color w:val="FF0000"/>
                <w:szCs w:val="21"/>
                <w:highlight w:val="none"/>
              </w:rPr>
              <w:t>银行汇款或转账</w:t>
            </w:r>
            <w:permEnd w:id="41"/>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2" w:edGrp="everyone"/>
            <w:r>
              <w:rPr>
                <w:rFonts w:hint="eastAsia" w:ascii="Times New Roman" w:hAnsi="Times New Roman" w:cs="Times New Roman"/>
                <w:color w:val="auto"/>
                <w:szCs w:val="21"/>
                <w:highlight w:val="none"/>
                <w:u w:val="single"/>
                <w:lang w:val="en-US" w:eastAsia="zh-CN"/>
              </w:rPr>
              <w:t>10000元</w:t>
            </w:r>
            <w:permEnd w:id="4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3" w:edGrp="everyone"/>
            <w:r>
              <w:rPr>
                <w:rFonts w:hint="eastAsia" w:ascii="Times New Roman" w:hAnsi="Times New Roman" w:cs="Times New Roman"/>
                <w:color w:val="FF0000"/>
                <w:szCs w:val="21"/>
                <w:highlight w:val="none"/>
                <w:lang w:val="en-US" w:eastAsia="zh-CN"/>
              </w:rPr>
              <w:t>BZJK-2024-001号保证金</w:t>
            </w:r>
            <w:permEnd w:id="4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2"/>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32"/>
              <w:spacing w:before="152" w:line="227" w:lineRule="auto"/>
              <w:ind w:left="129"/>
            </w:pPr>
            <w:permStart w:id="44" w:edGrp="everyone"/>
            <w:r>
              <w:rPr>
                <w:rFonts w:hint="eastAsia" w:ascii="Times New Roman" w:hAnsi="Times New Roman" w:eastAsia="宋体" w:cs="Times New Roman"/>
                <w:spacing w:val="-2"/>
                <w:sz w:val="21"/>
                <w:szCs w:val="21"/>
                <w:lang w:eastAsia="zh-CN"/>
              </w:rPr>
              <w:t>☑</w:t>
            </w:r>
            <w:r>
              <w:rPr>
                <w:spacing w:val="-9"/>
              </w:rPr>
              <w:t>无</w:t>
            </w:r>
          </w:p>
          <w:p>
            <w:pPr>
              <w:pStyle w:val="32"/>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2"/>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spacing w:line="335" w:lineRule="auto"/>
              <w:rPr>
                <w:rFonts w:ascii="Arial"/>
                <w:sz w:val="21"/>
              </w:rPr>
            </w:pPr>
          </w:p>
          <w:p>
            <w:pPr>
              <w:pStyle w:val="32"/>
              <w:tabs>
                <w:tab w:val="left" w:pos="663"/>
              </w:tabs>
              <w:spacing w:before="69" w:line="221" w:lineRule="auto"/>
              <w:rPr>
                <w:rFonts w:hint="eastAsia" w:ascii="Times New Roman" w:hAnsi="Times New Roman" w:cs="Times New Roman"/>
                <w:szCs w:val="21"/>
                <w:highlight w:val="none"/>
                <w:lang w:val="en-US" w:eastAsia="zh-CN"/>
              </w:rPr>
            </w:pPr>
            <w:permStart w:id="45" w:edGrp="everyone"/>
            <w:r>
              <w:rPr>
                <w:rFonts w:hint="eastAsia"/>
                <w:u w:val="single" w:color="auto"/>
                <w:lang w:val="en-US" w:eastAsia="zh-CN"/>
              </w:rPr>
              <w:t>/</w:t>
            </w:r>
            <w:r>
              <w:rPr>
                <w:spacing w:val="-3"/>
              </w:rPr>
              <w:t>年至</w:t>
            </w:r>
            <w:r>
              <w:rPr>
                <w:rFonts w:hint="eastAsia"/>
                <w:spacing w:val="6"/>
                <w:u w:val="single" w:color="auto"/>
                <w:lang w:val="en-US" w:eastAsia="zh-CN"/>
              </w:rPr>
              <w:t>/</w:t>
            </w:r>
            <w:r>
              <w:rPr>
                <w:spacing w:val="-3"/>
              </w:rPr>
              <w:t>年</w:t>
            </w:r>
            <w:permEnd w:id="4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left"/>
              <w:rPr>
                <w:rFonts w:hint="eastAsia" w:ascii="Times New Roman" w:hAnsi="Times New Roman" w:eastAsia="Times New Roman" w:cs="Times New Roman"/>
                <w:spacing w:val="-1"/>
                <w:sz w:val="21"/>
                <w:szCs w:val="21"/>
                <w:lang w:val="en-US" w:eastAsia="zh-CN"/>
              </w:rPr>
            </w:pPr>
            <w:permStart w:id="46" w:edGrp="everyone"/>
            <w:r>
              <w:rPr>
                <w:rFonts w:hint="eastAsia"/>
                <w:spacing w:val="6"/>
                <w:u w:val="single" w:color="auto"/>
                <w:lang w:val="en-US" w:eastAsia="zh-CN"/>
              </w:rPr>
              <w:t>/</w:t>
            </w:r>
            <w:r>
              <w:rPr>
                <w:spacing w:val="-92"/>
              </w:rPr>
              <w:t xml:space="preserve"> </w:t>
            </w:r>
            <w:r>
              <w:rPr>
                <w:spacing w:val="-3"/>
              </w:rPr>
              <w:t>年至</w:t>
            </w:r>
            <w:r>
              <w:rPr>
                <w:rFonts w:hint="eastAsia"/>
                <w:spacing w:val="6"/>
                <w:u w:val="single" w:color="auto"/>
                <w:lang w:val="en-US" w:eastAsia="zh-CN"/>
              </w:rPr>
              <w:t>/</w:t>
            </w:r>
            <w:r>
              <w:rPr>
                <w:spacing w:val="-3"/>
              </w:rPr>
              <w:t>年</w:t>
            </w:r>
            <w:permEnd w:id="4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FF0000"/>
                <w:szCs w:val="21"/>
                <w:highlight w:val="none"/>
                <w:lang w:val="en-US" w:eastAsia="zh-CN"/>
              </w:rPr>
            </w:pPr>
            <w:permStart w:id="47"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允  许</w:t>
            </w:r>
            <w:permEnd w:id="4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8"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8"/>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9"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0"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招标人：亳州通恒置业有限公司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逸合府项目招标代理服务（二次）</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001</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25</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2"/>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1"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51"/>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2"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175"/>
      <w:bookmarkStart w:id="17" w:name="_Toc246996918"/>
      <w:bookmarkStart w:id="18" w:name="_Toc152045529"/>
      <w:bookmarkStart w:id="19" w:name="_Toc296602420"/>
      <w:bookmarkStart w:id="20" w:name="_Toc179632546"/>
      <w:bookmarkStart w:id="21" w:name="_Toc144974497"/>
      <w:bookmarkStart w:id="22" w:name="_Toc152042305"/>
      <w:bookmarkStart w:id="23" w:name="_Toc247085689"/>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2306"/>
      <w:bookmarkStart w:id="25" w:name="_Toc152045530"/>
      <w:bookmarkStart w:id="26" w:name="_Toc247085690"/>
      <w:bookmarkStart w:id="27" w:name="_Toc296602421"/>
      <w:bookmarkStart w:id="28" w:name="_Toc179632547"/>
      <w:bookmarkStart w:id="29" w:name="_Toc246996919"/>
      <w:bookmarkStart w:id="30" w:name="_Toc246996176"/>
      <w:bookmarkStart w:id="31" w:name="_Toc144974498"/>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499"/>
      <w:bookmarkStart w:id="33" w:name="_Toc247085691"/>
      <w:bookmarkStart w:id="34" w:name="_Toc246996177"/>
      <w:bookmarkStart w:id="35" w:name="_Toc152042307"/>
      <w:bookmarkStart w:id="36" w:name="_Toc246996920"/>
      <w:bookmarkStart w:id="37" w:name="_Toc296602422"/>
      <w:bookmarkStart w:id="38" w:name="_Toc152045531"/>
      <w:bookmarkStart w:id="39" w:name="_Toc179632548"/>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7085692"/>
      <w:bookmarkStart w:id="41" w:name="_Toc179632549"/>
      <w:bookmarkStart w:id="42" w:name="_Toc246996178"/>
      <w:bookmarkStart w:id="43" w:name="_Toc296602423"/>
      <w:bookmarkStart w:id="44" w:name="_Toc152042308"/>
      <w:bookmarkStart w:id="45" w:name="_Toc246996921"/>
      <w:bookmarkStart w:id="46" w:name="_Toc152045532"/>
      <w:bookmarkStart w:id="47" w:name="_Toc144974500"/>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79632551"/>
      <w:bookmarkStart w:id="49" w:name="_Toc152045534"/>
      <w:bookmarkStart w:id="50" w:name="_Toc246996922"/>
      <w:bookmarkStart w:id="51" w:name="_Toc247085693"/>
      <w:bookmarkStart w:id="52" w:name="_Toc296602424"/>
      <w:bookmarkStart w:id="53" w:name="_Toc144974502"/>
      <w:bookmarkStart w:id="54" w:name="_Toc246996179"/>
      <w:bookmarkStart w:id="55" w:name="_Toc152042310"/>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54"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54"/>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7085694"/>
      <w:bookmarkStart w:id="57" w:name="_Toc246996923"/>
      <w:bookmarkStart w:id="58" w:name="_Toc296602425"/>
      <w:bookmarkStart w:id="59" w:name="_Toc152042311"/>
      <w:bookmarkStart w:id="60" w:name="_Toc246996180"/>
      <w:bookmarkStart w:id="61" w:name="_Toc152045535"/>
      <w:bookmarkStart w:id="62" w:name="_Toc179632552"/>
      <w:bookmarkStart w:id="63" w:name="_Toc144974503"/>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52045536"/>
      <w:bookmarkStart w:id="65" w:name="_Toc152042312"/>
      <w:bookmarkStart w:id="66" w:name="_Toc179632553"/>
      <w:bookmarkStart w:id="67" w:name="_Toc144974504"/>
      <w:bookmarkStart w:id="68" w:name="_Toc296602426"/>
      <w:bookmarkStart w:id="69" w:name="_Toc246996924"/>
      <w:bookmarkStart w:id="70" w:name="_Toc247085695"/>
      <w:bookmarkStart w:id="71" w:name="_Toc246996181"/>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96602427"/>
      <w:bookmarkStart w:id="74" w:name="_Toc179632554"/>
      <w:bookmarkStart w:id="75" w:name="_Toc152045537"/>
      <w:bookmarkStart w:id="76" w:name="_Toc246996182"/>
      <w:bookmarkStart w:id="77" w:name="_Toc246996925"/>
      <w:bookmarkStart w:id="78" w:name="_Toc247085696"/>
      <w:bookmarkStart w:id="79" w:name="_Toc152042313"/>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183"/>
      <w:bookmarkStart w:id="81" w:name="_Toc247085697"/>
      <w:bookmarkStart w:id="82" w:name="_Toc144974506"/>
      <w:bookmarkStart w:id="83" w:name="_Toc152045538"/>
      <w:bookmarkStart w:id="84" w:name="_Toc152042314"/>
      <w:bookmarkStart w:id="85" w:name="_Toc246996926"/>
      <w:bookmarkStart w:id="86" w:name="_Toc179632555"/>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2315"/>
      <w:bookmarkStart w:id="89" w:name="_Toc247592876"/>
      <w:bookmarkStart w:id="90" w:name="_Toc247527563"/>
      <w:bookmarkStart w:id="91" w:name="_Toc296602429"/>
      <w:bookmarkStart w:id="92" w:name="_Toc152045539"/>
      <w:bookmarkStart w:id="93" w:name="_Toc247513962"/>
      <w:bookmarkStart w:id="94" w:name="_Toc144974507"/>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08"/>
      <w:bookmarkStart w:id="96" w:name="_Toc247592877"/>
      <w:bookmarkStart w:id="97" w:name="_Toc296602430"/>
      <w:bookmarkStart w:id="98" w:name="_Toc152042316"/>
      <w:bookmarkStart w:id="99" w:name="_Toc247513963"/>
      <w:bookmarkStart w:id="100" w:name="_Toc152045540"/>
      <w:bookmarkStart w:id="101" w:name="_Toc247527564"/>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60"/>
      <w:bookmarkStart w:id="104" w:name="_Toc246996930"/>
      <w:bookmarkStart w:id="105" w:name="_Toc152042318"/>
      <w:bookmarkStart w:id="106" w:name="_Toc296602432"/>
      <w:bookmarkStart w:id="107" w:name="_Toc144974510"/>
      <w:bookmarkStart w:id="108" w:name="_Toc152045542"/>
      <w:bookmarkStart w:id="109" w:name="_Toc246996187"/>
      <w:bookmarkStart w:id="110" w:name="_Toc247085701"/>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11"/>
      <w:bookmarkStart w:id="112" w:name="_Toc246996188"/>
      <w:bookmarkStart w:id="113" w:name="_Toc247085702"/>
      <w:bookmarkStart w:id="114" w:name="_Toc246996931"/>
      <w:bookmarkStart w:id="115" w:name="_Toc152045543"/>
      <w:bookmarkStart w:id="116" w:name="_Toc152042319"/>
      <w:bookmarkStart w:id="117" w:name="_Toc296602433"/>
      <w:bookmarkStart w:id="118" w:name="_Toc17963256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189"/>
      <w:bookmarkStart w:id="120" w:name="_Toc152045544"/>
      <w:bookmarkStart w:id="121" w:name="_Toc246996932"/>
      <w:bookmarkStart w:id="122" w:name="_Toc152042320"/>
      <w:bookmarkStart w:id="123" w:name="_Toc179632562"/>
      <w:bookmarkStart w:id="124" w:name="_Toc296602434"/>
      <w:bookmarkStart w:id="125" w:name="_Toc144974512"/>
      <w:bookmarkStart w:id="126" w:name="_Toc247085703"/>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35"/>
      <w:bookmarkStart w:id="128" w:name="_Toc246996190"/>
      <w:bookmarkStart w:id="129" w:name="_Toc144974513"/>
      <w:bookmarkStart w:id="130" w:name="_Toc247085704"/>
      <w:bookmarkStart w:id="131" w:name="_Toc179632563"/>
      <w:bookmarkStart w:id="132" w:name="_Toc246996933"/>
      <w:bookmarkStart w:id="133" w:name="_Toc152045545"/>
      <w:bookmarkStart w:id="134" w:name="_Toc152042321"/>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52042322"/>
      <w:bookmarkStart w:id="136" w:name="_Toc246996191"/>
      <w:bookmarkStart w:id="137" w:name="_Toc296602436"/>
      <w:bookmarkStart w:id="138" w:name="_Toc152045546"/>
      <w:bookmarkStart w:id="139" w:name="_Toc144974514"/>
      <w:bookmarkStart w:id="140" w:name="_Toc247085705"/>
      <w:bookmarkStart w:id="141" w:name="_Toc179632564"/>
      <w:bookmarkStart w:id="142" w:name="_Toc24699693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6996192"/>
      <w:bookmarkStart w:id="144" w:name="_Toc296602437"/>
      <w:bookmarkStart w:id="145" w:name="_Toc152042323"/>
      <w:bookmarkStart w:id="146" w:name="_Toc246996935"/>
      <w:bookmarkStart w:id="147" w:name="_Toc152045547"/>
      <w:bookmarkStart w:id="148" w:name="_Toc247085706"/>
      <w:bookmarkStart w:id="149" w:name="_Toc144974515"/>
      <w:bookmarkStart w:id="150" w:name="_Toc17963256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6996936"/>
      <w:bookmarkStart w:id="152" w:name="_Toc296602438"/>
      <w:bookmarkStart w:id="153" w:name="_Toc152042324"/>
      <w:bookmarkStart w:id="154" w:name="_Toc152045548"/>
      <w:bookmarkStart w:id="155" w:name="_Toc246996193"/>
      <w:bookmarkStart w:id="156" w:name="_Toc144974516"/>
      <w:bookmarkStart w:id="157" w:name="_Toc247085707"/>
      <w:bookmarkStart w:id="158" w:name="_Toc17963256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5549"/>
      <w:bookmarkStart w:id="160" w:name="_Toc152042325"/>
      <w:bookmarkStart w:id="161" w:name="_Toc179632567"/>
      <w:bookmarkStart w:id="162" w:name="_Toc144974517"/>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7085708"/>
      <w:bookmarkStart w:id="164" w:name="_Toc246996937"/>
      <w:bookmarkStart w:id="165" w:name="_Toc296602439"/>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2326"/>
      <w:bookmarkStart w:id="168" w:name="_Toc152045550"/>
      <w:bookmarkStart w:id="169" w:name="_Toc246996938"/>
      <w:bookmarkStart w:id="170" w:name="_Toc296602440"/>
      <w:bookmarkStart w:id="171" w:name="_Toc144974518"/>
      <w:bookmarkStart w:id="172" w:name="_Toc179632568"/>
      <w:bookmarkStart w:id="173" w:name="_Toc247085709"/>
      <w:bookmarkStart w:id="174" w:name="_Toc246996195"/>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2328"/>
      <w:bookmarkStart w:id="176" w:name="_Toc246996196"/>
      <w:bookmarkStart w:id="177" w:name="_Toc144974520"/>
      <w:bookmarkStart w:id="178" w:name="_Toc246996939"/>
      <w:bookmarkStart w:id="179" w:name="_Toc296602441"/>
      <w:bookmarkStart w:id="180" w:name="_Toc247085710"/>
      <w:bookmarkStart w:id="181" w:name="_Toc179632570"/>
      <w:bookmarkStart w:id="182" w:name="_Toc152045552"/>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179632571"/>
      <w:bookmarkStart w:id="184" w:name="_Toc144974521"/>
      <w:bookmarkStart w:id="185" w:name="_Toc152042329"/>
      <w:bookmarkStart w:id="186" w:name="_Toc247085711"/>
      <w:bookmarkStart w:id="187" w:name="_Toc296602442"/>
      <w:bookmarkStart w:id="188" w:name="_Toc152045553"/>
      <w:bookmarkStart w:id="189" w:name="_Toc246996940"/>
      <w:bookmarkStart w:id="190" w:name="_Toc246996197"/>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246996942"/>
      <w:bookmarkStart w:id="192" w:name="_Toc152042331"/>
      <w:bookmarkStart w:id="193" w:name="_Toc152045555"/>
      <w:bookmarkStart w:id="194" w:name="_Toc179632573"/>
      <w:bookmarkStart w:id="195" w:name="_Toc144974523"/>
      <w:bookmarkStart w:id="196" w:name="_Toc247085713"/>
      <w:bookmarkStart w:id="197" w:name="_Toc24699619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7085714"/>
      <w:bookmarkStart w:id="200" w:name="_Toc144974524"/>
      <w:bookmarkStart w:id="201" w:name="_Toc246996943"/>
      <w:bookmarkStart w:id="202" w:name="_Toc179632574"/>
      <w:bookmarkStart w:id="203" w:name="_Toc152042332"/>
      <w:bookmarkStart w:id="204" w:name="_Toc296602444"/>
      <w:bookmarkStart w:id="205" w:name="_Toc246996200"/>
      <w:bookmarkStart w:id="206" w:name="_Toc152045556"/>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246996201"/>
      <w:bookmarkStart w:id="208" w:name="_Toc152045557"/>
      <w:bookmarkStart w:id="209" w:name="_Toc246996944"/>
      <w:bookmarkStart w:id="210" w:name="_Toc144974525"/>
      <w:bookmarkStart w:id="211" w:name="_Toc179632575"/>
      <w:bookmarkStart w:id="212" w:name="_Toc247085715"/>
      <w:bookmarkStart w:id="213" w:name="_Toc152042333"/>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44974526"/>
      <w:bookmarkStart w:id="216" w:name="_Toc246996202"/>
      <w:bookmarkStart w:id="217" w:name="_Toc152042334"/>
      <w:bookmarkStart w:id="218" w:name="_Toc179632576"/>
      <w:bookmarkStart w:id="219" w:name="_Toc296602446"/>
      <w:bookmarkStart w:id="220" w:name="_Toc247085716"/>
      <w:bookmarkStart w:id="221" w:name="_Toc152045558"/>
      <w:bookmarkStart w:id="222" w:name="_Toc246996945"/>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5559"/>
      <w:bookmarkStart w:id="224" w:name="_Toc246996203"/>
      <w:bookmarkStart w:id="225" w:name="_Toc247085717"/>
      <w:bookmarkStart w:id="226" w:name="_Toc179632577"/>
      <w:bookmarkStart w:id="227" w:name="_Toc144974527"/>
      <w:bookmarkStart w:id="228" w:name="_Toc296602447"/>
      <w:bookmarkStart w:id="229" w:name="_Toc246996946"/>
      <w:bookmarkStart w:id="230" w:name="_Toc152042335"/>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96602448"/>
      <w:bookmarkStart w:id="232" w:name="_Toc246996204"/>
      <w:bookmarkStart w:id="233" w:name="_Toc179632578"/>
      <w:bookmarkStart w:id="234" w:name="_Toc247085718"/>
      <w:bookmarkStart w:id="235" w:name="_Toc246996947"/>
      <w:bookmarkStart w:id="236" w:name="_Toc152045560"/>
      <w:bookmarkStart w:id="237" w:name="_Toc144974528"/>
      <w:bookmarkStart w:id="238" w:name="_Toc152042336"/>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96602449"/>
      <w:bookmarkStart w:id="240" w:name="_Toc246996948"/>
      <w:bookmarkStart w:id="241" w:name="_Toc144974529"/>
      <w:bookmarkStart w:id="242" w:name="_Toc152042337"/>
      <w:bookmarkStart w:id="243" w:name="_Toc246996205"/>
      <w:bookmarkStart w:id="244" w:name="_Toc152045561"/>
      <w:bookmarkStart w:id="245" w:name="_Toc247085719"/>
      <w:bookmarkStart w:id="246" w:name="_Toc17963257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206"/>
      <w:bookmarkStart w:id="249" w:name="_Toc152045562"/>
      <w:bookmarkStart w:id="250" w:name="_Toc296602451"/>
      <w:bookmarkStart w:id="251" w:name="_Toc246996949"/>
      <w:bookmarkStart w:id="252" w:name="_Toc247085720"/>
      <w:bookmarkStart w:id="253" w:name="_Toc152042338"/>
      <w:bookmarkStart w:id="254" w:name="_Toc179632580"/>
      <w:bookmarkStart w:id="255" w:name="_Toc14497453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44974531"/>
      <w:bookmarkStart w:id="257" w:name="_Toc179632581"/>
      <w:bookmarkStart w:id="258" w:name="_Toc247085721"/>
      <w:bookmarkStart w:id="259" w:name="_Toc152045563"/>
      <w:bookmarkStart w:id="260" w:name="_Toc246996950"/>
      <w:bookmarkStart w:id="261" w:name="_Toc152042339"/>
      <w:bookmarkStart w:id="262" w:name="_Toc296602452"/>
      <w:bookmarkStart w:id="263" w:name="_Toc246996207"/>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5564"/>
      <w:bookmarkStart w:id="265" w:name="_Toc246996951"/>
      <w:bookmarkStart w:id="266" w:name="_Toc144974532"/>
      <w:bookmarkStart w:id="267" w:name="_Toc296602453"/>
      <w:bookmarkStart w:id="268" w:name="_Toc179632582"/>
      <w:bookmarkStart w:id="269" w:name="_Toc152042340"/>
      <w:bookmarkStart w:id="270" w:name="_Toc247085722"/>
      <w:bookmarkStart w:id="271" w:name="_Toc246996208"/>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96602454"/>
      <w:bookmarkStart w:id="273" w:name="_Toc152042341"/>
      <w:bookmarkStart w:id="274" w:name="_Toc144974533"/>
      <w:bookmarkStart w:id="275" w:name="_Toc179632583"/>
      <w:bookmarkStart w:id="276" w:name="_Toc247085723"/>
      <w:bookmarkStart w:id="277" w:name="_Toc246996209"/>
      <w:bookmarkStart w:id="278" w:name="_Toc152045565"/>
      <w:bookmarkStart w:id="279" w:name="_Toc246996952"/>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5566"/>
      <w:bookmarkStart w:id="281" w:name="_Toc144974534"/>
      <w:bookmarkStart w:id="282" w:name="_Toc152042342"/>
      <w:bookmarkStart w:id="283" w:name="_Toc247085724"/>
      <w:bookmarkStart w:id="284" w:name="_Toc246996953"/>
      <w:bookmarkStart w:id="285" w:name="_Toc179632584"/>
      <w:bookmarkStart w:id="286" w:name="_Toc246996210"/>
      <w:bookmarkStart w:id="287" w:name="_Toc296602455"/>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96602456"/>
      <w:bookmarkStart w:id="289" w:name="_Toc152042343"/>
      <w:bookmarkStart w:id="290" w:name="_Toc152045567"/>
      <w:bookmarkStart w:id="291" w:name="_Toc144974535"/>
      <w:bookmarkStart w:id="292" w:name="_Toc179632585"/>
      <w:bookmarkStart w:id="293" w:name="_Toc246996954"/>
      <w:bookmarkStart w:id="294" w:name="_Toc246996211"/>
      <w:bookmarkStart w:id="295" w:name="_Toc247085725"/>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46996212"/>
      <w:bookmarkStart w:id="297" w:name="_Toc144974536"/>
      <w:bookmarkStart w:id="298" w:name="_Toc152042344"/>
      <w:bookmarkStart w:id="299" w:name="_Toc247085726"/>
      <w:bookmarkStart w:id="300" w:name="_Toc296602458"/>
      <w:bookmarkStart w:id="301" w:name="_Toc179632586"/>
      <w:bookmarkStart w:id="302" w:name="_Toc152045568"/>
      <w:bookmarkStart w:id="303" w:name="_Toc246996955"/>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152042345"/>
      <w:bookmarkStart w:id="305" w:name="_Toc144974537"/>
      <w:bookmarkStart w:id="306" w:name="_Toc152045569"/>
      <w:bookmarkStart w:id="307" w:name="_Toc246996956"/>
      <w:bookmarkStart w:id="308" w:name="_Toc296602459"/>
      <w:bookmarkStart w:id="309" w:name="_Toc247085727"/>
      <w:bookmarkStart w:id="310" w:name="_Toc179632587"/>
      <w:bookmarkStart w:id="311" w:name="_Toc246996213"/>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246996214"/>
      <w:bookmarkStart w:id="313" w:name="_Toc246996957"/>
      <w:bookmarkStart w:id="314" w:name="_Toc152045570"/>
      <w:bookmarkStart w:id="315" w:name="_Toc296602460"/>
      <w:bookmarkStart w:id="316" w:name="_Toc152042346"/>
      <w:bookmarkStart w:id="317" w:name="_Toc247085728"/>
      <w:bookmarkStart w:id="318" w:name="_Toc179632588"/>
      <w:bookmarkStart w:id="319" w:name="_Toc144974538"/>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179632593"/>
      <w:bookmarkStart w:id="322" w:name="_Toc152042351"/>
      <w:bookmarkStart w:id="323" w:name="_Toc246996219"/>
      <w:bookmarkStart w:id="324" w:name="_Toc144974543"/>
      <w:bookmarkStart w:id="325" w:name="_Toc152045575"/>
      <w:bookmarkStart w:id="326" w:name="_Toc246996962"/>
      <w:bookmarkStart w:id="327" w:name="_Toc247085733"/>
      <w:bookmarkStart w:id="328" w:name="_Toc296602462"/>
      <w:bookmarkStart w:id="329" w:name="_Toc296590983"/>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0" w:name="_Toc296602463"/>
      <w:bookmarkStart w:id="331" w:name="_Toc144974544"/>
      <w:bookmarkStart w:id="332" w:name="_Toc246996963"/>
      <w:bookmarkStart w:id="333" w:name="_Toc247085734"/>
      <w:bookmarkStart w:id="334" w:name="_Toc152042352"/>
      <w:bookmarkStart w:id="335" w:name="_Toc152045576"/>
      <w:bookmarkStart w:id="336" w:name="_Toc246996220"/>
      <w:bookmarkStart w:id="337" w:name="_Toc179632594"/>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144974545"/>
      <w:bookmarkStart w:id="339" w:name="_Toc152042353"/>
      <w:bookmarkStart w:id="340" w:name="_Toc152045577"/>
      <w:bookmarkStart w:id="341" w:name="_Toc296602464"/>
      <w:bookmarkStart w:id="342" w:name="_Toc246996221"/>
      <w:bookmarkStart w:id="343" w:name="_Toc246996964"/>
      <w:bookmarkStart w:id="344" w:name="_Toc247085735"/>
      <w:bookmarkStart w:id="345" w:name="_Toc179632595"/>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152045578"/>
      <w:bookmarkStart w:id="347" w:name="_Toc246996965"/>
      <w:bookmarkStart w:id="348" w:name="_Toc296602465"/>
      <w:bookmarkStart w:id="349" w:name="_Toc246996222"/>
      <w:bookmarkStart w:id="350" w:name="_Toc152042354"/>
      <w:bookmarkStart w:id="351" w:name="_Toc179632596"/>
      <w:bookmarkStart w:id="352" w:name="_Toc247085736"/>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46996966"/>
      <w:bookmarkStart w:id="356" w:name="_Toc152042356"/>
      <w:bookmarkStart w:id="357" w:name="_Toc247085737"/>
      <w:bookmarkStart w:id="358" w:name="_Toc152045579"/>
      <w:bookmarkStart w:id="359" w:name="_Toc179632597"/>
      <w:bookmarkStart w:id="360" w:name="_Toc296602466"/>
      <w:bookmarkStart w:id="361" w:name="_Toc246996223"/>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44974547"/>
      <w:bookmarkStart w:id="364" w:name="_Toc246996967"/>
      <w:bookmarkStart w:id="365" w:name="_Toc179632598"/>
      <w:bookmarkStart w:id="366" w:name="_Toc247085738"/>
      <w:bookmarkStart w:id="367" w:name="_Toc152042357"/>
      <w:bookmarkStart w:id="368" w:name="_Toc246996224"/>
      <w:bookmarkStart w:id="369" w:name="_Toc152045580"/>
      <w:bookmarkStart w:id="370" w:name="_Toc296602467"/>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5"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0" w:edGrp="everyone"/>
            <w:r>
              <w:rPr>
                <w:rFonts w:hint="eastAsia" w:ascii="Times New Roman" w:hAnsi="Times New Roman" w:cs="Times New Roman"/>
                <w:kern w:val="0"/>
                <w:sz w:val="24"/>
                <w:szCs w:val="24"/>
                <w:highlight w:val="none"/>
                <w:lang w:val="en-US" w:eastAsia="zh-CN"/>
              </w:rPr>
              <w:t>符合第二章“投标人须知”第1.4.1项规定</w:t>
            </w:r>
            <w:permEnd w:id="6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4"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1" w:name="_Toc246996232"/>
            <w:bookmarkStart w:id="372" w:name="_Toc152045589"/>
            <w:bookmarkStart w:id="373" w:name="_Toc144974556"/>
            <w:bookmarkStart w:id="374" w:name="_Toc247085747"/>
            <w:bookmarkStart w:id="375" w:name="_Toc246996975"/>
            <w:bookmarkStart w:id="376" w:name="_Toc152042366"/>
            <w:bookmarkStart w:id="377" w:name="_Toc296602477"/>
            <w:bookmarkStart w:id="378" w:name="_Toc17963260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2"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50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 xml:space="preserve"> \ </w:t>
            </w:r>
            <w:r>
              <w:rPr>
                <w:rFonts w:hint="default" w:ascii="Times New Roman" w:hAnsi="Times New Roman" w:cs="Times New Roman" w:eastAsiaTheme="minorEastAsia"/>
                <w:color w:val="auto"/>
                <w:kern w:val="0"/>
                <w:sz w:val="24"/>
                <w:szCs w:val="24"/>
                <w:highlight w:val="none"/>
              </w:rPr>
              <w:t>分</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如有</w:t>
            </w:r>
            <w:r>
              <w:rPr>
                <w:rFonts w:hint="eastAsia" w:ascii="Times New Roman" w:hAnsi="Times New Roman" w:cs="Times New Roman"/>
                <w:color w:val="auto"/>
                <w:kern w:val="0"/>
                <w:sz w:val="24"/>
                <w:szCs w:val="24"/>
                <w:highlight w:val="none"/>
                <w:lang w:eastAsia="zh-CN"/>
              </w:rPr>
              <w:t>）</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73"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将所有有效投标人投标报价的平均值作为评标基准价。</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74" w:edGrp="everyone"/>
            <w:r>
              <w:rPr>
                <w:rFonts w:hint="eastAsia" w:ascii="Times New Roman" w:hAnsi="Times New Roman" w:cs="Times New Roman"/>
                <w:kern w:val="0"/>
                <w:sz w:val="24"/>
              </w:rPr>
              <w:t>偏差率=100%×（投标人报价</w:t>
            </w:r>
            <w:r>
              <w:rPr>
                <w:rFonts w:hint="eastAsia" w:ascii="宋体" w:hAnsi="宋体" w:eastAsia="宋体" w:cs="宋体"/>
                <w:kern w:val="0"/>
                <w:sz w:val="24"/>
              </w:rPr>
              <w:t>－</w:t>
            </w:r>
            <w:r>
              <w:rPr>
                <w:rFonts w:hint="eastAsia" w:ascii="Times New Roman" w:hAnsi="Times New Roman" w:cs="Times New Roman"/>
                <w:kern w:val="0"/>
                <w:sz w:val="24"/>
              </w:rPr>
              <w:t>评标基准价）/评标基准价</w:t>
            </w:r>
            <w:permEnd w:id="74"/>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5" w:edGrp="everyone" w:colFirst="1" w:colLast="1"/>
            <w:permStart w:id="76" w:edGrp="everyone" w:colFirst="2" w:colLast="2"/>
            <w:permStart w:id="77"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资信业绩评分标准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20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Style w:val="11"/>
              <w:spacing w:line="260" w:lineRule="exact"/>
              <w:ind w:left="0" w:leftChars="0" w:firstLine="480" w:firstLineChars="200"/>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除投标人资格要求外，投标人自</w:t>
            </w:r>
            <w:r>
              <w:rPr>
                <w:rFonts w:hint="eastAsia" w:ascii="Times New Roman" w:hAnsi="Times New Roman" w:cs="Times New Roman" w:eastAsiaTheme="minorEastAsia"/>
                <w:kern w:val="0"/>
                <w:sz w:val="24"/>
                <w:szCs w:val="24"/>
                <w:highlight w:val="none"/>
                <w:lang w:val="en-US" w:eastAsia="zh-CN" w:bidi="ar-SA"/>
              </w:rPr>
              <w:t>2020年1月1日至今，具有</w:t>
            </w:r>
            <w:r>
              <w:rPr>
                <w:rFonts w:hint="eastAsia" w:ascii="Times New Roman" w:hAnsi="Times New Roman" w:cs="Times New Roman"/>
                <w:kern w:val="0"/>
                <w:sz w:val="24"/>
                <w:szCs w:val="24"/>
                <w:highlight w:val="none"/>
                <w:lang w:val="en-US" w:eastAsia="zh-CN" w:bidi="ar-SA"/>
              </w:rPr>
              <w:t>单个项目中标金额不低于10000万元</w:t>
            </w:r>
            <w:r>
              <w:rPr>
                <w:rFonts w:hint="eastAsia" w:ascii="Times New Roman" w:hAnsi="Times New Roman" w:cs="Times New Roman" w:eastAsiaTheme="minorEastAsia"/>
                <w:kern w:val="0"/>
                <w:sz w:val="24"/>
                <w:szCs w:val="24"/>
                <w:highlight w:val="none"/>
                <w:lang w:val="en-US" w:eastAsia="zh-CN" w:bidi="ar-SA"/>
              </w:rPr>
              <w:t>的</w:t>
            </w:r>
            <w:r>
              <w:rPr>
                <w:rFonts w:hint="eastAsia" w:ascii="Times New Roman" w:hAnsi="Times New Roman" w:cs="Times New Roman"/>
                <w:kern w:val="0"/>
                <w:sz w:val="24"/>
                <w:szCs w:val="24"/>
                <w:highlight w:val="none"/>
                <w:lang w:val="en-US" w:eastAsia="zh-CN" w:bidi="ar-SA"/>
              </w:rPr>
              <w:t>建筑</w:t>
            </w:r>
            <w:r>
              <w:rPr>
                <w:rFonts w:hint="eastAsia" w:ascii="Times New Roman" w:hAnsi="Times New Roman" w:cs="Times New Roman" w:eastAsiaTheme="minorEastAsia"/>
                <w:kern w:val="0"/>
                <w:sz w:val="24"/>
                <w:szCs w:val="24"/>
                <w:highlight w:val="none"/>
                <w:lang w:val="en-US" w:eastAsia="zh-CN" w:bidi="ar-SA"/>
              </w:rPr>
              <w:t>工程</w:t>
            </w:r>
            <w:r>
              <w:rPr>
                <w:rFonts w:hint="eastAsia" w:ascii="Times New Roman" w:hAnsi="Times New Roman" w:cs="Times New Roman"/>
                <w:kern w:val="0"/>
                <w:sz w:val="24"/>
                <w:szCs w:val="24"/>
                <w:highlight w:val="none"/>
                <w:lang w:val="en-US" w:eastAsia="zh-CN" w:bidi="ar-SA"/>
              </w:rPr>
              <w:t>施工总承包</w:t>
            </w:r>
            <w:r>
              <w:rPr>
                <w:rFonts w:hint="eastAsia" w:ascii="Times New Roman" w:hAnsi="Times New Roman" w:cs="Times New Roman" w:eastAsiaTheme="minorEastAsia"/>
                <w:kern w:val="0"/>
                <w:sz w:val="24"/>
                <w:szCs w:val="24"/>
                <w:highlight w:val="none"/>
                <w:lang w:val="en-US" w:eastAsia="zh-CN" w:bidi="ar-SA"/>
              </w:rPr>
              <w:t>公开招标代理业绩的，每1项得</w:t>
            </w:r>
            <w:r>
              <w:rPr>
                <w:rFonts w:hint="eastAsia" w:ascii="Times New Roman" w:hAnsi="Times New Roman" w:cs="Times New Roman"/>
                <w:kern w:val="0"/>
                <w:sz w:val="24"/>
                <w:szCs w:val="24"/>
                <w:highlight w:val="none"/>
                <w:lang w:val="en-US" w:eastAsia="zh-CN" w:bidi="ar-SA"/>
              </w:rPr>
              <w:t>5</w:t>
            </w:r>
            <w:r>
              <w:rPr>
                <w:rFonts w:hint="eastAsia" w:ascii="Times New Roman" w:hAnsi="Times New Roman" w:cs="Times New Roman" w:eastAsiaTheme="minorEastAsia"/>
                <w:kern w:val="0"/>
                <w:sz w:val="24"/>
                <w:szCs w:val="24"/>
                <w:highlight w:val="none"/>
                <w:lang w:val="en-US" w:eastAsia="zh-CN" w:bidi="ar-SA"/>
              </w:rPr>
              <w:t>分，最多得</w:t>
            </w:r>
            <w:r>
              <w:rPr>
                <w:rFonts w:hint="eastAsia" w:ascii="Times New Roman" w:hAnsi="Times New Roman" w:cs="Times New Roman"/>
                <w:kern w:val="0"/>
                <w:sz w:val="24"/>
                <w:szCs w:val="24"/>
                <w:highlight w:val="none"/>
                <w:lang w:val="en-US" w:eastAsia="zh-CN" w:bidi="ar-SA"/>
              </w:rPr>
              <w:t>10</w:t>
            </w:r>
            <w:r>
              <w:rPr>
                <w:rFonts w:hint="eastAsia" w:ascii="Times New Roman" w:hAnsi="Times New Roman" w:cs="Times New Roman" w:eastAsiaTheme="minorEastAsia"/>
                <w:kern w:val="0"/>
                <w:sz w:val="24"/>
                <w:szCs w:val="24"/>
                <w:highlight w:val="none"/>
                <w:lang w:val="en-US" w:eastAsia="zh-CN" w:bidi="ar-SA"/>
              </w:rPr>
              <w:t>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bidi="ar-SA"/>
              </w:rPr>
              <w:t>注：须提供招标委托代理协议复印件、招标采购公告和中标（成交）公示网页截图（同时提供网址链接），时间及金额以中标（成交）公告显示内容为准，未提供的此项不得分。</w:t>
            </w:r>
          </w:p>
        </w:tc>
      </w:tr>
      <w:permEnd w:id="75"/>
      <w:permEnd w:id="76"/>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8" w:edGrp="everyone" w:colFirst="1" w:colLast="1"/>
            <w:permStart w:id="79" w:edGrp="everyone" w:colFirst="2" w:colLast="2"/>
            <w:permStart w:id="8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项目负责人资历和业绩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Style w:val="5"/>
              <w:ind w:firstLine="480" w:firstLineChars="200"/>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投标人提供</w:t>
            </w:r>
            <w:r>
              <w:rPr>
                <w:rFonts w:hint="default" w:ascii="Times New Roman" w:hAnsi="Times New Roman" w:cs="Times New Roman"/>
                <w:kern w:val="0"/>
                <w:sz w:val="24"/>
                <w:szCs w:val="24"/>
                <w:highlight w:val="none"/>
                <w:lang w:val="en-US" w:eastAsia="zh-CN"/>
              </w:rPr>
              <w:t>2020年1月1日起至今拟派的项目负责人</w:t>
            </w:r>
            <w:r>
              <w:rPr>
                <w:rFonts w:hint="eastAsia" w:ascii="Times New Roman" w:hAnsi="Times New Roman" w:cs="Times New Roman"/>
                <w:kern w:val="0"/>
                <w:sz w:val="24"/>
                <w:szCs w:val="24"/>
                <w:highlight w:val="none"/>
                <w:lang w:val="en-US" w:eastAsia="zh-CN"/>
              </w:rPr>
              <w:t>负责的单个项目中标</w:t>
            </w:r>
            <w:r>
              <w:rPr>
                <w:rFonts w:hint="eastAsia" w:ascii="Times New Roman" w:hAnsi="Times New Roman" w:cs="Times New Roman" w:eastAsiaTheme="minorEastAsia"/>
                <w:kern w:val="0"/>
                <w:sz w:val="24"/>
                <w:szCs w:val="24"/>
                <w:highlight w:val="none"/>
                <w:lang w:val="en-US" w:eastAsia="zh-CN" w:bidi="ar-SA"/>
              </w:rPr>
              <w:t>金额不低于</w:t>
            </w:r>
            <w:r>
              <w:rPr>
                <w:rFonts w:hint="eastAsia" w:ascii="Times New Roman" w:hAnsi="Times New Roman" w:cs="Times New Roman"/>
                <w:kern w:val="0"/>
                <w:sz w:val="24"/>
                <w:szCs w:val="24"/>
                <w:highlight w:val="none"/>
                <w:lang w:val="en-US" w:eastAsia="zh-CN" w:bidi="ar-SA"/>
              </w:rPr>
              <w:t>10000</w:t>
            </w:r>
            <w:r>
              <w:rPr>
                <w:rFonts w:hint="eastAsia" w:ascii="Times New Roman" w:hAnsi="Times New Roman" w:cs="Times New Roman" w:eastAsiaTheme="minorEastAsia"/>
                <w:kern w:val="0"/>
                <w:sz w:val="24"/>
                <w:szCs w:val="24"/>
                <w:highlight w:val="none"/>
                <w:lang w:val="en-US" w:eastAsia="zh-CN" w:bidi="ar-SA"/>
              </w:rPr>
              <w:t>万元的</w:t>
            </w:r>
            <w:r>
              <w:rPr>
                <w:rFonts w:hint="eastAsia" w:ascii="Times New Roman" w:hAnsi="Times New Roman" w:cs="Times New Roman"/>
                <w:kern w:val="0"/>
                <w:sz w:val="24"/>
                <w:szCs w:val="24"/>
                <w:highlight w:val="none"/>
                <w:lang w:val="en-US" w:eastAsia="zh-CN" w:bidi="ar-SA"/>
              </w:rPr>
              <w:t>建筑</w:t>
            </w:r>
            <w:r>
              <w:rPr>
                <w:rFonts w:hint="eastAsia" w:ascii="Times New Roman" w:hAnsi="Times New Roman" w:cs="Times New Roman" w:eastAsiaTheme="minorEastAsia"/>
                <w:kern w:val="0"/>
                <w:sz w:val="24"/>
                <w:szCs w:val="24"/>
                <w:highlight w:val="none"/>
                <w:lang w:val="en-US" w:eastAsia="zh-CN" w:bidi="ar-SA"/>
              </w:rPr>
              <w:t>工程</w:t>
            </w:r>
            <w:r>
              <w:rPr>
                <w:rFonts w:hint="eastAsia" w:ascii="Times New Roman" w:hAnsi="Times New Roman" w:cs="Times New Roman"/>
                <w:kern w:val="0"/>
                <w:sz w:val="24"/>
                <w:szCs w:val="24"/>
                <w:highlight w:val="none"/>
                <w:lang w:val="en-US" w:eastAsia="zh-CN" w:bidi="ar-SA"/>
              </w:rPr>
              <w:t>施工总承包</w:t>
            </w:r>
            <w:r>
              <w:rPr>
                <w:rFonts w:hint="eastAsia" w:ascii="Times New Roman" w:hAnsi="Times New Roman" w:cs="Times New Roman" w:eastAsiaTheme="minorEastAsia"/>
                <w:kern w:val="0"/>
                <w:sz w:val="24"/>
                <w:szCs w:val="24"/>
                <w:highlight w:val="none"/>
                <w:lang w:val="en-US" w:eastAsia="zh-CN" w:bidi="ar-SA"/>
              </w:rPr>
              <w:t>公开招标代理业绩的</w:t>
            </w:r>
            <w:r>
              <w:rPr>
                <w:rFonts w:hint="default" w:ascii="Times New Roman" w:hAnsi="Times New Roman" w:cs="Times New Roman"/>
                <w:kern w:val="0"/>
                <w:sz w:val="24"/>
                <w:szCs w:val="24"/>
                <w:highlight w:val="none"/>
                <w:lang w:val="en-US" w:eastAsia="zh-CN"/>
              </w:rPr>
              <w:t>，得</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，最高得5分</w:t>
            </w:r>
            <w:r>
              <w:rPr>
                <w:rFonts w:hint="default" w:ascii="Times New Roman" w:hAnsi="Times New Roman" w:cs="Times New Roman"/>
                <w:kern w:val="0"/>
                <w:sz w:val="24"/>
                <w:szCs w:val="24"/>
                <w:highlight w:val="none"/>
                <w:lang w:val="en-US" w:eastAsia="zh-CN"/>
              </w:rPr>
              <w:t>。</w:t>
            </w:r>
          </w:p>
          <w:p>
            <w:pPr>
              <w:pStyle w:val="5"/>
              <w:ind w:firstLine="480" w:firstLineChars="200"/>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w:t>
            </w:r>
            <w:r>
              <w:rPr>
                <w:rFonts w:hint="eastAsia" w:ascii="Times New Roman" w:hAnsi="Times New Roman" w:cs="Times New Roman" w:eastAsiaTheme="minorEastAsia"/>
                <w:kern w:val="0"/>
                <w:sz w:val="24"/>
                <w:szCs w:val="24"/>
                <w:highlight w:val="none"/>
                <w:lang w:val="en-US" w:eastAsia="zh-CN" w:bidi="ar-SA"/>
              </w:rPr>
              <w:t>须提供招标委托代理协议复印件、招标采购公告和中标（成交）公示网页截图（同时提供网址链接），时间及金额以中标（成交）公告显示内容为准，</w:t>
            </w:r>
            <w:r>
              <w:rPr>
                <w:rFonts w:hint="eastAsia" w:ascii="Times New Roman" w:hAnsi="Times New Roman" w:cs="Times New Roman"/>
                <w:kern w:val="0"/>
                <w:sz w:val="24"/>
                <w:szCs w:val="24"/>
                <w:highlight w:val="none"/>
                <w:lang w:val="en-US" w:eastAsia="zh-CN"/>
              </w:rPr>
              <w:t>招标委托代理协议需体现拟派项目负责人身份信息，无法体现的，应出具业主证明材料予以佐证。</w:t>
            </w:r>
          </w:p>
        </w:tc>
      </w:tr>
      <w:permEnd w:id="78"/>
      <w:permEnd w:id="79"/>
      <w:permEnd w:id="8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1" w:edGrp="everyone" w:colFirst="1" w:colLast="1"/>
            <w:permStart w:id="82" w:edGrp="everyone" w:colFirst="2" w:colLast="2"/>
            <w:permStart w:id="83"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其他主要人员资历和业绩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响应人为本项目配备的服务人员的资质、从业经验等横向比较。拟派参与项目的其他人员：(1)填报的人员在数量、素质上应满足工作需要；(2)配备的人员有较丰富的招标代理服务经验；(3)配备的人员应该相对固定，以便于和选聘人沟通；(4)对拟派人员履约的承诺及相关措施说明。</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优者得 3（不含）-5（含）分，良者得1（不含）-3分（含），差者0-1分（含）。</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以</w:t>
            </w:r>
            <w:r>
              <w:rPr>
                <w:rFonts w:hint="eastAsia" w:ascii="Times New Roman" w:hAnsi="Times New Roman" w:cs="Times New Roman"/>
                <w:kern w:val="0"/>
                <w:sz w:val="24"/>
                <w:szCs w:val="24"/>
                <w:highlight w:val="none"/>
                <w:lang w:val="en-US" w:eastAsia="zh-CN"/>
              </w:rPr>
              <w:t>投标</w:t>
            </w:r>
            <w:r>
              <w:rPr>
                <w:rFonts w:hint="default" w:ascii="Times New Roman" w:hAnsi="Times New Roman" w:cs="Times New Roman"/>
                <w:kern w:val="0"/>
                <w:sz w:val="24"/>
                <w:szCs w:val="24"/>
                <w:highlight w:val="none"/>
                <w:lang w:val="en-US" w:eastAsia="zh-CN"/>
              </w:rPr>
              <w:t>文件中项目组人员</w:t>
            </w:r>
            <w:r>
              <w:rPr>
                <w:rFonts w:hint="eastAsia" w:ascii="Times New Roman" w:hAnsi="Times New Roman" w:cs="Times New Roman"/>
                <w:kern w:val="0"/>
                <w:sz w:val="24"/>
                <w:szCs w:val="24"/>
                <w:highlight w:val="none"/>
                <w:lang w:val="en-US" w:eastAsia="zh-CN"/>
              </w:rPr>
              <w:t>持有的有效</w:t>
            </w:r>
            <w:r>
              <w:rPr>
                <w:rFonts w:hint="default" w:ascii="Times New Roman" w:hAnsi="Times New Roman" w:cs="Times New Roman"/>
                <w:kern w:val="0"/>
                <w:sz w:val="24"/>
                <w:szCs w:val="24"/>
                <w:highlight w:val="none"/>
                <w:lang w:val="en-US" w:eastAsia="zh-CN"/>
              </w:rPr>
              <w:t>证书和</w:t>
            </w:r>
            <w:r>
              <w:rPr>
                <w:rFonts w:hint="eastAsia" w:ascii="Times New Roman" w:hAnsi="Times New Roman" w:cs="Times New Roman"/>
                <w:kern w:val="0"/>
                <w:sz w:val="24"/>
                <w:szCs w:val="24"/>
                <w:highlight w:val="none"/>
                <w:lang w:val="en-US" w:eastAsia="zh-CN"/>
              </w:rPr>
              <w:t>投标</w:t>
            </w:r>
            <w:r>
              <w:rPr>
                <w:rFonts w:hint="default" w:ascii="Times New Roman" w:hAnsi="Times New Roman" w:cs="Times New Roman"/>
                <w:kern w:val="0"/>
                <w:sz w:val="24"/>
                <w:szCs w:val="24"/>
                <w:highlight w:val="none"/>
                <w:lang w:val="en-US" w:eastAsia="zh-CN"/>
              </w:rPr>
              <w:t>人给项目组成员缴纳的近三个月的社保</w:t>
            </w:r>
            <w:r>
              <w:rPr>
                <w:rFonts w:hint="eastAsia" w:ascii="Times New Roman" w:hAnsi="Times New Roman" w:cs="Times New Roman"/>
                <w:kern w:val="0"/>
                <w:sz w:val="24"/>
                <w:szCs w:val="24"/>
                <w:highlight w:val="none"/>
                <w:lang w:val="en-US" w:eastAsia="zh-CN"/>
              </w:rPr>
              <w:t>复印件</w:t>
            </w:r>
            <w:r>
              <w:rPr>
                <w:rFonts w:hint="default" w:ascii="Times New Roman" w:hAnsi="Times New Roman" w:cs="Times New Roman"/>
                <w:kern w:val="0"/>
                <w:sz w:val="24"/>
                <w:szCs w:val="24"/>
                <w:highlight w:val="none"/>
                <w:lang w:val="en-US" w:eastAsia="zh-CN"/>
              </w:rPr>
              <w:t>为评审依据。</w:t>
            </w:r>
          </w:p>
        </w:tc>
      </w:tr>
      <w:permEnd w:id="81"/>
      <w:permEnd w:id="82"/>
      <w:permEnd w:id="8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4" w:edGrp="everyone" w:colFirst="1" w:colLast="1"/>
            <w:permStart w:id="85" w:edGrp="everyone" w:colFirst="2" w:colLast="2"/>
            <w:permStart w:id="86"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30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招标代理工作方案</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8</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宋体" w:hAnsi="宋体" w:cs="宋体" w:eastAsiaTheme="minorEastAsia"/>
                <w:bCs/>
                <w:szCs w:val="21"/>
                <w:lang w:eastAsia="zh-CN"/>
              </w:rPr>
            </w:pPr>
            <w:r>
              <w:rPr>
                <w:rFonts w:hint="eastAsia" w:ascii="宋体" w:hAnsi="宋体" w:cs="宋体"/>
                <w:bCs/>
                <w:szCs w:val="21"/>
              </w:rPr>
              <w:t>招标代理工作方案</w:t>
            </w:r>
            <w:r>
              <w:rPr>
                <w:rFonts w:hint="eastAsia" w:ascii="宋体" w:hAnsi="宋体" w:cs="宋体"/>
                <w:bCs/>
                <w:szCs w:val="21"/>
                <w:lang w:val="en-US" w:eastAsia="zh-CN"/>
              </w:rPr>
              <w:t>应当</w:t>
            </w:r>
            <w:r>
              <w:rPr>
                <w:rFonts w:hint="eastAsia" w:ascii="宋体" w:hAnsi="宋体" w:cs="宋体"/>
                <w:bCs/>
                <w:szCs w:val="21"/>
              </w:rPr>
              <w:t>详细，针对性强，操作性强，内容具体，能充分体现本项目的招标特点，能提出行之有效的措施</w:t>
            </w:r>
            <w:r>
              <w:rPr>
                <w:rFonts w:hint="eastAsia" w:ascii="宋体" w:hAnsi="宋体" w:cs="宋体"/>
                <w:bCs/>
                <w:szCs w:val="21"/>
                <w:lang w:eastAsia="zh-CN"/>
              </w:rPr>
              <w:t>。</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宋体" w:hAnsi="宋体" w:cs="宋体"/>
                <w:bCs/>
                <w:szCs w:val="21"/>
                <w:lang w:val="en-US" w:eastAsia="zh-CN"/>
              </w:rPr>
              <w:t>优得5-8分，一般得2-5分，差得0-2分，没有不得分。</w:t>
            </w:r>
          </w:p>
        </w:tc>
      </w:tr>
      <w:permEnd w:id="84"/>
      <w:permEnd w:id="85"/>
      <w:permEnd w:id="8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7" w:edGrp="everyone" w:colFirst="2" w:colLast="2"/>
            <w:permStart w:id="88"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服务质量承诺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8</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宋体" w:hAnsi="宋体" w:cs="宋体" w:eastAsiaTheme="minorEastAsia"/>
                <w:bCs/>
                <w:szCs w:val="21"/>
                <w:lang w:eastAsia="zh-CN"/>
              </w:rPr>
            </w:pPr>
            <w:r>
              <w:rPr>
                <w:rFonts w:hint="eastAsia" w:ascii="宋体" w:hAnsi="宋体" w:cs="宋体"/>
                <w:bCs/>
                <w:szCs w:val="21"/>
              </w:rPr>
              <w:t>服务质量承诺内容</w:t>
            </w:r>
            <w:r>
              <w:rPr>
                <w:rFonts w:hint="eastAsia" w:ascii="宋体" w:hAnsi="宋体" w:cs="宋体"/>
                <w:bCs/>
                <w:szCs w:val="21"/>
                <w:lang w:val="en-US" w:eastAsia="zh-CN"/>
              </w:rPr>
              <w:t>应当</w:t>
            </w:r>
            <w:r>
              <w:rPr>
                <w:rFonts w:hint="eastAsia" w:ascii="宋体" w:hAnsi="宋体" w:cs="宋体"/>
                <w:bCs/>
                <w:szCs w:val="21"/>
              </w:rPr>
              <w:t>具体，针对性强，切实可行，按时完成招标代理服务工作，并附具体可行的违约责任及相关承诺的</w:t>
            </w:r>
            <w:r>
              <w:rPr>
                <w:rFonts w:hint="eastAsia" w:ascii="宋体" w:hAnsi="宋体" w:cs="宋体"/>
                <w:bCs/>
                <w:szCs w:val="21"/>
                <w:lang w:eastAsia="zh-CN"/>
              </w:rPr>
              <w:t>。</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eastAsiaTheme="minorEastAsia"/>
                <w:i/>
                <w:iCs/>
                <w:color w:val="FF0000"/>
                <w:kern w:val="0"/>
                <w:sz w:val="24"/>
                <w:szCs w:val="24"/>
                <w:highlight w:val="none"/>
                <w:u w:val="single"/>
                <w:lang w:val="en-US" w:eastAsia="zh-CN"/>
              </w:rPr>
            </w:pPr>
            <w:r>
              <w:rPr>
                <w:rFonts w:hint="eastAsia" w:ascii="宋体" w:hAnsi="宋体" w:cs="宋体"/>
                <w:bCs/>
                <w:szCs w:val="21"/>
                <w:lang w:val="en-US" w:eastAsia="zh-CN"/>
              </w:rPr>
              <w:t>优得5-8分，一般得2-5分，差得0-2分，没有不得分。</w:t>
            </w:r>
          </w:p>
        </w:tc>
      </w:tr>
      <w:permEnd w:id="87"/>
      <w:permEnd w:id="8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9" w:edGrp="everyone" w:colFirst="2" w:colLast="2"/>
            <w:permStart w:id="90"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人员安排和招标时间计划</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8</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宋体" w:hAnsi="宋体" w:cs="宋体"/>
                <w:bCs/>
                <w:szCs w:val="21"/>
              </w:rPr>
            </w:pPr>
            <w:r>
              <w:rPr>
                <w:rFonts w:hint="eastAsia" w:ascii="宋体" w:hAnsi="宋体" w:cs="宋体"/>
                <w:bCs/>
                <w:szCs w:val="21"/>
              </w:rPr>
              <w:t>主要根据投标方是否制定紧凑、科学、可行的工作计划和时间安排表，投入的人力物力保证进度计划的实现，拟投入工作量等进行评分，如何保证计划安排的有效落实情况评分。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eastAsiaTheme="minorEastAsia"/>
                <w:i/>
                <w:iCs/>
                <w:color w:val="FF0000"/>
                <w:kern w:val="0"/>
                <w:sz w:val="24"/>
                <w:szCs w:val="24"/>
                <w:highlight w:val="none"/>
                <w:u w:val="single"/>
                <w:lang w:val="en-US" w:eastAsia="zh-CN"/>
              </w:rPr>
            </w:pPr>
            <w:r>
              <w:rPr>
                <w:rFonts w:hint="eastAsia" w:ascii="宋体" w:hAnsi="宋体" w:cs="宋体"/>
                <w:bCs/>
                <w:szCs w:val="21"/>
                <w:lang w:val="en-US" w:eastAsia="zh-CN"/>
              </w:rPr>
              <w:t>优得5-8分，一般得2-5分，差得0-2分，没有不得分。</w:t>
            </w:r>
          </w:p>
        </w:tc>
      </w:tr>
      <w:permEnd w:id="89"/>
      <w:permEnd w:id="9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1" w:edGrp="everyone" w:colFirst="2" w:colLast="2"/>
            <w:permStart w:id="92"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提供的其他服务和方案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kern w:val="0"/>
                <w:sz w:val="24"/>
                <w:szCs w:val="24"/>
                <w:highlight w:val="none"/>
                <w:lang w:val="en-US" w:eastAsia="zh-CN"/>
              </w:rPr>
              <w:t>(4分)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宋体" w:hAnsi="宋体" w:cs="宋体"/>
                <w:bCs/>
                <w:szCs w:val="21"/>
                <w:lang w:val="en-US" w:eastAsia="zh-CN"/>
              </w:rPr>
            </w:pPr>
            <w:r>
              <w:rPr>
                <w:rFonts w:hint="eastAsia" w:ascii="宋体" w:hAnsi="宋体" w:cs="宋体"/>
                <w:bCs/>
                <w:szCs w:val="21"/>
                <w:lang w:val="en-US" w:eastAsia="zh-CN"/>
              </w:rPr>
              <w:t>投标人根据企业自身情况，结合项目特点，按相关文件规定应提供的服务范围外，额外免费提供给招标人的服务进行承诺和阐述。</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宋体" w:hAnsi="宋体" w:cs="宋体"/>
                <w:bCs/>
                <w:szCs w:val="21"/>
                <w:lang w:val="en-US" w:eastAsia="zh-CN"/>
              </w:rPr>
            </w:pPr>
            <w:r>
              <w:rPr>
                <w:rFonts w:hint="eastAsia" w:ascii="宋体" w:hAnsi="宋体" w:cs="宋体"/>
                <w:bCs/>
                <w:szCs w:val="21"/>
                <w:lang w:val="en-US" w:eastAsia="zh-CN"/>
              </w:rPr>
              <w:t>优得3-4分，一般得1-3分，差得0-1分，没有不得分。</w:t>
            </w:r>
          </w:p>
        </w:tc>
      </w:tr>
      <w:permEnd w:id="91"/>
      <w:permEnd w:id="9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3" w:edGrp="everyone" w:colFirst="1" w:colLast="1"/>
            <w:permStart w:id="94" w:edGrp="everyone" w:colFirst="2" w:colLast="2"/>
            <w:permStart w:id="9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合理化建议</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宋体" w:hAnsi="宋体" w:cs="宋体"/>
                <w:bCs/>
                <w:szCs w:val="21"/>
                <w:lang w:val="en-US" w:eastAsia="zh-CN"/>
              </w:rPr>
            </w:pPr>
            <w:r>
              <w:rPr>
                <w:rFonts w:hint="eastAsia" w:ascii="宋体" w:hAnsi="宋体" w:cs="宋体"/>
                <w:bCs/>
                <w:szCs w:val="21"/>
                <w:lang w:val="en-US" w:eastAsia="zh-CN"/>
              </w:rPr>
              <w:t>有效合理建议和可行措施每项得 0.5-1分，本项满分2分，多分不计。</w:t>
            </w:r>
          </w:p>
        </w:tc>
      </w:tr>
      <w:permEnd w:id="93"/>
      <w:permEnd w:id="94"/>
      <w:permEnd w:id="9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6" w:edGrp="everyone" w:colFirst="1" w:colLast="1"/>
            <w:permStart w:id="97" w:edGrp="everyone" w:colFirst="2" w:colLast="2"/>
            <w:permStart w:id="98"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宋体" w:hAnsi="宋体" w:cs="宋体"/>
                <w:color w:val="000000" w:themeColor="text1"/>
                <w:szCs w:val="21"/>
                <w:lang w:val="en-US" w:eastAsia="zh-CN"/>
                <w14:textFill>
                  <w14:solidFill>
                    <w14:schemeClr w14:val="tx1"/>
                  </w14:solidFill>
                </w14:textFill>
              </w:rPr>
              <w:t>投标人</w:t>
            </w:r>
            <w:r>
              <w:rPr>
                <w:rFonts w:hint="eastAsia" w:ascii="宋体" w:hAnsi="宋体" w:cs="宋体"/>
                <w:color w:val="000000" w:themeColor="text1"/>
                <w:szCs w:val="21"/>
                <w14:textFill>
                  <w14:solidFill>
                    <w14:schemeClr w14:val="tx1"/>
                  </w14:solidFill>
                </w14:textFill>
              </w:rPr>
              <w:t>报价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50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以所有有效投标人报价算数平均值作为基准价，等于基准价的报价为满分50分，每高于基准价1%扣0.5分，每低于基准价1%扣0.3分，公式如下：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投标报价等于基准价的，得满分50分；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投标报价高于基准价的，报价得分计算公式：50-（投标报价-基准价）/基准价*0.5*100；</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投标报价低于基准价的，报价得分计算公式：50</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（基准价-投标报价）/基准价*0.3*100。</w:t>
            </w:r>
          </w:p>
        </w:tc>
      </w:tr>
      <w:permEnd w:id="96"/>
      <w:permEnd w:id="97"/>
      <w:permEnd w:id="9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9" w:edGrp="everyone" w:colFirst="1" w:colLast="1"/>
            <w:permStart w:id="100" w:edGrp="everyone" w:colFirst="2" w:colLast="2"/>
            <w:permStart w:id="101"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iCs/>
                <w:color w:val="FF0000"/>
                <w:kern w:val="0"/>
                <w:sz w:val="24"/>
                <w:szCs w:val="24"/>
                <w:highlight w:val="none"/>
                <w:u w:val="single"/>
                <w:lang w:val="en-US" w:eastAsia="zh-CN"/>
              </w:rPr>
              <w:t>/</w:t>
            </w:r>
          </w:p>
        </w:tc>
      </w:tr>
      <w:permEnd w:id="99"/>
      <w:permEnd w:id="100"/>
      <w:permEnd w:id="101"/>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9" w:name="_Toc296602478"/>
      <w:bookmarkStart w:id="380" w:name="_Toc247085748"/>
      <w:bookmarkStart w:id="381" w:name="_Toc246996233"/>
      <w:bookmarkStart w:id="382" w:name="_Toc246996976"/>
      <w:bookmarkStart w:id="383" w:name="_Toc179632608"/>
      <w:bookmarkStart w:id="384" w:name="_Toc144974557"/>
      <w:bookmarkStart w:id="385" w:name="_Toc152045590"/>
      <w:bookmarkStart w:id="386" w:name="_Toc152042367"/>
      <w:r>
        <w:rPr>
          <w:rFonts w:hint="default" w:ascii="Times New Roman" w:hAnsi="Times New Roman" w:cs="Times New Roman" w:eastAsiaTheme="minorEastAsia"/>
          <w:b/>
          <w:bCs/>
          <w:kern w:val="0"/>
          <w:sz w:val="28"/>
          <w:szCs w:val="28"/>
          <w:highlight w:val="none"/>
        </w:rPr>
        <w:t>2. 评审标准</w:t>
      </w:r>
      <w:bookmarkEnd w:id="379"/>
      <w:bookmarkEnd w:id="380"/>
      <w:bookmarkEnd w:id="381"/>
      <w:bookmarkEnd w:id="382"/>
      <w:bookmarkEnd w:id="383"/>
      <w:bookmarkEnd w:id="384"/>
      <w:bookmarkEnd w:id="385"/>
      <w:bookmarkEnd w:id="38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7" w:name="_Toc152042368"/>
      <w:bookmarkStart w:id="388" w:name="_Toc152045591"/>
      <w:bookmarkStart w:id="389" w:name="_Toc246996234"/>
      <w:bookmarkStart w:id="390" w:name="_Toc179632609"/>
      <w:bookmarkStart w:id="391" w:name="_Toc247085749"/>
      <w:bookmarkStart w:id="392" w:name="_Toc144974558"/>
      <w:bookmarkStart w:id="393" w:name="_Toc296602479"/>
      <w:bookmarkStart w:id="394" w:name="_Toc246996977"/>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7"/>
      <w:bookmarkEnd w:id="388"/>
      <w:bookmarkEnd w:id="389"/>
      <w:bookmarkEnd w:id="390"/>
      <w:bookmarkEnd w:id="391"/>
      <w:bookmarkEnd w:id="392"/>
      <w:bookmarkEnd w:id="393"/>
      <w:bookmarkEnd w:id="394"/>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5" w:name="_Toc152045593"/>
      <w:bookmarkStart w:id="396" w:name="_Toc179632611"/>
      <w:bookmarkStart w:id="397" w:name="_Toc246996979"/>
      <w:bookmarkStart w:id="398" w:name="_Toc296602481"/>
      <w:bookmarkStart w:id="399" w:name="_Toc246996236"/>
      <w:bookmarkStart w:id="400" w:name="_Toc144974560"/>
      <w:bookmarkStart w:id="401" w:name="_Toc247085751"/>
      <w:bookmarkStart w:id="402" w:name="_Toc15204237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102" w:edGrp="everyone"/>
      <w:r>
        <w:rPr>
          <w:rFonts w:hint="eastAsia" w:ascii="Times New Roman" w:hAnsi="Times New Roman" w:cs="Times New Roman"/>
          <w:kern w:val="0"/>
          <w:sz w:val="24"/>
          <w:szCs w:val="24"/>
          <w:highlight w:val="none"/>
          <w:lang w:val="en-US" w:eastAsia="zh-CN"/>
        </w:rPr>
        <w:t>资信业绩</w:t>
      </w:r>
      <w:permEnd w:id="102"/>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103" w:edGrp="everyone"/>
      <w:r>
        <w:rPr>
          <w:rFonts w:hint="eastAsia" w:ascii="Times New Roman" w:hAnsi="Times New Roman" w:cs="Times New Roman"/>
          <w:kern w:val="0"/>
          <w:sz w:val="24"/>
          <w:szCs w:val="24"/>
          <w:highlight w:val="none"/>
          <w:lang w:val="en-US" w:eastAsia="zh-CN"/>
        </w:rPr>
        <w:t>服务方案</w:t>
      </w:r>
      <w:permEnd w:id="103"/>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104" w:edGrp="everyone"/>
      <w:r>
        <w:rPr>
          <w:rFonts w:hint="eastAsia" w:ascii="Times New Roman" w:hAnsi="Times New Roman" w:cs="Times New Roman" w:eastAsiaTheme="minorEastAsia"/>
          <w:kern w:val="0"/>
          <w:sz w:val="24"/>
          <w:szCs w:val="24"/>
          <w:highlight w:val="none"/>
          <w:lang w:val="en-US" w:eastAsia="zh-CN"/>
        </w:rPr>
        <w:t>投标报价</w:t>
      </w:r>
      <w:permEnd w:id="104"/>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105" w:edGrp="everyone"/>
      <w:r>
        <w:rPr>
          <w:rFonts w:hint="eastAsia" w:ascii="Times New Roman" w:hAnsi="Times New Roman" w:cs="Times New Roman" w:eastAsiaTheme="minorEastAsia"/>
          <w:kern w:val="0"/>
          <w:sz w:val="24"/>
          <w:szCs w:val="24"/>
          <w:highlight w:val="none"/>
          <w:lang w:val="en-US" w:eastAsia="zh-CN"/>
        </w:rPr>
        <w:t>其他评分因素</w:t>
      </w:r>
      <w:permEnd w:id="105"/>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10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6"/>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0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7"/>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08"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0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09"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09"/>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5"/>
      <w:bookmarkEnd w:id="396"/>
      <w:bookmarkEnd w:id="397"/>
      <w:bookmarkEnd w:id="398"/>
      <w:bookmarkEnd w:id="399"/>
      <w:bookmarkEnd w:id="400"/>
      <w:bookmarkEnd w:id="401"/>
      <w:bookmarkEnd w:id="402"/>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3" w:name="_Toc144974561"/>
      <w:bookmarkStart w:id="404" w:name="_Toc152042371"/>
      <w:bookmarkStart w:id="405" w:name="_Toc246996237"/>
      <w:bookmarkStart w:id="406" w:name="_Toc179632612"/>
      <w:bookmarkStart w:id="407" w:name="_Toc246996980"/>
      <w:bookmarkStart w:id="408" w:name="_Toc247085752"/>
      <w:bookmarkStart w:id="409" w:name="_Toc296602482"/>
      <w:bookmarkStart w:id="410" w:name="_Toc152045594"/>
      <w:r>
        <w:rPr>
          <w:rFonts w:hint="default" w:ascii="Times New Roman" w:hAnsi="Times New Roman" w:cs="Times New Roman" w:eastAsiaTheme="minorEastAsia"/>
          <w:b/>
          <w:bCs/>
          <w:kern w:val="0"/>
          <w:sz w:val="28"/>
          <w:szCs w:val="28"/>
          <w:highlight w:val="none"/>
        </w:rPr>
        <w:t>3.1 初步评审</w:t>
      </w:r>
      <w:bookmarkEnd w:id="403"/>
      <w:bookmarkEnd w:id="404"/>
      <w:bookmarkEnd w:id="405"/>
      <w:bookmarkEnd w:id="406"/>
      <w:bookmarkEnd w:id="407"/>
      <w:bookmarkEnd w:id="408"/>
      <w:bookmarkEnd w:id="409"/>
      <w:bookmarkEnd w:id="41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1" w:name="_Toc246996238"/>
      <w:bookmarkStart w:id="412" w:name="_Toc144974562"/>
      <w:bookmarkStart w:id="413" w:name="_Toc179632613"/>
      <w:bookmarkStart w:id="414" w:name="_Toc296602483"/>
      <w:bookmarkStart w:id="415" w:name="_Toc152042372"/>
      <w:bookmarkStart w:id="416" w:name="_Toc246996981"/>
      <w:bookmarkStart w:id="417" w:name="_Toc152045595"/>
      <w:bookmarkStart w:id="418" w:name="_Toc247085753"/>
      <w:r>
        <w:rPr>
          <w:rFonts w:hint="default" w:ascii="Times New Roman" w:hAnsi="Times New Roman" w:cs="Times New Roman" w:eastAsiaTheme="minorEastAsia"/>
          <w:b/>
          <w:bCs/>
          <w:kern w:val="0"/>
          <w:sz w:val="28"/>
          <w:szCs w:val="28"/>
          <w:highlight w:val="none"/>
        </w:rPr>
        <w:t>3.2 详细评审</w:t>
      </w:r>
      <w:bookmarkEnd w:id="411"/>
      <w:bookmarkEnd w:id="412"/>
      <w:bookmarkEnd w:id="413"/>
      <w:bookmarkEnd w:id="414"/>
      <w:bookmarkEnd w:id="415"/>
      <w:bookmarkEnd w:id="416"/>
      <w:bookmarkEnd w:id="417"/>
      <w:bookmarkEnd w:id="418"/>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9" w:name="_Toc144974563"/>
      <w:bookmarkStart w:id="420" w:name="_Toc152045596"/>
      <w:bookmarkStart w:id="421" w:name="_Toc296602484"/>
      <w:bookmarkStart w:id="422" w:name="_Toc152042373"/>
      <w:bookmarkStart w:id="423" w:name="_Toc246996982"/>
      <w:bookmarkStart w:id="424" w:name="_Toc246996239"/>
      <w:bookmarkStart w:id="425" w:name="_Toc179632614"/>
      <w:bookmarkStart w:id="426" w:name="_Toc24708575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1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permEnd w:id="110"/>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1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permEnd w:id="111"/>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1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12"/>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1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13"/>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9"/>
      <w:r>
        <w:rPr>
          <w:rFonts w:hint="default" w:ascii="Times New Roman" w:hAnsi="Times New Roman" w:cs="Times New Roman" w:eastAsiaTheme="minorEastAsia"/>
          <w:b/>
          <w:bCs/>
          <w:kern w:val="0"/>
          <w:sz w:val="28"/>
          <w:szCs w:val="28"/>
          <w:highlight w:val="none"/>
        </w:rPr>
        <w:t>和补正</w:t>
      </w:r>
      <w:bookmarkEnd w:id="420"/>
      <w:bookmarkEnd w:id="421"/>
      <w:bookmarkEnd w:id="422"/>
      <w:bookmarkEnd w:id="423"/>
      <w:bookmarkEnd w:id="424"/>
      <w:bookmarkEnd w:id="425"/>
      <w:bookmarkEnd w:id="426"/>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4"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亳州通恒置业有限公司  </w:t>
            </w:r>
            <w:permEnd w:id="1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5" w:edGrp="everyone"/>
            <w:r>
              <w:rPr>
                <w:rFonts w:hint="eastAsia" w:ascii="Times New Roman" w:hAnsi="Times New Roman" w:cs="Times New Roman"/>
                <w:kern w:val="0"/>
                <w:sz w:val="24"/>
                <w:szCs w:val="24"/>
                <w:highlight w:val="none"/>
                <w:shd w:val="clear" w:color="auto" w:fill="auto"/>
                <w:vertAlign w:val="baseline"/>
                <w:lang w:val="en-US" w:eastAsia="zh-CN"/>
              </w:rPr>
              <w:t>招标代理服务费由项目中标人承担，收取金额或收费的计算方法，需在招标文件中明示，项目中标人在与发包人签订合同之前应将本合同约定的全部委托代理报酬一次性支付完成，发包人督促中标人执行。</w:t>
            </w:r>
            <w:permEnd w:id="1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6"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 \ </w:t>
            </w:r>
            <w:permEnd w:id="116"/>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pStyle w:val="34"/>
        <w:spacing w:line="360" w:lineRule="exact"/>
        <w:ind w:firstLine="482" w:firstLineChars="200"/>
        <w:rPr>
          <w:rFonts w:ascii="宋体" w:hAnsi="宋体"/>
          <w:sz w:val="24"/>
          <w:szCs w:val="24"/>
        </w:rPr>
      </w:pPr>
      <w:r>
        <w:rPr>
          <w:rFonts w:hint="eastAsia" w:ascii="宋体" w:hAnsi="宋体"/>
          <w:b/>
          <w:sz w:val="24"/>
          <w:szCs w:val="24"/>
        </w:rPr>
        <w:t>发包人要求</w:t>
      </w:r>
      <w:r>
        <w:rPr>
          <w:rFonts w:hint="eastAsia" w:ascii="宋体" w:hAnsi="宋体"/>
          <w:b/>
          <w:sz w:val="24"/>
          <w:szCs w:val="24"/>
          <w:lang w:val="en-US" w:eastAsia="zh-CN"/>
        </w:rPr>
        <w:t>包括但不限于以下内容</w:t>
      </w:r>
      <w:r>
        <w:rPr>
          <w:rFonts w:hint="eastAsia" w:ascii="宋体" w:hAnsi="宋体"/>
          <w:b/>
          <w:sz w:val="24"/>
          <w:szCs w:val="24"/>
        </w:rPr>
        <w:t>：</w:t>
      </w:r>
      <w:r>
        <w:rPr>
          <w:rFonts w:hint="eastAsia" w:ascii="宋体" w:hAnsi="宋体"/>
          <w:sz w:val="24"/>
          <w:szCs w:val="24"/>
        </w:rPr>
        <w:t xml:space="preserve">            </w:t>
      </w:r>
    </w:p>
    <w:p>
      <w:pPr>
        <w:pStyle w:val="34"/>
        <w:spacing w:line="360" w:lineRule="exact"/>
        <w:ind w:firstLine="482" w:firstLineChars="200"/>
        <w:rPr>
          <w:rFonts w:ascii="宋体" w:hAnsi="宋体"/>
          <w:sz w:val="24"/>
          <w:szCs w:val="24"/>
        </w:rPr>
      </w:pPr>
      <w:r>
        <w:rPr>
          <w:rFonts w:hint="eastAsia" w:ascii="宋体" w:hAnsi="宋体"/>
          <w:b/>
          <w:sz w:val="24"/>
          <w:szCs w:val="24"/>
          <w:lang w:val="en-US" w:eastAsia="zh-CN"/>
        </w:rPr>
        <w:t>一、</w:t>
      </w:r>
      <w:r>
        <w:rPr>
          <w:rFonts w:hint="eastAsia" w:ascii="宋体" w:hAnsi="宋体"/>
          <w:b/>
          <w:sz w:val="24"/>
          <w:szCs w:val="24"/>
        </w:rPr>
        <w:t>发包人要求：</w:t>
      </w:r>
      <w:r>
        <w:rPr>
          <w:rFonts w:hint="eastAsia" w:ascii="宋体" w:hAnsi="宋体"/>
          <w:sz w:val="24"/>
          <w:szCs w:val="24"/>
        </w:rPr>
        <w:t xml:space="preserve">            </w:t>
      </w:r>
    </w:p>
    <w:p>
      <w:pPr>
        <w:pStyle w:val="34"/>
        <w:spacing w:line="360" w:lineRule="exact"/>
        <w:ind w:firstLine="480" w:firstLineChars="200"/>
        <w:rPr>
          <w:rFonts w:ascii="宋体" w:hAnsi="宋体"/>
          <w:sz w:val="24"/>
          <w:szCs w:val="24"/>
        </w:rPr>
      </w:pPr>
      <w:r>
        <w:rPr>
          <w:rFonts w:hint="eastAsia" w:ascii="宋体" w:hAnsi="宋体"/>
          <w:sz w:val="24"/>
          <w:szCs w:val="24"/>
        </w:rPr>
        <w:t>1.招标代理机构</w:t>
      </w:r>
      <w:r>
        <w:rPr>
          <w:rFonts w:hint="eastAsia" w:ascii="宋体" w:hAnsi="宋体"/>
          <w:sz w:val="24"/>
          <w:szCs w:val="24"/>
          <w:lang w:val="en-US" w:eastAsia="zh-CN"/>
        </w:rPr>
        <w:t>在接到招标人紧急事件处理，能及时配合招标人处置，招标代理公司需配置一名负责人，两名相关专业的本公司人员，不得使用非公司人员参与本次活动</w:t>
      </w:r>
      <w:r>
        <w:rPr>
          <w:rFonts w:hint="eastAsia" w:ascii="宋体" w:hAnsi="宋体"/>
          <w:sz w:val="24"/>
          <w:szCs w:val="24"/>
        </w:rPr>
        <w:t>。</w:t>
      </w:r>
    </w:p>
    <w:p>
      <w:pPr>
        <w:pStyle w:val="34"/>
        <w:spacing w:line="360" w:lineRule="exact"/>
        <w:ind w:firstLine="480" w:firstLineChars="200"/>
        <w:rPr>
          <w:rFonts w:ascii="宋体" w:hAnsi="宋体"/>
          <w:sz w:val="24"/>
          <w:szCs w:val="24"/>
        </w:rPr>
      </w:pPr>
      <w:r>
        <w:rPr>
          <w:rFonts w:hint="eastAsia" w:ascii="宋体" w:hAnsi="宋体"/>
          <w:sz w:val="24"/>
          <w:szCs w:val="24"/>
        </w:rPr>
        <w:t>2.招标代理机构应当及时与采购人签订招标代理委托合同，明确委托招标范围、服务内容、履约期限等事项，提供质量合格的服务。</w:t>
      </w:r>
    </w:p>
    <w:p>
      <w:pPr>
        <w:pStyle w:val="34"/>
        <w:spacing w:line="360" w:lineRule="exact"/>
        <w:ind w:firstLine="480" w:firstLineChars="200"/>
        <w:rPr>
          <w:rFonts w:ascii="宋体" w:hAnsi="宋体"/>
          <w:sz w:val="24"/>
          <w:szCs w:val="24"/>
        </w:rPr>
      </w:pPr>
      <w:r>
        <w:rPr>
          <w:rFonts w:hint="eastAsia" w:ascii="宋体" w:hAnsi="宋体"/>
          <w:sz w:val="24"/>
          <w:szCs w:val="24"/>
          <w:lang w:val="en-US" w:eastAsia="zh-CN"/>
        </w:rPr>
        <w:t>3</w:t>
      </w:r>
      <w:r>
        <w:rPr>
          <w:rFonts w:hint="eastAsia" w:ascii="宋体" w:hAnsi="宋体"/>
          <w:sz w:val="24"/>
          <w:szCs w:val="24"/>
        </w:rPr>
        <w:t>.由于招标代理机构过错造成提供的招标成果文件（包括资格预审文件、招标文件等）或其他招标代理服务达不到招标代理委托合同的工作深度、质量要求的，招标代理机构应负责修改完善。给采购人带来损失的，应按招标代理委托合同予以赔偿。</w:t>
      </w:r>
    </w:p>
    <w:p>
      <w:pPr>
        <w:pStyle w:val="34"/>
        <w:spacing w:line="360" w:lineRule="exact"/>
        <w:ind w:firstLine="480" w:firstLineChars="200"/>
        <w:rPr>
          <w:rFonts w:ascii="宋体" w:hAnsi="宋体"/>
          <w:sz w:val="24"/>
          <w:szCs w:val="24"/>
        </w:rPr>
      </w:pPr>
      <w:r>
        <w:rPr>
          <w:rFonts w:hint="eastAsia" w:ascii="宋体" w:hAnsi="宋体"/>
          <w:sz w:val="24"/>
          <w:szCs w:val="24"/>
          <w:lang w:val="en-US" w:eastAsia="zh-CN"/>
        </w:rPr>
        <w:t>4</w:t>
      </w:r>
      <w:r>
        <w:rPr>
          <w:rFonts w:hint="eastAsia" w:ascii="宋体" w:hAnsi="宋体"/>
          <w:sz w:val="24"/>
          <w:szCs w:val="24"/>
        </w:rPr>
        <w:t>.招标代理机构服从采购人安排，不得与潜在投标人串通，否则，采购人有权解除代理合同，并赔偿采购人相应损失。</w:t>
      </w:r>
    </w:p>
    <w:p>
      <w:pPr>
        <w:pStyle w:val="34"/>
        <w:spacing w:line="360" w:lineRule="exact"/>
        <w:ind w:firstLine="480" w:firstLineChars="200"/>
        <w:rPr>
          <w:rFonts w:ascii="宋体" w:hAnsi="宋体"/>
          <w:sz w:val="24"/>
          <w:szCs w:val="24"/>
        </w:rPr>
      </w:pPr>
      <w:r>
        <w:rPr>
          <w:rFonts w:hint="eastAsia" w:ascii="宋体" w:hAnsi="宋体"/>
          <w:sz w:val="24"/>
          <w:szCs w:val="24"/>
          <w:lang w:val="en-US" w:eastAsia="zh-CN"/>
        </w:rPr>
        <w:t>5</w:t>
      </w:r>
      <w:r>
        <w:rPr>
          <w:rFonts w:hint="eastAsia" w:ascii="宋体" w:hAnsi="宋体"/>
          <w:sz w:val="24"/>
          <w:szCs w:val="24"/>
        </w:rPr>
        <w:t>.招标代理机构需具备独立完成代理能力，具有很强协调相关主管部门的能力，能帮助业主完成相关协调工作，不能满足业主要求，随时可解除合同。</w:t>
      </w:r>
    </w:p>
    <w:p>
      <w:pPr>
        <w:pStyle w:val="34"/>
        <w:spacing w:line="360" w:lineRule="exact"/>
        <w:ind w:firstLine="480" w:firstLineChars="200"/>
        <w:rPr>
          <w:rFonts w:ascii="宋体" w:hAnsi="宋体"/>
          <w:sz w:val="24"/>
          <w:szCs w:val="24"/>
        </w:rPr>
      </w:pPr>
      <w:r>
        <w:rPr>
          <w:rFonts w:hint="eastAsia" w:ascii="宋体" w:hAnsi="宋体"/>
          <w:sz w:val="24"/>
          <w:szCs w:val="24"/>
          <w:lang w:val="en-US" w:eastAsia="zh-CN"/>
        </w:rPr>
        <w:t>6</w:t>
      </w:r>
      <w:r>
        <w:rPr>
          <w:rFonts w:hint="eastAsia" w:ascii="宋体" w:hAnsi="宋体"/>
          <w:sz w:val="24"/>
          <w:szCs w:val="24"/>
        </w:rPr>
        <w:t>.招标代理机构应对采购人负责，尽职尽责履行服务工作和承诺的义务，除非得到事先授权，否则在招标活动中形成的招标工作计划、资格预审公告和招标公告等主要文件，以及须作出的可能影响招标结果的各类重要决策，均应按照合同约定提前报招标人审核确认，并严格保密，恪守职业道德，廉洁自律。</w:t>
      </w:r>
    </w:p>
    <w:p>
      <w:pPr>
        <w:pStyle w:val="34"/>
        <w:spacing w:line="360" w:lineRule="exact"/>
        <w:ind w:firstLine="480" w:firstLineChars="200"/>
        <w:rPr>
          <w:rFonts w:ascii="宋体" w:hAnsi="宋体"/>
          <w:sz w:val="24"/>
          <w:szCs w:val="24"/>
        </w:rPr>
      </w:pPr>
      <w:r>
        <w:rPr>
          <w:rFonts w:hint="eastAsia" w:ascii="宋体" w:hAnsi="宋体"/>
          <w:sz w:val="24"/>
          <w:szCs w:val="24"/>
          <w:lang w:val="en-US" w:eastAsia="zh-CN"/>
        </w:rPr>
        <w:t>7</w:t>
      </w:r>
      <w:r>
        <w:rPr>
          <w:rFonts w:hint="eastAsia" w:ascii="宋体" w:hAnsi="宋体"/>
          <w:sz w:val="24"/>
          <w:szCs w:val="24"/>
        </w:rPr>
        <w:t>.招标代理机构应主动接受采购人、政府、招标投标行业组织、社会公众的监督，协调处理与项目开展相关的行业主管部门的关系，提供满足采购人要求的质量合格的服务，若未按照合同约定开展工作或提交的成果与招标人需求有较大差距，采购人有权单方面解除合同，不支付任何费用且不承担任何法律责任。</w:t>
      </w:r>
    </w:p>
    <w:p>
      <w:pPr>
        <w:pStyle w:val="34"/>
        <w:spacing w:line="360" w:lineRule="exact"/>
        <w:ind w:firstLine="480" w:firstLineChars="200"/>
        <w:rPr>
          <w:rFonts w:ascii="Arial" w:hAnsi="Arial" w:eastAsia="黑体"/>
          <w:b/>
          <w:sz w:val="32"/>
          <w:shd w:val="pct10" w:color="auto" w:fill="FFFFFF"/>
        </w:rPr>
      </w:pPr>
      <w:r>
        <w:rPr>
          <w:rFonts w:hint="eastAsia" w:ascii="宋体" w:hAnsi="宋体"/>
          <w:sz w:val="24"/>
          <w:szCs w:val="24"/>
          <w:lang w:val="en-US" w:eastAsia="zh-CN"/>
        </w:rPr>
        <w:t>8</w:t>
      </w:r>
      <w:r>
        <w:rPr>
          <w:rFonts w:hint="eastAsia" w:ascii="宋体" w:hAnsi="宋体"/>
          <w:sz w:val="24"/>
          <w:szCs w:val="24"/>
        </w:rPr>
        <w:t xml:space="preserve">.采购人拥有的权利：有权根据委托人咨询工作的质量，安排和调整受托人工作任务，甚至收回部分或全部工作任务，而无须说明任何原因。         </w:t>
      </w:r>
    </w:p>
    <w:p>
      <w:pPr>
        <w:pStyle w:val="34"/>
        <w:spacing w:line="360" w:lineRule="exact"/>
        <w:rPr>
          <w:rFonts w:ascii="宋体" w:hAnsi="宋体"/>
          <w:b/>
          <w:bCs/>
          <w:sz w:val="24"/>
          <w:szCs w:val="24"/>
        </w:rPr>
      </w:pPr>
      <w:r>
        <w:rPr>
          <w:rFonts w:hint="eastAsia" w:ascii="宋体" w:hAnsi="宋体"/>
          <w:b/>
          <w:bCs/>
          <w:sz w:val="24"/>
          <w:szCs w:val="24"/>
        </w:rPr>
        <w:t xml:space="preserve">二、招标代理服务质量要求 </w:t>
      </w:r>
    </w:p>
    <w:p>
      <w:pPr>
        <w:pStyle w:val="34"/>
        <w:spacing w:line="360" w:lineRule="exact"/>
        <w:ind w:firstLine="480" w:firstLineChars="200"/>
        <w:rPr>
          <w:rFonts w:ascii="宋体" w:hAnsi="宋体"/>
          <w:sz w:val="24"/>
          <w:szCs w:val="24"/>
        </w:rPr>
      </w:pPr>
      <w:r>
        <w:rPr>
          <w:rFonts w:hint="eastAsia" w:ascii="宋体" w:hAnsi="宋体"/>
          <w:sz w:val="24"/>
          <w:szCs w:val="24"/>
        </w:rPr>
        <w:t xml:space="preserve">1、受托人应根据委托人安排的任务，成立由政治素质好、业务能力强、纪律严明的专业技术人员组成的工作小组，全面负责向委托人提供优质招标代理服务；不得雇佣非本单位职工参与招标工作，并对所有工作人员的行为负责。 </w:t>
      </w:r>
    </w:p>
    <w:p>
      <w:pPr>
        <w:pStyle w:val="34"/>
        <w:spacing w:line="360" w:lineRule="exact"/>
        <w:ind w:firstLine="480" w:firstLineChars="200"/>
        <w:rPr>
          <w:rFonts w:ascii="宋体" w:hAnsi="宋体"/>
          <w:sz w:val="24"/>
          <w:szCs w:val="24"/>
        </w:rPr>
      </w:pPr>
      <w:r>
        <w:rPr>
          <w:rFonts w:hint="eastAsia" w:ascii="宋体" w:hAnsi="宋体"/>
          <w:sz w:val="24"/>
          <w:szCs w:val="24"/>
        </w:rPr>
        <w:t>2、受托人应加强招标文件和相关文件编制管理，招标文件分章节由专人负责，最终招标文件由项目负责人审定后送交委托人，确保每项招标代理服务内容达到合同规定工作深度，招标代理服务成果满足委托方最终确定招标限价的需求。</w:t>
      </w:r>
    </w:p>
    <w:p>
      <w:pPr>
        <w:pStyle w:val="34"/>
        <w:spacing w:line="360" w:lineRule="exact"/>
        <w:ind w:firstLine="480" w:firstLineChars="200"/>
        <w:rPr>
          <w:rFonts w:ascii="宋体" w:hAnsi="宋体"/>
          <w:sz w:val="24"/>
          <w:szCs w:val="24"/>
        </w:rPr>
      </w:pPr>
      <w:r>
        <w:rPr>
          <w:rFonts w:hint="eastAsia" w:ascii="宋体" w:hAnsi="宋体"/>
          <w:sz w:val="24"/>
          <w:szCs w:val="24"/>
        </w:rPr>
        <w:t>3、受托人应采取一切必要保证措施，确保凡与招标文件和招标限价编制有关的人员必须严格遵守防止商业贿赂和廉洁自律有关规定，严禁与投标单位私下接触、提供投标服务或参加其他影响客观公正招投标的活动。</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7" w:name="_Toc144974856"/>
      <w:bookmarkStart w:id="428" w:name="_Toc300835209"/>
      <w:bookmarkStart w:id="429" w:name="_Toc247527827"/>
      <w:bookmarkStart w:id="430" w:name="_Toc152045787"/>
      <w:bookmarkStart w:id="431" w:name="_Toc152042576"/>
      <w:bookmarkStart w:id="432" w:name="_Toc247514246"/>
      <w:r>
        <w:rPr>
          <w:rFonts w:hint="default" w:ascii="Times New Roman" w:hAnsi="Times New Roman" w:cs="Times New Roman"/>
        </w:rPr>
        <w:t>目    录</w:t>
      </w:r>
      <w:bookmarkEnd w:id="427"/>
      <w:bookmarkEnd w:id="428"/>
      <w:bookmarkEnd w:id="429"/>
      <w:bookmarkEnd w:id="430"/>
      <w:bookmarkEnd w:id="431"/>
      <w:bookmarkEnd w:id="432"/>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五、服务方案</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433" w:name="_Toc247527828"/>
      <w:bookmarkStart w:id="434" w:name="_Toc152045788"/>
      <w:bookmarkStart w:id="435" w:name="_Toc144974857"/>
      <w:bookmarkStart w:id="436" w:name="_Toc247514247"/>
      <w:bookmarkStart w:id="437" w:name="_Toc152042577"/>
      <w:bookmarkStart w:id="438" w:name="_Toc300835210"/>
      <w:r>
        <w:rPr>
          <w:rFonts w:hint="default" w:ascii="Times New Roman" w:hAnsi="Times New Roman" w:cs="Times New Roman"/>
        </w:rPr>
        <w:t>一、投标函及投标函附录</w:t>
      </w:r>
      <w:bookmarkEnd w:id="433"/>
      <w:bookmarkEnd w:id="434"/>
      <w:bookmarkEnd w:id="435"/>
      <w:bookmarkEnd w:id="436"/>
      <w:bookmarkEnd w:id="437"/>
      <w:bookmarkEnd w:id="438"/>
    </w:p>
    <w:p>
      <w:pPr>
        <w:spacing w:line="440" w:lineRule="exact"/>
        <w:rPr>
          <w:rFonts w:hint="default" w:ascii="Times New Roman" w:hAnsi="Times New Roman" w:cs="Times New Roman" w:eastAsiaTheme="minorEastAsia"/>
          <w:sz w:val="20"/>
          <w:szCs w:val="20"/>
          <w:lang w:val="en-US" w:eastAsia="zh-CN"/>
        </w:rPr>
      </w:pPr>
      <w:bookmarkStart w:id="439" w:name="_Toc144974859"/>
      <w:bookmarkStart w:id="440" w:name="_Toc152045790"/>
      <w:bookmarkStart w:id="441" w:name="_Toc152042579"/>
      <w:bookmarkStart w:id="442" w:name="_Toc247527830"/>
      <w:bookmarkStart w:id="443" w:name="_Toc300835212"/>
      <w:bookmarkStart w:id="444" w:name="_Toc247514249"/>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w:t>
      </w:r>
      <w:permStart w:id="117" w:edGrp="everyone"/>
      <w:r>
        <w:rPr>
          <w:rFonts w:hint="eastAsia" w:ascii="Times New Roman" w:hAnsi="Times New Roman" w:cs="Times New Roman"/>
          <w:szCs w:val="21"/>
          <w:lang w:val="en-US" w:eastAsia="zh-CN"/>
        </w:rPr>
        <w:t>《国家计委关于印发&lt;招标代理服务收费管理暂行办法&gt;的通知》(计价格[2002]1980号)、《国家发展改革委办公厅关于招标代理服务收费有关问题的通知》(发改办价格[2003]857号)、《国家发展改革委关于降低部分建设项目收费标准规范收费行为等有关问题的通知》(发改价格[2011]534号)等文件规定的取费标准</w:t>
      </w:r>
      <w:r>
        <w:rPr>
          <w:rFonts w:hint="eastAsia" w:ascii="Times New Roman" w:hAnsi="Times New Roman" w:cs="Times New Roman"/>
          <w:szCs w:val="21"/>
          <w:lang w:val="en-US" w:eastAsia="zh-CN"/>
          <w14:textFill>
            <w14:gradFill>
              <w14:gsLst>
                <w14:gs w14:pos="0">
                  <w14:srgbClr w14:val="E30000"/>
                </w14:gs>
                <w14:gs w14:pos="100000">
                  <w14:srgbClr w14:val="760303"/>
                </w14:gs>
              </w14:gsLst>
              <w14:lin w14:scaled="0"/>
            </w14:gradFill>
          </w14:textFill>
        </w:rPr>
        <w:t>，以招标代理服务完成后中标人中标金额为计算基数，报价费率为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6%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，服务期限：自合同签订之日起招标代理全过程完成，质量标准：符合国家、地方、行业现行相关规范合格标准，按照合同约定完成招标代理工作。</w:t>
      </w:r>
    </w:p>
    <w:permEnd w:id="117"/>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（1）投标函及投标函附录；（2）法定代表人身份证明或授权委托书；（3）投标保证金（如有）；（4）资格审查资料；（5）服务方案；（6）其他资料；.......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bookmarkStart w:id="492" w:name="_GoBack"/>
      <w:bookmarkEnd w:id="492"/>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439"/>
    <w:bookmarkEnd w:id="440"/>
    <w:bookmarkEnd w:id="441"/>
    <w:bookmarkEnd w:id="442"/>
    <w:bookmarkEnd w:id="443"/>
    <w:bookmarkEnd w:id="444"/>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rPr>
          <w:rFonts w:hint="eastAsia" w:ascii="黑体" w:hAnsi="黑体" w:eastAsia="黑体" w:cs="黑体"/>
          <w:b w:val="0"/>
          <w:bCs w:val="0"/>
          <w:sz w:val="28"/>
          <w:szCs w:val="28"/>
          <w:lang w:eastAsia="zh-CN"/>
        </w:rPr>
      </w:pPr>
      <w:r>
        <w:rPr>
          <w:rFonts w:hint="eastAsia" w:ascii="黑体" w:hAnsi="黑体" w:eastAsia="黑体" w:cs="黑体"/>
          <w:b w:val="0"/>
          <w:bCs w:val="0"/>
          <w:sz w:val="28"/>
          <w:szCs w:val="28"/>
          <w:lang w:eastAsia="zh-CN"/>
        </w:rPr>
        <w:br w:type="page"/>
      </w: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445" w:name="_Toc152045791"/>
      <w:bookmarkStart w:id="446" w:name="_Toc247527831"/>
      <w:bookmarkStart w:id="447" w:name="_Toc152042580"/>
      <w:bookmarkStart w:id="448" w:name="_Toc144974860"/>
      <w:bookmarkStart w:id="449" w:name="_Toc247514283"/>
      <w:bookmarkStart w:id="450" w:name="_Toc300835213"/>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445"/>
      <w:bookmarkEnd w:id="446"/>
      <w:bookmarkEnd w:id="447"/>
      <w:bookmarkEnd w:id="448"/>
      <w:bookmarkEnd w:id="449"/>
      <w:bookmarkEnd w:id="450"/>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51" w:name="_Toc152045792"/>
      <w:bookmarkStart w:id="452" w:name="_Toc247514284"/>
      <w:bookmarkStart w:id="453" w:name="_Toc152042581"/>
      <w:bookmarkStart w:id="454" w:name="_Toc144974861"/>
      <w:bookmarkStart w:id="455" w:name="_Toc247527832"/>
      <w:bookmarkStart w:id="456" w:name="_Toc300835214"/>
      <w:r>
        <w:rPr>
          <w:rFonts w:hint="default" w:ascii="Times New Roman" w:hAnsi="Times New Roman" w:cs="Times New Roman"/>
        </w:rPr>
        <w:t>二、授权委托书</w:t>
      </w:r>
      <w:bookmarkEnd w:id="451"/>
      <w:bookmarkEnd w:id="452"/>
      <w:bookmarkEnd w:id="453"/>
      <w:bookmarkEnd w:id="454"/>
      <w:bookmarkEnd w:id="455"/>
      <w:bookmarkEnd w:id="456"/>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证复印件、委托代理人身份证复印件、委托代理人2023年6月起任意3个月及以上养老保险证明</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57" w:name="_Toc247527834"/>
      <w:bookmarkStart w:id="458" w:name="_Toc300835216"/>
      <w:bookmarkStart w:id="459" w:name="_Toc152042583"/>
      <w:bookmarkStart w:id="460" w:name="_Toc152045794"/>
      <w:bookmarkStart w:id="461" w:name="_Toc144974862"/>
      <w:bookmarkStart w:id="462" w:name="_Toc24751428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57"/>
      <w:bookmarkEnd w:id="458"/>
      <w:bookmarkEnd w:id="459"/>
      <w:bookmarkEnd w:id="460"/>
      <w:bookmarkEnd w:id="461"/>
      <w:bookmarkEnd w:id="462"/>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6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63"/>
    <w:p>
      <w:pPr>
        <w:rPr>
          <w:rFonts w:hint="default" w:ascii="Times New Roman" w:hAnsi="Times New Roman" w:cs="Times New Roman"/>
        </w:rPr>
      </w:pPr>
      <w:bookmarkStart w:id="464" w:name="_Toc144974863"/>
      <w:bookmarkStart w:id="465" w:name="_Toc247527835"/>
      <w:bookmarkStart w:id="466" w:name="_Toc300835218"/>
      <w:bookmarkStart w:id="467" w:name="_Toc152045795"/>
      <w:bookmarkStart w:id="468" w:name="_Toc247514287"/>
      <w:bookmarkStart w:id="469" w:name="_Toc152042584"/>
      <w:r>
        <w:rPr>
          <w:rFonts w:hint="default" w:ascii="Times New Roman" w:hAnsi="Times New Roman" w:cs="Times New Roman"/>
        </w:rPr>
        <w:br w:type="page"/>
      </w:r>
      <w:bookmarkEnd w:id="464"/>
      <w:bookmarkEnd w:id="465"/>
      <w:bookmarkEnd w:id="466"/>
      <w:bookmarkEnd w:id="467"/>
      <w:bookmarkEnd w:id="468"/>
      <w:bookmarkEnd w:id="469"/>
      <w:bookmarkStart w:id="470" w:name="_Toc144974864"/>
      <w:bookmarkStart w:id="471" w:name="_Toc247527836"/>
      <w:bookmarkStart w:id="472" w:name="_Toc152045796"/>
      <w:bookmarkStart w:id="473" w:name="_Toc247514288"/>
      <w:bookmarkStart w:id="474" w:name="_Toc300835221"/>
      <w:bookmarkStart w:id="475" w:name="_Toc152042585"/>
    </w:p>
    <w:bookmarkEnd w:id="470"/>
    <w:bookmarkEnd w:id="471"/>
    <w:bookmarkEnd w:id="472"/>
    <w:bookmarkEnd w:id="473"/>
    <w:bookmarkEnd w:id="474"/>
    <w:bookmarkEnd w:id="475"/>
    <w:p>
      <w:pPr>
        <w:pStyle w:val="3"/>
        <w:jc w:val="center"/>
        <w:rPr>
          <w:rFonts w:hint="eastAsia"/>
          <w:highlight w:val="none"/>
        </w:rPr>
      </w:pPr>
      <w:bookmarkStart w:id="476" w:name="_Toc144974876"/>
      <w:bookmarkStart w:id="477" w:name="_Toc152042597"/>
      <w:bookmarkStart w:id="478" w:name="_Toc144974871"/>
      <w:bookmarkStart w:id="479" w:name="_Toc179632823"/>
      <w:bookmarkStart w:id="480" w:name="_Toc300835224"/>
      <w:bookmarkStart w:id="481" w:name="_Toc246996369"/>
      <w:bookmarkStart w:id="482" w:name="_Toc296602614"/>
      <w:bookmarkStart w:id="483" w:name="_Toc247514300"/>
      <w:bookmarkStart w:id="484" w:name="_Toc152042592"/>
      <w:bookmarkStart w:id="485" w:name="_Toc247085887"/>
      <w:bookmarkStart w:id="486" w:name="_Toc152045808"/>
      <w:bookmarkStart w:id="487" w:name="_Toc152045803"/>
      <w:bookmarkStart w:id="488" w:name="_Toc247527848"/>
      <w:bookmarkStart w:id="489" w:name="_Toc246997112"/>
      <w:r>
        <w:rPr>
          <w:rFonts w:hint="eastAsia"/>
          <w:highlight w:val="none"/>
          <w:lang w:val="en-US" w:eastAsia="zh-CN"/>
        </w:rPr>
        <w:t>四</w:t>
      </w:r>
      <w:r>
        <w:rPr>
          <w:highlight w:val="none"/>
        </w:rPr>
        <w:t>、资格审查资料</w:t>
      </w:r>
    </w:p>
    <w:p>
      <w:pPr>
        <w:pStyle w:val="4"/>
        <w:jc w:val="both"/>
        <w:rPr>
          <w:rFonts w:hint="eastAsia"/>
        </w:rPr>
      </w:pPr>
      <w:r>
        <w:t>（一）基本情况表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w:t>
      </w:r>
      <w:permStart w:id="118" w:edGrp="everyone"/>
      <w:r>
        <w:rPr>
          <w:rFonts w:hint="eastAsia" w:ascii="Times New Roman" w:hAnsi="Times New Roman" w:cs="Times New Roman"/>
          <w:highlight w:val="none"/>
          <w:lang w:val="en-US" w:eastAsia="zh-CN"/>
        </w:rPr>
        <w:t>须提供招标委托代理协议复印件、招标采购公告和中标（成交）公示网页截图（同时提供网址链接），时间及金额以中标（成交）公告显示内容为准。</w:t>
      </w:r>
      <w:permEnd w:id="118"/>
      <w:r>
        <w:rPr>
          <w:rFonts w:hint="eastAsia" w:ascii="Times New Roman" w:hAnsi="Times New Roman" w:cs="Times New Roman"/>
          <w:highlight w:val="none"/>
          <w:lang w:val="en-US" w:eastAsia="zh-CN"/>
        </w:rPr>
        <w:t>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20"/>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u w:val="single"/>
          <w:lang w:val="en-US" w:eastAsia="zh-CN"/>
        </w:rPr>
      </w:pP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Pr>
        <w:pStyle w:val="3"/>
        <w:jc w:val="center"/>
        <w:rPr>
          <w:rFonts w:hint="default" w:eastAsia="黑体"/>
          <w:highlight w:val="none"/>
          <w:lang w:val="en-US" w:eastAsia="zh-CN"/>
        </w:rPr>
      </w:pPr>
      <w:r>
        <w:rPr>
          <w:rFonts w:hint="eastAsia"/>
          <w:highlight w:val="none"/>
          <w:lang w:val="en-US" w:eastAsia="zh-CN"/>
        </w:rPr>
        <w:t>五</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90" w:name="_Toc271821942"/>
      <w:bookmarkStart w:id="491" w:name="_Toc300835233"/>
      <w:r>
        <w:rPr>
          <w:rFonts w:hint="eastAsia" w:ascii="Times New Roman" w:hAnsi="Times New Roman" w:cs="Times New Roman"/>
          <w:lang w:val="en-US" w:eastAsia="zh-CN"/>
        </w:rPr>
        <w:t>六</w:t>
      </w:r>
      <w:r>
        <w:rPr>
          <w:rFonts w:hint="default" w:ascii="Times New Roman" w:hAnsi="Times New Roman" w:cs="Times New Roman"/>
        </w:rPr>
        <w:t>、其他资料</w:t>
      </w:r>
      <w:bookmarkEnd w:id="490"/>
      <w:bookmarkEnd w:id="491"/>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3D6656"/>
    <w:rsid w:val="0040224D"/>
    <w:rsid w:val="00733B0B"/>
    <w:rsid w:val="00764376"/>
    <w:rsid w:val="00796B76"/>
    <w:rsid w:val="00850CC0"/>
    <w:rsid w:val="00B00F2F"/>
    <w:rsid w:val="00FF308E"/>
    <w:rsid w:val="011E6004"/>
    <w:rsid w:val="0145105E"/>
    <w:rsid w:val="018C519F"/>
    <w:rsid w:val="019846E3"/>
    <w:rsid w:val="01CB0CDF"/>
    <w:rsid w:val="01CD2334"/>
    <w:rsid w:val="01E054EB"/>
    <w:rsid w:val="01E140D3"/>
    <w:rsid w:val="01EE4D0C"/>
    <w:rsid w:val="01F16263"/>
    <w:rsid w:val="02016132"/>
    <w:rsid w:val="0212370C"/>
    <w:rsid w:val="021D348F"/>
    <w:rsid w:val="026E5FAB"/>
    <w:rsid w:val="028B36A9"/>
    <w:rsid w:val="02983D41"/>
    <w:rsid w:val="029F2BC9"/>
    <w:rsid w:val="02A31129"/>
    <w:rsid w:val="02A46690"/>
    <w:rsid w:val="02AC508C"/>
    <w:rsid w:val="02B726F0"/>
    <w:rsid w:val="02BE075F"/>
    <w:rsid w:val="02F4317E"/>
    <w:rsid w:val="0324584F"/>
    <w:rsid w:val="032652C7"/>
    <w:rsid w:val="033964DC"/>
    <w:rsid w:val="034877EC"/>
    <w:rsid w:val="035021B2"/>
    <w:rsid w:val="03633AA8"/>
    <w:rsid w:val="03696450"/>
    <w:rsid w:val="037C7496"/>
    <w:rsid w:val="038C592B"/>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41752E"/>
    <w:rsid w:val="055625ED"/>
    <w:rsid w:val="0572490A"/>
    <w:rsid w:val="057E3D65"/>
    <w:rsid w:val="058253F2"/>
    <w:rsid w:val="05872EB9"/>
    <w:rsid w:val="05933026"/>
    <w:rsid w:val="05BA17C0"/>
    <w:rsid w:val="05D9116E"/>
    <w:rsid w:val="061F0438"/>
    <w:rsid w:val="06292F58"/>
    <w:rsid w:val="063F4D83"/>
    <w:rsid w:val="06427F85"/>
    <w:rsid w:val="06436049"/>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7F95559"/>
    <w:rsid w:val="083726B7"/>
    <w:rsid w:val="08554A0D"/>
    <w:rsid w:val="08563EE1"/>
    <w:rsid w:val="086D3DA1"/>
    <w:rsid w:val="08774BE1"/>
    <w:rsid w:val="087846CF"/>
    <w:rsid w:val="088F5820"/>
    <w:rsid w:val="08903F11"/>
    <w:rsid w:val="08932D8F"/>
    <w:rsid w:val="089F3D62"/>
    <w:rsid w:val="08E13E13"/>
    <w:rsid w:val="08ED571D"/>
    <w:rsid w:val="08F53A28"/>
    <w:rsid w:val="091E4B2B"/>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597678"/>
    <w:rsid w:val="0A704DEE"/>
    <w:rsid w:val="0A8B5261"/>
    <w:rsid w:val="0A8E5075"/>
    <w:rsid w:val="0A9A6B7F"/>
    <w:rsid w:val="0AA913FB"/>
    <w:rsid w:val="0AAE6B76"/>
    <w:rsid w:val="0AB37F43"/>
    <w:rsid w:val="0AB930A2"/>
    <w:rsid w:val="0ADD0DF0"/>
    <w:rsid w:val="0AEB40E8"/>
    <w:rsid w:val="0B0E131B"/>
    <w:rsid w:val="0B416906"/>
    <w:rsid w:val="0B5D1C2A"/>
    <w:rsid w:val="0B685C3C"/>
    <w:rsid w:val="0B7202E7"/>
    <w:rsid w:val="0B991D46"/>
    <w:rsid w:val="0B9F686D"/>
    <w:rsid w:val="0BDE31B0"/>
    <w:rsid w:val="0C0544CC"/>
    <w:rsid w:val="0C110CA2"/>
    <w:rsid w:val="0C6A07D3"/>
    <w:rsid w:val="0C773477"/>
    <w:rsid w:val="0C9F113B"/>
    <w:rsid w:val="0CD3448B"/>
    <w:rsid w:val="0CF072F3"/>
    <w:rsid w:val="0D233659"/>
    <w:rsid w:val="0D2466BD"/>
    <w:rsid w:val="0D3A1668"/>
    <w:rsid w:val="0D5C2246"/>
    <w:rsid w:val="0D6A3C45"/>
    <w:rsid w:val="0D7F3B4D"/>
    <w:rsid w:val="0D84383E"/>
    <w:rsid w:val="0DA13B17"/>
    <w:rsid w:val="0DA277FF"/>
    <w:rsid w:val="0DB22432"/>
    <w:rsid w:val="0DB8057F"/>
    <w:rsid w:val="0DC43F13"/>
    <w:rsid w:val="0DC57869"/>
    <w:rsid w:val="0DD331D8"/>
    <w:rsid w:val="0DDB677F"/>
    <w:rsid w:val="0E093A81"/>
    <w:rsid w:val="0E1201C4"/>
    <w:rsid w:val="0E35096D"/>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DA5E5F"/>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1FF19BD"/>
    <w:rsid w:val="1222745A"/>
    <w:rsid w:val="12445622"/>
    <w:rsid w:val="124D3BAD"/>
    <w:rsid w:val="125A52C4"/>
    <w:rsid w:val="12655D96"/>
    <w:rsid w:val="128E3C38"/>
    <w:rsid w:val="12BF2922"/>
    <w:rsid w:val="12C942C8"/>
    <w:rsid w:val="12DC5F5E"/>
    <w:rsid w:val="12DC7F8C"/>
    <w:rsid w:val="12E82A0B"/>
    <w:rsid w:val="131873D2"/>
    <w:rsid w:val="131D1B36"/>
    <w:rsid w:val="13274F9C"/>
    <w:rsid w:val="13417410"/>
    <w:rsid w:val="134A448A"/>
    <w:rsid w:val="134F7EA7"/>
    <w:rsid w:val="135107A8"/>
    <w:rsid w:val="136066CF"/>
    <w:rsid w:val="13657E31"/>
    <w:rsid w:val="136C3340"/>
    <w:rsid w:val="1387094F"/>
    <w:rsid w:val="139C08EB"/>
    <w:rsid w:val="13AC347F"/>
    <w:rsid w:val="13D35238"/>
    <w:rsid w:val="13D81B1F"/>
    <w:rsid w:val="14061B66"/>
    <w:rsid w:val="142B5FE2"/>
    <w:rsid w:val="14542872"/>
    <w:rsid w:val="147E2423"/>
    <w:rsid w:val="1487273A"/>
    <w:rsid w:val="148C28CB"/>
    <w:rsid w:val="14944440"/>
    <w:rsid w:val="14A059A0"/>
    <w:rsid w:val="14B922F8"/>
    <w:rsid w:val="14B97B05"/>
    <w:rsid w:val="14CD31B9"/>
    <w:rsid w:val="14DA6BBE"/>
    <w:rsid w:val="14E67563"/>
    <w:rsid w:val="14F926F4"/>
    <w:rsid w:val="15021B62"/>
    <w:rsid w:val="150A21BA"/>
    <w:rsid w:val="151779D1"/>
    <w:rsid w:val="152116FE"/>
    <w:rsid w:val="1522437E"/>
    <w:rsid w:val="15283931"/>
    <w:rsid w:val="15382F40"/>
    <w:rsid w:val="158374C1"/>
    <w:rsid w:val="15A62ECC"/>
    <w:rsid w:val="15B14179"/>
    <w:rsid w:val="15C516BD"/>
    <w:rsid w:val="160475A2"/>
    <w:rsid w:val="164C19D6"/>
    <w:rsid w:val="166266B1"/>
    <w:rsid w:val="169528F0"/>
    <w:rsid w:val="16C724D4"/>
    <w:rsid w:val="16D411E7"/>
    <w:rsid w:val="16ED0036"/>
    <w:rsid w:val="170756D4"/>
    <w:rsid w:val="170F4587"/>
    <w:rsid w:val="17107168"/>
    <w:rsid w:val="176115DC"/>
    <w:rsid w:val="176D7525"/>
    <w:rsid w:val="17824660"/>
    <w:rsid w:val="178F2FF8"/>
    <w:rsid w:val="179121FE"/>
    <w:rsid w:val="17915931"/>
    <w:rsid w:val="17C41ABF"/>
    <w:rsid w:val="18175D56"/>
    <w:rsid w:val="18276B10"/>
    <w:rsid w:val="184B14B9"/>
    <w:rsid w:val="18930C59"/>
    <w:rsid w:val="189B5F22"/>
    <w:rsid w:val="18A70256"/>
    <w:rsid w:val="18A944F8"/>
    <w:rsid w:val="18B73074"/>
    <w:rsid w:val="18DA76F1"/>
    <w:rsid w:val="19034C2D"/>
    <w:rsid w:val="1916127C"/>
    <w:rsid w:val="193D465D"/>
    <w:rsid w:val="193D4E12"/>
    <w:rsid w:val="196C6238"/>
    <w:rsid w:val="198A59D6"/>
    <w:rsid w:val="1990114D"/>
    <w:rsid w:val="19A73D74"/>
    <w:rsid w:val="19AA5416"/>
    <w:rsid w:val="19CE7FF6"/>
    <w:rsid w:val="19D70C6D"/>
    <w:rsid w:val="19E2271F"/>
    <w:rsid w:val="1A075570"/>
    <w:rsid w:val="1A1C623A"/>
    <w:rsid w:val="1A270D5F"/>
    <w:rsid w:val="1A4D4CED"/>
    <w:rsid w:val="1A797469"/>
    <w:rsid w:val="1A845156"/>
    <w:rsid w:val="1A8850B8"/>
    <w:rsid w:val="1A9B5FFB"/>
    <w:rsid w:val="1AA066C8"/>
    <w:rsid w:val="1ADB0B95"/>
    <w:rsid w:val="1AF51BB0"/>
    <w:rsid w:val="1AF80851"/>
    <w:rsid w:val="1B0361BC"/>
    <w:rsid w:val="1B116412"/>
    <w:rsid w:val="1B262D26"/>
    <w:rsid w:val="1B2670F4"/>
    <w:rsid w:val="1B2D1E19"/>
    <w:rsid w:val="1B2D7FD6"/>
    <w:rsid w:val="1B3A5220"/>
    <w:rsid w:val="1B3B258E"/>
    <w:rsid w:val="1B471783"/>
    <w:rsid w:val="1B652C95"/>
    <w:rsid w:val="1B697EA8"/>
    <w:rsid w:val="1B70155F"/>
    <w:rsid w:val="1B723039"/>
    <w:rsid w:val="1B7700FA"/>
    <w:rsid w:val="1B894EBC"/>
    <w:rsid w:val="1B8C1172"/>
    <w:rsid w:val="1B9269B7"/>
    <w:rsid w:val="1BB12BB2"/>
    <w:rsid w:val="1BBB4BA7"/>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83E1C"/>
    <w:rsid w:val="1D0C3E62"/>
    <w:rsid w:val="1D1D0D81"/>
    <w:rsid w:val="1D5835F0"/>
    <w:rsid w:val="1D594678"/>
    <w:rsid w:val="1D8C5045"/>
    <w:rsid w:val="1D9244F8"/>
    <w:rsid w:val="1D931CEA"/>
    <w:rsid w:val="1DC177D9"/>
    <w:rsid w:val="1DDF2124"/>
    <w:rsid w:val="1DE5415D"/>
    <w:rsid w:val="1E1A236E"/>
    <w:rsid w:val="1E225BB3"/>
    <w:rsid w:val="1E2A6113"/>
    <w:rsid w:val="1E2D212B"/>
    <w:rsid w:val="1E2E6E13"/>
    <w:rsid w:val="1E32182A"/>
    <w:rsid w:val="1E5A61EE"/>
    <w:rsid w:val="1E713E2F"/>
    <w:rsid w:val="1E980FE4"/>
    <w:rsid w:val="1EA573D8"/>
    <w:rsid w:val="1EA77665"/>
    <w:rsid w:val="1EB0513B"/>
    <w:rsid w:val="1EB72F76"/>
    <w:rsid w:val="1EC10726"/>
    <w:rsid w:val="1EE36B2C"/>
    <w:rsid w:val="1EF342CB"/>
    <w:rsid w:val="1F020A44"/>
    <w:rsid w:val="1F041BC7"/>
    <w:rsid w:val="1F127B09"/>
    <w:rsid w:val="1F2354C8"/>
    <w:rsid w:val="1F36160E"/>
    <w:rsid w:val="1F3F33F9"/>
    <w:rsid w:val="1F5D00BF"/>
    <w:rsid w:val="1F640255"/>
    <w:rsid w:val="1F671677"/>
    <w:rsid w:val="1F722047"/>
    <w:rsid w:val="1F904945"/>
    <w:rsid w:val="1FA7625B"/>
    <w:rsid w:val="1FAA6A2E"/>
    <w:rsid w:val="1FC11059"/>
    <w:rsid w:val="1FD9384E"/>
    <w:rsid w:val="1FDC7161"/>
    <w:rsid w:val="1FE570E2"/>
    <w:rsid w:val="1FE7673E"/>
    <w:rsid w:val="200E38F2"/>
    <w:rsid w:val="201E585F"/>
    <w:rsid w:val="20234AC9"/>
    <w:rsid w:val="2049266D"/>
    <w:rsid w:val="20534B67"/>
    <w:rsid w:val="20557DC5"/>
    <w:rsid w:val="205A5C16"/>
    <w:rsid w:val="205B7D6A"/>
    <w:rsid w:val="207C33EE"/>
    <w:rsid w:val="2081342E"/>
    <w:rsid w:val="209740BF"/>
    <w:rsid w:val="2099242E"/>
    <w:rsid w:val="20B0411F"/>
    <w:rsid w:val="20D12777"/>
    <w:rsid w:val="20D658C9"/>
    <w:rsid w:val="20D95B5B"/>
    <w:rsid w:val="20DC2416"/>
    <w:rsid w:val="20F22231"/>
    <w:rsid w:val="21015C26"/>
    <w:rsid w:val="21121083"/>
    <w:rsid w:val="211518DD"/>
    <w:rsid w:val="212B2F31"/>
    <w:rsid w:val="21327DB2"/>
    <w:rsid w:val="213A06E6"/>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32E56FD"/>
    <w:rsid w:val="233F5F96"/>
    <w:rsid w:val="235F4D23"/>
    <w:rsid w:val="236D4028"/>
    <w:rsid w:val="238A4DFC"/>
    <w:rsid w:val="23A61C99"/>
    <w:rsid w:val="23E12CD1"/>
    <w:rsid w:val="24226CC5"/>
    <w:rsid w:val="24312A4A"/>
    <w:rsid w:val="244A5E9A"/>
    <w:rsid w:val="244C4BB8"/>
    <w:rsid w:val="24691193"/>
    <w:rsid w:val="246C3A46"/>
    <w:rsid w:val="247152E7"/>
    <w:rsid w:val="24FF7718"/>
    <w:rsid w:val="2510441C"/>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5F6D2E"/>
    <w:rsid w:val="276C029F"/>
    <w:rsid w:val="27867E0A"/>
    <w:rsid w:val="27982DD4"/>
    <w:rsid w:val="27DD09CE"/>
    <w:rsid w:val="27EC553C"/>
    <w:rsid w:val="280C4BFC"/>
    <w:rsid w:val="2813394B"/>
    <w:rsid w:val="281C1F63"/>
    <w:rsid w:val="281C54D8"/>
    <w:rsid w:val="283610D5"/>
    <w:rsid w:val="285F5293"/>
    <w:rsid w:val="28622D71"/>
    <w:rsid w:val="286E69FD"/>
    <w:rsid w:val="28940C5A"/>
    <w:rsid w:val="28A10C81"/>
    <w:rsid w:val="28C055AB"/>
    <w:rsid w:val="28C56178"/>
    <w:rsid w:val="28FA546B"/>
    <w:rsid w:val="28FE025E"/>
    <w:rsid w:val="2917171A"/>
    <w:rsid w:val="29245F1A"/>
    <w:rsid w:val="29366359"/>
    <w:rsid w:val="29586D7A"/>
    <w:rsid w:val="29772B51"/>
    <w:rsid w:val="29791894"/>
    <w:rsid w:val="2984235F"/>
    <w:rsid w:val="29967FD2"/>
    <w:rsid w:val="29A52D8F"/>
    <w:rsid w:val="29C56C3A"/>
    <w:rsid w:val="29D85278"/>
    <w:rsid w:val="29DE2C47"/>
    <w:rsid w:val="29E1380C"/>
    <w:rsid w:val="29E85046"/>
    <w:rsid w:val="2A017BFD"/>
    <w:rsid w:val="2A0A71F8"/>
    <w:rsid w:val="2A4913A2"/>
    <w:rsid w:val="2A9154D8"/>
    <w:rsid w:val="2AA04C57"/>
    <w:rsid w:val="2AD750C3"/>
    <w:rsid w:val="2AE77D08"/>
    <w:rsid w:val="2AEA3011"/>
    <w:rsid w:val="2AFA0B1C"/>
    <w:rsid w:val="2B252D72"/>
    <w:rsid w:val="2B3E0375"/>
    <w:rsid w:val="2B492499"/>
    <w:rsid w:val="2B652A8D"/>
    <w:rsid w:val="2B6C55DB"/>
    <w:rsid w:val="2B870602"/>
    <w:rsid w:val="2B8D5640"/>
    <w:rsid w:val="2BF4029C"/>
    <w:rsid w:val="2C1C6937"/>
    <w:rsid w:val="2C1F083A"/>
    <w:rsid w:val="2C202757"/>
    <w:rsid w:val="2C270D43"/>
    <w:rsid w:val="2C6436A6"/>
    <w:rsid w:val="2C7A2A8F"/>
    <w:rsid w:val="2C9023A5"/>
    <w:rsid w:val="2C937549"/>
    <w:rsid w:val="2C9D6A04"/>
    <w:rsid w:val="2CB62598"/>
    <w:rsid w:val="2CBC136A"/>
    <w:rsid w:val="2CD47877"/>
    <w:rsid w:val="2CFE607B"/>
    <w:rsid w:val="2D0234AD"/>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C802AE"/>
    <w:rsid w:val="301C41BF"/>
    <w:rsid w:val="302369A0"/>
    <w:rsid w:val="303474C0"/>
    <w:rsid w:val="305C41A9"/>
    <w:rsid w:val="307C26FF"/>
    <w:rsid w:val="30820205"/>
    <w:rsid w:val="308E41B5"/>
    <w:rsid w:val="30952C59"/>
    <w:rsid w:val="30D5215E"/>
    <w:rsid w:val="30FC7C9B"/>
    <w:rsid w:val="30FF4D69"/>
    <w:rsid w:val="310E5321"/>
    <w:rsid w:val="3113559B"/>
    <w:rsid w:val="311978DB"/>
    <w:rsid w:val="312421F6"/>
    <w:rsid w:val="3127420C"/>
    <w:rsid w:val="31477BEB"/>
    <w:rsid w:val="315523B1"/>
    <w:rsid w:val="3198056E"/>
    <w:rsid w:val="31CD31BF"/>
    <w:rsid w:val="31D72AD0"/>
    <w:rsid w:val="31E10F55"/>
    <w:rsid w:val="31F664E1"/>
    <w:rsid w:val="31FB3AF8"/>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577373"/>
    <w:rsid w:val="336A419B"/>
    <w:rsid w:val="336A59CC"/>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B244CD"/>
    <w:rsid w:val="35E7387F"/>
    <w:rsid w:val="35E81F7A"/>
    <w:rsid w:val="35EF4AF5"/>
    <w:rsid w:val="35F52BF3"/>
    <w:rsid w:val="360530D8"/>
    <w:rsid w:val="3605698A"/>
    <w:rsid w:val="36162F1C"/>
    <w:rsid w:val="363277D2"/>
    <w:rsid w:val="366244D5"/>
    <w:rsid w:val="36A82C1D"/>
    <w:rsid w:val="36B34449"/>
    <w:rsid w:val="36C342D9"/>
    <w:rsid w:val="370F2E93"/>
    <w:rsid w:val="370F32ED"/>
    <w:rsid w:val="37144029"/>
    <w:rsid w:val="374E35E0"/>
    <w:rsid w:val="37560CC6"/>
    <w:rsid w:val="378D0CEB"/>
    <w:rsid w:val="379A026D"/>
    <w:rsid w:val="37A2207E"/>
    <w:rsid w:val="37A2434F"/>
    <w:rsid w:val="37ED6D6E"/>
    <w:rsid w:val="37F214F9"/>
    <w:rsid w:val="38013DF5"/>
    <w:rsid w:val="380C3B20"/>
    <w:rsid w:val="381039F4"/>
    <w:rsid w:val="381B27FE"/>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B142EA"/>
    <w:rsid w:val="3ACD43C9"/>
    <w:rsid w:val="3AFF2C64"/>
    <w:rsid w:val="3B135A0E"/>
    <w:rsid w:val="3B2F69DB"/>
    <w:rsid w:val="3B667011"/>
    <w:rsid w:val="3B750477"/>
    <w:rsid w:val="3B783AC3"/>
    <w:rsid w:val="3B79226F"/>
    <w:rsid w:val="3B8F1138"/>
    <w:rsid w:val="3B904834"/>
    <w:rsid w:val="3B932344"/>
    <w:rsid w:val="3B9D20F5"/>
    <w:rsid w:val="3BB33F88"/>
    <w:rsid w:val="3BB52F69"/>
    <w:rsid w:val="3BC15D34"/>
    <w:rsid w:val="3BC66F24"/>
    <w:rsid w:val="3BD93153"/>
    <w:rsid w:val="3BDA6996"/>
    <w:rsid w:val="3BFE1CEB"/>
    <w:rsid w:val="3C0A3047"/>
    <w:rsid w:val="3C2E50FB"/>
    <w:rsid w:val="3C37637A"/>
    <w:rsid w:val="3C4A12AD"/>
    <w:rsid w:val="3C5125FC"/>
    <w:rsid w:val="3C690ECB"/>
    <w:rsid w:val="3C77021F"/>
    <w:rsid w:val="3C860AC6"/>
    <w:rsid w:val="3C8967A4"/>
    <w:rsid w:val="3C960BC8"/>
    <w:rsid w:val="3C9848A1"/>
    <w:rsid w:val="3CA509B7"/>
    <w:rsid w:val="3CA509D1"/>
    <w:rsid w:val="3CD537E6"/>
    <w:rsid w:val="3CD93879"/>
    <w:rsid w:val="3D143CBF"/>
    <w:rsid w:val="3D2571D3"/>
    <w:rsid w:val="3D7A2818"/>
    <w:rsid w:val="3D8106EA"/>
    <w:rsid w:val="3D834DF8"/>
    <w:rsid w:val="3DA23079"/>
    <w:rsid w:val="3DA352B1"/>
    <w:rsid w:val="3DBA61E7"/>
    <w:rsid w:val="3DC14624"/>
    <w:rsid w:val="3DD55956"/>
    <w:rsid w:val="3E100FFC"/>
    <w:rsid w:val="3E1A70B4"/>
    <w:rsid w:val="3E201534"/>
    <w:rsid w:val="3E352BAE"/>
    <w:rsid w:val="3E651EE9"/>
    <w:rsid w:val="3E784A78"/>
    <w:rsid w:val="3E8554F5"/>
    <w:rsid w:val="3EB65E71"/>
    <w:rsid w:val="3EC33032"/>
    <w:rsid w:val="3EC61DB3"/>
    <w:rsid w:val="3ED51A3E"/>
    <w:rsid w:val="3EF62661"/>
    <w:rsid w:val="3F3C595E"/>
    <w:rsid w:val="3F59346C"/>
    <w:rsid w:val="3F634A8A"/>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182A7C"/>
    <w:rsid w:val="412D35A2"/>
    <w:rsid w:val="41335FC7"/>
    <w:rsid w:val="415978C8"/>
    <w:rsid w:val="415C1B4D"/>
    <w:rsid w:val="417843F2"/>
    <w:rsid w:val="41807B75"/>
    <w:rsid w:val="418A1799"/>
    <w:rsid w:val="41A61C3F"/>
    <w:rsid w:val="41B17185"/>
    <w:rsid w:val="41E34158"/>
    <w:rsid w:val="41F05895"/>
    <w:rsid w:val="420C70DA"/>
    <w:rsid w:val="421F738E"/>
    <w:rsid w:val="4226611D"/>
    <w:rsid w:val="425402BB"/>
    <w:rsid w:val="42564ADA"/>
    <w:rsid w:val="42747A95"/>
    <w:rsid w:val="427E52C8"/>
    <w:rsid w:val="428A269C"/>
    <w:rsid w:val="429D02B3"/>
    <w:rsid w:val="42FA6BD0"/>
    <w:rsid w:val="42FB4E01"/>
    <w:rsid w:val="4301585B"/>
    <w:rsid w:val="431B31A4"/>
    <w:rsid w:val="432307B8"/>
    <w:rsid w:val="43325808"/>
    <w:rsid w:val="433E1CAF"/>
    <w:rsid w:val="43412297"/>
    <w:rsid w:val="43413ED4"/>
    <w:rsid w:val="43594499"/>
    <w:rsid w:val="43636C3F"/>
    <w:rsid w:val="436A3137"/>
    <w:rsid w:val="436E5353"/>
    <w:rsid w:val="438073DF"/>
    <w:rsid w:val="439D6340"/>
    <w:rsid w:val="43FD7280"/>
    <w:rsid w:val="441532B2"/>
    <w:rsid w:val="441C5686"/>
    <w:rsid w:val="441E55BD"/>
    <w:rsid w:val="4421228F"/>
    <w:rsid w:val="442C59F4"/>
    <w:rsid w:val="442C5CE7"/>
    <w:rsid w:val="443F7EE3"/>
    <w:rsid w:val="44477A7A"/>
    <w:rsid w:val="445A5900"/>
    <w:rsid w:val="44831552"/>
    <w:rsid w:val="44986F84"/>
    <w:rsid w:val="44A72CB4"/>
    <w:rsid w:val="44DC0CFE"/>
    <w:rsid w:val="44DC4FCA"/>
    <w:rsid w:val="44FD1C6D"/>
    <w:rsid w:val="453F207E"/>
    <w:rsid w:val="454276A8"/>
    <w:rsid w:val="45465AD9"/>
    <w:rsid w:val="457C4AF8"/>
    <w:rsid w:val="45A100BA"/>
    <w:rsid w:val="45A31600"/>
    <w:rsid w:val="45C53DA9"/>
    <w:rsid w:val="45E526C2"/>
    <w:rsid w:val="45EF5694"/>
    <w:rsid w:val="45F32D75"/>
    <w:rsid w:val="45FE4441"/>
    <w:rsid w:val="460934CE"/>
    <w:rsid w:val="461F685B"/>
    <w:rsid w:val="463A35BA"/>
    <w:rsid w:val="464478D6"/>
    <w:rsid w:val="46594972"/>
    <w:rsid w:val="46763AFA"/>
    <w:rsid w:val="46A86AC5"/>
    <w:rsid w:val="46AF0ACC"/>
    <w:rsid w:val="46CD2EA3"/>
    <w:rsid w:val="46E33C2A"/>
    <w:rsid w:val="46EB5C2E"/>
    <w:rsid w:val="47191F43"/>
    <w:rsid w:val="471B210D"/>
    <w:rsid w:val="47330BB1"/>
    <w:rsid w:val="47332F94"/>
    <w:rsid w:val="474340E1"/>
    <w:rsid w:val="4754737E"/>
    <w:rsid w:val="476E5DEA"/>
    <w:rsid w:val="478D50EB"/>
    <w:rsid w:val="478F0B12"/>
    <w:rsid w:val="47914A33"/>
    <w:rsid w:val="479B0044"/>
    <w:rsid w:val="479C10BC"/>
    <w:rsid w:val="47A4380D"/>
    <w:rsid w:val="47A6297A"/>
    <w:rsid w:val="47B35BF8"/>
    <w:rsid w:val="47C01A50"/>
    <w:rsid w:val="47C041C7"/>
    <w:rsid w:val="47CB4E60"/>
    <w:rsid w:val="47CD1E0C"/>
    <w:rsid w:val="47D964DB"/>
    <w:rsid w:val="47FC33A5"/>
    <w:rsid w:val="48012A31"/>
    <w:rsid w:val="481D4366"/>
    <w:rsid w:val="482379D2"/>
    <w:rsid w:val="485803F1"/>
    <w:rsid w:val="485E2C28"/>
    <w:rsid w:val="4865215C"/>
    <w:rsid w:val="486942C4"/>
    <w:rsid w:val="487B552A"/>
    <w:rsid w:val="48842F37"/>
    <w:rsid w:val="48A34F21"/>
    <w:rsid w:val="48B05292"/>
    <w:rsid w:val="48B971DC"/>
    <w:rsid w:val="48F556EA"/>
    <w:rsid w:val="491946D3"/>
    <w:rsid w:val="4924047E"/>
    <w:rsid w:val="49276380"/>
    <w:rsid w:val="49441489"/>
    <w:rsid w:val="4948117F"/>
    <w:rsid w:val="494B0B0D"/>
    <w:rsid w:val="49623FA0"/>
    <w:rsid w:val="497E20AD"/>
    <w:rsid w:val="49820EB7"/>
    <w:rsid w:val="499416E9"/>
    <w:rsid w:val="49A63EAD"/>
    <w:rsid w:val="49B4166E"/>
    <w:rsid w:val="49BA2C9E"/>
    <w:rsid w:val="49BC3715"/>
    <w:rsid w:val="49C56A6D"/>
    <w:rsid w:val="49CD147E"/>
    <w:rsid w:val="49D26E8C"/>
    <w:rsid w:val="49F72310"/>
    <w:rsid w:val="49FD2EE4"/>
    <w:rsid w:val="4A0B4FDE"/>
    <w:rsid w:val="4A343D11"/>
    <w:rsid w:val="4A497D35"/>
    <w:rsid w:val="4A8A37D8"/>
    <w:rsid w:val="4A8B4AB2"/>
    <w:rsid w:val="4AD9595B"/>
    <w:rsid w:val="4AF93EAE"/>
    <w:rsid w:val="4AFC3A3A"/>
    <w:rsid w:val="4B1A3646"/>
    <w:rsid w:val="4B2E419E"/>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CE4720A"/>
    <w:rsid w:val="4D004DF6"/>
    <w:rsid w:val="4D1C2C8C"/>
    <w:rsid w:val="4D1E77BE"/>
    <w:rsid w:val="4D245FC5"/>
    <w:rsid w:val="4D2B3B2C"/>
    <w:rsid w:val="4DA943B0"/>
    <w:rsid w:val="4DC515BB"/>
    <w:rsid w:val="4DCB5984"/>
    <w:rsid w:val="4DD64458"/>
    <w:rsid w:val="4DDD4E1A"/>
    <w:rsid w:val="4DE00A28"/>
    <w:rsid w:val="4E135BFA"/>
    <w:rsid w:val="4E1B2DDB"/>
    <w:rsid w:val="4E250E8C"/>
    <w:rsid w:val="4E355E12"/>
    <w:rsid w:val="4E5D7C3A"/>
    <w:rsid w:val="4E8D762E"/>
    <w:rsid w:val="4E9B1112"/>
    <w:rsid w:val="4EA06365"/>
    <w:rsid w:val="4EBD3915"/>
    <w:rsid w:val="4ECD54B1"/>
    <w:rsid w:val="4ED4046B"/>
    <w:rsid w:val="4EDF4B15"/>
    <w:rsid w:val="4EEC4CDB"/>
    <w:rsid w:val="4EF43B16"/>
    <w:rsid w:val="4F0E1E8F"/>
    <w:rsid w:val="4F247EF5"/>
    <w:rsid w:val="4F2B6C13"/>
    <w:rsid w:val="4F3153D3"/>
    <w:rsid w:val="4F457D08"/>
    <w:rsid w:val="4F5F3ED1"/>
    <w:rsid w:val="4F804E7C"/>
    <w:rsid w:val="4F85516A"/>
    <w:rsid w:val="4F944D8F"/>
    <w:rsid w:val="4FCA5221"/>
    <w:rsid w:val="4FD80B7D"/>
    <w:rsid w:val="4FED0FB9"/>
    <w:rsid w:val="50561719"/>
    <w:rsid w:val="507410D2"/>
    <w:rsid w:val="507B60D8"/>
    <w:rsid w:val="50A4392E"/>
    <w:rsid w:val="50A97681"/>
    <w:rsid w:val="50AE3B94"/>
    <w:rsid w:val="50AF7418"/>
    <w:rsid w:val="50E93575"/>
    <w:rsid w:val="50EE4AFC"/>
    <w:rsid w:val="50F04D4E"/>
    <w:rsid w:val="50F57385"/>
    <w:rsid w:val="50F6016F"/>
    <w:rsid w:val="50F96FFC"/>
    <w:rsid w:val="50FB1FB9"/>
    <w:rsid w:val="51132FF4"/>
    <w:rsid w:val="51151213"/>
    <w:rsid w:val="512F0C70"/>
    <w:rsid w:val="513225F9"/>
    <w:rsid w:val="513F5114"/>
    <w:rsid w:val="51440384"/>
    <w:rsid w:val="51532BB1"/>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C8137C"/>
    <w:rsid w:val="52ED3633"/>
    <w:rsid w:val="52F766E2"/>
    <w:rsid w:val="53052267"/>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DD2C05"/>
    <w:rsid w:val="53F67036"/>
    <w:rsid w:val="540540F5"/>
    <w:rsid w:val="541D21E1"/>
    <w:rsid w:val="54231D7C"/>
    <w:rsid w:val="542913B3"/>
    <w:rsid w:val="543A39C2"/>
    <w:rsid w:val="543F18BA"/>
    <w:rsid w:val="54883400"/>
    <w:rsid w:val="54932F58"/>
    <w:rsid w:val="54A81CB5"/>
    <w:rsid w:val="54AA6F8B"/>
    <w:rsid w:val="54C41B11"/>
    <w:rsid w:val="550E49C6"/>
    <w:rsid w:val="55124B31"/>
    <w:rsid w:val="55676C2B"/>
    <w:rsid w:val="55A47D96"/>
    <w:rsid w:val="55C94049"/>
    <w:rsid w:val="55DA287E"/>
    <w:rsid w:val="55DD1819"/>
    <w:rsid w:val="55EE6DAD"/>
    <w:rsid w:val="56073162"/>
    <w:rsid w:val="5609127C"/>
    <w:rsid w:val="56243B92"/>
    <w:rsid w:val="563D619D"/>
    <w:rsid w:val="56413F2B"/>
    <w:rsid w:val="56537C47"/>
    <w:rsid w:val="56A010C0"/>
    <w:rsid w:val="56B96B8E"/>
    <w:rsid w:val="56C747B5"/>
    <w:rsid w:val="56D42684"/>
    <w:rsid w:val="56DD2471"/>
    <w:rsid w:val="571974A0"/>
    <w:rsid w:val="57210A6D"/>
    <w:rsid w:val="5744214A"/>
    <w:rsid w:val="574B480A"/>
    <w:rsid w:val="57543081"/>
    <w:rsid w:val="577473DD"/>
    <w:rsid w:val="5789649C"/>
    <w:rsid w:val="57A373F0"/>
    <w:rsid w:val="57BE68AA"/>
    <w:rsid w:val="57C83C57"/>
    <w:rsid w:val="57FB2FB4"/>
    <w:rsid w:val="582028C2"/>
    <w:rsid w:val="582908A2"/>
    <w:rsid w:val="583D07DD"/>
    <w:rsid w:val="585F1862"/>
    <w:rsid w:val="58613A69"/>
    <w:rsid w:val="58620D26"/>
    <w:rsid w:val="58706FB1"/>
    <w:rsid w:val="587C5983"/>
    <w:rsid w:val="58E8415E"/>
    <w:rsid w:val="58ED1995"/>
    <w:rsid w:val="58FF1A45"/>
    <w:rsid w:val="591578E8"/>
    <w:rsid w:val="591C580B"/>
    <w:rsid w:val="5926497A"/>
    <w:rsid w:val="592A1893"/>
    <w:rsid w:val="595B0854"/>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4FA5"/>
    <w:rsid w:val="5AE37CAA"/>
    <w:rsid w:val="5AEF1DC1"/>
    <w:rsid w:val="5B345801"/>
    <w:rsid w:val="5B353486"/>
    <w:rsid w:val="5B3A7E78"/>
    <w:rsid w:val="5B3D442E"/>
    <w:rsid w:val="5B412C22"/>
    <w:rsid w:val="5B4B2EB1"/>
    <w:rsid w:val="5B510D60"/>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214C2"/>
    <w:rsid w:val="5CBA57BD"/>
    <w:rsid w:val="5CC5471C"/>
    <w:rsid w:val="5CDC5386"/>
    <w:rsid w:val="5CEE7B85"/>
    <w:rsid w:val="5CF07506"/>
    <w:rsid w:val="5CF73D69"/>
    <w:rsid w:val="5D202057"/>
    <w:rsid w:val="5D4700C2"/>
    <w:rsid w:val="5D6C4615"/>
    <w:rsid w:val="5D7C5A81"/>
    <w:rsid w:val="5DD31E8F"/>
    <w:rsid w:val="5DDF2196"/>
    <w:rsid w:val="5DF704AE"/>
    <w:rsid w:val="5DF954B7"/>
    <w:rsid w:val="5DFF05CD"/>
    <w:rsid w:val="5E145461"/>
    <w:rsid w:val="5E1672C2"/>
    <w:rsid w:val="5E1B6033"/>
    <w:rsid w:val="5E2612F9"/>
    <w:rsid w:val="5E534129"/>
    <w:rsid w:val="5E6E3C24"/>
    <w:rsid w:val="5E7255BD"/>
    <w:rsid w:val="5E937CCC"/>
    <w:rsid w:val="5EF83794"/>
    <w:rsid w:val="5EFA466C"/>
    <w:rsid w:val="5F0173CC"/>
    <w:rsid w:val="5F1A1A93"/>
    <w:rsid w:val="5F28567D"/>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40AF0"/>
    <w:rsid w:val="6099592B"/>
    <w:rsid w:val="60A13AB9"/>
    <w:rsid w:val="60A7744C"/>
    <w:rsid w:val="60CF04AB"/>
    <w:rsid w:val="60DB5486"/>
    <w:rsid w:val="60E82C1A"/>
    <w:rsid w:val="60EC0541"/>
    <w:rsid w:val="60FD245E"/>
    <w:rsid w:val="61033EA8"/>
    <w:rsid w:val="610A1613"/>
    <w:rsid w:val="610E0DD2"/>
    <w:rsid w:val="61251167"/>
    <w:rsid w:val="613170F5"/>
    <w:rsid w:val="61432D9E"/>
    <w:rsid w:val="61634163"/>
    <w:rsid w:val="61683AEB"/>
    <w:rsid w:val="618A70BC"/>
    <w:rsid w:val="618D5E50"/>
    <w:rsid w:val="61963F6D"/>
    <w:rsid w:val="61BD1F9D"/>
    <w:rsid w:val="61EA093B"/>
    <w:rsid w:val="62024DB4"/>
    <w:rsid w:val="62117D72"/>
    <w:rsid w:val="62140656"/>
    <w:rsid w:val="62210A89"/>
    <w:rsid w:val="62285DB7"/>
    <w:rsid w:val="62400F9D"/>
    <w:rsid w:val="626857C6"/>
    <w:rsid w:val="626C17E1"/>
    <w:rsid w:val="62923991"/>
    <w:rsid w:val="62966DA1"/>
    <w:rsid w:val="62AA45FB"/>
    <w:rsid w:val="62F20D03"/>
    <w:rsid w:val="62F26EC0"/>
    <w:rsid w:val="62F75B83"/>
    <w:rsid w:val="62FA7330"/>
    <w:rsid w:val="63095375"/>
    <w:rsid w:val="6312135F"/>
    <w:rsid w:val="632A3D0D"/>
    <w:rsid w:val="633443AB"/>
    <w:rsid w:val="6353750E"/>
    <w:rsid w:val="638857E1"/>
    <w:rsid w:val="63AB78F4"/>
    <w:rsid w:val="63B83BFD"/>
    <w:rsid w:val="63C642C7"/>
    <w:rsid w:val="63C81B5F"/>
    <w:rsid w:val="63C85688"/>
    <w:rsid w:val="63CD5666"/>
    <w:rsid w:val="63D01EF3"/>
    <w:rsid w:val="63D2038C"/>
    <w:rsid w:val="63E15DFA"/>
    <w:rsid w:val="63E631E1"/>
    <w:rsid w:val="63F66CE6"/>
    <w:rsid w:val="640E7E19"/>
    <w:rsid w:val="644C3BBB"/>
    <w:rsid w:val="647527CB"/>
    <w:rsid w:val="648A0F84"/>
    <w:rsid w:val="648E4974"/>
    <w:rsid w:val="648F4377"/>
    <w:rsid w:val="64994927"/>
    <w:rsid w:val="649E65A7"/>
    <w:rsid w:val="64B70C4D"/>
    <w:rsid w:val="64D14920"/>
    <w:rsid w:val="64DC3A26"/>
    <w:rsid w:val="64EA382F"/>
    <w:rsid w:val="64ED3306"/>
    <w:rsid w:val="65112EA3"/>
    <w:rsid w:val="6511603A"/>
    <w:rsid w:val="6525440C"/>
    <w:rsid w:val="652763A9"/>
    <w:rsid w:val="653B0F51"/>
    <w:rsid w:val="65434194"/>
    <w:rsid w:val="65477730"/>
    <w:rsid w:val="654912E0"/>
    <w:rsid w:val="656A4332"/>
    <w:rsid w:val="656E7B61"/>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9092B"/>
    <w:rsid w:val="673F01D2"/>
    <w:rsid w:val="676777C3"/>
    <w:rsid w:val="677D4B8A"/>
    <w:rsid w:val="67802ACE"/>
    <w:rsid w:val="67804B33"/>
    <w:rsid w:val="67C40A09"/>
    <w:rsid w:val="67D020A7"/>
    <w:rsid w:val="67D600B8"/>
    <w:rsid w:val="67E4087E"/>
    <w:rsid w:val="67EC2FBF"/>
    <w:rsid w:val="6821192D"/>
    <w:rsid w:val="682B7F8C"/>
    <w:rsid w:val="68337E89"/>
    <w:rsid w:val="68337EE8"/>
    <w:rsid w:val="683A6C76"/>
    <w:rsid w:val="68430E58"/>
    <w:rsid w:val="685C5B46"/>
    <w:rsid w:val="686F1486"/>
    <w:rsid w:val="688C0656"/>
    <w:rsid w:val="68AE1735"/>
    <w:rsid w:val="68B72950"/>
    <w:rsid w:val="68D60630"/>
    <w:rsid w:val="68F00432"/>
    <w:rsid w:val="68F8555D"/>
    <w:rsid w:val="691D712E"/>
    <w:rsid w:val="693115D2"/>
    <w:rsid w:val="697E7396"/>
    <w:rsid w:val="69A009FE"/>
    <w:rsid w:val="69A729C5"/>
    <w:rsid w:val="69BE2739"/>
    <w:rsid w:val="69BF206E"/>
    <w:rsid w:val="69E46DF1"/>
    <w:rsid w:val="69E8174D"/>
    <w:rsid w:val="69EB7655"/>
    <w:rsid w:val="69F66247"/>
    <w:rsid w:val="69F820EF"/>
    <w:rsid w:val="69F86AAF"/>
    <w:rsid w:val="6A1F6154"/>
    <w:rsid w:val="6A2746CC"/>
    <w:rsid w:val="6A435E2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A5562"/>
    <w:rsid w:val="6B565807"/>
    <w:rsid w:val="6B7174EC"/>
    <w:rsid w:val="6B7A369F"/>
    <w:rsid w:val="6BAC2823"/>
    <w:rsid w:val="6BBD5024"/>
    <w:rsid w:val="6BF37DF1"/>
    <w:rsid w:val="6C276CBC"/>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401DE3"/>
    <w:rsid w:val="6D6A2DB3"/>
    <w:rsid w:val="6D6A69AA"/>
    <w:rsid w:val="6D79127B"/>
    <w:rsid w:val="6D832281"/>
    <w:rsid w:val="6DB77BCC"/>
    <w:rsid w:val="6DC237AE"/>
    <w:rsid w:val="6DF91502"/>
    <w:rsid w:val="6E01482E"/>
    <w:rsid w:val="6E0D1941"/>
    <w:rsid w:val="6E18292B"/>
    <w:rsid w:val="6E241705"/>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5C03A9"/>
    <w:rsid w:val="6F65489B"/>
    <w:rsid w:val="6F86274A"/>
    <w:rsid w:val="6F8A6B50"/>
    <w:rsid w:val="6F9E4E98"/>
    <w:rsid w:val="6FB24AEE"/>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2E0860"/>
    <w:rsid w:val="713B214A"/>
    <w:rsid w:val="714633CE"/>
    <w:rsid w:val="714A76D4"/>
    <w:rsid w:val="715C3ADF"/>
    <w:rsid w:val="716342F2"/>
    <w:rsid w:val="718621EE"/>
    <w:rsid w:val="71894FD2"/>
    <w:rsid w:val="71A3311F"/>
    <w:rsid w:val="71AA4E1C"/>
    <w:rsid w:val="71CF7BDA"/>
    <w:rsid w:val="72005730"/>
    <w:rsid w:val="72280301"/>
    <w:rsid w:val="7231753D"/>
    <w:rsid w:val="72386C6E"/>
    <w:rsid w:val="723A3057"/>
    <w:rsid w:val="72400885"/>
    <w:rsid w:val="724B6026"/>
    <w:rsid w:val="725273EA"/>
    <w:rsid w:val="725B1897"/>
    <w:rsid w:val="72603689"/>
    <w:rsid w:val="726C47BC"/>
    <w:rsid w:val="726C5429"/>
    <w:rsid w:val="728E7595"/>
    <w:rsid w:val="72CD2240"/>
    <w:rsid w:val="72DC19E2"/>
    <w:rsid w:val="72EC4E12"/>
    <w:rsid w:val="73373DED"/>
    <w:rsid w:val="73391B68"/>
    <w:rsid w:val="733F7A24"/>
    <w:rsid w:val="735C44F0"/>
    <w:rsid w:val="736A01CD"/>
    <w:rsid w:val="736B4D35"/>
    <w:rsid w:val="73741988"/>
    <w:rsid w:val="73814929"/>
    <w:rsid w:val="7393399F"/>
    <w:rsid w:val="73984022"/>
    <w:rsid w:val="73BF445B"/>
    <w:rsid w:val="73C11347"/>
    <w:rsid w:val="73E2421D"/>
    <w:rsid w:val="74000D97"/>
    <w:rsid w:val="740A314B"/>
    <w:rsid w:val="74130252"/>
    <w:rsid w:val="74185CCF"/>
    <w:rsid w:val="741D2E7E"/>
    <w:rsid w:val="74694C3B"/>
    <w:rsid w:val="746A6AAD"/>
    <w:rsid w:val="747A4FBC"/>
    <w:rsid w:val="748B466B"/>
    <w:rsid w:val="749018A2"/>
    <w:rsid w:val="74D94903"/>
    <w:rsid w:val="74DC7834"/>
    <w:rsid w:val="74E271F1"/>
    <w:rsid w:val="75326EC3"/>
    <w:rsid w:val="75474A77"/>
    <w:rsid w:val="7551327B"/>
    <w:rsid w:val="755F3E02"/>
    <w:rsid w:val="755F782E"/>
    <w:rsid w:val="75A16A9F"/>
    <w:rsid w:val="75BC6CCF"/>
    <w:rsid w:val="75E27D49"/>
    <w:rsid w:val="761867BE"/>
    <w:rsid w:val="76365AD0"/>
    <w:rsid w:val="765D57EA"/>
    <w:rsid w:val="7688585F"/>
    <w:rsid w:val="76E97048"/>
    <w:rsid w:val="76F54CF0"/>
    <w:rsid w:val="76FD5906"/>
    <w:rsid w:val="77072866"/>
    <w:rsid w:val="770B684E"/>
    <w:rsid w:val="771D50F3"/>
    <w:rsid w:val="77204CB1"/>
    <w:rsid w:val="77356662"/>
    <w:rsid w:val="776E39F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8F148D9"/>
    <w:rsid w:val="793B5CE2"/>
    <w:rsid w:val="795C411F"/>
    <w:rsid w:val="796834B3"/>
    <w:rsid w:val="797B3C8A"/>
    <w:rsid w:val="797F45FC"/>
    <w:rsid w:val="79970647"/>
    <w:rsid w:val="79D33FDF"/>
    <w:rsid w:val="79D9682C"/>
    <w:rsid w:val="79DB75C0"/>
    <w:rsid w:val="79E37881"/>
    <w:rsid w:val="79E4486C"/>
    <w:rsid w:val="79EA2E0E"/>
    <w:rsid w:val="79ED08FA"/>
    <w:rsid w:val="7A067AFA"/>
    <w:rsid w:val="7A0C585A"/>
    <w:rsid w:val="7A2C7450"/>
    <w:rsid w:val="7A326B5A"/>
    <w:rsid w:val="7A553725"/>
    <w:rsid w:val="7A616D0A"/>
    <w:rsid w:val="7A7F2C76"/>
    <w:rsid w:val="7AAC462A"/>
    <w:rsid w:val="7ACD6B9E"/>
    <w:rsid w:val="7AF84FA0"/>
    <w:rsid w:val="7AF909C6"/>
    <w:rsid w:val="7B6273C9"/>
    <w:rsid w:val="7B6F1BD0"/>
    <w:rsid w:val="7B732126"/>
    <w:rsid w:val="7B755C15"/>
    <w:rsid w:val="7B7B20CE"/>
    <w:rsid w:val="7B8E1216"/>
    <w:rsid w:val="7B9A1345"/>
    <w:rsid w:val="7BCA6C86"/>
    <w:rsid w:val="7C003703"/>
    <w:rsid w:val="7C044DA1"/>
    <w:rsid w:val="7C365DE1"/>
    <w:rsid w:val="7C572CA5"/>
    <w:rsid w:val="7CA33449"/>
    <w:rsid w:val="7CC876FF"/>
    <w:rsid w:val="7CCE4D69"/>
    <w:rsid w:val="7D0A0BA4"/>
    <w:rsid w:val="7D107AF3"/>
    <w:rsid w:val="7D4253C7"/>
    <w:rsid w:val="7D4C5341"/>
    <w:rsid w:val="7D4E5EE6"/>
    <w:rsid w:val="7D780500"/>
    <w:rsid w:val="7D8901AD"/>
    <w:rsid w:val="7D8E577D"/>
    <w:rsid w:val="7D9A426A"/>
    <w:rsid w:val="7D9D293A"/>
    <w:rsid w:val="7E006F08"/>
    <w:rsid w:val="7E01736D"/>
    <w:rsid w:val="7E333E03"/>
    <w:rsid w:val="7E391FE6"/>
    <w:rsid w:val="7E916762"/>
    <w:rsid w:val="7EA916FD"/>
    <w:rsid w:val="7EAB552B"/>
    <w:rsid w:val="7EE53C64"/>
    <w:rsid w:val="7EED5B43"/>
    <w:rsid w:val="7F541580"/>
    <w:rsid w:val="7F590594"/>
    <w:rsid w:val="7F631961"/>
    <w:rsid w:val="7F667225"/>
    <w:rsid w:val="7F7B2EF8"/>
    <w:rsid w:val="7F844A6E"/>
    <w:rsid w:val="7FAA1C29"/>
    <w:rsid w:val="7FAC4830"/>
    <w:rsid w:val="7FB659E5"/>
    <w:rsid w:val="7FB7407D"/>
    <w:rsid w:val="7FEF65CD"/>
    <w:rsid w:val="7FF04845"/>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next w:val="10"/>
    <w:qFormat/>
    <w:uiPriority w:val="99"/>
    <w:pPr>
      <w:snapToGrid w:val="0"/>
    </w:pPr>
    <w:rPr>
      <w:rFonts w:ascii="Arial" w:hAnsi="Arial"/>
      <w:kern w:val="2"/>
    </w:rPr>
  </w:style>
  <w:style w:type="paragraph" w:styleId="10">
    <w:name w:val="Title"/>
    <w:basedOn w:val="1"/>
    <w:next w:val="1"/>
    <w:qFormat/>
    <w:uiPriority w:val="10"/>
    <w:pPr>
      <w:suppressAutoHyphens w:val="0"/>
      <w:spacing w:before="240" w:after="60"/>
      <w:jc w:val="center"/>
      <w:outlineLvl w:val="0"/>
    </w:pPr>
    <w:rPr>
      <w:rFonts w:ascii="Cambria" w:cs="Cambria"/>
      <w:b/>
      <w:bCs/>
      <w:kern w:val="0"/>
      <w:sz w:val="32"/>
      <w:szCs w:val="32"/>
      <w:lang w:eastAsia="zh-CN"/>
    </w:rPr>
  </w:style>
  <w:style w:type="paragraph" w:styleId="11">
    <w:name w:val="List 2"/>
    <w:basedOn w:val="1"/>
    <w:qFormat/>
    <w:uiPriority w:val="0"/>
    <w:pPr>
      <w:ind w:left="100" w:leftChars="200" w:hanging="200" w:hangingChars="200"/>
    </w:pPr>
    <w:rPr>
      <w:kern w:val="2"/>
      <w:lang w:eastAsia="zh-CN"/>
    </w:rPr>
  </w:style>
  <w:style w:type="paragraph" w:styleId="12">
    <w:name w:val="Plain Text"/>
    <w:basedOn w:val="1"/>
    <w:qFormat/>
    <w:uiPriority w:val="0"/>
    <w:rPr>
      <w:rFonts w:ascii="宋体" w:hAnsi="Courier New"/>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7"/>
    <w:qFormat/>
    <w:uiPriority w:val="0"/>
    <w:pPr>
      <w:ind w:firstLine="420" w:firstLineChars="100"/>
    </w:pPr>
  </w:style>
  <w:style w:type="paragraph" w:styleId="18">
    <w:name w:val="Body Text First Indent 2"/>
    <w:basedOn w:val="8"/>
    <w:next w:val="1"/>
    <w:qFormat/>
    <w:uiPriority w:val="0"/>
    <w:pPr>
      <w:ind w:firstLine="420" w:firstLineChars="200"/>
    </w:pPr>
    <w:rPr>
      <w:kern w:val="2"/>
      <w:szCs w:val="22"/>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paragraph" w:styleId="33">
    <w:name w:val="List Paragraph"/>
    <w:basedOn w:val="1"/>
    <w:qFormat/>
    <w:uiPriority w:val="99"/>
    <w:pPr>
      <w:ind w:firstLine="420" w:firstLineChars="200"/>
    </w:pPr>
  </w:style>
  <w:style w:type="paragraph" w:customStyle="1" w:styleId="34">
    <w:name w:val="正文_0_0"/>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20477</Words>
  <Characters>22548</Characters>
  <Lines>0</Lines>
  <Paragraphs>0</Paragraphs>
  <TotalTime>4</TotalTime>
  <ScaleCrop>false</ScaleCrop>
  <LinksUpToDate>false</LinksUpToDate>
  <CharactersWithSpaces>24143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2023-12-27T03:32:00Z</cp:lastPrinted>
  <dcterms:modified xsi:type="dcterms:W3CDTF">2024-01-18T06:31:07Z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3DC1C1C5EC6741F69426F536341F9981</vt:lpwstr>
  </property>
</Properties>
</file>