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ermStart w:id="0" w:edGrp="everyone"/>
      <w:permEnd w:id="0"/>
    </w:p>
    <w:p>
      <w:pPr>
        <w:wordWrap w:val="0"/>
        <w:jc w:val="center"/>
        <w:rPr>
          <w:rFonts w:hint="eastAsia" w:ascii="Times New Roman" w:hAnsi="Times New Roman" w:eastAsia="黑体" w:cs="Times New Roman"/>
          <w:kern w:val="0"/>
          <w:sz w:val="32"/>
          <w:szCs w:val="32"/>
          <w:lang w:val="en-US" w:eastAsia="zh-CN"/>
        </w:rPr>
      </w:pPr>
      <w:permStart w:id="1" w:edGrp="everyone"/>
      <w:r>
        <w:rPr>
          <w:rFonts w:hint="eastAsia" w:ascii="Times New Roman" w:hAnsi="Times New Roman" w:eastAsia="黑体" w:cs="Times New Roman"/>
          <w:kern w:val="0"/>
          <w:sz w:val="32"/>
          <w:szCs w:val="32"/>
        </w:rPr>
        <w:t>水安凤栖上院34号地块工程项目</w:t>
      </w:r>
      <w:r>
        <w:rPr>
          <w:rFonts w:hint="eastAsia" w:ascii="Times New Roman" w:hAnsi="Times New Roman" w:eastAsia="黑体" w:cs="Times New Roman"/>
          <w:kern w:val="0"/>
          <w:sz w:val="32"/>
          <w:szCs w:val="32"/>
          <w:lang w:val="en-US" w:eastAsia="zh-CN"/>
        </w:rPr>
        <w:t>战时人防设备采购</w:t>
      </w:r>
    </w:p>
    <w:p>
      <w:pPr>
        <w:wordWrap w:val="0"/>
        <w:jc w:val="center"/>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lang w:val="en-US" w:eastAsia="zh-CN"/>
        </w:rPr>
        <w:t>安装工程</w:t>
      </w:r>
      <w:permEnd w:id="1"/>
      <w:bookmarkStart w:id="526" w:name="_GoBack"/>
      <w:bookmarkEnd w:id="526"/>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2" w:edGrp="everyone"/>
      <w:r>
        <w:rPr>
          <w:rFonts w:hint="default" w:ascii="Times New Roman" w:hAnsi="Times New Roman" w:eastAsia="楷体" w:cs="Times New Roman"/>
          <w:kern w:val="0"/>
          <w:sz w:val="28"/>
          <w:szCs w:val="28"/>
          <w:highlight w:val="yellow"/>
          <w:shd w:val="clear" w:color="auto" w:fill="auto"/>
          <w:lang w:val="en-US" w:eastAsia="zh-CN"/>
        </w:rPr>
        <w:t>BZJK-</w:t>
      </w:r>
      <w:r>
        <w:rPr>
          <w:rFonts w:hint="eastAsia" w:ascii="Times New Roman" w:hAnsi="Times New Roman" w:eastAsia="楷体" w:cs="Times New Roman"/>
          <w:kern w:val="0"/>
          <w:sz w:val="28"/>
          <w:szCs w:val="28"/>
          <w:highlight w:val="yellow"/>
          <w:shd w:val="clear" w:color="auto" w:fill="auto"/>
          <w:lang w:val="en-US" w:eastAsia="zh-CN"/>
        </w:rPr>
        <w:t>2024</w:t>
      </w:r>
      <w:r>
        <w:rPr>
          <w:rFonts w:hint="default" w:ascii="Times New Roman" w:hAnsi="Times New Roman" w:eastAsia="楷体" w:cs="Times New Roman"/>
          <w:kern w:val="0"/>
          <w:sz w:val="28"/>
          <w:szCs w:val="28"/>
          <w:highlight w:val="yellow"/>
          <w:shd w:val="clear" w:color="auto" w:fill="auto"/>
          <w:lang w:val="en-US" w:eastAsia="zh-CN"/>
        </w:rPr>
        <w:t>-</w:t>
      </w:r>
      <w:r>
        <w:rPr>
          <w:rFonts w:hint="eastAsia" w:ascii="Times New Roman" w:hAnsi="Times New Roman" w:eastAsia="楷体" w:cs="Times New Roman"/>
          <w:kern w:val="0"/>
          <w:sz w:val="28"/>
          <w:szCs w:val="28"/>
          <w:highlight w:val="yellow"/>
          <w:u w:val="single"/>
          <w:shd w:val="clear" w:color="auto" w:fill="auto"/>
          <w:lang w:val="en-US" w:eastAsia="zh-CN"/>
        </w:rPr>
        <w:t>004</w:t>
      </w:r>
      <w:r>
        <w:rPr>
          <w:rFonts w:hint="default" w:ascii="Times New Roman" w:hAnsi="Times New Roman" w:eastAsia="楷体" w:cs="Times New Roman"/>
          <w:kern w:val="0"/>
          <w:sz w:val="28"/>
          <w:szCs w:val="28"/>
          <w:highlight w:val="yellow"/>
          <w:shd w:val="clear" w:color="auto" w:fill="auto"/>
          <w:lang w:val="en-US" w:eastAsia="zh-CN"/>
        </w:rPr>
        <w:t>号</w:t>
      </w:r>
      <w:permEnd w:id="2"/>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3" w:edGrp="everyone"/>
      <w:r>
        <w:rPr>
          <w:rFonts w:hint="eastAsia" w:ascii="Times New Roman" w:hAnsi="Times New Roman" w:eastAsia="楷体" w:cs="Times New Roman"/>
          <w:kern w:val="0"/>
          <w:sz w:val="32"/>
          <w:szCs w:val="32"/>
        </w:rPr>
        <w:t>安徽通康建设工程有限公司</w:t>
      </w:r>
      <w:permEnd w:id="3"/>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4" w:edGrp="everyone"/>
      <w:r>
        <w:rPr>
          <w:rFonts w:hint="eastAsia" w:ascii="Times New Roman" w:hAnsi="Times New Roman" w:eastAsia="楷体" w:cs="Times New Roman"/>
          <w:kern w:val="0"/>
          <w:sz w:val="32"/>
          <w:szCs w:val="32"/>
          <w:highlight w:val="none"/>
          <w:shd w:val="clear" w:color="auto" w:fill="auto"/>
          <w:lang w:val="en-US" w:eastAsia="zh-CN"/>
        </w:rPr>
        <w:t>2024年1</w:t>
      </w:r>
      <w:r>
        <w:rPr>
          <w:rFonts w:hint="eastAsia" w:ascii="Times New Roman" w:hAnsi="Times New Roman" w:eastAsia="楷体" w:cs="Times New Roman"/>
          <w:kern w:val="0"/>
          <w:sz w:val="32"/>
          <w:szCs w:val="32"/>
          <w:highlight w:val="none"/>
          <w:u w:val="none"/>
          <w:shd w:val="clear" w:color="auto" w:fill="auto"/>
          <w:lang w:val="en-US" w:eastAsia="zh-CN"/>
        </w:rPr>
        <w:t>月16日</w:t>
      </w:r>
      <w:permEnd w:id="4"/>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5"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（经评审的最低投标价法）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工程量清单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图纸</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26</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七</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技术标准和要求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27</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八</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32</w:t>
      </w:r>
    </w:p>
    <w:permEnd w:id="5"/>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黑体" w:cs="Times New Roman"/>
          <w:sz w:val="28"/>
          <w:szCs w:val="28"/>
          <w:lang w:val="en-US" w:eastAsia="zh-CN"/>
        </w:rPr>
      </w:pPr>
      <w:permStart w:id="6" w:edGrp="everyone"/>
      <w:r>
        <w:rPr>
          <w:rFonts w:hint="eastAsia" w:ascii="Times New Roman" w:hAnsi="Times New Roman" w:eastAsia="黑体" w:cs="Times New Roman"/>
          <w:sz w:val="28"/>
          <w:szCs w:val="28"/>
        </w:rPr>
        <w:t>水安凤栖上院34号地块工程项目</w:t>
      </w:r>
      <w:r>
        <w:rPr>
          <w:rFonts w:hint="eastAsia" w:ascii="Times New Roman" w:hAnsi="Times New Roman" w:eastAsia="黑体" w:cs="Times New Roman"/>
          <w:sz w:val="28"/>
          <w:szCs w:val="28"/>
          <w:lang w:val="en-US" w:eastAsia="zh-CN"/>
        </w:rPr>
        <w:t>战时人防设备采购安装工程</w:t>
      </w:r>
    </w:p>
    <w:permEnd w:id="6"/>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黑体" w:cs="Times New Roman"/>
          <w:sz w:val="28"/>
          <w:szCs w:val="28"/>
          <w:highlight w:val="none"/>
          <w:lang w:val="en-US" w:eastAsia="zh-CN"/>
        </w:rPr>
        <w:t>招标公告</w:t>
      </w:r>
      <w:bookmarkStart w:id="0" w:name="_Toc246996166"/>
      <w:bookmarkStart w:id="1" w:name="_Toc144974487"/>
      <w:bookmarkStart w:id="2" w:name="_Toc246996909"/>
      <w:bookmarkStart w:id="3" w:name="_Toc296602410"/>
      <w:bookmarkStart w:id="4" w:name="_Toc179632536"/>
      <w:bookmarkStart w:id="5" w:name="_Toc247085680"/>
      <w:bookmarkStart w:id="6" w:name="_Toc152042295"/>
      <w:bookmarkStart w:id="7" w:name="_Toc152045519"/>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wordWrap w:val="0"/>
        <w:spacing w:line="480" w:lineRule="exact"/>
        <w:ind w:firstLine="420" w:firstLineChars="150"/>
        <w:rPr>
          <w:rFonts w:asciiTheme="minorEastAsia" w:hAnsiTheme="minorEastAsia" w:cstheme="minorEastAsia"/>
          <w:sz w:val="28"/>
          <w:szCs w:val="28"/>
        </w:rPr>
      </w:pPr>
      <w:bookmarkStart w:id="8" w:name="_Toc179632537"/>
      <w:bookmarkStart w:id="9" w:name="_Toc144974488"/>
      <w:bookmarkStart w:id="10" w:name="_Toc152045520"/>
      <w:bookmarkStart w:id="11" w:name="_Toc296602411"/>
      <w:bookmarkStart w:id="12" w:name="_Toc152042296"/>
      <w:bookmarkStart w:id="13" w:name="_Toc246996167"/>
      <w:bookmarkStart w:id="14" w:name="_Toc246996910"/>
      <w:bookmarkStart w:id="15" w:name="_Toc247085681"/>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7" w:edGrp="everyone"/>
      <w:r>
        <w:rPr>
          <w:rFonts w:hint="eastAsia" w:asciiTheme="minorEastAsia" w:hAnsiTheme="minorEastAsia" w:cstheme="minorEastAsia"/>
          <w:sz w:val="28"/>
          <w:szCs w:val="28"/>
        </w:rPr>
        <w:t>水安凤栖上院34号地块工程项目</w:t>
      </w:r>
      <w:r>
        <w:rPr>
          <w:rFonts w:hint="eastAsia" w:asciiTheme="minorEastAsia" w:hAnsiTheme="minorEastAsia" w:cstheme="minorEastAsia"/>
          <w:sz w:val="28"/>
          <w:szCs w:val="28"/>
          <w:lang w:val="en-US" w:eastAsia="zh-CN"/>
        </w:rPr>
        <w:t>战时人防设备采购安装工程</w:t>
      </w:r>
    </w:p>
    <w:permEnd w:id="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8" w:edGrp="everyone"/>
      <w:r>
        <w:rPr>
          <w:rFonts w:ascii="Times New Roman" w:hAnsi="Times New Roman" w:eastAsia="楷体" w:cs="Times New Roman"/>
          <w:kern w:val="0"/>
          <w:sz w:val="28"/>
          <w:szCs w:val="28"/>
          <w:highlight w:val="yellow"/>
        </w:rPr>
        <w:t>BZJK-</w:t>
      </w:r>
      <w:r>
        <w:rPr>
          <w:rFonts w:hint="eastAsia" w:ascii="Times New Roman" w:hAnsi="Times New Roman" w:eastAsia="楷体" w:cs="Times New Roman"/>
          <w:kern w:val="0"/>
          <w:sz w:val="28"/>
          <w:szCs w:val="28"/>
          <w:highlight w:val="yellow"/>
          <w:lang w:eastAsia="zh-CN"/>
        </w:rPr>
        <w:t>202</w:t>
      </w:r>
      <w:r>
        <w:rPr>
          <w:rFonts w:hint="eastAsia" w:ascii="Times New Roman" w:hAnsi="Times New Roman" w:eastAsia="楷体" w:cs="Times New Roman"/>
          <w:kern w:val="0"/>
          <w:sz w:val="28"/>
          <w:szCs w:val="28"/>
          <w:highlight w:val="yellow"/>
          <w:lang w:val="en-US" w:eastAsia="zh-CN"/>
        </w:rPr>
        <w:t>4</w:t>
      </w:r>
      <w:r>
        <w:rPr>
          <w:rFonts w:ascii="Times New Roman" w:hAnsi="Times New Roman" w:eastAsia="楷体" w:cs="Times New Roman"/>
          <w:kern w:val="0"/>
          <w:sz w:val="28"/>
          <w:szCs w:val="28"/>
          <w:highlight w:val="yellow"/>
        </w:rPr>
        <w:t>-</w:t>
      </w:r>
      <w:r>
        <w:rPr>
          <w:rFonts w:hint="eastAsia" w:ascii="Times New Roman" w:hAnsi="Times New Roman" w:eastAsia="楷体" w:cs="Times New Roman"/>
          <w:kern w:val="0"/>
          <w:sz w:val="28"/>
          <w:szCs w:val="28"/>
          <w:highlight w:val="yellow"/>
          <w:u w:val="single"/>
          <w:lang w:val="en-US" w:eastAsia="zh-CN"/>
        </w:rPr>
        <w:t>004</w:t>
      </w:r>
      <w:r>
        <w:rPr>
          <w:rFonts w:ascii="Times New Roman" w:hAnsi="Times New Roman" w:eastAsia="楷体" w:cs="Times New Roman"/>
          <w:kern w:val="0"/>
          <w:sz w:val="28"/>
          <w:szCs w:val="28"/>
          <w:highlight w:val="yellow"/>
        </w:rPr>
        <w:t>号</w:t>
      </w:r>
      <w:permEnd w:id="8"/>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9" w:edGrp="everyone"/>
      <w:r>
        <w:rPr>
          <w:rFonts w:hint="eastAsia" w:asciiTheme="minorEastAsia" w:hAnsiTheme="minorEastAsia" w:cstheme="minorEastAsia"/>
          <w:sz w:val="28"/>
          <w:szCs w:val="28"/>
        </w:rPr>
        <w:t>企业自筹</w:t>
      </w:r>
    </w:p>
    <w:permEnd w:id="9"/>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10" w:edGrp="everyone"/>
      <w:r>
        <w:rPr>
          <w:rFonts w:hint="eastAsia" w:asciiTheme="minorEastAsia" w:hAnsiTheme="minorEastAsia" w:cstheme="minorEastAsia"/>
          <w:sz w:val="28"/>
          <w:szCs w:val="28"/>
        </w:rPr>
        <w:t>安徽通康建设工程有限公司</w:t>
      </w:r>
    </w:p>
    <w:permEnd w:id="10"/>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项目已具备招标条件，现对该项目的施工进行公开招标。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11" w:edGrp="everyone"/>
      <w:r>
        <w:rPr>
          <w:rFonts w:hint="eastAsia" w:asciiTheme="minorEastAsia" w:hAnsiTheme="minorEastAsia" w:cstheme="minorEastAsia"/>
          <w:sz w:val="28"/>
          <w:szCs w:val="28"/>
        </w:rPr>
        <w:t>项目位于亳州市曹霸路与旋花路交口，总建筑面积约9万平方米，水安凤栖上院34号地块工程项目</w:t>
      </w:r>
      <w:r>
        <w:rPr>
          <w:rFonts w:hint="eastAsia" w:asciiTheme="minorEastAsia" w:hAnsiTheme="minorEastAsia" w:cstheme="minorEastAsia"/>
          <w:sz w:val="28"/>
          <w:szCs w:val="28"/>
          <w:lang w:val="en-US" w:eastAsia="zh-CN"/>
        </w:rPr>
        <w:t>战时人防设备采购安装工程</w:t>
      </w:r>
      <w:r>
        <w:rPr>
          <w:rFonts w:hint="eastAsia" w:asciiTheme="minorEastAsia" w:hAnsiTheme="minorEastAsia" w:cstheme="minorEastAsia"/>
          <w:sz w:val="28"/>
          <w:szCs w:val="28"/>
        </w:rPr>
        <w:t>。</w:t>
      </w:r>
      <w:permEnd w:id="11"/>
    </w:p>
    <w:p>
      <w:pPr>
        <w:spacing w:line="520" w:lineRule="exact"/>
        <w:ind w:firstLine="560" w:firstLineChars="200"/>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w:t>
      </w:r>
      <w:r>
        <w:rPr>
          <w:rFonts w:hint="eastAsia" w:asciiTheme="minorEastAsia" w:hAnsiTheme="minorEastAsia" w:cstheme="minorEastAsia"/>
          <w:sz w:val="28"/>
          <w:szCs w:val="28"/>
        </w:rPr>
        <w:t>包括但不限于项目战时人防门、人防设备的制造、运输、安装、检测及竣工验收等内容，需满足发包人及施工图纸要求，具体</w:t>
      </w:r>
      <w:r>
        <w:rPr>
          <w:rFonts w:hint="eastAsia" w:asciiTheme="minorEastAsia" w:hAnsiTheme="minorEastAsia" w:cstheme="minorEastAsia"/>
          <w:sz w:val="28"/>
          <w:szCs w:val="28"/>
          <w:lang w:val="en-US" w:eastAsia="zh-CN"/>
        </w:rPr>
        <w:t>见</w:t>
      </w:r>
      <w:r>
        <w:rPr>
          <w:rFonts w:hint="eastAsia" w:asciiTheme="minorEastAsia" w:hAnsiTheme="minorEastAsia" w:cstheme="minorEastAsia"/>
          <w:sz w:val="28"/>
          <w:szCs w:val="28"/>
        </w:rPr>
        <w:t>工程量清单，以本项目人防工程审图合格的图纸为准。投标单位投标前请认真看阅施工图、并现场勘察了解情况，投标时我方认为投标单位已充分了解工程概况。</w:t>
      </w:r>
      <w:r>
        <w:rPr>
          <w:rFonts w:hint="eastAsia" w:asciiTheme="minorEastAsia" w:hAnsiTheme="minorEastAsia" w:cstheme="minorEastAsia"/>
          <w:color w:val="FF0000"/>
          <w:sz w:val="28"/>
          <w:szCs w:val="28"/>
          <w:highlight w:val="none"/>
        </w:rPr>
        <w:t>（工作内容详见第七章技术标准和要求）</w:t>
      </w:r>
      <w:r>
        <w:rPr>
          <w:rFonts w:hint="eastAsia" w:asciiTheme="minorEastAsia" w:hAnsiTheme="minorEastAsia" w:cstheme="minorEastAsia"/>
          <w:sz w:val="28"/>
          <w:szCs w:val="28"/>
          <w:lang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（三）质量标准：</w:t>
      </w:r>
      <w:permStart w:id="12"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ermEnd w:id="12"/>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（四）计划工期：</w:t>
      </w:r>
      <w:r>
        <w:rPr>
          <w:rFonts w:hint="eastAsia" w:asciiTheme="minorEastAsia" w:hAnsiTheme="minorEastAsia" w:cstheme="minorEastAsia"/>
          <w:sz w:val="28"/>
          <w:szCs w:val="28"/>
          <w:lang w:eastAsia="zh-CN"/>
        </w:rPr>
        <w:t>自合同签订之日起至人防设备通过亳州市人防办验收合格。前期：以合同签订之日起10个日历天内完成制作并安装人防门预埋配件及门框；后期：以建设单位发出通知为准，40个日历天内完成制作并安装剩余人防门以及通过第三方检测合格</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asciiTheme="minorEastAsia" w:hAnsiTheme="minorEastAsia" w:cstheme="minorEastAsia"/>
          <w:sz w:val="28"/>
          <w:szCs w:val="28"/>
        </w:rPr>
      </w:pPr>
      <w:r>
        <w:rPr>
          <w:rFonts w:hint="eastAsia" w:asciiTheme="minorEastAsia" w:hAnsiTheme="minorEastAsia" w:eastAsiaTheme="minorEastAsia" w:cstheme="minorEastAsia"/>
          <w:sz w:val="28"/>
          <w:szCs w:val="28"/>
          <w:highlight w:val="none"/>
          <w:lang w:val="en-US" w:eastAsia="zh-CN"/>
        </w:rPr>
        <w:t>（五）最高投标限价</w:t>
      </w:r>
      <w:permStart w:id="13" w:edGrp="everyone"/>
      <w:r>
        <w:rPr>
          <w:rFonts w:hint="eastAsia" w:asciiTheme="minorEastAsia" w:hAnsiTheme="minorEastAsia" w:cstheme="minorEastAsia"/>
          <w:sz w:val="28"/>
          <w:szCs w:val="28"/>
          <w:highlight w:val="none"/>
          <w:lang w:val="en-US" w:eastAsia="zh-CN"/>
        </w:rPr>
        <w:t>（含税,9%）</w:t>
      </w:r>
      <w:permEnd w:id="13"/>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color w:val="FF0000"/>
          <w:sz w:val="28"/>
          <w:szCs w:val="28"/>
        </w:rPr>
        <w:t>955256.00元</w:t>
      </w:r>
      <w:r>
        <w:rPr>
          <w:rFonts w:hint="eastAsia" w:asciiTheme="minorEastAsia" w:hAnsiTheme="minorEastAsia" w:cstheme="minorEastAsia"/>
          <w:color w:val="FF0000"/>
          <w:sz w:val="28"/>
          <w:szCs w:val="28"/>
          <w:lang w:eastAsia="zh-CN"/>
        </w:rPr>
        <w:t>。</w:t>
      </w:r>
      <w:r>
        <w:rPr>
          <w:rFonts w:hint="eastAsia" w:asciiTheme="minorEastAsia" w:hAnsiTheme="minorEastAsia" w:eastAsiaTheme="minorEastAsia" w:cstheme="minorEastAsia"/>
          <w:sz w:val="28"/>
          <w:szCs w:val="28"/>
          <w:highlight w:val="none"/>
          <w:lang w:val="en-US" w:eastAsia="zh-CN"/>
        </w:rPr>
        <w:t>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（一）</w:t>
      </w:r>
      <w:r>
        <w:rPr>
          <w:rFonts w:hint="eastAsia" w:asciiTheme="minorEastAsia" w:hAnsiTheme="minorEastAsia" w:cstheme="minorEastAsia"/>
          <w:sz w:val="28"/>
          <w:szCs w:val="28"/>
        </w:rPr>
        <w:t>具有</w:t>
      </w:r>
      <w:permStart w:id="14" w:edGrp="everyone"/>
      <w:r>
        <w:rPr>
          <w:rFonts w:hint="eastAsia" w:asciiTheme="minorEastAsia" w:hAnsiTheme="minorEastAsia" w:cstheme="minorEastAsia"/>
          <w:color w:val="FF0000"/>
          <w:sz w:val="28"/>
          <w:szCs w:val="28"/>
        </w:rPr>
        <w:t>独立法人资格</w:t>
      </w:r>
      <w:permEnd w:id="14"/>
      <w:r>
        <w:rPr>
          <w:rFonts w:hint="eastAsia" w:asciiTheme="minorEastAsia" w:hAnsiTheme="minorEastAsia" w:cstheme="minorEastAsia"/>
          <w:sz w:val="28"/>
          <w:szCs w:val="28"/>
        </w:rPr>
        <w:t>，并在人员、设备、资金等方面具有承担本工程施工的能力；</w:t>
      </w:r>
    </w:p>
    <w:p>
      <w:pPr>
        <w:spacing w:line="520" w:lineRule="exact"/>
        <w:ind w:firstLine="560" w:firstLineChars="200"/>
        <w:rPr>
          <w:rFonts w:hint="eastAsia" w:asciiTheme="minorEastAsia" w:hAnsiTheme="minorEastAsia" w:eastAsiaTheme="minorEastAsia" w:cstheme="minorEastAsia"/>
          <w:sz w:val="28"/>
          <w:szCs w:val="28"/>
          <w:lang w:eastAsia="zh-CN"/>
        </w:rPr>
      </w:pPr>
      <w:r>
        <w:rPr>
          <w:rFonts w:hint="eastAsia" w:asciiTheme="minorEastAsia" w:hAnsiTheme="minorEastAsia" w:cstheme="minorEastAsia"/>
          <w:sz w:val="28"/>
          <w:szCs w:val="28"/>
        </w:rPr>
        <w:t>（二）具有</w:t>
      </w:r>
      <w:r>
        <w:rPr>
          <w:rFonts w:hint="eastAsia" w:asciiTheme="minorEastAsia" w:hAnsiTheme="minorEastAsia" w:cstheme="minorEastAsia"/>
          <w:color w:val="FF0000"/>
          <w:sz w:val="28"/>
          <w:szCs w:val="28"/>
        </w:rPr>
        <w:t>国家人防办颁发的人防工程防护设备生产安装许可资质</w:t>
      </w:r>
      <w:r>
        <w:rPr>
          <w:rFonts w:hint="eastAsia" w:asciiTheme="minorEastAsia" w:hAnsiTheme="minorEastAsia" w:cstheme="minorEastAsia"/>
          <w:color w:val="FF0000"/>
          <w:sz w:val="28"/>
          <w:szCs w:val="28"/>
          <w:lang w:eastAsia="zh-CN"/>
        </w:rPr>
        <w:t>。</w:t>
      </w:r>
    </w:p>
    <w:p>
      <w:pPr>
        <w:spacing w:line="520" w:lineRule="exact"/>
        <w:ind w:firstLine="560" w:firstLineChars="200"/>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（三）人员要求：须至少委派一名项目负责人。</w:t>
      </w:r>
    </w:p>
    <w:p>
      <w:pPr>
        <w:spacing w:line="52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（四）提供</w:t>
      </w:r>
      <w:permStart w:id="15" w:edGrp="everyone"/>
      <w:r>
        <w:rPr>
          <w:rFonts w:hint="eastAsia" w:asciiTheme="minorEastAsia" w:hAnsiTheme="minorEastAsia" w:cstheme="minorEastAsia"/>
          <w:sz w:val="28"/>
          <w:szCs w:val="28"/>
          <w:u w:val="single"/>
        </w:rPr>
        <w:t>20</w:t>
      </w:r>
      <w:r>
        <w:rPr>
          <w:rFonts w:hint="eastAsia" w:asciiTheme="minorEastAsia" w:hAnsiTheme="minorEastAsia" w:cstheme="minorEastAsia"/>
          <w:sz w:val="28"/>
          <w:szCs w:val="28"/>
          <w:u w:val="single"/>
          <w:lang w:val="en-US" w:eastAsia="zh-CN"/>
        </w:rPr>
        <w:t>21</w:t>
      </w:r>
      <w:permEnd w:id="15"/>
      <w:r>
        <w:rPr>
          <w:rFonts w:hint="eastAsia" w:asciiTheme="minorEastAsia" w:hAnsiTheme="minorEastAsia" w:cstheme="minorEastAsia"/>
          <w:sz w:val="28"/>
          <w:szCs w:val="28"/>
        </w:rPr>
        <w:t>年至今企业类似项目业绩</w:t>
      </w:r>
      <w:permStart w:id="16" w:edGrp="everyone"/>
      <w:r>
        <w:rPr>
          <w:rFonts w:hint="eastAsia" w:asciiTheme="minorEastAsia" w:hAnsiTheme="minorEastAsia" w:cstheme="minorEastAsia"/>
          <w:sz w:val="28"/>
          <w:szCs w:val="28"/>
          <w:u w:val="single"/>
        </w:rPr>
        <w:t xml:space="preserve"> 1 </w:t>
      </w:r>
      <w:permEnd w:id="16"/>
      <w:r>
        <w:rPr>
          <w:rFonts w:hint="eastAsia" w:asciiTheme="minorEastAsia" w:hAnsiTheme="minorEastAsia" w:cstheme="minorEastAsia"/>
          <w:sz w:val="28"/>
          <w:szCs w:val="28"/>
        </w:rPr>
        <w:t>个，以</w:t>
      </w:r>
      <w:permStart w:id="17" w:edGrp="everyone"/>
      <w:r>
        <w:rPr>
          <w:rFonts w:hint="eastAsia" w:asciiTheme="minorEastAsia" w:hAnsiTheme="minorEastAsia" w:cstheme="minorEastAsia"/>
          <w:sz w:val="28"/>
          <w:szCs w:val="28"/>
        </w:rPr>
        <w:t>合同签订时间</w:t>
      </w:r>
      <w:permEnd w:id="17"/>
      <w:r>
        <w:rPr>
          <w:rFonts w:hint="eastAsia" w:asciiTheme="minorEastAsia" w:hAnsiTheme="minorEastAsia" w:cstheme="minorEastAsia"/>
          <w:sz w:val="28"/>
          <w:szCs w:val="28"/>
        </w:rPr>
        <w:t>为准。类似项目业绩指：</w:t>
      </w:r>
      <w:r>
        <w:rPr>
          <w:rFonts w:hint="eastAsia" w:asciiTheme="minorEastAsia" w:hAnsiTheme="minorEastAsia" w:cstheme="minorEastAsia"/>
          <w:sz w:val="28"/>
          <w:szCs w:val="28"/>
          <w:lang w:val="en-US" w:eastAsia="zh-CN"/>
        </w:rPr>
        <w:t>已完成的单项合同金额不低于100万元的战时人防设备采购安装工程业绩</w:t>
      </w:r>
      <w:r>
        <w:rPr>
          <w:rFonts w:hint="eastAsia" w:asciiTheme="minorEastAsia" w:hAnsiTheme="minorEastAsia" w:cstheme="minorEastAsia"/>
          <w:sz w:val="28"/>
          <w:szCs w:val="28"/>
        </w:rPr>
        <w:t>；</w:t>
      </w:r>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注：</w:t>
      </w:r>
      <w:permStart w:id="18" w:edGrp="everyone"/>
      <w:r>
        <w:rPr>
          <w:rFonts w:asciiTheme="minorEastAsia" w:hAnsiTheme="minorEastAsia" w:cstheme="minorEastAsia"/>
          <w:sz w:val="28"/>
          <w:szCs w:val="28"/>
        </w:rPr>
        <w:t>提供业绩合同复印件</w:t>
      </w: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lang w:val="en-US" w:eastAsia="zh-CN"/>
        </w:rPr>
        <w:t>竣工验收资料等</w:t>
      </w:r>
      <w:r>
        <w:rPr>
          <w:rFonts w:asciiTheme="minorEastAsia" w:hAnsiTheme="minorEastAsia" w:cstheme="minorEastAsia"/>
          <w:sz w:val="28"/>
          <w:szCs w:val="28"/>
        </w:rPr>
        <w:t>装订入投标文件中</w:t>
      </w:r>
      <w:permEnd w:id="18"/>
      <w:r>
        <w:rPr>
          <w:rFonts w:asciiTheme="minorEastAsia" w:hAnsiTheme="minorEastAsia" w:cstheme="minorEastAsia"/>
          <w:sz w:val="28"/>
          <w:szCs w:val="28"/>
        </w:rPr>
        <w:t>。</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（五）投标人（含分公司，不含子公司）存在以下不良信用记录情形之一的，不得推荐为中标候选人，不得确定为中标人。</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（1）投标人被人民法院列入失信被执行人的；</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（2）投标人被市场监督管理部门列入企业经营异常名录的；</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（3）投标人被税务部门列入重大税收违法案件当事人名单的；</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注：以上情形以“信用中国”（www.creditchina.gov.cn）发布的为准，有限制期限的按规定期限执行（以现场查询为准）。</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（六）投标人如在以往承接交控集团及下属企业项目过程中被记入“黑名单”，不得参加本次招标投标活动；</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（七）本次招标</w:t>
      </w:r>
      <w:permStart w:id="19" w:edGrp="everyone"/>
      <w:r>
        <w:rPr>
          <w:rFonts w:hint="eastAsia" w:asciiTheme="minorEastAsia" w:hAnsiTheme="minorEastAsia" w:cstheme="minorEastAsia"/>
          <w:color w:val="FF0000"/>
          <w:sz w:val="28"/>
          <w:szCs w:val="28"/>
        </w:rPr>
        <w:t>不接受</w:t>
      </w:r>
      <w:permEnd w:id="19"/>
      <w:r>
        <w:rPr>
          <w:rFonts w:hint="eastAsia" w:asciiTheme="minorEastAsia" w:hAnsiTheme="minorEastAsia" w:cstheme="minorEastAsia"/>
          <w:sz w:val="28"/>
          <w:szCs w:val="28"/>
        </w:rPr>
        <w:t>联合体投标。联合体投标的，应满足下列要求：</w:t>
      </w:r>
      <w:permStart w:id="20" w:edGrp="everyone"/>
      <w:r>
        <w:rPr>
          <w:rFonts w:hint="eastAsia" w:asciiTheme="minorEastAsia" w:hAnsiTheme="minorEastAsia" w:cstheme="minorEastAsia"/>
          <w:sz w:val="28"/>
          <w:szCs w:val="28"/>
        </w:rPr>
        <w:t xml:space="preserve">  /  </w:t>
      </w:r>
      <w:permEnd w:id="20"/>
      <w:r>
        <w:rPr>
          <w:rFonts w:hint="eastAsia" w:asciiTheme="minorEastAsia" w:hAnsiTheme="minorEastAsia" w:cstheme="minorEastAsia"/>
          <w:sz w:val="28"/>
          <w:szCs w:val="28"/>
        </w:rPr>
        <w:t>。</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color w:val="000000" w:themeColor="text1"/>
          <w:sz w:val="28"/>
          <w:szCs w:val="28"/>
          <w14:textFill>
            <w14:solidFill>
              <w14:schemeClr w14:val="tx1"/>
            </w14:solidFill>
          </w14:textFill>
        </w:rPr>
        <w:t>（八）本项目委托代理人必须是投标单位正式人员，须提供投标单位公司为其缴纳的</w:t>
      </w:r>
      <w:permStart w:id="21" w:edGrp="everyone"/>
      <w:r>
        <w:rPr>
          <w:rFonts w:hint="eastAsia" w:asciiTheme="minorEastAsia" w:hAnsiTheme="minorEastAsia" w:cstheme="minorEastAsia"/>
          <w:color w:val="000000" w:themeColor="text1"/>
          <w:sz w:val="28"/>
          <w:szCs w:val="28"/>
          <w:lang w:eastAsia="zh-CN"/>
          <w14:textFill>
            <w14:solidFill>
              <w14:schemeClr w14:val="tx1"/>
            </w14:solidFill>
          </w14:textFill>
        </w:rPr>
        <w:t>2023</w:t>
      </w:r>
      <w:r>
        <w:rPr>
          <w:rFonts w:hint="eastAsia" w:asciiTheme="minorEastAsia" w:hAnsiTheme="minorEastAsia" w:cstheme="minorEastAsia"/>
          <w:color w:val="FF0000"/>
          <w:sz w:val="28"/>
          <w:szCs w:val="28"/>
        </w:rPr>
        <w:t>年</w:t>
      </w:r>
      <w:r>
        <w:rPr>
          <w:rFonts w:hint="eastAsia" w:asciiTheme="minorEastAsia" w:hAnsiTheme="minorEastAsia" w:cstheme="minorEastAsia"/>
          <w:color w:val="FF0000"/>
          <w:sz w:val="28"/>
          <w:szCs w:val="28"/>
          <w:lang w:val="en-US" w:eastAsia="zh-CN"/>
        </w:rPr>
        <w:t>6</w:t>
      </w:r>
      <w:r>
        <w:rPr>
          <w:rFonts w:hint="eastAsia" w:asciiTheme="minorEastAsia" w:hAnsiTheme="minorEastAsia" w:cstheme="minorEastAsia"/>
          <w:color w:val="FF0000"/>
          <w:sz w:val="28"/>
          <w:szCs w:val="28"/>
        </w:rPr>
        <w:t>月</w:t>
      </w:r>
      <w:permEnd w:id="21"/>
      <w:r>
        <w:rPr>
          <w:rFonts w:hint="eastAsia" w:asciiTheme="minorEastAsia" w:hAnsiTheme="minorEastAsia" w:cstheme="minorEastAsia"/>
          <w:color w:val="000000" w:themeColor="text1"/>
          <w:sz w:val="28"/>
          <w:szCs w:val="28"/>
          <w14:textFill>
            <w14:solidFill>
              <w14:schemeClr w14:val="tx1"/>
            </w14:solidFill>
          </w14:textFill>
        </w:rPr>
        <w:t>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凡有意参加投标者，请于投标文件递交截止时间前到</w:t>
      </w:r>
      <w:r>
        <w:rPr>
          <w:rFonts w:hint="eastAsia" w:asciiTheme="minorEastAsia" w:hAnsiTheme="minorEastAsia" w:cstheme="minorEastAsia"/>
          <w:sz w:val="28"/>
          <w:szCs w:val="28"/>
        </w:rPr>
        <w:t>亳州交通投资控股集团有限公司官网（www.bzjkjt.com）、安徽省招标投标信息网（www.ahtba.org.cn）及优质采云采购平台（www.youzhicai.com）</w:t>
      </w:r>
      <w:r>
        <w:rPr>
          <w:rFonts w:asciiTheme="minorEastAsia" w:hAnsiTheme="minorEastAsia" w:cstheme="minorEastAsia"/>
          <w:sz w:val="28"/>
          <w:szCs w:val="28"/>
        </w:rPr>
        <w:t>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22" w:edGrp="everyone"/>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23</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sz w:val="28"/>
          <w:szCs w:val="28"/>
          <w:highlight w:val="none"/>
          <w:u w:val="single"/>
          <w:lang w:val="en-US" w:eastAsia="zh-CN"/>
        </w:rPr>
        <w:t>9</w:t>
      </w:r>
      <w:r>
        <w:rPr>
          <w:rFonts w:hint="eastAsia" w:asciiTheme="minorEastAsia" w:hAnsiTheme="minorEastAsia" w:eastAsiaTheme="minorEastAsia" w:cstheme="minorEastAsia"/>
          <w:sz w:val="28"/>
          <w:szCs w:val="28"/>
          <w:highlight w:val="none"/>
          <w:lang w:val="en-US" w:eastAsia="zh-CN"/>
        </w:rPr>
        <w:t>时</w:t>
      </w:r>
      <w:r>
        <w:rPr>
          <w:rFonts w:hint="eastAsia" w:asciiTheme="minorEastAsia" w:hAnsiTheme="minorEastAsia" w:cstheme="minorEastAsia"/>
          <w:sz w:val="28"/>
          <w:szCs w:val="28"/>
          <w:highlight w:val="none"/>
          <w:u w:val="single"/>
          <w:lang w:val="en-US" w:eastAsia="zh-CN"/>
        </w:rPr>
        <w:t>00</w:t>
      </w:r>
      <w:r>
        <w:rPr>
          <w:rFonts w:hint="eastAsia" w:asciiTheme="minorEastAsia" w:hAnsiTheme="minorEastAsia" w:eastAsiaTheme="minorEastAsia" w:cstheme="minorEastAsia"/>
          <w:sz w:val="28"/>
          <w:szCs w:val="28"/>
          <w:highlight w:val="none"/>
          <w:lang w:val="en-US" w:eastAsia="zh-CN"/>
        </w:rPr>
        <w:t>分</w:t>
      </w:r>
      <w:permEnd w:id="22"/>
      <w:r>
        <w:rPr>
          <w:rFonts w:hint="eastAsia" w:asciiTheme="minorEastAsia" w:hAnsiTheme="minorEastAsia" w:eastAsiaTheme="minorEastAsia" w:cstheme="minorEastAsia"/>
          <w:sz w:val="28"/>
          <w:szCs w:val="28"/>
          <w:highlight w:val="none"/>
          <w:lang w:val="en-US" w:eastAsia="zh-CN"/>
        </w:rPr>
        <w:t>（北京时间）；</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室（药都大道与希夷大道交叉口东北角15楼）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3" w:edGrp="everyone"/>
      <w:r>
        <w:rPr>
          <w:rFonts w:hint="default" w:asciiTheme="minorEastAsia" w:hAnsiTheme="minorEastAsia" w:eastAsiaTheme="minorEastAsia" w:cstheme="minorEastAsia"/>
          <w:color w:val="FF0000"/>
          <w:sz w:val="28"/>
          <w:szCs w:val="28"/>
          <w:highlight w:val="none"/>
          <w:lang w:val="en-US" w:eastAsia="zh-CN"/>
        </w:rPr>
        <w:t>允许</w:t>
      </w:r>
      <w:permEnd w:id="23"/>
      <w:r>
        <w:rPr>
          <w:rFonts w:hint="default" w:asciiTheme="minorEastAsia" w:hAnsiTheme="minorEastAsia" w:eastAsiaTheme="minorEastAsia" w:cstheme="minorEastAsia"/>
          <w:sz w:val="28"/>
          <w:szCs w:val="28"/>
          <w:highlight w:val="none"/>
          <w:lang w:val="en-US" w:eastAsia="zh-CN"/>
        </w:rPr>
        <w:t>投标人以邮寄方式递交投标文件。投标人采用邮寄方式递交投标文件的，投标文件送达时间以招标平台签收快递时间为准。邮寄信息同招标平台联系方式，投标人寄出投标文件后，应电话通知招标平台工作人员，以便招标平台工作人员及时签收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4" w:edGrp="everyone"/>
      <w:r>
        <w:rPr>
          <w:rFonts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19000元</w:t>
      </w:r>
      <w:r>
        <w:rPr>
          <w:rFonts w:hint="eastAsia" w:asciiTheme="minorEastAsia" w:hAnsiTheme="minorEastAsia" w:cstheme="minorEastAsia"/>
          <w:sz w:val="28"/>
          <w:szCs w:val="28"/>
          <w:u w:val="single"/>
        </w:rPr>
        <w:t xml:space="preserve"> </w:t>
      </w:r>
      <w:r>
        <w:rPr>
          <w:rFonts w:hint="default" w:asciiTheme="minorEastAsia" w:hAnsiTheme="minorEastAsia" w:eastAsiaTheme="minorEastAsia" w:cstheme="minorEastAsia"/>
          <w:sz w:val="28"/>
          <w:szCs w:val="28"/>
          <w:highlight w:val="none"/>
          <w:lang w:val="en-US" w:eastAsia="zh-CN"/>
        </w:rPr>
        <w:t>（人民币）</w:t>
      </w:r>
      <w:permEnd w:id="24"/>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招</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标</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人：</w:t>
      </w:r>
      <w:permStart w:id="25" w:edGrp="everyone"/>
      <w:r>
        <w:rPr>
          <w:rFonts w:hint="eastAsia" w:asciiTheme="minorEastAsia" w:hAnsiTheme="minorEastAsia" w:cstheme="minorEastAsia"/>
          <w:sz w:val="28"/>
          <w:szCs w:val="28"/>
        </w:rPr>
        <w:t xml:space="preserve"> 安徽通康建设工程有限公司 </w:t>
      </w:r>
    </w:p>
    <w:permEnd w:id="25"/>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地</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址：</w:t>
      </w:r>
      <w:permStart w:id="26" w:edGrp="everyone"/>
      <w:r>
        <w:rPr>
          <w:rFonts w:hint="eastAsia" w:asciiTheme="minorEastAsia" w:hAnsiTheme="minorEastAsia" w:cstheme="minorEastAsia"/>
          <w:sz w:val="28"/>
          <w:szCs w:val="28"/>
        </w:rPr>
        <w:t xml:space="preserve"> 安徽省亳州市谯城区S309收费站。 </w:t>
      </w:r>
      <w:permEnd w:id="26"/>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联</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系</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人：</w:t>
      </w:r>
      <w:permStart w:id="27" w:edGrp="everyone"/>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lang w:val="en-US" w:eastAsia="zh-CN"/>
        </w:rPr>
        <w:t>李尔康</w:t>
      </w:r>
      <w:r>
        <w:rPr>
          <w:rFonts w:hint="eastAsia" w:asciiTheme="minorEastAsia" w:hAnsiTheme="minorEastAsia" w:cstheme="minorEastAsia"/>
          <w:sz w:val="28"/>
          <w:szCs w:val="28"/>
        </w:rPr>
        <w:t xml:space="preserve"> </w:t>
      </w:r>
      <w:permEnd w:id="27"/>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电    话</w:t>
      </w:r>
      <w:r>
        <w:rPr>
          <w:rFonts w:asciiTheme="minorEastAsia" w:hAnsiTheme="minorEastAsia" w:cstheme="minorEastAsia"/>
          <w:sz w:val="28"/>
          <w:szCs w:val="28"/>
        </w:rPr>
        <w:t>：</w:t>
      </w:r>
      <w:permStart w:id="28" w:edGrp="everyone"/>
      <w:r>
        <w:rPr>
          <w:rFonts w:hint="eastAsia" w:asciiTheme="minorEastAsia" w:hAnsiTheme="minorEastAsia" w:cstheme="minorEastAsia"/>
          <w:sz w:val="28"/>
          <w:szCs w:val="28"/>
          <w:lang w:val="en-US" w:eastAsia="zh-CN"/>
        </w:rPr>
        <w:t>18906343943</w:t>
      </w:r>
      <w:r>
        <w:rPr>
          <w:rFonts w:hint="eastAsia" w:asciiTheme="minorEastAsia" w:hAnsiTheme="minorEastAsia" w:cstheme="minorEastAsia"/>
          <w:sz w:val="28"/>
          <w:szCs w:val="28"/>
        </w:rPr>
        <w:t xml:space="preserve"> </w:t>
      </w:r>
      <w:permEnd w:id="28"/>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9" w:edGrp="everyone"/>
      <w:r>
        <w:rPr>
          <w:rFonts w:hint="eastAsia" w:asciiTheme="minorEastAsia" w:hAnsiTheme="minorEastAsia" w:cstheme="minorEastAsia"/>
          <w:sz w:val="28"/>
          <w:szCs w:val="28"/>
        </w:rPr>
        <w:t>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2024</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16</w:t>
      </w:r>
      <w:r>
        <w:rPr>
          <w:rFonts w:hint="eastAsia" w:asciiTheme="minorEastAsia" w:hAnsiTheme="minorEastAsia" w:eastAsiaTheme="minorEastAsia" w:cstheme="minorEastAsia"/>
          <w:color w:val="FF0000"/>
          <w:sz w:val="28"/>
          <w:szCs w:val="28"/>
          <w:highlight w:val="none"/>
          <w:lang w:val="en-US" w:eastAsia="zh-CN"/>
        </w:rPr>
        <w:t>日</w:t>
      </w:r>
      <w:permEnd w:id="29"/>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8"/>
        <w:tblW w:w="864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695"/>
        <w:gridCol w:w="49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计划工期</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要求</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Ansi="宋体"/>
                <w:color w:val="FF0000"/>
                <w:szCs w:val="21"/>
              </w:rPr>
            </w:pPr>
            <w:permStart w:id="30" w:edGrp="everyone"/>
            <w:r>
              <w:rPr>
                <w:rFonts w:hint="eastAsia" w:hAnsi="宋体"/>
                <w:color w:val="FF0000"/>
                <w:szCs w:val="21"/>
              </w:rPr>
              <w:t>2、财务要求：</w:t>
            </w:r>
          </w:p>
          <w:p>
            <w:pPr>
              <w:autoSpaceDE w:val="0"/>
              <w:autoSpaceDN w:val="0"/>
              <w:adjustRightInd w:val="0"/>
              <w:snapToGrid w:val="0"/>
              <w:spacing w:line="440" w:lineRule="exact"/>
              <w:ind w:firstLine="308" w:firstLineChars="147"/>
              <w:jc w:val="left"/>
              <w:rPr>
                <w:rFonts w:hAnsi="宋体"/>
                <w:color w:val="FF0000"/>
                <w:szCs w:val="21"/>
              </w:rPr>
            </w:pPr>
            <w:r>
              <w:rPr>
                <w:rFonts w:hint="eastAsia" w:hAnsi="宋体"/>
                <w:color w:val="FF0000"/>
                <w:szCs w:val="21"/>
              </w:rPr>
              <w:t>不需要</w:t>
            </w:r>
            <w:r>
              <w:rPr>
                <w:rFonts w:hint="eastAsia" w:hAnsi="宋体"/>
                <w:color w:val="FF0000"/>
                <w:szCs w:val="21"/>
              </w:rPr>
              <w:sym w:font="Wingdings 2" w:char="0052"/>
            </w:r>
          </w:p>
          <w:p>
            <w:pPr>
              <w:autoSpaceDE w:val="0"/>
              <w:autoSpaceDN w:val="0"/>
              <w:adjustRightInd w:val="0"/>
              <w:snapToGrid w:val="0"/>
              <w:spacing w:line="440" w:lineRule="exact"/>
              <w:rPr>
                <w:rFonts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30"/>
          <w:p>
            <w:pPr>
              <w:autoSpaceDE w:val="0"/>
              <w:autoSpaceDN w:val="0"/>
              <w:adjustRightInd w:val="0"/>
              <w:snapToGrid w:val="0"/>
              <w:spacing w:line="440" w:lineRule="exact"/>
              <w:jc w:val="left"/>
            </w:pPr>
            <w:r>
              <w:rPr>
                <w:rFonts w:hint="eastAsia"/>
              </w:rPr>
              <w:t>3、其他要求：</w:t>
            </w:r>
          </w:p>
          <w:p>
            <w:pPr>
              <w:autoSpaceDE w:val="0"/>
              <w:autoSpaceDN w:val="0"/>
              <w:adjustRightInd w:val="0"/>
              <w:snapToGrid w:val="0"/>
              <w:spacing w:line="440" w:lineRule="exact"/>
              <w:ind w:firstLine="411" w:firstLineChars="196"/>
              <w:jc w:val="left"/>
            </w:pPr>
            <w:permStart w:id="31" w:edGrp="everyone"/>
            <w:r>
              <w:rPr>
                <w:rFonts w:hint="eastAsia"/>
              </w:rPr>
              <w:t>（</w:t>
            </w:r>
            <w:r>
              <w:rPr>
                <w:rFonts w:hint="eastAsia"/>
                <w:lang w:val="en-US" w:eastAsia="zh-CN"/>
              </w:rPr>
              <w:t>1</w:t>
            </w:r>
            <w:r>
              <w:rPr>
                <w:rFonts w:hint="eastAsia"/>
              </w:rPr>
              <w:t>）技术负责人：具有</w:t>
            </w:r>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建筑</w:t>
            </w:r>
            <w:r>
              <w:rPr>
                <w:rFonts w:hint="eastAsia" w:hAnsi="宋体"/>
                <w:snapToGrid w:val="0"/>
                <w:spacing w:val="-4"/>
                <w:kern w:val="0"/>
                <w:sz w:val="24"/>
                <w:u w:val="single"/>
              </w:rPr>
              <w:t>工程</w:t>
            </w:r>
            <w:r>
              <w:rPr>
                <w:rFonts w:hint="eastAsia" w:hAnsi="宋体"/>
                <w:snapToGrid w:val="0"/>
                <w:spacing w:val="-4"/>
                <w:kern w:val="0"/>
                <w:sz w:val="24"/>
                <w:u w:val="single"/>
                <w:lang w:val="en-US" w:eastAsia="zh-CN"/>
              </w:rPr>
              <w:t>相关专业</w:t>
            </w:r>
            <w:r>
              <w:rPr>
                <w:rFonts w:hint="eastAsia" w:hAnsi="宋体"/>
                <w:snapToGrid w:val="0"/>
                <w:spacing w:val="-4"/>
                <w:kern w:val="0"/>
                <w:sz w:val="24"/>
                <w:u w:val="single"/>
              </w:rPr>
              <w:t xml:space="preserve"> </w:t>
            </w:r>
            <w:r>
              <w:rPr>
                <w:rFonts w:hint="eastAsia" w:ascii="_x000B__x000C_" w:hAnsi="_x000B__x000C_"/>
                <w:szCs w:val="21"/>
              </w:rPr>
              <w:t>（专业类别）</w:t>
            </w:r>
            <w:r>
              <w:rPr>
                <w:rFonts w:hint="eastAsia"/>
                <w:b/>
                <w:bCs/>
                <w:sz w:val="21"/>
              </w:rPr>
              <w:t>中级</w:t>
            </w:r>
            <w:r>
              <w:rPr>
                <w:rFonts w:hint="eastAsia"/>
                <w:b/>
                <w:bCs/>
                <w:sz w:val="21"/>
                <w:lang w:val="en-US" w:eastAsia="zh-CN"/>
              </w:rPr>
              <w:t>工程师</w:t>
            </w:r>
            <w:r>
              <w:rPr>
                <w:rFonts w:hint="eastAsia"/>
              </w:rPr>
              <w:t>及以上职称。</w:t>
            </w:r>
          </w:p>
          <w:p>
            <w:pPr>
              <w:spacing w:line="440" w:lineRule="exact"/>
              <w:ind w:firstLine="415" w:firstLineChars="198"/>
              <w:rPr>
                <w:rFonts w:hAnsi="宋体"/>
                <w:szCs w:val="21"/>
              </w:rPr>
            </w:pPr>
            <w:r>
              <w:rPr>
                <w:rFonts w:hint="eastAsia" w:hAnsi="宋体"/>
                <w:szCs w:val="21"/>
              </w:rPr>
              <w:t>（</w:t>
            </w:r>
            <w:r>
              <w:rPr>
                <w:rFonts w:hint="eastAsia" w:hAnsi="宋体"/>
                <w:szCs w:val="21"/>
                <w:lang w:val="en-US" w:eastAsia="zh-CN"/>
              </w:rPr>
              <w:t>2</w:t>
            </w:r>
            <w:r>
              <w:rPr>
                <w:rFonts w:hint="eastAsia" w:hAnsi="宋体"/>
                <w:szCs w:val="21"/>
              </w:rPr>
              <w:t>）</w:t>
            </w:r>
            <w:r>
              <w:rPr>
                <w:rFonts w:hint="eastAsia" w:ascii="_x000B__x000C_" w:hAnsi="_x000B__x000C_"/>
                <w:szCs w:val="21"/>
              </w:rPr>
              <w:t>本工程拟派专职人员的具体资格和数量要求：</w:t>
            </w:r>
          </w:p>
          <w:p>
            <w:pPr>
              <w:spacing w:line="440" w:lineRule="exact"/>
              <w:ind w:firstLine="415" w:firstLineChars="198"/>
              <w:rPr>
                <w:rFonts w:ascii="_x000B__x000C_" w:hAnsi="_x000B__x000C_"/>
                <w:szCs w:val="21"/>
              </w:rPr>
            </w:pPr>
            <w:r>
              <w:rPr>
                <w:rFonts w:hint="eastAsia" w:ascii="_x000B__x000C_" w:hAnsi="_x000B__x000C_"/>
                <w:szCs w:val="21"/>
              </w:rPr>
              <w:t>施工员：</w:t>
            </w:r>
            <w:r>
              <w:rPr>
                <w:rFonts w:hint="eastAsia" w:ascii="_x000B__x000C_" w:hAnsi="_x000B__x000C_"/>
                <w:szCs w:val="21"/>
                <w:u w:val="single"/>
              </w:rPr>
              <w:t xml:space="preserve"> </w:t>
            </w:r>
            <w:r>
              <w:rPr>
                <w:rFonts w:hint="eastAsia" w:hAnsi="宋体"/>
                <w:snapToGrid w:val="0"/>
                <w:spacing w:val="-4"/>
                <w:kern w:val="0"/>
                <w:sz w:val="24"/>
                <w:u w:val="single"/>
                <w:lang w:val="en-US" w:eastAsia="zh-CN"/>
              </w:rPr>
              <w:t>1</w:t>
            </w:r>
            <w:r>
              <w:rPr>
                <w:rFonts w:hint="eastAsia" w:ascii="_x000B__x000C_" w:hAnsi="_x000B__x000C_"/>
                <w:szCs w:val="21"/>
                <w:u w:val="single"/>
              </w:rPr>
              <w:t xml:space="preserve"> </w:t>
            </w:r>
            <w:r>
              <w:rPr>
                <w:rFonts w:hint="eastAsia" w:ascii="_x000B__x000C_" w:hAnsi="_x000B__x000C_"/>
                <w:szCs w:val="21"/>
              </w:rPr>
              <w:t>人；</w:t>
            </w:r>
          </w:p>
          <w:p>
            <w:pPr>
              <w:spacing w:line="440" w:lineRule="exact"/>
              <w:ind w:firstLine="415" w:firstLineChars="198"/>
              <w:rPr>
                <w:rFonts w:ascii="_x000B__x000C_" w:hAnsi="_x000B__x000C_"/>
                <w:szCs w:val="21"/>
              </w:rPr>
            </w:pPr>
            <w:r>
              <w:rPr>
                <w:rFonts w:hint="eastAsia" w:ascii="_x000B__x000C_" w:hAnsi="_x000B__x000C_"/>
                <w:szCs w:val="21"/>
              </w:rPr>
              <w:t>质量员：</w:t>
            </w:r>
            <w:r>
              <w:rPr>
                <w:rFonts w:hint="eastAsia" w:ascii="_x000B__x000C_" w:hAnsi="_x000B__x000C_"/>
                <w:szCs w:val="21"/>
                <w:u w:val="single"/>
              </w:rPr>
              <w:t xml:space="preserve"> </w:t>
            </w:r>
            <w:r>
              <w:rPr>
                <w:rFonts w:hint="eastAsia" w:hAnsi="宋体"/>
                <w:snapToGrid w:val="0"/>
                <w:spacing w:val="-4"/>
                <w:kern w:val="0"/>
                <w:sz w:val="24"/>
                <w:u w:val="single"/>
                <w:lang w:val="en-US" w:eastAsia="zh-CN"/>
              </w:rPr>
              <w:t>/</w:t>
            </w:r>
            <w:r>
              <w:rPr>
                <w:rFonts w:hint="eastAsia" w:ascii="_x000B__x000C_" w:hAnsi="_x000B__x000C_"/>
                <w:szCs w:val="21"/>
                <w:u w:val="single"/>
              </w:rPr>
              <w:t xml:space="preserve"> </w:t>
            </w:r>
            <w:r>
              <w:rPr>
                <w:rFonts w:hint="eastAsia" w:ascii="_x000B__x000C_" w:hAnsi="_x000B__x000C_"/>
                <w:szCs w:val="21"/>
              </w:rPr>
              <w:t>人；</w:t>
            </w:r>
          </w:p>
          <w:p>
            <w:pPr>
              <w:spacing w:line="440" w:lineRule="exact"/>
              <w:ind w:firstLine="415" w:firstLineChars="198"/>
              <w:rPr>
                <w:rFonts w:ascii="_x000B__x000C_" w:hAnsi="_x000B__x000C_"/>
                <w:szCs w:val="21"/>
              </w:rPr>
            </w:pPr>
            <w:r>
              <w:rPr>
                <w:rFonts w:hint="eastAsia" w:ascii="_x000B__x000C_" w:hAnsi="_x000B__x000C_"/>
                <w:szCs w:val="21"/>
              </w:rPr>
              <w:t>安全员：</w:t>
            </w:r>
            <w:r>
              <w:rPr>
                <w:rFonts w:hint="eastAsia" w:ascii="_x000B__x000C_" w:hAnsi="_x000B__x000C_"/>
                <w:szCs w:val="21"/>
                <w:u w:val="single"/>
              </w:rPr>
              <w:t xml:space="preserve"> </w:t>
            </w:r>
            <w:r>
              <w:rPr>
                <w:rFonts w:hint="eastAsia" w:hAnsi="宋体"/>
                <w:snapToGrid w:val="0"/>
                <w:spacing w:val="-4"/>
                <w:kern w:val="0"/>
                <w:sz w:val="24"/>
                <w:u w:val="single"/>
                <w:lang w:val="en-US" w:eastAsia="zh-CN"/>
              </w:rPr>
              <w:t>1</w:t>
            </w:r>
            <w:r>
              <w:rPr>
                <w:rFonts w:hint="eastAsia" w:ascii="_x000B__x000C_" w:hAnsi="_x000B__x000C_"/>
                <w:szCs w:val="21"/>
                <w:u w:val="single"/>
              </w:rPr>
              <w:t xml:space="preserve"> </w:t>
            </w:r>
            <w:r>
              <w:rPr>
                <w:rFonts w:hint="eastAsia" w:ascii="_x000B__x000C_" w:hAnsi="_x000B__x000C_"/>
                <w:szCs w:val="21"/>
              </w:rPr>
              <w:t>人；</w:t>
            </w:r>
          </w:p>
          <w:p>
            <w:pPr>
              <w:spacing w:line="440" w:lineRule="exact"/>
              <w:ind w:firstLine="415" w:firstLineChars="198"/>
              <w:rPr>
                <w:rFonts w:ascii="_x000B__x000C_" w:hAnsi="_x000B__x000C_"/>
                <w:szCs w:val="21"/>
              </w:rPr>
            </w:pPr>
            <w:r>
              <w:rPr>
                <w:rFonts w:hint="eastAsia" w:ascii="_x000B__x000C_" w:hAnsi="_x000B__x000C_"/>
                <w:szCs w:val="21"/>
              </w:rPr>
              <w:t>资料员：</w:t>
            </w:r>
            <w:r>
              <w:rPr>
                <w:rFonts w:hint="eastAsia" w:ascii="_x000B__x000C_" w:hAnsi="_x000B__x000C_"/>
                <w:szCs w:val="21"/>
                <w:u w:val="single"/>
              </w:rPr>
              <w:t xml:space="preserve"> </w:t>
            </w:r>
            <w:r>
              <w:rPr>
                <w:rFonts w:hint="eastAsia" w:hAnsi="宋体"/>
                <w:snapToGrid w:val="0"/>
                <w:spacing w:val="-4"/>
                <w:kern w:val="0"/>
                <w:sz w:val="24"/>
                <w:u w:val="single"/>
                <w:lang w:val="en-US" w:eastAsia="zh-CN"/>
              </w:rPr>
              <w:t>1</w:t>
            </w:r>
            <w:r>
              <w:rPr>
                <w:rFonts w:hint="eastAsia" w:ascii="_x000B__x000C_" w:hAnsi="_x000B__x000C_"/>
                <w:szCs w:val="21"/>
                <w:u w:val="single"/>
              </w:rPr>
              <w:t xml:space="preserve"> </w:t>
            </w:r>
            <w:r>
              <w:rPr>
                <w:rFonts w:hint="eastAsia" w:ascii="_x000B__x000C_" w:hAnsi="_x000B__x000C_"/>
                <w:szCs w:val="21"/>
              </w:rPr>
              <w:t>人；</w:t>
            </w:r>
          </w:p>
          <w:p>
            <w:pPr>
              <w:spacing w:line="440" w:lineRule="exact"/>
              <w:ind w:firstLine="415" w:firstLineChars="198"/>
              <w:rPr>
                <w:rFonts w:ascii="宋体" w:hAnsi="宋体"/>
                <w:szCs w:val="21"/>
              </w:rPr>
            </w:pPr>
            <w:r>
              <w:rPr>
                <w:rFonts w:hint="eastAsia" w:ascii="宋体" w:hAnsi="宋体"/>
                <w:szCs w:val="21"/>
              </w:rPr>
              <w:t>取样员或试验员（可兼任）：</w:t>
            </w:r>
            <w:r>
              <w:rPr>
                <w:rFonts w:hint="eastAsia" w:hAnsi="宋体"/>
                <w:snapToGrid w:val="0"/>
                <w:spacing w:val="-4"/>
                <w:kern w:val="0"/>
                <w:sz w:val="24"/>
                <w:u w:val="single"/>
              </w:rPr>
              <w:t xml:space="preserve"> / </w:t>
            </w:r>
            <w:r>
              <w:rPr>
                <w:rFonts w:hint="eastAsia" w:ascii="宋体" w:hAnsi="宋体"/>
                <w:szCs w:val="21"/>
              </w:rPr>
              <w:t>人。</w:t>
            </w:r>
          </w:p>
          <w:p>
            <w:pPr>
              <w:autoSpaceDE w:val="0"/>
              <w:autoSpaceDN w:val="0"/>
              <w:adjustRightInd w:val="0"/>
              <w:snapToGrid w:val="0"/>
              <w:spacing w:line="440" w:lineRule="exact"/>
              <w:ind w:right="40" w:firstLine="420" w:firstLineChars="200"/>
              <w:rPr>
                <w:rFonts w:hint="eastAsia" w:ascii="宋体" w:hAnsi="宋体" w:cs="MingLiU"/>
                <w:kern w:val="0"/>
                <w:szCs w:val="21"/>
              </w:rPr>
            </w:pPr>
            <w:r>
              <w:rPr>
                <w:rFonts w:hint="eastAsia" w:ascii="宋体" w:hAnsi="宋体" w:cs="MingLiU"/>
                <w:kern w:val="0"/>
                <w:szCs w:val="21"/>
              </w:rPr>
              <w:t>技术负责人应附职称证、</w:t>
            </w:r>
            <w:r>
              <w:rPr>
                <w:rFonts w:hint="eastAsia" w:hAnsi="宋体" w:cs="MingLiU"/>
                <w:kern w:val="0"/>
                <w:szCs w:val="21"/>
              </w:rPr>
              <w:t>缴纳</w:t>
            </w:r>
            <w:r>
              <w:rPr>
                <w:rFonts w:hint="eastAsia" w:ascii="宋体" w:hAnsi="宋体" w:cs="MingLiU"/>
                <w:kern w:val="0"/>
                <w:szCs w:val="21"/>
              </w:rPr>
              <w:t>养老保险的复印件。</w:t>
            </w:r>
          </w:p>
          <w:p>
            <w:pPr>
              <w:autoSpaceDE w:val="0"/>
              <w:autoSpaceDN w:val="0"/>
              <w:adjustRightInd w:val="0"/>
              <w:snapToGrid w:val="0"/>
              <w:spacing w:line="440" w:lineRule="exact"/>
              <w:ind w:right="40" w:firstLine="420" w:firstLineChars="200"/>
              <w:rPr>
                <w:rFonts w:hint="eastAsia" w:ascii="宋体" w:hAnsi="宋体" w:cs="MingLiU" w:eastAsiaTheme="minorEastAsia"/>
                <w:kern w:val="0"/>
                <w:szCs w:val="21"/>
                <w:lang w:val="en-US" w:eastAsia="zh-CN"/>
              </w:rPr>
            </w:pPr>
            <w:r>
              <w:rPr>
                <w:rFonts w:hint="eastAsia" w:ascii="宋体" w:hAnsi="宋体" w:cs="MingLiU"/>
                <w:kern w:val="0"/>
                <w:szCs w:val="21"/>
                <w:lang w:val="en-US" w:eastAsia="zh-CN"/>
              </w:rPr>
              <w:t>拟派专职人员</w:t>
            </w:r>
            <w:r>
              <w:rPr>
                <w:rFonts w:hint="eastAsia" w:ascii="宋体" w:hAnsi="宋体" w:cs="MingLiU"/>
                <w:kern w:val="0"/>
                <w:szCs w:val="21"/>
              </w:rPr>
              <w:t>应附</w:t>
            </w:r>
            <w:r>
              <w:rPr>
                <w:rFonts w:hint="eastAsia" w:ascii="宋体" w:hAnsi="宋体" w:cs="MingLiU"/>
                <w:kern w:val="0"/>
                <w:szCs w:val="21"/>
                <w:lang w:eastAsia="zh-CN"/>
              </w:rPr>
              <w:t>职业资格证书</w:t>
            </w:r>
            <w:r>
              <w:rPr>
                <w:rFonts w:hint="eastAsia" w:ascii="宋体" w:hAnsi="宋体" w:cs="MingLiU"/>
                <w:kern w:val="0"/>
                <w:szCs w:val="21"/>
              </w:rPr>
              <w:t>。</w:t>
            </w:r>
          </w:p>
          <w:p>
            <w:pPr>
              <w:autoSpaceDE w:val="0"/>
              <w:autoSpaceDN w:val="0"/>
              <w:adjustRightInd w:val="0"/>
              <w:snapToGrid w:val="0"/>
              <w:spacing w:line="440" w:lineRule="exact"/>
              <w:ind w:right="40" w:firstLine="480" w:firstLineChars="200"/>
              <w:rPr>
                <w:rFonts w:ascii="宋体" w:hAnsi="宋体" w:cs="宋体"/>
                <w:szCs w:val="21"/>
              </w:rPr>
            </w:pPr>
            <w:r>
              <w:rPr>
                <w:rFonts w:hint="eastAsia" w:ascii="Times New Roman" w:hAnsi="Times New Roman" w:cs="Times New Roman"/>
                <w:color w:val="FF0000"/>
                <w:kern w:val="0"/>
                <w:sz w:val="24"/>
                <w:lang w:val="en-US" w:eastAsia="zh-CN"/>
              </w:rPr>
              <w:t>注：派驻</w:t>
            </w:r>
            <w:r>
              <w:rPr>
                <w:rFonts w:hint="default" w:ascii="Times New Roman" w:hAnsi="Times New Roman" w:cs="Times New Roman" w:eastAsiaTheme="minorEastAsia"/>
                <w:color w:val="FF0000"/>
                <w:kern w:val="0"/>
                <w:sz w:val="24"/>
                <w:lang w:val="en-US" w:eastAsia="zh-CN"/>
              </w:rPr>
              <w:t>人员必须到岗履职，</w:t>
            </w:r>
            <w:r>
              <w:rPr>
                <w:rFonts w:hint="eastAsia" w:ascii="Times New Roman" w:hAnsi="Times New Roman" w:cs="Times New Roman"/>
                <w:color w:val="FF0000"/>
                <w:kern w:val="0"/>
                <w:sz w:val="24"/>
                <w:lang w:val="en-US" w:eastAsia="zh-CN"/>
              </w:rPr>
              <w:t>服从项目部管理，</w:t>
            </w:r>
            <w:r>
              <w:rPr>
                <w:rFonts w:hint="default" w:ascii="Times New Roman" w:hAnsi="Times New Roman" w:cs="Times New Roman" w:eastAsiaTheme="minorEastAsia"/>
                <w:color w:val="FF0000"/>
                <w:kern w:val="0"/>
                <w:sz w:val="24"/>
                <w:lang w:val="en-US" w:eastAsia="zh-CN"/>
              </w:rPr>
              <w:t>否则按</w:t>
            </w:r>
            <w:r>
              <w:rPr>
                <w:rFonts w:hint="eastAsia" w:ascii="Times New Roman" w:hAnsi="Times New Roman" w:cs="Times New Roman"/>
                <w:color w:val="FF0000"/>
                <w:kern w:val="0"/>
                <w:sz w:val="24"/>
                <w:lang w:val="en-US" w:eastAsia="zh-CN"/>
              </w:rPr>
              <w:t>10000元/月/人的罚款</w:t>
            </w:r>
            <w:r>
              <w:rPr>
                <w:rFonts w:hint="default" w:ascii="Times New Roman" w:hAnsi="Times New Roman" w:cs="Times New Roman" w:eastAsiaTheme="minorEastAsia"/>
                <w:color w:val="FF0000"/>
                <w:kern w:val="0"/>
                <w:sz w:val="24"/>
                <w:lang w:val="en-US" w:eastAsia="zh-CN"/>
              </w:rPr>
              <w:t>处理</w:t>
            </w:r>
            <w:r>
              <w:rPr>
                <w:rFonts w:hint="eastAsia" w:hAnsi="宋体"/>
                <w:sz w:val="21"/>
                <w:szCs w:val="21"/>
              </w:rPr>
              <w:t>。</w:t>
            </w:r>
            <w:permEnd w:id="31"/>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宋体" w:hAnsi="宋体" w:cs="MingLiU"/>
                <w:kern w:val="0"/>
                <w:szCs w:val="21"/>
              </w:rPr>
              <w:t>养老保险须提供</w:t>
            </w:r>
            <w:permStart w:id="32" w:edGrp="everyone"/>
            <w:r>
              <w:rPr>
                <w:rFonts w:hint="eastAsia" w:hAnsi="宋体"/>
                <w:snapToGrid w:val="0"/>
                <w:spacing w:val="-4"/>
                <w:kern w:val="0"/>
                <w:sz w:val="24"/>
                <w:u w:val="single"/>
              </w:rPr>
              <w:t xml:space="preserve"> </w:t>
            </w:r>
            <w:r>
              <w:rPr>
                <w:rFonts w:hint="eastAsia" w:hAnsi="宋体"/>
                <w:snapToGrid w:val="0"/>
                <w:spacing w:val="-4"/>
                <w:kern w:val="0"/>
                <w:sz w:val="24"/>
                <w:u w:val="single"/>
                <w:lang w:eastAsia="zh-CN"/>
              </w:rPr>
              <w:t>2023</w:t>
            </w:r>
            <w:r>
              <w:rPr>
                <w:rFonts w:hint="eastAsia" w:hAnsi="宋体"/>
                <w:snapToGrid w:val="0"/>
                <w:spacing w:val="-4"/>
                <w:kern w:val="0"/>
                <w:sz w:val="24"/>
                <w:u w:val="single"/>
              </w:rPr>
              <w:t xml:space="preserve"> </w:t>
            </w:r>
            <w:permEnd w:id="32"/>
            <w:r>
              <w:rPr>
                <w:rFonts w:hint="eastAsia" w:ascii="宋体" w:hAnsi="宋体" w:cs="MingLiU"/>
                <w:kern w:val="0"/>
                <w:szCs w:val="21"/>
              </w:rPr>
              <w:t>年</w:t>
            </w:r>
            <w:permStart w:id="33" w:edGrp="everyone"/>
            <w:r>
              <w:rPr>
                <w:rFonts w:hint="eastAsia" w:ascii="宋体" w:hAnsi="宋体" w:cs="MingLiU"/>
                <w:kern w:val="0"/>
                <w:szCs w:val="21"/>
                <w:u w:val="single"/>
              </w:rPr>
              <w:t xml:space="preserve"> </w:t>
            </w:r>
            <w:r>
              <w:rPr>
                <w:rFonts w:hint="eastAsia" w:ascii="宋体" w:hAnsi="宋体" w:cs="MingLiU"/>
                <w:b/>
                <w:bCs/>
                <w:kern w:val="0"/>
                <w:szCs w:val="21"/>
                <w:u w:val="single"/>
                <w:lang w:val="en-US" w:eastAsia="zh-CN"/>
              </w:rPr>
              <w:t>6</w:t>
            </w:r>
            <w:r>
              <w:rPr>
                <w:rFonts w:hint="eastAsia" w:ascii="宋体" w:hAnsi="宋体" w:cs="MingLiU"/>
                <w:kern w:val="0"/>
                <w:szCs w:val="21"/>
                <w:u w:val="single"/>
              </w:rPr>
              <w:t xml:space="preserve"> </w:t>
            </w:r>
            <w:permEnd w:id="33"/>
            <w:r>
              <w:rPr>
                <w:rFonts w:hint="eastAsia" w:ascii="宋体" w:hAnsi="宋体" w:cs="MingLiU"/>
                <w:kern w:val="0"/>
                <w:szCs w:val="21"/>
              </w:rPr>
              <w:t>月以来在投标单位已缴纳的任意3个月的养老保险证明（指养老保险管理单位出具的养老保险证明，加盖养老保险管理单位的公章或电子章；</w:t>
            </w:r>
            <w:r>
              <w:rPr>
                <w:rFonts w:hint="eastAsia" w:ascii="宋体" w:hAnsi="宋体"/>
                <w:szCs w:val="21"/>
              </w:rPr>
              <w:t>投标时将原件、复印件或扫描件制作在投标文件中</w:t>
            </w:r>
            <w:r>
              <w:rPr>
                <w:rFonts w:hint="eastAsia" w:ascii="宋体" w:hAnsi="宋体" w:cs="MingLiU"/>
                <w:kern w:val="0"/>
                <w:szCs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1.9.1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permStart w:id="34"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ermEnd w:id="3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1.10.1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permStart w:id="35"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permEnd w:id="3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97"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距投标截止时间止</w:t>
            </w:r>
            <w:r>
              <w:rPr>
                <w:rFonts w:hint="eastAsia" w:ascii="Times New Roman" w:hAnsi="Times New Roman" w:cs="Times New Roman"/>
                <w:i w:val="0"/>
                <w:iCs w:val="0"/>
                <w:color w:val="auto"/>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投标截止时间前，招标文件的澄清将</w:t>
            </w:r>
            <w:r>
              <w:rPr>
                <w:rFonts w:hint="eastAsia" w:ascii="Times New Roman" w:hAnsi="Times New Roman" w:cs="Times New Roman"/>
                <w:szCs w:val="21"/>
                <w:lang w:eastAsia="zh-CN"/>
              </w:rPr>
              <w:t>亳州交通投资控股集团有限公司官网（www.bzjkjt.com）、安徽省招标投标信息网（www.ahtba.org.cn）及优质采云采购平台（www.youzhicai.com）</w:t>
            </w:r>
            <w:r>
              <w:rPr>
                <w:rFonts w:ascii="Times New Roman" w:hAnsi="Times New Roman" w:cs="Times New Roman"/>
                <w:szCs w:val="21"/>
              </w:rPr>
              <w:t>上进行发布。</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招标文件的澄清</w:t>
            </w:r>
            <w:r>
              <w:rPr>
                <w:rFonts w:hint="eastAsia" w:ascii="Times New Roman" w:hAnsi="Times New Roman" w:cs="Times New Roman"/>
                <w:szCs w:val="21"/>
                <w:lang w:eastAsia="zh-CN"/>
              </w:rPr>
              <w:t>亳州交通投资控股集团有限公司官网（www.bzjkjt.com）、安徽省招标投标信息网（www.ahtba.org.cn）及优质采云采购平台（www.youzhicai.com）上</w:t>
            </w:r>
            <w:r>
              <w:rPr>
                <w:rFonts w:ascii="Times New Roman" w:hAnsi="Times New Roman" w:cs="Times New Roman"/>
                <w:szCs w:val="21"/>
              </w:rPr>
              <w:t>的发布时间，视为投标人确认收到招标文件澄清的时间。</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ascii="Times New Roman" w:hAnsi="Times New Roman" w:cs="Times New Roman"/>
                <w:szCs w:val="21"/>
              </w:rPr>
              <w:t>所有参加本次项目招标的投标人须在网上自行查询，无需以纸质形式回复。如遇系统故障等原因不能进入</w:t>
            </w:r>
            <w:r>
              <w:rPr>
                <w:rFonts w:hint="eastAsia" w:ascii="Times New Roman" w:hAnsi="Times New Roman" w:cs="Times New Roman"/>
                <w:szCs w:val="21"/>
              </w:rPr>
              <w:t>亳州交通投资控股集团有限公司官网（www.bzjkjt.com）</w:t>
            </w:r>
            <w:r>
              <w:rPr>
                <w:rFonts w:ascii="Times New Roman" w:hAnsi="Times New Roman" w:cs="Times New Roman"/>
                <w:szCs w:val="21"/>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投标人确认收到招标文件修改的时间</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投标截止时间前，招标文件的</w:t>
            </w:r>
            <w:r>
              <w:rPr>
                <w:rFonts w:hint="eastAsia" w:ascii="Times New Roman" w:hAnsi="Times New Roman" w:cs="Times New Roman"/>
                <w:szCs w:val="21"/>
              </w:rPr>
              <w:t>修改</w:t>
            </w:r>
            <w:r>
              <w:rPr>
                <w:rFonts w:ascii="Times New Roman" w:hAnsi="Times New Roman" w:cs="Times New Roman"/>
                <w:szCs w:val="21"/>
              </w:rPr>
              <w:t>将</w:t>
            </w:r>
            <w:r>
              <w:rPr>
                <w:rFonts w:hint="eastAsia" w:ascii="Times New Roman" w:hAnsi="Times New Roman" w:cs="Times New Roman"/>
                <w:szCs w:val="21"/>
                <w:lang w:eastAsia="zh-CN"/>
              </w:rPr>
              <w:t>亳州交通投资控股集团有限公司官网（www.bzjkjt.com）、安徽省招标投标信息网（www.ahtba.org.cn）及优质采云采购平台（www.youzhicai.com）上</w:t>
            </w:r>
            <w:r>
              <w:rPr>
                <w:rFonts w:ascii="Times New Roman" w:hAnsi="Times New Roman" w:cs="Times New Roman"/>
                <w:szCs w:val="21"/>
              </w:rPr>
              <w:t>进行发布。</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招标文件的</w:t>
            </w:r>
            <w:r>
              <w:rPr>
                <w:rFonts w:hint="eastAsia" w:ascii="Times New Roman" w:hAnsi="Times New Roman" w:cs="Times New Roman"/>
                <w:szCs w:val="21"/>
              </w:rPr>
              <w:t>修改</w:t>
            </w:r>
            <w:r>
              <w:rPr>
                <w:rFonts w:hint="eastAsia" w:ascii="Times New Roman" w:hAnsi="Times New Roman" w:cs="Times New Roman"/>
                <w:szCs w:val="21"/>
                <w:lang w:eastAsia="zh-CN"/>
              </w:rPr>
              <w:t>亳州交通投资控股集团有限公司官网（www.bzjkjt.com）、安徽省招标投标信息网（www.ahtba.org.cn）及优质采云采购平台（www.youzhicai.com）上</w:t>
            </w:r>
            <w:r>
              <w:rPr>
                <w:rFonts w:ascii="Times New Roman" w:hAnsi="Times New Roman" w:cs="Times New Roman"/>
                <w:szCs w:val="21"/>
              </w:rPr>
              <w:t>的发布时间，视为投标人确认收到招标文件</w:t>
            </w:r>
            <w:r>
              <w:rPr>
                <w:rFonts w:hint="eastAsia" w:ascii="Times New Roman" w:hAnsi="Times New Roman" w:cs="Times New Roman"/>
                <w:szCs w:val="21"/>
              </w:rPr>
              <w:t>修改</w:t>
            </w:r>
            <w:r>
              <w:rPr>
                <w:rFonts w:ascii="Times New Roman" w:hAnsi="Times New Roman" w:cs="Times New Roman"/>
                <w:szCs w:val="21"/>
              </w:rPr>
              <w:t>的时间。</w:t>
            </w:r>
          </w:p>
          <w:p>
            <w:pPr>
              <w:keepNext w:val="0"/>
              <w:keepLines w:val="0"/>
              <w:pageBreakBefore w:val="0"/>
              <w:widowControl w:val="0"/>
              <w:tabs>
                <w:tab w:val="left" w:pos="309"/>
              </w:tabs>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ascii="Times New Roman" w:hAnsi="Times New Roman" w:cs="Times New Roman"/>
                <w:szCs w:val="21"/>
              </w:rPr>
              <w:t>所有参加本次项目招标的投标人须在网上自行查询，无需以纸质形式回复。如遇系统故障等原因不能进入</w:t>
            </w:r>
            <w:r>
              <w:rPr>
                <w:rFonts w:hint="eastAsia" w:ascii="Times New Roman" w:hAnsi="Times New Roman" w:cs="Times New Roman"/>
                <w:szCs w:val="21"/>
              </w:rPr>
              <w:t>亳州交通投资控股集团有限公司官网（www.bzjkjt.com）</w:t>
            </w:r>
            <w:r>
              <w:rPr>
                <w:rFonts w:ascii="Times New Roman" w:hAnsi="Times New Roman" w:cs="Times New Roman"/>
                <w:szCs w:val="21"/>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ascii="Times New Roman" w:hAnsi="Times New Roman" w:cs="Times New Roman"/>
                <w:szCs w:val="21"/>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wordWrap w:val="0"/>
              <w:spacing w:line="430" w:lineRule="exact"/>
              <w:rPr>
                <w:rFonts w:ascii="Times New Roman" w:hAnsi="Times New Roman" w:cs="Times New Roman"/>
                <w:szCs w:val="21"/>
              </w:rPr>
            </w:pPr>
            <w:r>
              <w:rPr>
                <w:rFonts w:hint="eastAsia" w:ascii="Times New Roman" w:hAnsi="Times New Roman" w:cs="Times New Roman"/>
                <w:szCs w:val="21"/>
              </w:rPr>
              <w:t>是否要求</w:t>
            </w:r>
            <w:r>
              <w:rPr>
                <w:rFonts w:ascii="Times New Roman" w:hAnsi="Times New Roman" w:cs="Times New Roman"/>
                <w:szCs w:val="21"/>
              </w:rPr>
              <w:t>递交投标保证金</w:t>
            </w:r>
          </w:p>
          <w:p>
            <w:pPr>
              <w:autoSpaceDE w:val="0"/>
              <w:autoSpaceDN w:val="0"/>
              <w:adjustRightInd w:val="0"/>
              <w:snapToGrid w:val="0"/>
              <w:spacing w:line="440" w:lineRule="exact"/>
              <w:ind w:firstLine="308" w:firstLineChars="147"/>
              <w:jc w:val="left"/>
              <w:rPr>
                <w:rFonts w:ascii="Times New Roman" w:hAnsi="Times New Roman" w:cs="Times New Roman"/>
                <w:color w:val="FF0000"/>
                <w:szCs w:val="21"/>
              </w:rPr>
            </w:pPr>
            <w:permStart w:id="36"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rPr>
              <w:t xml:space="preserve">       需 要☑</w:t>
            </w:r>
          </w:p>
          <w:permEnd w:id="36"/>
          <w:p>
            <w:pPr>
              <w:wordWrap w:val="0"/>
              <w:spacing w:line="430" w:lineRule="exact"/>
              <w:rPr>
                <w:rFonts w:ascii="Times New Roman" w:hAnsi="Times New Roman" w:cs="Times New Roman"/>
                <w:szCs w:val="21"/>
              </w:rPr>
            </w:pPr>
            <w:r>
              <w:rPr>
                <w:rFonts w:ascii="Times New Roman" w:hAnsi="Times New Roman" w:cs="Times New Roman"/>
                <w:szCs w:val="21"/>
              </w:rPr>
              <w:t>投标保证金的形式：</w:t>
            </w:r>
            <w:r>
              <w:rPr>
                <w:rFonts w:hint="eastAsia" w:ascii="Times New Roman" w:hAnsi="Times New Roman" w:cs="Times New Roman"/>
                <w:szCs w:val="21"/>
                <w:lang w:val="en-US" w:eastAsia="zh-CN"/>
              </w:rPr>
              <w:t>现金</w:t>
            </w:r>
            <w:r>
              <w:rPr>
                <w:rFonts w:ascii="Times New Roman" w:hAnsi="Times New Roman" w:cs="Times New Roman"/>
                <w:szCs w:val="21"/>
              </w:rPr>
              <w:t>或转账</w:t>
            </w:r>
          </w:p>
          <w:p>
            <w:pPr>
              <w:wordWrap w:val="0"/>
              <w:spacing w:line="430" w:lineRule="exact"/>
              <w:ind w:left="210" w:hanging="210" w:hangingChars="100"/>
              <w:rPr>
                <w:rFonts w:ascii="Times New Roman" w:hAnsi="Times New Roman" w:cs="Times New Roman"/>
                <w:szCs w:val="21"/>
              </w:rPr>
            </w:pPr>
            <w:r>
              <w:rPr>
                <w:rFonts w:ascii="Times New Roman" w:hAnsi="Times New Roman" w:cs="Times New Roman"/>
                <w:color w:val="FF0000"/>
                <w:szCs w:val="21"/>
              </w:rPr>
              <w:t>投标保证金的金额：</w:t>
            </w:r>
            <w:permStart w:id="37" w:edGrp="everyone"/>
            <w:r>
              <w:rPr>
                <w:rFonts w:hint="eastAsia" w:ascii="Times New Roman" w:hAnsi="Times New Roman" w:cs="Times New Roman"/>
                <w:szCs w:val="21"/>
                <w:u w:val="single"/>
              </w:rPr>
              <w:t xml:space="preserve"> </w:t>
            </w:r>
            <w:r>
              <w:rPr>
                <w:rFonts w:hint="eastAsia" w:ascii="Times New Roman" w:hAnsi="Times New Roman" w:cs="Times New Roman"/>
                <w:szCs w:val="21"/>
                <w:u w:val="single"/>
                <w:lang w:val="en-US" w:eastAsia="zh-CN"/>
              </w:rPr>
              <w:t>19000</w:t>
            </w:r>
            <w:r>
              <w:rPr>
                <w:rFonts w:hint="eastAsia" w:ascii="Times New Roman" w:hAnsi="Times New Roman" w:cs="Times New Roman"/>
                <w:szCs w:val="21"/>
                <w:u w:val="single"/>
              </w:rPr>
              <w:t xml:space="preserve">元 </w:t>
            </w:r>
            <w:permEnd w:id="37"/>
          </w:p>
          <w:p>
            <w:pPr>
              <w:wordWrap w:val="0"/>
              <w:spacing w:line="430" w:lineRule="exact"/>
              <w:rPr>
                <w:rFonts w:ascii="Times New Roman" w:hAnsi="Times New Roman" w:cs="Times New Roman"/>
                <w:b/>
                <w:bCs/>
                <w:szCs w:val="21"/>
              </w:rPr>
            </w:pPr>
            <w:r>
              <w:rPr>
                <w:rFonts w:ascii="Times New Roman" w:hAnsi="Times New Roman" w:cs="Times New Roman"/>
                <w:b/>
                <w:bCs/>
                <w:szCs w:val="21"/>
              </w:rPr>
              <w:t>收取投标保证金的账号信息：</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开户名称：亳州交通投资控股集团有限公司</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开户银行：中国农业银行亳州分行营业部</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银行账号：12670801040009482</w:t>
            </w:r>
          </w:p>
          <w:p>
            <w:pPr>
              <w:wordWrap w:val="0"/>
              <w:spacing w:line="430" w:lineRule="exact"/>
              <w:rPr>
                <w:rFonts w:ascii="Times New Roman" w:hAnsi="Times New Roman" w:cs="Times New Roman"/>
                <w:b/>
                <w:bCs/>
                <w:szCs w:val="21"/>
              </w:rPr>
            </w:pPr>
            <w:r>
              <w:rPr>
                <w:rFonts w:ascii="Times New Roman" w:hAnsi="Times New Roman" w:cs="Times New Roman"/>
                <w:b/>
                <w:bCs/>
                <w:szCs w:val="21"/>
              </w:rPr>
              <w:t>其他要求：</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rPr>
              <w:t>“</w:t>
            </w:r>
            <w:permStart w:id="38" w:edGrp="everyone"/>
            <w:r>
              <w:rPr>
                <w:rFonts w:hint="eastAsia" w:ascii="Times New Roman" w:hAnsi="Times New Roman" w:cs="Times New Roman"/>
                <w:color w:val="FF0000"/>
                <w:szCs w:val="21"/>
              </w:rPr>
              <w:t>BZJK-</w:t>
            </w:r>
            <w:r>
              <w:rPr>
                <w:rFonts w:hint="eastAsia" w:ascii="Times New Roman" w:hAnsi="Times New Roman" w:cs="Times New Roman"/>
                <w:color w:val="FF0000"/>
                <w:szCs w:val="21"/>
                <w:lang w:eastAsia="zh-CN"/>
              </w:rPr>
              <w:t>202</w:t>
            </w:r>
            <w:r>
              <w:rPr>
                <w:rFonts w:hint="eastAsia" w:ascii="Times New Roman" w:hAnsi="Times New Roman" w:cs="Times New Roman"/>
                <w:color w:val="FF0000"/>
                <w:szCs w:val="21"/>
                <w:lang w:val="en-US" w:eastAsia="zh-CN"/>
              </w:rPr>
              <w:t>4</w:t>
            </w:r>
            <w:r>
              <w:rPr>
                <w:rFonts w:hint="eastAsia" w:ascii="Times New Roman" w:hAnsi="Times New Roman" w:cs="Times New Roman"/>
                <w:color w:val="FF0000"/>
                <w:szCs w:val="21"/>
              </w:rPr>
              <w:t>-</w:t>
            </w:r>
            <w:r>
              <w:rPr>
                <w:rFonts w:hint="eastAsia" w:ascii="Times New Roman" w:hAnsi="Times New Roman" w:cs="Times New Roman"/>
                <w:color w:val="FF0000"/>
                <w:szCs w:val="21"/>
                <w:lang w:val="en-US" w:eastAsia="zh-CN"/>
              </w:rPr>
              <w:t>004</w:t>
            </w:r>
            <w:r>
              <w:rPr>
                <w:rFonts w:hint="eastAsia" w:ascii="Times New Roman" w:hAnsi="Times New Roman" w:cs="Times New Roman"/>
                <w:color w:val="FF0000"/>
                <w:szCs w:val="21"/>
              </w:rPr>
              <w:t>号保证金</w:t>
            </w:r>
            <w:permEnd w:id="38"/>
            <w:r>
              <w:rPr>
                <w:rFonts w:hint="eastAsia" w:ascii="Times New Roman" w:hAnsi="Times New Roman" w:cs="Times New Roman"/>
                <w:szCs w:val="21"/>
              </w:rPr>
              <w:t>”</w:t>
            </w:r>
            <w:r>
              <w:rPr>
                <w:rFonts w:ascii="Times New Roman" w:hAnsi="Times New Roman" w:cs="Times New Roman"/>
                <w:szCs w:val="21"/>
              </w:rPr>
              <w:t>，否则</w:t>
            </w:r>
            <w:r>
              <w:rPr>
                <w:rFonts w:hint="eastAsia" w:ascii="Times New Roman" w:hAnsi="Times New Roman" w:cs="Times New Roman"/>
                <w:szCs w:val="21"/>
              </w:rPr>
              <w:t>，</w:t>
            </w:r>
            <w:r>
              <w:rPr>
                <w:rFonts w:ascii="Times New Roman" w:hAnsi="Times New Roman" w:cs="Times New Roman"/>
                <w:szCs w:val="21"/>
              </w:rPr>
              <w:t>责任自负。</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投标保证金以到账时间为准，未按时汇入或非投标人基本账户汇出或收款银行账号错误无法判定保证金对应关系的，保证金无效；现金存入或以其他方式存入（转入）的视为无效。</w:t>
            </w:r>
          </w:p>
          <w:p>
            <w:pPr>
              <w:wordWrap w:val="0"/>
              <w:spacing w:line="430" w:lineRule="exact"/>
              <w:rPr>
                <w:rFonts w:ascii="Times New Roman" w:hAnsi="Times New Roman" w:cs="Times New Roman"/>
                <w:b/>
                <w:bCs/>
                <w:szCs w:val="21"/>
              </w:rPr>
            </w:pPr>
            <w:r>
              <w:rPr>
                <w:rFonts w:ascii="Times New Roman" w:hAnsi="Times New Roman" w:cs="Times New Roman"/>
                <w:b/>
                <w:bCs/>
                <w:szCs w:val="21"/>
              </w:rPr>
              <w:t>投标保证金</w:t>
            </w:r>
            <w:r>
              <w:rPr>
                <w:rFonts w:hint="eastAsia" w:ascii="Times New Roman" w:hAnsi="Times New Roman" w:cs="Times New Roman"/>
                <w:b/>
                <w:bCs/>
                <w:szCs w:val="21"/>
              </w:rPr>
              <w:t>的</w:t>
            </w:r>
            <w:r>
              <w:rPr>
                <w:rFonts w:ascii="Times New Roman" w:hAnsi="Times New Roman" w:cs="Times New Roman"/>
                <w:b/>
                <w:bCs/>
                <w:szCs w:val="21"/>
              </w:rPr>
              <w:t>退还（本金无息）：</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ascii="Times New Roman" w:hAnsi="Times New Roman" w:cs="Times New Roman"/>
                <w:szCs w:val="21"/>
              </w:rPr>
              <w:t>（2）中标侯选人公示期满且确定中标人后，未中标人的投标保证金</w:t>
            </w:r>
            <w:r>
              <w:rPr>
                <w:rFonts w:hint="eastAsia" w:ascii="Times New Roman" w:hAnsi="Times New Roman" w:cs="Times New Roman"/>
                <w:szCs w:val="21"/>
              </w:rPr>
              <w:t>在</w:t>
            </w:r>
            <w:r>
              <w:rPr>
                <w:rFonts w:ascii="Times New Roman" w:hAnsi="Times New Roman" w:cs="Times New Roman"/>
                <w:szCs w:val="21"/>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permStart w:id="39" w:edGrp="everyone"/>
            <w:permEnd w:id="39"/>
            <w:r>
              <w:rPr>
                <w:rFonts w:hint="eastAsia" w:ascii="Times New Roman" w:hAnsi="Times New Roman" w:cs="Times New Roman"/>
                <w:szCs w:val="21"/>
                <w:highlight w:val="none"/>
                <w:lang w:val="en-US" w:eastAsia="zh-CN"/>
              </w:rPr>
              <w:t>3.5.3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正本1份、副本4份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装订要求</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wordWrap w:val="0"/>
              <w:spacing w:line="430" w:lineRule="exact"/>
              <w:ind w:firstLine="420" w:firstLineChars="200"/>
              <w:rPr>
                <w:rFonts w:ascii="Times New Roman" w:hAnsi="Times New Roman" w:cs="Times New Roman"/>
                <w:color w:val="FF0000"/>
                <w:szCs w:val="21"/>
              </w:rPr>
            </w:pPr>
            <w:permStart w:id="40" w:edGrp="everyone"/>
            <w:r>
              <w:rPr>
                <w:rFonts w:hint="eastAsia" w:ascii="Times New Roman" w:hAnsi="Times New Roman" w:cs="Times New Roman"/>
                <w:color w:val="FF0000"/>
                <w:szCs w:val="21"/>
              </w:rPr>
              <w:t>开标地址</w:t>
            </w:r>
            <w:r>
              <w:rPr>
                <w:rFonts w:hint="eastAsia" w:ascii="Times New Roman" w:hAnsi="Times New Roman" w:cs="Times New Roman"/>
                <w:color w:val="FF0000"/>
                <w:szCs w:val="21"/>
                <w:lang w:eastAsia="zh-CN"/>
              </w:rPr>
              <w:t>：</w:t>
            </w:r>
            <w:r>
              <w:rPr>
                <w:rFonts w:hint="eastAsia" w:ascii="Times New Roman" w:hAnsi="Times New Roman" w:cs="Times New Roman"/>
                <w:color w:val="FF0000"/>
                <w:szCs w:val="21"/>
              </w:rPr>
              <w:t>亳州交通投资控股集团有限公司15楼开标室（药都大道与希夷大道交叉口东北角15楼）</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rPr>
              <w:t>招标人：安徽通康建设工程有限公司</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u w:val="single"/>
              </w:rPr>
              <w:t xml:space="preserve"> 水安凤栖上院34号地块工程项目</w:t>
            </w:r>
            <w:r>
              <w:rPr>
                <w:rFonts w:hint="eastAsia" w:ascii="Times New Roman" w:hAnsi="Times New Roman" w:cs="Times New Roman"/>
                <w:color w:val="FF0000"/>
                <w:szCs w:val="21"/>
                <w:u w:val="single"/>
                <w:lang w:val="en-US" w:eastAsia="zh-CN"/>
              </w:rPr>
              <w:t>战时人防设备采购安装工程</w:t>
            </w:r>
            <w:r>
              <w:rPr>
                <w:rFonts w:hint="eastAsia" w:ascii="Times New Roman" w:hAnsi="Times New Roman" w:cs="Times New Roman"/>
                <w:color w:val="FF0000"/>
                <w:szCs w:val="21"/>
              </w:rPr>
              <w:t>投标文件</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rPr>
              <w:t>项目编号：BZJK-</w:t>
            </w:r>
            <w:r>
              <w:rPr>
                <w:rFonts w:hint="eastAsia" w:ascii="Times New Roman" w:hAnsi="Times New Roman" w:cs="Times New Roman"/>
                <w:color w:val="FF0000"/>
                <w:szCs w:val="21"/>
                <w:lang w:eastAsia="zh-CN"/>
              </w:rPr>
              <w:t>202</w:t>
            </w:r>
            <w:r>
              <w:rPr>
                <w:rFonts w:hint="eastAsia" w:ascii="Times New Roman" w:hAnsi="Times New Roman" w:cs="Times New Roman"/>
                <w:color w:val="FF0000"/>
                <w:szCs w:val="21"/>
                <w:lang w:val="en-US" w:eastAsia="zh-CN"/>
              </w:rPr>
              <w:t>4</w:t>
            </w:r>
            <w:r>
              <w:rPr>
                <w:rFonts w:hint="eastAsia" w:ascii="Times New Roman" w:hAnsi="Times New Roman" w:cs="Times New Roman"/>
                <w:color w:val="FF0000"/>
                <w:szCs w:val="21"/>
              </w:rPr>
              <w:t>-</w:t>
            </w:r>
            <w:r>
              <w:rPr>
                <w:rFonts w:hint="eastAsia" w:ascii="Times New Roman" w:hAnsi="Times New Roman" w:cs="Times New Roman"/>
                <w:color w:val="FF0000"/>
                <w:szCs w:val="21"/>
                <w:u w:val="single"/>
                <w:lang w:val="en-US" w:eastAsia="zh-CN"/>
              </w:rPr>
              <w:t>004</w:t>
            </w:r>
            <w:r>
              <w:rPr>
                <w:rFonts w:hint="eastAsia" w:ascii="Times New Roman" w:hAnsi="Times New Roman" w:cs="Times New Roman"/>
                <w:color w:val="FF0000"/>
                <w:szCs w:val="21"/>
              </w:rPr>
              <w:t>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rPr>
              <w:t>在</w:t>
            </w:r>
            <w:r>
              <w:rPr>
                <w:rFonts w:hint="eastAsia" w:ascii="Times New Roman" w:hAnsi="Times New Roman" w:cs="Times New Roman"/>
                <w:color w:val="FF0000"/>
                <w:szCs w:val="21"/>
                <w:lang w:val="en-US" w:eastAsia="zh-CN"/>
              </w:rPr>
              <w:t xml:space="preserve">    </w:t>
            </w:r>
            <w:r>
              <w:rPr>
                <w:rFonts w:hint="eastAsia" w:ascii="Times New Roman" w:hAnsi="Times New Roman" w:cs="Times New Roman"/>
                <w:color w:val="FF0000"/>
                <w:szCs w:val="21"/>
              </w:rPr>
              <w:t>年</w:t>
            </w:r>
            <w:r>
              <w:rPr>
                <w:rFonts w:hint="eastAsia" w:ascii="Times New Roman" w:hAnsi="Times New Roman" w:cs="Times New Roman"/>
                <w:color w:val="FF0000"/>
                <w:szCs w:val="21"/>
                <w:lang w:val="en-US" w:eastAsia="zh-CN"/>
              </w:rPr>
              <w:t xml:space="preserve">  </w:t>
            </w:r>
            <w:r>
              <w:rPr>
                <w:rFonts w:hint="eastAsia" w:ascii="Times New Roman" w:hAnsi="Times New Roman" w:cs="Times New Roman"/>
                <w:color w:val="FF0000"/>
                <w:szCs w:val="21"/>
              </w:rPr>
              <w:t>月</w:t>
            </w:r>
            <w:r>
              <w:rPr>
                <w:rFonts w:hint="eastAsia" w:ascii="Times New Roman" w:hAnsi="Times New Roman" w:cs="Times New Roman"/>
                <w:color w:val="FF0000"/>
                <w:szCs w:val="21"/>
                <w:lang w:val="en-US" w:eastAsia="zh-CN"/>
              </w:rPr>
              <w:t xml:space="preserve">   </w:t>
            </w:r>
            <w:r>
              <w:rPr>
                <w:rFonts w:hint="eastAsia" w:ascii="Times New Roman" w:hAnsi="Times New Roman" w:cs="Times New Roman"/>
                <w:color w:val="FF0000"/>
                <w:szCs w:val="21"/>
              </w:rPr>
              <w:t>日</w:t>
            </w:r>
            <w:r>
              <w:rPr>
                <w:rFonts w:hint="eastAsia" w:ascii="Times New Roman" w:hAnsi="Times New Roman" w:cs="Times New Roman"/>
                <w:color w:val="FF0000"/>
                <w:szCs w:val="21"/>
                <w:lang w:val="en-US" w:eastAsia="zh-CN"/>
              </w:rPr>
              <w:t xml:space="preserve">   </w:t>
            </w:r>
            <w:r>
              <w:rPr>
                <w:rFonts w:hint="eastAsia" w:ascii="Times New Roman" w:hAnsi="Times New Roman" w:cs="Times New Roman"/>
                <w:color w:val="FF0000"/>
                <w:szCs w:val="21"/>
              </w:rPr>
              <w:t>时</w:t>
            </w:r>
            <w:r>
              <w:rPr>
                <w:rFonts w:hint="eastAsia" w:ascii="Times New Roman" w:hAnsi="Times New Roman" w:cs="Times New Roman"/>
                <w:color w:val="FF0000"/>
                <w:szCs w:val="21"/>
                <w:u w:val="single"/>
                <w:lang w:val="en-US" w:eastAsia="zh-CN"/>
              </w:rPr>
              <w:t>00</w:t>
            </w:r>
            <w:r>
              <w:rPr>
                <w:rFonts w:hint="eastAsia" w:ascii="Times New Roman" w:hAnsi="Times New Roman" w:cs="Times New Roman"/>
                <w:color w:val="FF0000"/>
                <w:szCs w:val="21"/>
              </w:rPr>
              <w:t>分前不得开启</w:t>
            </w:r>
            <w:permEnd w:id="4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评标委员会构成：5人以上单数（含5人）。</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推荐的中标候选人数：1-3人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中标候选人公示媒介</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网站上发布。</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wordWrap w:val="0"/>
              <w:spacing w:line="400" w:lineRule="exact"/>
              <w:rPr>
                <w:rFonts w:ascii="Times New Roman" w:hAnsi="Times New Roman" w:cs="Times New Roman"/>
                <w:color w:val="FF0000"/>
                <w:szCs w:val="21"/>
              </w:rPr>
            </w:pPr>
            <w:r>
              <w:rPr>
                <w:rFonts w:hint="eastAsia" w:ascii="Times New Roman" w:hAnsi="Times New Roman" w:cs="Times New Roman"/>
                <w:color w:val="FF0000"/>
                <w:szCs w:val="21"/>
              </w:rPr>
              <w:t>是否要求中标人提交履约保证金：</w:t>
            </w:r>
          </w:p>
          <w:p>
            <w:pPr>
              <w:wordWrap w:val="0"/>
              <w:spacing w:line="400" w:lineRule="exact"/>
              <w:rPr>
                <w:rFonts w:ascii="Times New Roman" w:hAnsi="Times New Roman" w:cs="Times New Roman"/>
                <w:color w:val="FF0000"/>
                <w:szCs w:val="21"/>
              </w:rPr>
            </w:pPr>
            <w:permStart w:id="41" w:edGrp="everyone"/>
            <w:r>
              <w:rPr>
                <w:rFonts w:ascii="Times New Roman" w:hAnsi="Times New Roman" w:eastAsia="仿宋_GB2312" w:cs="Times New Roman"/>
                <w:color w:val="FF0000"/>
                <w:sz w:val="24"/>
              </w:rPr>
              <w:sym w:font="Wingdings" w:char="00A8"/>
            </w:r>
            <w:r>
              <w:rPr>
                <w:rFonts w:hint="eastAsia" w:ascii="Times New Roman" w:hAnsi="Times New Roman" w:eastAsia="仿宋_GB2312" w:cs="Times New Roman"/>
                <w:color w:val="FF0000"/>
                <w:sz w:val="24"/>
              </w:rPr>
              <w:t>不</w:t>
            </w:r>
            <w:r>
              <w:rPr>
                <w:rFonts w:hint="eastAsia" w:ascii="Times New Roman" w:hAnsi="Times New Roman" w:cs="Times New Roman"/>
                <w:color w:val="FF0000"/>
                <w:szCs w:val="21"/>
              </w:rPr>
              <w:t>要求</w:t>
            </w:r>
          </w:p>
          <w:p>
            <w:pPr>
              <w:wordWrap w:val="0"/>
              <w:spacing w:line="400" w:lineRule="exact"/>
              <w:rPr>
                <w:rFonts w:ascii="Times New Roman" w:hAnsi="Times New Roman" w:cs="Times New Roman"/>
                <w:color w:val="FF0000"/>
                <w:szCs w:val="21"/>
              </w:rPr>
            </w:pPr>
            <w:r>
              <w:rPr>
                <w:rFonts w:ascii="Times New Roman" w:hAnsi="Times New Roman" w:eastAsia="仿宋_GB2312" w:cs="Times New Roman"/>
                <w:color w:val="FF0000"/>
                <w:sz w:val="24"/>
              </w:rPr>
              <w:sym w:font="Wingdings" w:char="00FE"/>
            </w:r>
            <w:r>
              <w:rPr>
                <w:rFonts w:hint="eastAsia" w:ascii="Times New Roman" w:hAnsi="Times New Roman" w:cs="Times New Roman"/>
                <w:color w:val="FF0000"/>
                <w:szCs w:val="21"/>
              </w:rPr>
              <w:t xml:space="preserve">要求  </w:t>
            </w:r>
          </w:p>
          <w:permEnd w:id="41"/>
          <w:p>
            <w:pPr>
              <w:wordWrap w:val="0"/>
              <w:spacing w:line="430" w:lineRule="exact"/>
              <w:rPr>
                <w:rFonts w:ascii="Times New Roman" w:hAnsi="Times New Roman" w:cs="Times New Roman"/>
                <w:szCs w:val="21"/>
              </w:rPr>
            </w:pPr>
            <w:r>
              <w:rPr>
                <w:rFonts w:ascii="Times New Roman" w:hAnsi="Times New Roman" w:cs="Times New Roman"/>
                <w:szCs w:val="21"/>
              </w:rPr>
              <w:t>履约担保的形式：</w:t>
            </w:r>
            <w:permStart w:id="42" w:edGrp="everyone"/>
            <w:r>
              <w:rPr>
                <w:rFonts w:ascii="Times New Roman" w:hAnsi="Times New Roman" w:cs="Times New Roman"/>
                <w:color w:val="FF0000"/>
                <w:szCs w:val="21"/>
              </w:rPr>
              <w:t>中标人</w:t>
            </w:r>
            <w:r>
              <w:rPr>
                <w:rFonts w:hint="eastAsia" w:ascii="Times New Roman" w:hAnsi="Times New Roman" w:cs="Times New Roman"/>
                <w:color w:val="FF0000"/>
                <w:szCs w:val="21"/>
                <w:lang w:val="en-US" w:eastAsia="zh-CN"/>
              </w:rPr>
              <w:t>投标保证金直接转成履约保证金，不足部分</w:t>
            </w:r>
            <w:r>
              <w:rPr>
                <w:rFonts w:ascii="Times New Roman" w:hAnsi="Times New Roman" w:cs="Times New Roman"/>
                <w:color w:val="FF0000"/>
                <w:szCs w:val="21"/>
              </w:rPr>
              <w:t>在收到中标通知书</w:t>
            </w:r>
            <w:r>
              <w:rPr>
                <w:rFonts w:hint="eastAsia" w:ascii="Times New Roman" w:hAnsi="Times New Roman" w:cs="Times New Roman"/>
                <w:color w:val="FF0000"/>
                <w:szCs w:val="21"/>
              </w:rPr>
              <w:t>后</w:t>
            </w:r>
            <w:r>
              <w:rPr>
                <w:rFonts w:ascii="Times New Roman" w:hAnsi="Times New Roman" w:cs="Times New Roman"/>
                <w:color w:val="FF0000"/>
                <w:szCs w:val="21"/>
              </w:rPr>
              <w:t>1</w:t>
            </w:r>
            <w:r>
              <w:rPr>
                <w:rFonts w:hint="eastAsia" w:ascii="Times New Roman" w:hAnsi="Times New Roman" w:cs="Times New Roman"/>
                <w:color w:val="FF0000"/>
                <w:szCs w:val="21"/>
              </w:rPr>
              <w:t>0</w:t>
            </w:r>
            <w:r>
              <w:rPr>
                <w:rFonts w:ascii="Times New Roman" w:hAnsi="Times New Roman" w:cs="Times New Roman"/>
                <w:color w:val="FF0000"/>
                <w:szCs w:val="21"/>
              </w:rPr>
              <w:t>日内从其基本账户开户行银行汇款</w:t>
            </w:r>
            <w:r>
              <w:rPr>
                <w:rFonts w:hint="eastAsia" w:ascii="Times New Roman" w:hAnsi="Times New Roman" w:cs="Times New Roman"/>
                <w:color w:val="FF0000"/>
                <w:szCs w:val="21"/>
              </w:rPr>
              <w:t>或开具保函</w:t>
            </w:r>
            <w:r>
              <w:rPr>
                <w:rFonts w:ascii="Times New Roman" w:hAnsi="Times New Roman" w:cs="Times New Roman"/>
                <w:color w:val="FF0000"/>
                <w:szCs w:val="21"/>
              </w:rPr>
              <w:t>。</w:t>
            </w:r>
            <w:permEnd w:id="42"/>
          </w:p>
          <w:p>
            <w:pPr>
              <w:wordWrap w:val="0"/>
              <w:spacing w:line="430" w:lineRule="exact"/>
              <w:rPr>
                <w:rFonts w:hint="default" w:ascii="Times New Roman" w:hAnsi="Times New Roman" w:cs="Times New Roman" w:eastAsiaTheme="minorEastAsia"/>
                <w:szCs w:val="21"/>
                <w:highlight w:val="yellow"/>
                <w:lang w:val="en-US" w:eastAsia="zh-CN"/>
              </w:rPr>
            </w:pPr>
            <w:r>
              <w:rPr>
                <w:rFonts w:ascii="Times New Roman" w:hAnsi="Times New Roman" w:cs="Times New Roman"/>
                <w:szCs w:val="21"/>
              </w:rPr>
              <w:t>履约担保的金额：</w:t>
            </w:r>
            <w:r>
              <w:rPr>
                <w:rFonts w:hint="eastAsia" w:ascii="Times New Roman" w:hAnsi="Times New Roman" w:cs="Times New Roman"/>
                <w:b/>
                <w:bCs/>
                <w:color w:val="FF0000"/>
                <w:szCs w:val="21"/>
                <w:lang w:val="en-US" w:eastAsia="zh-CN"/>
              </w:rPr>
              <w:t>中标价款的10%。</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ascii="Times New Roman" w:hAnsi="Times New Roman" w:cs="Times New Roman"/>
                <w:szCs w:val="21"/>
              </w:rPr>
              <w:t>履约保证金的退还：</w:t>
            </w:r>
            <w:permStart w:id="43" w:edGrp="everyone"/>
            <w:r>
              <w:rPr>
                <w:rFonts w:hint="eastAsia" w:ascii="Times New Roman" w:hAnsi="Times New Roman" w:cs="Times New Roman"/>
                <w:szCs w:val="21"/>
              </w:rPr>
              <w:t xml:space="preserve"> </w:t>
            </w:r>
            <w:r>
              <w:rPr>
                <w:rFonts w:ascii="Times New Roman" w:hAnsi="Times New Roman" w:cs="Times New Roman"/>
                <w:szCs w:val="21"/>
              </w:rPr>
              <w:t>无违约行为发生或违约行为已处理的情况下</w:t>
            </w:r>
            <w:r>
              <w:rPr>
                <w:rFonts w:hint="eastAsia" w:ascii="Times New Roman" w:hAnsi="Times New Roman" w:cs="Times New Roman"/>
                <w:szCs w:val="21"/>
              </w:rPr>
              <w:t>，</w:t>
            </w:r>
            <w:r>
              <w:rPr>
                <w:rFonts w:hint="eastAsia" w:ascii="Times New Roman" w:hAnsi="Times New Roman" w:cs="Times New Roman"/>
                <w:color w:val="FF0000"/>
                <w:szCs w:val="21"/>
              </w:rPr>
              <w:t>工程</w:t>
            </w:r>
            <w:r>
              <w:rPr>
                <w:rFonts w:ascii="Times New Roman" w:hAnsi="Times New Roman" w:cs="Times New Roman"/>
                <w:color w:val="FF0000"/>
                <w:szCs w:val="21"/>
              </w:rPr>
              <w:t>竣工验收合格后</w:t>
            </w:r>
            <w:r>
              <w:rPr>
                <w:rFonts w:hint="eastAsia" w:ascii="Times New Roman" w:hAnsi="Times New Roman" w:cs="Times New Roman"/>
                <w:szCs w:val="21"/>
              </w:rPr>
              <w:t>退</w:t>
            </w:r>
            <w:r>
              <w:rPr>
                <w:rFonts w:ascii="Times New Roman" w:hAnsi="Times New Roman" w:cs="Times New Roman"/>
                <w:szCs w:val="21"/>
              </w:rPr>
              <w:t>还</w:t>
            </w:r>
            <w:r>
              <w:rPr>
                <w:rFonts w:hint="eastAsia" w:ascii="Times New Roman" w:hAnsi="Times New Roman" w:cs="Times New Roman"/>
                <w:szCs w:val="21"/>
              </w:rPr>
              <w:t>全部</w:t>
            </w:r>
            <w:r>
              <w:rPr>
                <w:rFonts w:ascii="Times New Roman" w:hAnsi="Times New Roman" w:cs="Times New Roman"/>
                <w:szCs w:val="21"/>
              </w:rPr>
              <w:t>履约保证金（本金</w:t>
            </w:r>
            <w:r>
              <w:rPr>
                <w:rFonts w:hint="eastAsia" w:ascii="Times New Roman" w:hAnsi="Times New Roman" w:cs="Times New Roman"/>
                <w:szCs w:val="21"/>
              </w:rPr>
              <w:t>无息</w:t>
            </w:r>
            <w:r>
              <w:rPr>
                <w:rFonts w:ascii="Times New Roman" w:hAnsi="Times New Roman" w:cs="Times New Roman"/>
                <w:szCs w:val="21"/>
              </w:rPr>
              <w:t>）。</w:t>
            </w:r>
            <w:permEnd w:id="4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64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6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9.1</w:t>
            </w:r>
          </w:p>
        </w:tc>
        <w:tc>
          <w:tcPr>
            <w:tcW w:w="7634" w:type="dxa"/>
            <w:gridSpan w:val="2"/>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r>
              <w:rPr>
                <w:rFonts w:hint="eastAsia" w:ascii="宋体" w:hAnsi="宋体"/>
                <w:szCs w:val="21"/>
              </w:rPr>
              <w:t>投标人被视为充分熟悉本招标工程所在地的与招标投标及履行合同有关的各种情况，包括但不限于以下内容：</w:t>
            </w:r>
          </w:p>
          <w:p>
            <w:pPr>
              <w:spacing w:line="440" w:lineRule="exact"/>
              <w:rPr>
                <w:rFonts w:ascii="宋体" w:hAnsi="宋体"/>
                <w:szCs w:val="21"/>
              </w:rPr>
            </w:pPr>
            <w:r>
              <w:rPr>
                <w:rFonts w:hint="eastAsia" w:ascii="宋体" w:hAnsi="宋体"/>
                <w:szCs w:val="21"/>
              </w:rPr>
              <w:t>1.与本招标工程相关的国家法律法规、部门规章及规范性文件；</w:t>
            </w:r>
          </w:p>
          <w:p>
            <w:pPr>
              <w:spacing w:line="440" w:lineRule="exact"/>
              <w:rPr>
                <w:rFonts w:ascii="宋体" w:hAnsi="宋体"/>
                <w:szCs w:val="21"/>
              </w:rPr>
            </w:pPr>
            <w:r>
              <w:rPr>
                <w:rFonts w:hint="eastAsia" w:ascii="宋体" w:hAnsi="宋体"/>
                <w:szCs w:val="21"/>
              </w:rPr>
              <w:t>2.与本招标工程相关的行业标准、技术标准及</w:t>
            </w:r>
            <w:r>
              <w:rPr>
                <w:rFonts w:hint="eastAsia" w:ascii="宋体" w:hAnsi="宋体" w:cs="宋体"/>
                <w:szCs w:val="21"/>
              </w:rPr>
              <w:t>安徽省地方标准</w:t>
            </w:r>
            <w:r>
              <w:rPr>
                <w:rFonts w:hint="eastAsia" w:ascii="宋体" w:hAnsi="宋体"/>
                <w:szCs w:val="21"/>
              </w:rPr>
              <w:t>；</w:t>
            </w:r>
          </w:p>
          <w:p>
            <w:pPr>
              <w:spacing w:line="440" w:lineRule="exact"/>
              <w:rPr>
                <w:rFonts w:ascii="宋体" w:hAnsi="宋体"/>
                <w:szCs w:val="21"/>
              </w:rPr>
            </w:pPr>
            <w:r>
              <w:rPr>
                <w:rFonts w:hint="eastAsia" w:ascii="宋体" w:hAnsi="宋体"/>
                <w:szCs w:val="21"/>
              </w:rPr>
              <w:t>3.安徽省及亳州市建设行政主管部门等管理部门发布的与本招标工程相关的管理规定等；</w:t>
            </w:r>
          </w:p>
          <w:p>
            <w:pPr>
              <w:spacing w:line="440" w:lineRule="exact"/>
              <w:rPr>
                <w:rFonts w:ascii="宋体" w:hAnsi="宋体"/>
                <w:szCs w:val="21"/>
              </w:rPr>
            </w:pPr>
            <w:r>
              <w:rPr>
                <w:rFonts w:hint="eastAsia" w:ascii="宋体" w:hAnsi="宋体"/>
                <w:szCs w:val="21"/>
              </w:rPr>
              <w:t>4.亳州市公共资源交易监督管理局发布的相关管理规定；</w:t>
            </w:r>
          </w:p>
          <w:p>
            <w:pPr>
              <w:spacing w:line="440" w:lineRule="exact"/>
              <w:rPr>
                <w:rFonts w:ascii="宋体" w:hAnsi="宋体"/>
                <w:szCs w:val="21"/>
              </w:rPr>
            </w:pPr>
            <w:r>
              <w:rPr>
                <w:rFonts w:hint="eastAsia" w:ascii="宋体" w:hAnsi="宋体"/>
                <w:szCs w:val="21"/>
              </w:rPr>
              <w:t>5.工程建设地点所涉及的场地情况、基础条件等。</w:t>
            </w:r>
          </w:p>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ascii="宋体" w:hAnsi="宋体"/>
                <w:szCs w:val="21"/>
              </w:rPr>
              <w:t>本招标文件不对上述情况一一进行描述。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9.2</w:t>
            </w:r>
          </w:p>
        </w:tc>
        <w:tc>
          <w:tcPr>
            <w:tcW w:w="76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szCs w:val="21"/>
              </w:rPr>
              <w:t>招标文件（含答疑补充文件）、工程量清单及施工图纸等发布后，各投标人依据施工图纸、招标文件（含答疑补充文件）对工程量清单进行校核。如果对工程量清单有异议，请投标人按照本投标须知前附表规定的时间向招标人提出。在工程实施过程中，中标人按照施工图纸的要求进行施工，工程量不再变更。投标人如对施工图纸有异议（如图纸不完善，建筑图与结构图不一致、无节点大样图等），须按照本投标须知前附表规定的时间提出，否则，视为投标人投标时已充分考虑并纳入报价，中标人在施工过程中不得以上述理由提出费用变更。但建设单位可以委托设计单位补充设计以便项目实施。投标（中标）单位要对因没有校核施工图纸和工程量清单造成的后果承担一切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w:t>
            </w:r>
            <w:r>
              <w:rPr>
                <w:rFonts w:hint="eastAsia" w:ascii="Times New Roman" w:hAnsi="Times New Roman" w:cs="Times New Roman"/>
                <w:szCs w:val="21"/>
                <w:highlight w:val="none"/>
                <w:lang w:eastAsia="zh-CN"/>
              </w:rPr>
              <w:t>亳州交通投资控股集团有限公司官网（www.bzjkjt.com）</w:t>
            </w:r>
            <w:r>
              <w:rPr>
                <w:rFonts w:hint="default" w:ascii="Times New Roman" w:hAnsi="Times New Roman" w:cs="Times New Roman"/>
                <w:szCs w:val="21"/>
                <w:highlight w:val="none"/>
              </w:rPr>
              <w:t>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6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cs="Times New Roman"/>
          <w:color w:val="000000"/>
          <w:highlight w:val="none"/>
          <w:lang w:val="en-US" w:eastAsia="zh-CN"/>
        </w:rPr>
      </w:pPr>
      <w:r>
        <w:rPr>
          <w:rFonts w:hint="eastAsia" w:ascii="黑体" w:hAnsi="黑体" w:eastAsia="黑体" w:cs="黑体"/>
          <w:color w:val="000000"/>
          <w:highlight w:val="none"/>
        </w:rPr>
        <w:t>说明：</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52045529"/>
      <w:bookmarkStart w:id="17" w:name="_Toc179632546"/>
      <w:bookmarkStart w:id="18" w:name="_Toc296602420"/>
      <w:bookmarkStart w:id="19" w:name="_Toc246996175"/>
      <w:bookmarkStart w:id="20" w:name="_Toc247085689"/>
      <w:bookmarkStart w:id="21" w:name="_Toc246996918"/>
      <w:bookmarkStart w:id="22" w:name="_Toc144974497"/>
      <w:bookmarkStart w:id="23" w:name="_Toc152042305"/>
      <w:r>
        <w:rPr>
          <w:rFonts w:hint="eastAsia"/>
        </w:rPr>
        <w:t>1. 总则</w:t>
      </w:r>
      <w:bookmarkEnd w:id="16"/>
      <w:bookmarkEnd w:id="17"/>
      <w:bookmarkEnd w:id="18"/>
      <w:bookmarkEnd w:id="19"/>
      <w:bookmarkEnd w:id="20"/>
      <w:bookmarkEnd w:id="21"/>
      <w:bookmarkEnd w:id="22"/>
      <w:bookmarkEnd w:id="23"/>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52045530"/>
      <w:bookmarkStart w:id="25" w:name="_Toc247085690"/>
      <w:bookmarkStart w:id="26" w:name="_Toc246996176"/>
      <w:bookmarkStart w:id="27" w:name="_Toc246996919"/>
      <w:bookmarkStart w:id="28" w:name="_Toc179632547"/>
      <w:bookmarkStart w:id="29" w:name="_Toc296602421"/>
      <w:bookmarkStart w:id="30" w:name="_Toc152042306"/>
      <w:bookmarkStart w:id="31" w:name="_Toc144974498"/>
      <w:r>
        <w:rPr>
          <w:rFonts w:hint="eastAsia"/>
        </w:rPr>
        <w:t>1.1 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1.1.1根据《中华人民共和国招标投标法》等有关法律、法规和规章的规定，本招标项目已具备招标条件，现对本项目施工进行招标。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本招标项目招标人：见投标人须知前附表。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本招标项目招标代理机构：见投标人须知前附表。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1.1.4 本招标项目名称：见投标人须知前附表。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本招标项目建设地点：见投标人须知前附表。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79632548"/>
      <w:bookmarkStart w:id="33" w:name="_Toc152045531"/>
      <w:bookmarkStart w:id="34" w:name="_Toc152042307"/>
      <w:bookmarkStart w:id="35" w:name="_Toc247085691"/>
      <w:bookmarkStart w:id="36" w:name="_Toc246996177"/>
      <w:bookmarkStart w:id="37" w:name="_Toc296602422"/>
      <w:bookmarkStart w:id="38" w:name="_Toc144974499"/>
      <w:bookmarkStart w:id="39" w:name="_Toc246996920"/>
      <w:r>
        <w:rPr>
          <w:rFonts w:hint="eastAsia"/>
        </w:rPr>
        <w:t>1.2 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本招标项目的资金来源及出资比例：见投标人须知前附表。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本招标项目的资金落实情况：见投标人须知前附表。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247085692"/>
      <w:bookmarkStart w:id="41" w:name="_Toc144974500"/>
      <w:bookmarkStart w:id="42" w:name="_Toc152042308"/>
      <w:bookmarkStart w:id="43" w:name="_Toc246996921"/>
      <w:bookmarkStart w:id="44" w:name="_Toc246996178"/>
      <w:bookmarkStart w:id="45" w:name="_Toc179632549"/>
      <w:bookmarkStart w:id="46" w:name="_Toc152045532"/>
      <w:bookmarkStart w:id="47" w:name="_Toc296602423"/>
      <w:r>
        <w:rPr>
          <w:rFonts w:hint="eastAsia"/>
        </w:rPr>
        <w:t>1.3 招标范围、计划工期、质量要求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1.3.1 本次招标范围：见投标人须知前附表。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本招标项目的计划工期：见投标人须知前附表。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本招标项目的质量要求：见投标人须知前附表。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152045534"/>
      <w:bookmarkStart w:id="49" w:name="_Toc144974502"/>
      <w:bookmarkStart w:id="50" w:name="_Toc246996179"/>
      <w:bookmarkStart w:id="51" w:name="_Toc246996922"/>
      <w:bookmarkStart w:id="52" w:name="_Toc152042310"/>
      <w:bookmarkStart w:id="53" w:name="_Toc179632551"/>
      <w:bookmarkStart w:id="54" w:name="_Toc247085693"/>
      <w:bookmarkStart w:id="55" w:name="_Toc296602424"/>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1.4.1 投标人应具备承担本项目施工的资质条件、能力和信誉。</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（1）资质条件：见投标人须知前附表；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（2）项目经理资格：见投标人须知前附表；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（3）财务要求：见投标人须知前附表；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（4）业绩要求：见投标人须知前附表；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（5）其他要求：见投标人须知前附表。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1.4.2 投标人不得存在下列情形之一：</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（1）为招标人不具有独立法人资格的附属机构（单位）；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（2）为本招标项目前期准备提供设计或咨询服务的；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（3）为本招标项目的监理人；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（4）为本招标项目的代建人；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（5）为本招标项目提供招标代理服务的；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（6）与本招标项目的监理人或代建人或招标代理机构同为一个法定代表人的；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（7）与本招标项目的监理人或代建人或招标代理机构相互控股或参股的；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（8）与本招标项目的监理人或代建人或招标代理机构相互任职或工作的；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（9）被责令停业的；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permStart w:id="44" w:edGrp="everyone"/>
      <w:r>
        <w:rPr>
          <w:rFonts w:hint="eastAsia"/>
        </w:rPr>
        <w:t>（10）投标时（以投标截止时间为准），无被亳州市市本级及县区各行业主管部门或公共资源交易监管部门限制投标的不良行为记录（有效期内）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（11）投标时（以投标截止时间为准），投标人存在被人社部门列入拖欠农民工工资黑名单的（有效期内）；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（12）投标时（以投标截止时间为准），因扬尘治理措施不到位被亳州市市本级及县区行业主管部门记不良行为记录的（有效期内）。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（13）  / 。</w:t>
      </w:r>
      <w:permEnd w:id="44"/>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单位负责人为同一人或者存在控股、管理关系的不同单位，不得同时参加本招标项目投标。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1.4.4  投标人须知前附表规定接受联合体投标的，除应符合本章第1.4.1项和投标人须知前附表的要求外，还应遵守以下规定：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（3）联合体各方不得再以自己名义单独或参加其他联合体在同一标段中投标；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（4）联合体所有成员数量不得超过投标人须知前附表规定的数量；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（5）联合体各方应分别按照本招标文件的要求，由联合体牵头人负责对联合体各成员的资料进行统一汇总后一并提交给招标人；联合体牵头人所提交的投标文件应认为已代表了联合体各成员的真实情况；</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（6）尽管委任了联合体牵头人，但联合体各成员在投标、签约与履行合同过程中，仍负有连带的和各自的法律责任。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246996923"/>
      <w:bookmarkStart w:id="57" w:name="_Toc246996180"/>
      <w:bookmarkStart w:id="58" w:name="_Toc152045535"/>
      <w:bookmarkStart w:id="59" w:name="_Toc296602425"/>
      <w:bookmarkStart w:id="60" w:name="_Toc144974503"/>
      <w:bookmarkStart w:id="61" w:name="_Toc152042311"/>
      <w:bookmarkStart w:id="62" w:name="_Toc179632552"/>
      <w:bookmarkStart w:id="63" w:name="_Toc247085694"/>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247085695"/>
      <w:bookmarkStart w:id="65" w:name="_Toc296602426"/>
      <w:bookmarkStart w:id="66" w:name="_Toc152042312"/>
      <w:bookmarkStart w:id="67" w:name="_Toc179632553"/>
      <w:bookmarkStart w:id="68" w:name="_Toc246996924"/>
      <w:bookmarkStart w:id="69" w:name="_Toc246996181"/>
      <w:bookmarkStart w:id="70" w:name="_Toc152045536"/>
      <w:bookmarkStart w:id="71" w:name="_Toc144974504"/>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296602427"/>
      <w:bookmarkStart w:id="74" w:name="_Toc152042313"/>
      <w:bookmarkStart w:id="75" w:name="_Toc152045537"/>
      <w:bookmarkStart w:id="76" w:name="_Toc247085696"/>
      <w:bookmarkStart w:id="77" w:name="_Toc246996925"/>
      <w:bookmarkStart w:id="78" w:name="_Toc246996182"/>
      <w:bookmarkStart w:id="79" w:name="_Toc179632554"/>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152042314"/>
      <w:bookmarkStart w:id="81" w:name="_Toc246996926"/>
      <w:bookmarkStart w:id="82" w:name="_Toc246996183"/>
      <w:bookmarkStart w:id="83" w:name="_Toc144974506"/>
      <w:bookmarkStart w:id="84" w:name="_Toc179632555"/>
      <w:bookmarkStart w:id="85" w:name="_Toc247085697"/>
      <w:bookmarkStart w:id="86" w:name="_Toc152045538"/>
      <w:r>
        <w:rPr>
          <w:rFonts w:hint="eastAsia"/>
        </w:rPr>
        <w:t>招标投标文件使用的语言文字为中文。专用术语使用外文的，应附有中文注释。</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296602429"/>
      <w:bookmarkStart w:id="89" w:name="_Toc144974507"/>
      <w:bookmarkStart w:id="90" w:name="_Toc247527563"/>
      <w:bookmarkStart w:id="91" w:name="_Toc247513962"/>
      <w:bookmarkStart w:id="92" w:name="_Toc152045539"/>
      <w:bookmarkStart w:id="93" w:name="_Toc152042315"/>
      <w:bookmarkStart w:id="94" w:name="_Toc247592876"/>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1.9.1 投标人须知前附表规定组织踏勘现场的，招标人按投标人须知前附表规定的时间、地点组织投标人踏勘项目现场。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投标人踏勘现场发生的费用自理。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除招标人的原因外，投标人自行负责在踏勘现场中所发生的人员伤亡和财产损失。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1.9.4 招标人在踏勘现场中介绍的工程场地和相关的周边环境情况，供投标人在编制投标文件时参考，招标人不对投标人据此作出的判断和决策负责。</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47527564"/>
      <w:bookmarkStart w:id="96" w:name="_Toc247592877"/>
      <w:bookmarkStart w:id="97" w:name="_Toc152042316"/>
      <w:bookmarkStart w:id="98" w:name="_Toc152045540"/>
      <w:bookmarkStart w:id="99" w:name="_Toc296602430"/>
      <w:bookmarkStart w:id="100" w:name="_Toc144974508"/>
      <w:bookmarkStart w:id="101" w:name="_Toc247513963"/>
      <w:r>
        <w:rPr>
          <w:rFonts w:hint="eastAsia"/>
        </w:rPr>
        <w:t>1.10 投标预备会</w:t>
      </w:r>
      <w:bookmarkEnd w:id="95"/>
      <w:bookmarkEnd w:id="96"/>
      <w:bookmarkEnd w:id="97"/>
      <w:bookmarkEnd w:id="98"/>
      <w:bookmarkEnd w:id="99"/>
      <w:bookmarkEnd w:id="100"/>
      <w:bookmarkEnd w:id="10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投标人应在投标人须知前附表规定的时间前，以书面形式将提出的问题送达招标人，以便招标人在会议期间澄清。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1.10.3 投标预备会后，招标人在投标人须知前附表规定的时间内，将对投标人所提问题的澄清，以书面形式通知所有购买招标文件的投标人。该澄清内容为招标文件的组成部分。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2" w:name="_Toc296602431"/>
      <w:r>
        <w:rPr>
          <w:rFonts w:hint="eastAsia"/>
        </w:rPr>
        <w:t>1.11 偏离</w:t>
      </w:r>
      <w:bookmarkEnd w:id="10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投标人须知前附表允许投标文件偏离招标文件某些要求的，偏离应当符合招标文件规定的偏离范围和幅度。</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46996187"/>
      <w:bookmarkStart w:id="104" w:name="_Toc152045542"/>
      <w:bookmarkStart w:id="105" w:name="_Toc144974510"/>
      <w:bookmarkStart w:id="106" w:name="_Toc179632560"/>
      <w:bookmarkStart w:id="107" w:name="_Toc152042318"/>
      <w:bookmarkStart w:id="108" w:name="_Toc296602432"/>
      <w:bookmarkStart w:id="109" w:name="_Toc246996930"/>
      <w:bookmarkStart w:id="110" w:name="_Toc247085701"/>
      <w:r>
        <w:rPr>
          <w:rFonts w:hint="eastAsia"/>
        </w:rPr>
        <w:t>2. 招标文件</w:t>
      </w:r>
      <w:bookmarkEnd w:id="103"/>
      <w:bookmarkEnd w:id="104"/>
      <w:bookmarkEnd w:id="105"/>
      <w:bookmarkEnd w:id="106"/>
      <w:bookmarkEnd w:id="107"/>
      <w:bookmarkEnd w:id="108"/>
      <w:bookmarkEnd w:id="109"/>
      <w:bookmarkEnd w:id="11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246996931"/>
      <w:bookmarkStart w:id="112" w:name="_Toc246996188"/>
      <w:bookmarkStart w:id="113" w:name="_Toc296602433"/>
      <w:bookmarkStart w:id="114" w:name="_Toc152045543"/>
      <w:bookmarkStart w:id="115" w:name="_Toc247085702"/>
      <w:bookmarkStart w:id="116" w:name="_Toc144974511"/>
      <w:bookmarkStart w:id="117" w:name="_Toc152042319"/>
      <w:bookmarkStart w:id="118" w:name="_Toc179632561"/>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　　2.1.1 本招标文件包括：</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（5）工程量清单；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（6）图纸；</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（7）技术标准和要求；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2.1.2 根据本章第1.10款、第2.2款和第2.3款对招标文件所作的澄清、修改，构成招标文件的组成部分。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152042320"/>
      <w:bookmarkStart w:id="120" w:name="_Toc179632562"/>
      <w:bookmarkStart w:id="121" w:name="_Toc296602434"/>
      <w:bookmarkStart w:id="122" w:name="_Toc246996932"/>
      <w:bookmarkStart w:id="123" w:name="_Toc152045544"/>
      <w:bookmarkStart w:id="124" w:name="_Toc247085703"/>
      <w:bookmarkStart w:id="125" w:name="_Toc144974512"/>
      <w:bookmarkStart w:id="126" w:name="_Toc246996189"/>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144974513"/>
      <w:bookmarkStart w:id="128" w:name="_Toc152042321"/>
      <w:bookmarkStart w:id="129" w:name="_Toc247085704"/>
      <w:bookmarkStart w:id="130" w:name="_Toc246996933"/>
      <w:bookmarkStart w:id="131" w:name="_Toc152045545"/>
      <w:bookmarkStart w:id="132" w:name="_Toc296602435"/>
      <w:bookmarkStart w:id="133" w:name="_Toc246996190"/>
      <w:bookmarkStart w:id="134" w:name="_Toc179632563"/>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w:t>
      </w:r>
      <w:r>
        <w:rPr>
          <w:rFonts w:hint="eastAsia"/>
          <w:lang w:val="en-US" w:eastAsia="zh-CN"/>
        </w:rPr>
        <w:t>3</w:t>
      </w:r>
      <w:r>
        <w:rPr>
          <w:rFonts w:hint="eastAsia"/>
        </w:rPr>
        <w:t>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152045546"/>
      <w:bookmarkStart w:id="136" w:name="_Toc246996934"/>
      <w:bookmarkStart w:id="137" w:name="_Toc296602436"/>
      <w:bookmarkStart w:id="138" w:name="_Toc144974514"/>
      <w:bookmarkStart w:id="139" w:name="_Toc247085705"/>
      <w:bookmarkStart w:id="140" w:name="_Toc179632564"/>
      <w:bookmarkStart w:id="141" w:name="_Toc246996191"/>
      <w:bookmarkStart w:id="142" w:name="_Toc152042322"/>
      <w:r>
        <w:rPr>
          <w:rFonts w:hint="eastAsia"/>
        </w:rPr>
        <w:t>3. 投标文件</w:t>
      </w:r>
      <w:bookmarkEnd w:id="135"/>
      <w:bookmarkEnd w:id="136"/>
      <w:bookmarkEnd w:id="137"/>
      <w:bookmarkEnd w:id="138"/>
      <w:bookmarkEnd w:id="139"/>
      <w:bookmarkEnd w:id="140"/>
      <w:bookmarkEnd w:id="141"/>
      <w:bookmarkEnd w:id="142"/>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247085706"/>
      <w:bookmarkStart w:id="144" w:name="_Toc179632565"/>
      <w:bookmarkStart w:id="145" w:name="_Toc152042323"/>
      <w:bookmarkStart w:id="146" w:name="_Toc152045547"/>
      <w:bookmarkStart w:id="147" w:name="_Toc144974515"/>
      <w:bookmarkStart w:id="148" w:name="_Toc296602437"/>
      <w:bookmarkStart w:id="149" w:name="_Toc246996192"/>
      <w:bookmarkStart w:id="150" w:name="_Toc246996935"/>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（1）投标函及投标函附录；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（2）法定代表人身份证明或附有法定代表人身份证明的授权委托书；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（3）投标保证金；</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（4）已标价工程量清单；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w:t>
      </w:r>
      <w:r>
        <w:rPr>
          <w:rFonts w:hint="eastAsia"/>
          <w:lang w:val="en-US" w:eastAsia="zh-CN"/>
        </w:rPr>
        <w:t>专项</w:t>
      </w:r>
      <w:r>
        <w:rPr>
          <w:rFonts w:hint="eastAsia"/>
          <w:lang w:eastAsia="zh-CN"/>
        </w:rPr>
        <w:t>施工方案</w:t>
      </w:r>
      <w:r>
        <w:rPr>
          <w:rFonts w:hint="eastAsia"/>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（6）项目管理机构；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（8）其他材料。</w:t>
      </w:r>
    </w:p>
    <w:p>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246996936"/>
      <w:bookmarkStart w:id="152" w:name="_Toc296602438"/>
      <w:bookmarkStart w:id="153" w:name="_Toc246996193"/>
      <w:bookmarkStart w:id="154" w:name="_Toc152045548"/>
      <w:bookmarkStart w:id="155" w:name="_Toc152042324"/>
      <w:bookmarkStart w:id="156" w:name="_Toc179632566"/>
      <w:bookmarkStart w:id="157" w:name="_Toc144974516"/>
      <w:bookmarkStart w:id="158" w:name="_Toc247085707"/>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3.2.1 投标人应按第五章“工程量清单”的要求填写相应表格。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投标人在投标截止时间前修改投标函中的投标报价总额，应同时修改“已标价工程量清单”中的相应报价，投标报价总额为各分项金额之和。此修改须符合本章第4.3款的有关要求。</w:t>
      </w:r>
      <w:bookmarkStart w:id="159" w:name="_Toc152045549"/>
      <w:bookmarkStart w:id="160" w:name="_Toc179632567"/>
      <w:bookmarkStart w:id="161" w:name="_Toc152042325"/>
      <w:bookmarkStart w:id="162" w:name="_Toc14497451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招标人设有最高投标限价的，投标人的投标报价不得超过最高投标限价，最高投标限价或其计算方法在投标人须知前附表中载明。</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47085708"/>
      <w:bookmarkStart w:id="164" w:name="_Toc246996194"/>
      <w:bookmarkStart w:id="165" w:name="_Toc246996937"/>
      <w:bookmarkStart w:id="166" w:name="_Toc296602439"/>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除投标人须知前附表另有规定外，投标有效期为60天。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246996938"/>
      <w:bookmarkStart w:id="168" w:name="_Toc152045550"/>
      <w:bookmarkStart w:id="169" w:name="_Toc179632568"/>
      <w:bookmarkStart w:id="170" w:name="_Toc152042326"/>
      <w:bookmarkStart w:id="171" w:name="_Toc246996195"/>
      <w:bookmarkStart w:id="172" w:name="_Toc296602440"/>
      <w:bookmarkStart w:id="173" w:name="_Toc144974518"/>
      <w:bookmarkStart w:id="174" w:name="_Toc247085709"/>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179632570"/>
      <w:bookmarkStart w:id="176" w:name="_Toc246996939"/>
      <w:bookmarkStart w:id="177" w:name="_Toc152045552"/>
      <w:bookmarkStart w:id="178" w:name="_Toc247085710"/>
      <w:bookmarkStart w:id="179" w:name="_Toc152042328"/>
      <w:bookmarkStart w:id="180" w:name="_Toc296602441"/>
      <w:bookmarkStart w:id="181" w:name="_Toc246996196"/>
      <w:bookmarkStart w:id="182" w:name="_Toc144974520"/>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 “投标人基本情况表”应附投标人营业执照（统一社会信用代码）、资质证书和安全生产许可证等材料的复印件。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 “近年财务状况表”应附经会计师事务所或审计机构审计的财务会计报表，包括资产负债表、现金流量表、利润表和财务情况说明书等复印件，具体年份要求见投标人须知前附表。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 “近年完成的类似项目情况表”应附中标通知书和（或）合同协议书、工程竣工验收证书（或工程接收证书或工程竣工验收备案表）的复印件</w:t>
      </w:r>
      <w:r>
        <w:rPr>
          <w:rFonts w:hint="eastAsia"/>
          <w:lang w:eastAsia="zh-CN"/>
        </w:rPr>
        <w:t>（</w:t>
      </w:r>
      <w:r>
        <w:rPr>
          <w:rFonts w:hint="eastAsia"/>
          <w:lang w:val="en-US" w:eastAsia="zh-CN"/>
        </w:rPr>
        <w:t>如要求</w:t>
      </w:r>
      <w:r>
        <w:rPr>
          <w:rFonts w:hint="eastAsia"/>
          <w:lang w:eastAsia="zh-CN"/>
        </w:rPr>
        <w:t>）</w:t>
      </w:r>
      <w:r>
        <w:rPr>
          <w:rFonts w:hint="eastAsia"/>
        </w:rPr>
        <w:t>，具体要求见投标人须知前附表。每张表格只填写一个项目，并标明序号。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“正在施工和新承接的项目情况表”应附中标通知书和（或）合同协议书复印件。每张表格只填写一个项目，并标明序号。</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296602442"/>
      <w:bookmarkStart w:id="184" w:name="_Toc247085711"/>
      <w:bookmarkStart w:id="185" w:name="_Toc152045553"/>
      <w:bookmarkStart w:id="186" w:name="_Toc246996197"/>
      <w:bookmarkStart w:id="187" w:name="_Toc179632571"/>
      <w:bookmarkStart w:id="188" w:name="_Toc144974521"/>
      <w:bookmarkStart w:id="189" w:name="_Toc246996940"/>
      <w:bookmarkStart w:id="190" w:name="_Toc152042329"/>
      <w:r>
        <w:rPr>
          <w:rFonts w:hint="eastAsia"/>
        </w:rPr>
        <w:t>3.6投标文件的编制</w:t>
      </w:r>
      <w:bookmarkEnd w:id="18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3.6.1投标文件应按第八章“投标文件格式”进行编写，如有必要，可以增加附页，作为投标文件的组成部分。其中，投标函附录</w:t>
      </w:r>
      <w:r>
        <w:rPr>
          <w:rFonts w:hint="eastAsia"/>
          <w:lang w:eastAsia="zh-CN"/>
        </w:rPr>
        <w:t>（</w:t>
      </w:r>
      <w:r>
        <w:rPr>
          <w:rFonts w:hint="eastAsia"/>
          <w:lang w:val="en-US" w:eastAsia="zh-CN"/>
        </w:rPr>
        <w:t>如要求</w:t>
      </w:r>
      <w:r>
        <w:rPr>
          <w:rFonts w:hint="eastAsia"/>
          <w:lang w:eastAsia="zh-CN"/>
        </w:rPr>
        <w:t>）</w:t>
      </w:r>
      <w:r>
        <w:rPr>
          <w:rFonts w:hint="eastAsia"/>
        </w:rPr>
        <w:t>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szCs w:val="21"/>
        </w:rPr>
      </w:pPr>
      <w:r>
        <w:rPr>
          <w:rFonts w:hint="eastAsia"/>
        </w:rPr>
        <w:t>3.6.2 投标文件应当对招标文件有关</w:t>
      </w:r>
      <w:r>
        <w:rPr>
          <w:rFonts w:hint="eastAsia"/>
          <w:szCs w:val="21"/>
        </w:rPr>
        <w:t>工期、投标有效期、质量要求、技术标准和要求、招标范围等实质性内容作出响应。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投标文件应用不褪色的材料书写或打印，并由投标人的法定代表人或其委托代理人签字或盖单位章。委托代理人签字的，投标文件应附法定代表人签署的授权委托书。投标文件应尽量避免涂改、行间插字或删除。如果出现上述情况，改动之处应加盖单位章或由投标人的法定代表人或其授权的代理人签字确认。签字或盖章的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3.6.4 投标文件正本一份</w:t>
      </w:r>
      <w:r>
        <w:rPr>
          <w:rFonts w:hint="eastAsia"/>
          <w:lang w:eastAsia="zh-CN"/>
        </w:rPr>
        <w:t>，</w:t>
      </w:r>
      <w:r>
        <w:rPr>
          <w:rFonts w:hint="eastAsia"/>
        </w:rPr>
        <w:t xml:space="preserve"> 副本份数见投标人须知前附表。正本和副本的封面上应清楚地标记“正本”或“副本”的字样。当副本和正本不一致时，以正本为准。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3.6.5 投标文件的正本与副本应分别装订成册，具体装订要求见投标人须知前附表规定。</w:t>
      </w:r>
      <w:bookmarkEnd w:id="184"/>
      <w:bookmarkEnd w:id="185"/>
      <w:bookmarkEnd w:id="186"/>
      <w:bookmarkEnd w:id="187"/>
      <w:bookmarkEnd w:id="188"/>
      <w:bookmarkEnd w:id="189"/>
      <w:bookmarkEnd w:id="190"/>
      <w:bookmarkStart w:id="191" w:name="_Toc152042331"/>
      <w:bookmarkStart w:id="192" w:name="_Toc152045555"/>
      <w:bookmarkStart w:id="193" w:name="_Toc247085713"/>
      <w:bookmarkStart w:id="194" w:name="_Toc246996942"/>
      <w:bookmarkStart w:id="195" w:name="_Toc144974523"/>
      <w:bookmarkStart w:id="196" w:name="_Toc246996199"/>
      <w:bookmarkStart w:id="197" w:name="_Toc179632573"/>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98" w:name="_Toc296602443"/>
      <w:r>
        <w:rPr>
          <w:rFonts w:hint="eastAsia"/>
        </w:rPr>
        <w:t>4. 投标</w:t>
      </w:r>
      <w:bookmarkEnd w:id="191"/>
      <w:bookmarkEnd w:id="192"/>
      <w:bookmarkEnd w:id="193"/>
      <w:bookmarkEnd w:id="194"/>
      <w:bookmarkEnd w:id="195"/>
      <w:bookmarkEnd w:id="196"/>
      <w:bookmarkEnd w:id="197"/>
      <w:bookmarkEnd w:id="198"/>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152042332"/>
      <w:bookmarkStart w:id="200" w:name="_Toc144974524"/>
      <w:bookmarkStart w:id="201" w:name="_Toc246996943"/>
      <w:bookmarkStart w:id="202" w:name="_Toc179632574"/>
      <w:bookmarkStart w:id="203" w:name="_Toc296602444"/>
      <w:bookmarkStart w:id="204" w:name="_Toc152045556"/>
      <w:bookmarkStart w:id="205" w:name="_Toc246996200"/>
      <w:bookmarkStart w:id="206" w:name="_Toc247085714"/>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207" w:name="_Toc179632575"/>
      <w:bookmarkStart w:id="208" w:name="_Toc247085715"/>
      <w:bookmarkStart w:id="209" w:name="_Toc152045557"/>
      <w:bookmarkStart w:id="210" w:name="_Toc152042333"/>
      <w:bookmarkStart w:id="211" w:name="_Toc246996944"/>
      <w:bookmarkStart w:id="212" w:name="_Toc246996201"/>
      <w:bookmarkStart w:id="213" w:name="_Toc144974525"/>
      <w:r>
        <w:rPr>
          <w:rFonts w:hint="eastAsia"/>
        </w:rPr>
        <w:t>4.1.1 投标文件应进行包装、加贴封条，并在封套的封口处加盖投标人单位章。</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未按本章第4.1.1项或第4.1.2项要求密封和加写标记的投标文件，招标人应予拒收。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投标人应在本章第2.2.2项规定的投标截止时间前递交投标文件。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逾期送达的或者未送达指定地点的投标文件，招标人不予受理。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296602446"/>
      <w:bookmarkStart w:id="216" w:name="_Toc179632576"/>
      <w:bookmarkStart w:id="217" w:name="_Toc144974526"/>
      <w:bookmarkStart w:id="218" w:name="_Toc246996945"/>
      <w:bookmarkStart w:id="219" w:name="_Toc246996202"/>
      <w:bookmarkStart w:id="220" w:name="_Toc152045558"/>
      <w:bookmarkStart w:id="221" w:name="_Toc152042334"/>
      <w:bookmarkStart w:id="222" w:name="_Toc247085716"/>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在本章第2.2.2项规定的投标截止时间前，投标人可以修改或撤回已递交的投标文件，但应以书面形式通知招标人。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4.3.2 投标人修改或撤回已递交投标文件的书面通知应按照本章第3.6.3项的要求签字或盖章。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投标人撤回投标文件的，招标人自收到投标人书面撤回通知之日起5日内退还已收取的投标保证金。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修改的内容为投标文件的组成部分。修改的投标文件应按照本章第3条、第4条规定进行编制、密封、标记和递交，并标明“修改”字样。</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152045559"/>
      <w:bookmarkStart w:id="224" w:name="_Toc296602447"/>
      <w:bookmarkStart w:id="225" w:name="_Toc144974527"/>
      <w:bookmarkStart w:id="226" w:name="_Toc152042335"/>
      <w:bookmarkStart w:id="227" w:name="_Toc247085717"/>
      <w:bookmarkStart w:id="228" w:name="_Toc179632577"/>
      <w:bookmarkStart w:id="229" w:name="_Toc246996203"/>
      <w:bookmarkStart w:id="230" w:name="_Toc246996946"/>
      <w:r>
        <w:rPr>
          <w:rFonts w:hint="eastAsia"/>
        </w:rPr>
        <w:t>5. 开标</w:t>
      </w:r>
      <w:bookmarkEnd w:id="223"/>
      <w:bookmarkEnd w:id="224"/>
      <w:bookmarkEnd w:id="225"/>
      <w:bookmarkEnd w:id="226"/>
      <w:bookmarkEnd w:id="227"/>
      <w:bookmarkEnd w:id="228"/>
      <w:bookmarkEnd w:id="229"/>
      <w:bookmarkEnd w:id="23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247085718"/>
      <w:bookmarkStart w:id="232" w:name="_Toc296602448"/>
      <w:bookmarkStart w:id="233" w:name="_Toc246996204"/>
      <w:bookmarkStart w:id="234" w:name="_Toc246996947"/>
      <w:bookmarkStart w:id="235" w:name="_Toc179632578"/>
      <w:bookmarkStart w:id="236" w:name="_Toc152045560"/>
      <w:bookmarkStart w:id="237" w:name="_Toc144974528"/>
      <w:bookmarkStart w:id="238" w:name="_Toc152042336"/>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招标人在本章第2.2.2项规定的投标截止时间（开标时间）和投标人须知前附表规定的地点公开开标，并邀请所有投标人的法定代表人或其委托代理人准时参加。</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152042337"/>
      <w:bookmarkStart w:id="240" w:name="_Toc152045561"/>
      <w:bookmarkStart w:id="241" w:name="_Toc246996948"/>
      <w:bookmarkStart w:id="242" w:name="_Toc144974529"/>
      <w:bookmarkStart w:id="243" w:name="_Toc296602449"/>
      <w:bookmarkStart w:id="244" w:name="_Toc247085719"/>
      <w:bookmarkStart w:id="245" w:name="_Toc246996205"/>
      <w:bookmarkStart w:id="246" w:name="_Toc179632579"/>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5.2.1</w:t>
      </w:r>
      <w:r>
        <w:rPr>
          <w:rFonts w:hint="eastAsia"/>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（2）公布在投标截止时间前递交投标文件的投标人名称，并点名确认投标人是否派人到场；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（3）宣布开标人、唱标人、记录人、监标人等有关人员</w:t>
      </w:r>
      <w:r>
        <w:rPr>
          <w:rFonts w:hint="eastAsia"/>
          <w:lang w:eastAsia="zh-CN"/>
        </w:rPr>
        <w:t>（</w:t>
      </w:r>
      <w:r>
        <w:rPr>
          <w:rFonts w:hint="eastAsia"/>
          <w:lang w:val="en-US" w:eastAsia="zh-CN"/>
        </w:rPr>
        <w:t>如有</w:t>
      </w:r>
      <w:r>
        <w:rPr>
          <w:rFonts w:hint="eastAsia"/>
          <w:lang w:eastAsia="zh-CN"/>
        </w:rPr>
        <w:t>）</w:t>
      </w:r>
      <w:r>
        <w:rPr>
          <w:rFonts w:hint="eastAsia"/>
        </w:rPr>
        <w:t>姓名；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（4）按照投标人须知前附表规定检查投标文件的密封情况；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（5）按照投标人须知前附表的规定确定并宣布投标文件开标顺序；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（6）设有标底的，公布标底；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（7）按照宣布的开标顺序当众开标，公布投标人名称、投标保证金的递交情况、投标报价、质量目标、工期及其他内容，并记录在案；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（8）规定最高投标限价计算方法的，计算并公布最高投标限价；</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（9）投标人代表、招标人代表、监标人、记录人等有关人员</w:t>
      </w:r>
      <w:r>
        <w:rPr>
          <w:rFonts w:hint="eastAsia"/>
          <w:lang w:eastAsia="zh-CN"/>
        </w:rPr>
        <w:t>（</w:t>
      </w:r>
      <w:r>
        <w:rPr>
          <w:rFonts w:hint="eastAsia"/>
          <w:lang w:val="en-US" w:eastAsia="zh-CN"/>
        </w:rPr>
        <w:t>如有</w:t>
      </w:r>
      <w:r>
        <w:rPr>
          <w:rFonts w:hint="eastAsia"/>
          <w:lang w:eastAsia="zh-CN"/>
        </w:rPr>
        <w:t>）</w:t>
      </w:r>
      <w:r>
        <w:rPr>
          <w:rFonts w:hint="eastAsia"/>
        </w:rPr>
        <w:t>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（10）开标结束。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296602451"/>
      <w:bookmarkStart w:id="249" w:name="_Toc247085720"/>
      <w:bookmarkStart w:id="250" w:name="_Toc179632580"/>
      <w:bookmarkStart w:id="251" w:name="_Toc152045562"/>
      <w:bookmarkStart w:id="252" w:name="_Toc246996949"/>
      <w:bookmarkStart w:id="253" w:name="_Toc152042338"/>
      <w:bookmarkStart w:id="254" w:name="_Toc144974530"/>
      <w:bookmarkStart w:id="255" w:name="_Toc246996206"/>
      <w:r>
        <w:rPr>
          <w:rFonts w:hint="eastAsia"/>
        </w:rPr>
        <w:t>6. 评标</w:t>
      </w:r>
      <w:bookmarkEnd w:id="248"/>
      <w:bookmarkEnd w:id="249"/>
      <w:bookmarkEnd w:id="250"/>
      <w:bookmarkEnd w:id="251"/>
      <w:bookmarkEnd w:id="252"/>
      <w:bookmarkEnd w:id="253"/>
      <w:bookmarkEnd w:id="254"/>
      <w:bookmarkEnd w:id="2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152045563"/>
      <w:bookmarkStart w:id="257" w:name="_Toc246996950"/>
      <w:bookmarkStart w:id="258" w:name="_Toc179632581"/>
      <w:bookmarkStart w:id="259" w:name="_Toc152042339"/>
      <w:bookmarkStart w:id="260" w:name="_Toc246996207"/>
      <w:bookmarkStart w:id="261" w:name="_Toc144974531"/>
      <w:bookmarkStart w:id="262" w:name="_Toc296602452"/>
      <w:bookmarkStart w:id="263" w:name="_Toc247085721"/>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6.1.2 评标委员会成员有下列情形之一的，应当回避：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246996208"/>
      <w:bookmarkStart w:id="265" w:name="_Toc296602453"/>
      <w:bookmarkStart w:id="266" w:name="_Toc247085722"/>
      <w:bookmarkStart w:id="267" w:name="_Toc144974532"/>
      <w:bookmarkStart w:id="268" w:name="_Toc179632582"/>
      <w:bookmarkStart w:id="269" w:name="_Toc152045564"/>
      <w:bookmarkStart w:id="270" w:name="_Toc152042340"/>
      <w:bookmarkStart w:id="271" w:name="_Toc246996951"/>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247085723"/>
      <w:bookmarkStart w:id="273" w:name="_Toc179632583"/>
      <w:bookmarkStart w:id="274" w:name="_Toc296602454"/>
      <w:bookmarkStart w:id="275" w:name="_Toc152042341"/>
      <w:bookmarkStart w:id="276" w:name="_Toc152045565"/>
      <w:bookmarkStart w:id="277" w:name="_Toc144974533"/>
      <w:bookmarkStart w:id="278" w:name="_Toc246996952"/>
      <w:bookmarkStart w:id="279" w:name="_Toc246996209"/>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评标委员会按照第三章“评标办法”规定的方法、评审因素、标准和程序对投标文件进行评审。第三章“评标办法”没有规定的方法、评审因素和标准，不作为评标依据。</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152042342"/>
      <w:bookmarkStart w:id="281" w:name="_Toc179632584"/>
      <w:bookmarkStart w:id="282" w:name="_Toc152045566"/>
      <w:bookmarkStart w:id="283" w:name="_Toc144974534"/>
      <w:bookmarkStart w:id="284" w:name="_Toc247085724"/>
      <w:bookmarkStart w:id="285" w:name="_Toc296602455"/>
      <w:bookmarkStart w:id="286" w:name="_Toc246996953"/>
      <w:bookmarkStart w:id="287" w:name="_Toc246996210"/>
      <w:r>
        <w:rPr>
          <w:rFonts w:hint="eastAsia"/>
        </w:rPr>
        <w:t>7. 合同授予</w:t>
      </w:r>
      <w:bookmarkEnd w:id="280"/>
      <w:bookmarkEnd w:id="281"/>
      <w:bookmarkEnd w:id="282"/>
      <w:bookmarkEnd w:id="283"/>
      <w:bookmarkEnd w:id="284"/>
      <w:bookmarkEnd w:id="285"/>
      <w:bookmarkEnd w:id="286"/>
      <w:bookmarkEnd w:id="287"/>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247085725"/>
      <w:bookmarkStart w:id="289" w:name="_Toc144974535"/>
      <w:bookmarkStart w:id="290" w:name="_Toc246996211"/>
      <w:bookmarkStart w:id="291" w:name="_Toc152045567"/>
      <w:bookmarkStart w:id="292" w:name="_Toc296602456"/>
      <w:bookmarkStart w:id="293" w:name="_Toc179632585"/>
      <w:bookmarkStart w:id="294" w:name="_Toc152042343"/>
      <w:bookmarkStart w:id="295" w:name="_Toc246996954"/>
      <w:r>
        <w:rPr>
          <w:rFonts w:hint="eastAsia"/>
        </w:rPr>
        <w:t>7.1 定标方式</w:t>
      </w:r>
      <w:bookmarkEnd w:id="288"/>
      <w:bookmarkEnd w:id="289"/>
      <w:bookmarkEnd w:id="290"/>
      <w:bookmarkEnd w:id="291"/>
      <w:bookmarkEnd w:id="292"/>
      <w:bookmarkEnd w:id="293"/>
      <w:bookmarkEnd w:id="294"/>
      <w:bookmarkEnd w:id="29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除投标人须知前附表规定评标委员会直接确定中标人外，招标人依据评标委员会推荐的中标候选人确定中标人，评标委员会推荐中标候选人的人数见投标人须知前附表。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96" w:name="_Toc296602457"/>
      <w:r>
        <w:rPr>
          <w:rFonts w:hint="eastAsia"/>
        </w:rPr>
        <w:t>7.2 中标候选人公示</w:t>
      </w:r>
      <w:bookmarkEnd w:id="29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招标人在投标人须知前附表规定的媒介公示中标候选人。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97" w:name="_Toc144974536"/>
      <w:bookmarkStart w:id="298" w:name="_Toc296602458"/>
      <w:bookmarkStart w:id="299" w:name="_Toc246996212"/>
      <w:bookmarkStart w:id="300" w:name="_Toc179632586"/>
      <w:bookmarkStart w:id="301" w:name="_Toc246996955"/>
      <w:bookmarkStart w:id="302" w:name="_Toc247085726"/>
      <w:bookmarkStart w:id="303" w:name="_Toc152045568"/>
      <w:bookmarkStart w:id="304" w:name="_Toc152042344"/>
      <w:r>
        <w:rPr>
          <w:rFonts w:hint="eastAsia"/>
        </w:rPr>
        <w:t>7.3 中标通知</w:t>
      </w:r>
      <w:bookmarkEnd w:id="297"/>
      <w:bookmarkEnd w:id="298"/>
      <w:bookmarkEnd w:id="299"/>
      <w:bookmarkEnd w:id="300"/>
      <w:bookmarkEnd w:id="301"/>
      <w:bookmarkEnd w:id="302"/>
      <w:bookmarkEnd w:id="303"/>
      <w:bookmarkEnd w:id="30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在本章第3.3款规定的投标有效期内，招标人以书面形式向中标人发出中标通知书，同时将中标结果通知未中标的投标人。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05" w:name="_Toc152042345"/>
      <w:bookmarkStart w:id="306" w:name="_Toc246996956"/>
      <w:bookmarkStart w:id="307" w:name="_Toc246996213"/>
      <w:bookmarkStart w:id="308" w:name="_Toc179632587"/>
      <w:bookmarkStart w:id="309" w:name="_Toc296602459"/>
      <w:bookmarkStart w:id="310" w:name="_Toc144974537"/>
      <w:bookmarkStart w:id="311" w:name="_Toc247085727"/>
      <w:bookmarkStart w:id="312" w:name="_Toc152045569"/>
      <w:r>
        <w:rPr>
          <w:rFonts w:hint="eastAsia"/>
        </w:rPr>
        <w:t>7.4 履约担保</w:t>
      </w:r>
      <w:bookmarkEnd w:id="305"/>
      <w:bookmarkEnd w:id="306"/>
      <w:bookmarkEnd w:id="307"/>
      <w:bookmarkEnd w:id="308"/>
      <w:bookmarkEnd w:id="309"/>
      <w:bookmarkEnd w:id="310"/>
      <w:bookmarkEnd w:id="311"/>
      <w:bookmarkEnd w:id="31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7.4.1在签订合同前，中标人应按投标人须知前附表规定的担保形式和招标文件第四章“合同条款及格式”规定的或者事先经过招标人书面认可的履约担保格式向招标人提交履约担保。除投标人须知前附表另有规定外，履约担保金额为中标合同金额的10%。</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7.4.2 中标人不能按本章第7.4.1项要求提交履约担保的，视为放弃中标，其投标保证金不予退还，给招标人造成的损失超过投标保证金数额的，中标人还应当对超过部分予以赔偿。</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13" w:name="_Toc144974538"/>
      <w:bookmarkStart w:id="314" w:name="_Toc152042346"/>
      <w:bookmarkStart w:id="315" w:name="_Toc179632588"/>
      <w:bookmarkStart w:id="316" w:name="_Toc246996214"/>
      <w:bookmarkStart w:id="317" w:name="_Toc247085728"/>
      <w:bookmarkStart w:id="318" w:name="_Toc152045570"/>
      <w:bookmarkStart w:id="319" w:name="_Toc246996957"/>
      <w:bookmarkStart w:id="320" w:name="_Toc296602460"/>
      <w:r>
        <w:rPr>
          <w:rFonts w:hint="eastAsia"/>
        </w:rPr>
        <w:t>7.5 签订合同</w:t>
      </w:r>
      <w:bookmarkEnd w:id="313"/>
      <w:bookmarkEnd w:id="314"/>
      <w:bookmarkEnd w:id="315"/>
      <w:bookmarkEnd w:id="316"/>
      <w:bookmarkEnd w:id="317"/>
      <w:bookmarkEnd w:id="318"/>
      <w:bookmarkEnd w:id="319"/>
      <w:bookmarkEnd w:id="32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7.5.1招标人和中标人应当自中标通知书发出之日起30天内，根据招标文件和中标人的投标文件订立书面合同。中标人无正当理由拒签合同的，招标人取消其中标资格，其投标保证金不予退还；给招标人造成的损失超过投标保证金数额的，中标人还应当对超过部分予以赔偿。</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7.5.2 发出中标通知书后，招标人无正当理由拒签合同的，招标人向中标人退还投标保证金；给中标人造成损失的，还应当赔偿损失。</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21" w:name="_Toc296602461"/>
      <w:r>
        <w:rPr>
          <w:rFonts w:hint="eastAsia"/>
        </w:rPr>
        <w:t>8. 纪律和监督</w:t>
      </w:r>
      <w:bookmarkEnd w:id="321"/>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2" w:name="_Toc152042351"/>
      <w:bookmarkStart w:id="323" w:name="_Toc246996219"/>
      <w:bookmarkStart w:id="324" w:name="_Toc296602462"/>
      <w:bookmarkStart w:id="325" w:name="_Toc152045575"/>
      <w:bookmarkStart w:id="326" w:name="_Toc247085733"/>
      <w:bookmarkStart w:id="327" w:name="_Toc296590983"/>
      <w:bookmarkStart w:id="328" w:name="_Toc246996962"/>
      <w:bookmarkStart w:id="329" w:name="_Toc144974543"/>
      <w:bookmarkStart w:id="330" w:name="_Toc179632593"/>
      <w:r>
        <w:rPr>
          <w:rFonts w:hint="eastAsia"/>
        </w:rPr>
        <w:t>8.1 对招标人的纪律要求</w:t>
      </w:r>
      <w:bookmarkEnd w:id="322"/>
      <w:bookmarkEnd w:id="323"/>
      <w:bookmarkEnd w:id="324"/>
      <w:bookmarkEnd w:id="325"/>
      <w:bookmarkEnd w:id="326"/>
      <w:bookmarkEnd w:id="327"/>
      <w:bookmarkEnd w:id="328"/>
      <w:bookmarkEnd w:id="329"/>
      <w:bookmarkEnd w:id="33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w:t>
      </w:r>
      <w:r>
        <w:rPr>
          <w:rFonts w:hint="eastAsia"/>
          <w:lang w:eastAsia="zh-CN"/>
        </w:rPr>
        <w:t>泄露</w:t>
      </w:r>
      <w:r>
        <w:rPr>
          <w:rFonts w:hint="eastAsia"/>
        </w:rPr>
        <w:t>招标投标活动中应当保密的情况和资料，不得与投标人串通损害国家利益、社会公共利益或者他人合法权益。</w:t>
      </w:r>
    </w:p>
    <w:p>
      <w:pPr>
        <w:pStyle w:val="3"/>
        <w:bidi w:val="0"/>
        <w:rPr>
          <w:rFonts w:hint="eastAsia"/>
        </w:rPr>
      </w:pPr>
      <w:bookmarkStart w:id="331" w:name="_Toc152045576"/>
      <w:bookmarkStart w:id="332" w:name="_Toc296602463"/>
      <w:bookmarkStart w:id="333" w:name="_Toc152042352"/>
      <w:bookmarkStart w:id="334" w:name="_Toc179632594"/>
      <w:bookmarkStart w:id="335" w:name="_Toc144974544"/>
      <w:bookmarkStart w:id="336" w:name="_Toc246996220"/>
      <w:bookmarkStart w:id="337" w:name="_Toc246996963"/>
      <w:bookmarkStart w:id="338" w:name="_Toc247085734"/>
      <w:r>
        <w:rPr>
          <w:rFonts w:hint="eastAsia"/>
        </w:rPr>
        <w:t>8.2 对投标人的纪律要求</w:t>
      </w:r>
      <w:bookmarkEnd w:id="331"/>
      <w:bookmarkEnd w:id="332"/>
      <w:bookmarkEnd w:id="333"/>
      <w:bookmarkEnd w:id="334"/>
      <w:bookmarkEnd w:id="335"/>
      <w:bookmarkEnd w:id="336"/>
      <w:bookmarkEnd w:id="337"/>
      <w:bookmarkEnd w:id="3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9" w:name="_Toc152042353"/>
      <w:bookmarkStart w:id="340" w:name="_Toc144974545"/>
      <w:bookmarkStart w:id="341" w:name="_Toc152045577"/>
      <w:bookmarkStart w:id="342" w:name="_Toc247085735"/>
      <w:bookmarkStart w:id="343" w:name="_Toc246996221"/>
      <w:bookmarkStart w:id="344" w:name="_Toc296602464"/>
      <w:bookmarkStart w:id="345" w:name="_Toc179632595"/>
      <w:bookmarkStart w:id="346" w:name="_Toc246996964"/>
      <w:r>
        <w:rPr>
          <w:rFonts w:hint="eastAsia"/>
        </w:rPr>
        <w:t>8.3 对评标委员会成员的纪律要求</w:t>
      </w:r>
      <w:bookmarkEnd w:id="339"/>
      <w:bookmarkEnd w:id="340"/>
      <w:bookmarkEnd w:id="341"/>
      <w:bookmarkEnd w:id="342"/>
      <w:bookmarkEnd w:id="343"/>
      <w:bookmarkEnd w:id="344"/>
      <w:bookmarkEnd w:id="345"/>
      <w:bookmarkEnd w:id="3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w:t>
      </w:r>
      <w:r>
        <w:rPr>
          <w:rFonts w:hint="eastAsia"/>
          <w:lang w:eastAsia="zh-CN"/>
        </w:rPr>
        <w:t>透露</w:t>
      </w:r>
      <w:r>
        <w:rPr>
          <w:rFonts w:hint="eastAsia"/>
        </w:rPr>
        <w:t>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47" w:name="_Toc296602465"/>
      <w:bookmarkStart w:id="348" w:name="_Toc152042354"/>
      <w:bookmarkStart w:id="349" w:name="_Toc246996965"/>
      <w:bookmarkStart w:id="350" w:name="_Toc247085736"/>
      <w:bookmarkStart w:id="351" w:name="_Toc152045578"/>
      <w:bookmarkStart w:id="352" w:name="_Toc179632596"/>
      <w:bookmarkStart w:id="353" w:name="_Toc246996222"/>
      <w:bookmarkStart w:id="354" w:name="_Toc144974546"/>
      <w:r>
        <w:rPr>
          <w:rFonts w:hint="eastAsia"/>
        </w:rPr>
        <w:t>8.4 对与评标活动有关的工作人员的纪律要求</w:t>
      </w:r>
      <w:bookmarkEnd w:id="347"/>
      <w:bookmarkEnd w:id="348"/>
      <w:bookmarkEnd w:id="349"/>
      <w:bookmarkEnd w:id="350"/>
      <w:bookmarkEnd w:id="351"/>
      <w:bookmarkEnd w:id="352"/>
      <w:bookmarkEnd w:id="35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55" w:name="_Toc152042355"/>
      <w:r>
        <w:rPr>
          <w:rFonts w:hint="eastAsia"/>
        </w:rPr>
        <w:t>与评标活动有关的工作人员不得收受他人的财物或者其他好处，不得向他人</w:t>
      </w:r>
      <w:r>
        <w:rPr>
          <w:rFonts w:hint="eastAsia"/>
          <w:lang w:eastAsia="zh-CN"/>
        </w:rPr>
        <w:t>透露</w:t>
      </w:r>
      <w:r>
        <w:rPr>
          <w:rFonts w:hint="eastAsia"/>
        </w:rPr>
        <w:t>对投标文件的评审和比较、中标候选人的推荐情况以及评标有关的其他情况。在评标活动中，与评标活动有关的工作人员不得擅离职守，影响评标程序正常进行。</w:t>
      </w:r>
      <w:bookmarkEnd w:id="3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56" w:name="_Toc246996223"/>
      <w:bookmarkStart w:id="357" w:name="_Toc247085737"/>
      <w:bookmarkStart w:id="358" w:name="_Toc296602466"/>
      <w:bookmarkStart w:id="359" w:name="_Toc152045579"/>
      <w:bookmarkStart w:id="360" w:name="_Toc246996966"/>
      <w:bookmarkStart w:id="361" w:name="_Toc152042356"/>
      <w:bookmarkStart w:id="362" w:name="_Toc179632597"/>
      <w:r>
        <w:rPr>
          <w:rFonts w:hint="eastAsia"/>
        </w:rPr>
        <w:t>8.5 投诉</w:t>
      </w:r>
      <w:bookmarkEnd w:id="354"/>
      <w:bookmarkEnd w:id="356"/>
      <w:bookmarkEnd w:id="357"/>
      <w:bookmarkEnd w:id="358"/>
      <w:bookmarkEnd w:id="359"/>
      <w:bookmarkEnd w:id="360"/>
      <w:bookmarkEnd w:id="361"/>
      <w:bookmarkEnd w:id="3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投标人和其他利害关系人认为本次招标活动违反法律、法规和规章规定的，有权向有关行政监督部门投诉。</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63" w:name="_Toc144974547"/>
      <w:bookmarkStart w:id="364" w:name="_Toc247085738"/>
      <w:bookmarkStart w:id="365" w:name="_Toc179632598"/>
      <w:bookmarkStart w:id="366" w:name="_Toc152042357"/>
      <w:bookmarkStart w:id="367" w:name="_Toc152045580"/>
      <w:bookmarkStart w:id="368" w:name="_Toc246996224"/>
      <w:bookmarkStart w:id="369" w:name="_Toc246996967"/>
      <w:bookmarkStart w:id="370" w:name="_Toc296602467"/>
      <w:r>
        <w:rPr>
          <w:rFonts w:hint="eastAsia"/>
        </w:rPr>
        <w:t>9. 需要补充的其他内容</w:t>
      </w:r>
      <w:bookmarkEnd w:id="363"/>
      <w:bookmarkEnd w:id="364"/>
      <w:bookmarkEnd w:id="365"/>
      <w:bookmarkEnd w:id="366"/>
      <w:bookmarkEnd w:id="367"/>
      <w:bookmarkEnd w:id="368"/>
      <w:bookmarkEnd w:id="369"/>
      <w:bookmarkEnd w:id="37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71" w:name="_Toc296602468"/>
      <w:r>
        <w:rPr>
          <w:rFonts w:hint="eastAsia"/>
        </w:rPr>
        <w:t>10．电子招标投标</w:t>
      </w:r>
      <w:bookmarkEnd w:id="371"/>
    </w:p>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黑体" w:hAnsi="黑体" w:eastAsia="黑体" w:cs="黑体"/>
          <w:color w:val="000000"/>
          <w:highlight w:val="none"/>
          <w:lang w:val="en-US" w:eastAsia="zh-CN"/>
        </w:rPr>
      </w:pPr>
      <w:r>
        <w:rPr>
          <w:rFonts w:hint="eastAsia"/>
        </w:rPr>
        <w:t>采用电子招标投标，对投标文件的编制、密封和标记、递交、开标、评标等的具体要求，见投标人须知前附表。</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spacing w:line="480" w:lineRule="exact"/>
        <w:jc w:val="center"/>
        <w:rPr>
          <w:rFonts w:asciiTheme="majorEastAsia" w:hAnsiTheme="majorEastAsia" w:eastAsiaTheme="majorEastAsia" w:cstheme="majorEastAsia"/>
          <w:b/>
          <w:bCs/>
          <w:sz w:val="32"/>
          <w:szCs w:val="32"/>
        </w:rPr>
      </w:pPr>
      <w:r>
        <w:rPr>
          <w:rFonts w:asciiTheme="majorEastAsia" w:hAnsiTheme="majorEastAsia" w:eastAsiaTheme="majorEastAsia" w:cstheme="majorEastAsia"/>
          <w:b/>
          <w:bCs/>
          <w:sz w:val="32"/>
          <w:szCs w:val="32"/>
        </w:rPr>
        <w:t>第三章 评标办法</w:t>
      </w:r>
      <w:r>
        <w:rPr>
          <w:rFonts w:hint="eastAsia" w:asciiTheme="majorEastAsia" w:hAnsiTheme="majorEastAsia" w:eastAsiaTheme="majorEastAsia" w:cstheme="majorEastAsia"/>
          <w:b/>
          <w:bCs/>
          <w:sz w:val="32"/>
          <w:szCs w:val="32"/>
        </w:rPr>
        <w:t>（经评审的最低投标价法）</w:t>
      </w:r>
    </w:p>
    <w:p>
      <w:pPr>
        <w:spacing w:line="480" w:lineRule="exact"/>
        <w:jc w:val="center"/>
        <w:rPr>
          <w:rFonts w:asciiTheme="majorEastAsia" w:hAnsiTheme="majorEastAsia" w:eastAsiaTheme="majorEastAsia" w:cstheme="majorEastAsia"/>
          <w:b/>
          <w:bCs/>
          <w:sz w:val="28"/>
          <w:szCs w:val="28"/>
        </w:rPr>
      </w:pPr>
    </w:p>
    <w:p>
      <w:pPr>
        <w:spacing w:line="480" w:lineRule="exact"/>
        <w:rPr>
          <w:rFonts w:asciiTheme="majorEastAsia" w:hAnsiTheme="majorEastAsia" w:eastAsiaTheme="majorEastAsia" w:cstheme="majorEastAsia"/>
          <w:b/>
          <w:bCs/>
          <w:sz w:val="28"/>
          <w:szCs w:val="28"/>
        </w:rPr>
      </w:pPr>
      <w:r>
        <w:rPr>
          <w:rFonts w:hint="eastAsia" w:asciiTheme="majorEastAsia" w:hAnsiTheme="majorEastAsia" w:eastAsiaTheme="majorEastAsia" w:cstheme="majorEastAsia"/>
          <w:b/>
          <w:bCs/>
          <w:sz w:val="28"/>
          <w:szCs w:val="28"/>
        </w:rPr>
        <w:t>评标办法前附表</w:t>
      </w:r>
    </w:p>
    <w:p>
      <w:pPr>
        <w:spacing w:line="480" w:lineRule="exact"/>
        <w:rPr>
          <w:rFonts w:asciiTheme="majorEastAsia" w:hAnsiTheme="majorEastAsia" w:eastAsiaTheme="majorEastAsia" w:cstheme="majorEastAsia"/>
          <w:b/>
          <w:bCs/>
          <w:sz w:val="28"/>
          <w:szCs w:val="28"/>
        </w:rPr>
      </w:pP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kern w:val="0"/>
                <w:sz w:val="24"/>
              </w:rPr>
            </w:pPr>
            <w:r>
              <w:rPr>
                <w:rFonts w:ascii="Times New Roman" w:hAnsi="Times New Roman" w:cs="Times New Roman"/>
                <w:b/>
                <w:kern w:val="0"/>
                <w:sz w:val="24"/>
              </w:rPr>
              <w:t>条款号</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kern w:val="0"/>
                <w:sz w:val="24"/>
              </w:rPr>
            </w:pPr>
            <w:r>
              <w:rPr>
                <w:rFonts w:ascii="Times New Roman" w:hAnsi="Times New Roman" w:cs="Times New Roman"/>
                <w:b/>
                <w:kern w:val="0"/>
                <w:sz w:val="24"/>
              </w:rPr>
              <w:t>评审因素</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kern w:val="0"/>
                <w:sz w:val="24"/>
              </w:rPr>
            </w:pPr>
            <w:r>
              <w:rPr>
                <w:rFonts w:ascii="Times New Roman" w:hAnsi="Times New Roman" w:cs="Times New Roman"/>
                <w:b/>
                <w:kern w:val="0"/>
                <w:sz w:val="24"/>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restart"/>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2.1.1</w:t>
            </w:r>
          </w:p>
        </w:tc>
        <w:tc>
          <w:tcPr>
            <w:tcW w:w="850" w:type="dxa"/>
            <w:vMerge w:val="restart"/>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形式评审标准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投标人名称</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与营业执照、资质证书</w:t>
            </w:r>
            <w:r>
              <w:rPr>
                <w:rFonts w:hint="eastAsia" w:ascii="Times New Roman" w:hAnsi="Times New Roman" w:cs="Times New Roman"/>
                <w:kern w:val="0"/>
                <w:sz w:val="24"/>
              </w:rPr>
              <w:t>、安全生产许可证</w:t>
            </w:r>
            <w:r>
              <w:rPr>
                <w:rFonts w:ascii="Times New Roman" w:hAnsi="Times New Roman" w:cs="Times New Roman"/>
                <w:kern w:val="0"/>
                <w:sz w:val="24"/>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投标函</w:t>
            </w:r>
            <w:r>
              <w:rPr>
                <w:rFonts w:ascii="Times New Roman" w:hAnsi="Times New Roman" w:cs="Times New Roman"/>
                <w:kern w:val="0"/>
                <w:sz w:val="24"/>
              </w:rPr>
              <w:t>签字盖章</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投标文件格式</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w:t>
            </w:r>
            <w:r>
              <w:rPr>
                <w:rFonts w:hint="eastAsia" w:ascii="Times New Roman" w:hAnsi="Times New Roman" w:cs="Times New Roman"/>
                <w:kern w:val="0"/>
                <w:sz w:val="24"/>
              </w:rPr>
              <w:t>八</w:t>
            </w:r>
            <w:r>
              <w:rPr>
                <w:rFonts w:ascii="Times New Roman" w:hAnsi="Times New Roman" w:cs="Times New Roman"/>
                <w:kern w:val="0"/>
                <w:sz w:val="24"/>
              </w:rPr>
              <w:t>章</w:t>
            </w:r>
            <w:r>
              <w:rPr>
                <w:rFonts w:hint="eastAsia" w:ascii="Times New Roman" w:hAnsi="Times New Roman" w:cs="Times New Roman"/>
                <w:kern w:val="0"/>
                <w:sz w:val="24"/>
              </w:rPr>
              <w:t>“</w:t>
            </w:r>
            <w:r>
              <w:rPr>
                <w:rFonts w:ascii="Times New Roman" w:hAnsi="Times New Roman" w:cs="Times New Roman"/>
                <w:kern w:val="0"/>
                <w:sz w:val="24"/>
              </w:rPr>
              <w:t>投标文件格式</w:t>
            </w:r>
            <w:r>
              <w:rPr>
                <w:rFonts w:hint="eastAsia" w:ascii="Times New Roman" w:hAnsi="Times New Roman" w:cs="Times New Roman"/>
                <w:kern w:val="0"/>
                <w:sz w:val="24"/>
              </w:rPr>
              <w:t>”</w:t>
            </w:r>
            <w:r>
              <w:rPr>
                <w:rFonts w:ascii="Times New Roman" w:hAnsi="Times New Roman" w:cs="Times New Roman"/>
                <w:kern w:val="0"/>
                <w:sz w:val="24"/>
              </w:rPr>
              <w:t>的</w:t>
            </w:r>
            <w:r>
              <w:rPr>
                <w:rFonts w:hint="eastAsia" w:ascii="Times New Roman" w:hAnsi="Times New Roman" w:cs="Times New Roman"/>
                <w:kern w:val="0"/>
                <w:sz w:val="24"/>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报价唯一</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45" w:edGrp="everyone" w:colFirst="3" w:colLast="3"/>
            <w:r>
              <w:rPr>
                <w:rFonts w:hint="eastAsia" w:ascii="Times New Roman" w:hAnsi="Times New Roman" w:cs="Times New Roman"/>
                <w:kern w:val="0"/>
                <w:sz w:val="24"/>
              </w:rPr>
              <w:t>2.1.2</w:t>
            </w:r>
          </w:p>
        </w:tc>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资格评审标准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营业执照</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4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46"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安全生产许可证</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4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47"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资质等级</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4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48"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人员要求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4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49"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财务要求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4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0"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业绩要求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5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1"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其他要求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5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52" w:edGrp="everyone" w:colFirst="3" w:colLast="3"/>
            <w:r>
              <w:rPr>
                <w:rFonts w:hint="eastAsia" w:ascii="Times New Roman" w:hAnsi="Times New Roman" w:cs="Times New Roman"/>
                <w:kern w:val="0"/>
                <w:sz w:val="24"/>
              </w:rPr>
              <w:t>2.1.3</w:t>
            </w:r>
          </w:p>
        </w:tc>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响应性评审标准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投标报价</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”第3.2.3项</w:t>
            </w:r>
            <w:r>
              <w:rPr>
                <w:rFonts w:ascii="Times New Roman" w:hAnsi="Times New Roman" w:cs="Times New Roman"/>
                <w:kern w:val="0"/>
                <w:sz w:val="24"/>
              </w:rPr>
              <w:t>规定</w:t>
            </w:r>
          </w:p>
        </w:tc>
      </w:tr>
      <w:permEnd w:id="5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3"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投标内容</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”第1.3.1项</w:t>
            </w:r>
            <w:r>
              <w:rPr>
                <w:rFonts w:ascii="Times New Roman" w:hAnsi="Times New Roman" w:cs="Times New Roman"/>
                <w:kern w:val="0"/>
                <w:sz w:val="24"/>
              </w:rPr>
              <w:t>规定</w:t>
            </w:r>
          </w:p>
        </w:tc>
      </w:tr>
      <w:permEnd w:id="5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4"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工期</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”第1.3.2项</w:t>
            </w:r>
            <w:r>
              <w:rPr>
                <w:rFonts w:ascii="Times New Roman" w:hAnsi="Times New Roman" w:cs="Times New Roman"/>
                <w:kern w:val="0"/>
                <w:sz w:val="24"/>
              </w:rPr>
              <w:t>规定</w:t>
            </w:r>
          </w:p>
        </w:tc>
      </w:tr>
      <w:permEnd w:id="5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5"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工程质量</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”第1.3.3项</w:t>
            </w:r>
            <w:r>
              <w:rPr>
                <w:rFonts w:ascii="Times New Roman" w:hAnsi="Times New Roman" w:cs="Times New Roman"/>
                <w:kern w:val="0"/>
                <w:sz w:val="24"/>
              </w:rPr>
              <w:t>规定</w:t>
            </w:r>
          </w:p>
        </w:tc>
      </w:tr>
      <w:permEnd w:id="5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6"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投标有效期</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”第3.3.1项</w:t>
            </w:r>
            <w:r>
              <w:rPr>
                <w:rFonts w:ascii="Times New Roman" w:hAnsi="Times New Roman" w:cs="Times New Roman"/>
                <w:kern w:val="0"/>
                <w:sz w:val="24"/>
              </w:rPr>
              <w:t>规定</w:t>
            </w:r>
          </w:p>
        </w:tc>
      </w:tr>
      <w:permEnd w:id="5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7"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投标保证金</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”第3.4.1项</w:t>
            </w:r>
            <w:r>
              <w:rPr>
                <w:rFonts w:ascii="Times New Roman" w:hAnsi="Times New Roman" w:cs="Times New Roman"/>
                <w:kern w:val="0"/>
                <w:sz w:val="24"/>
              </w:rPr>
              <w:t>规定</w:t>
            </w:r>
          </w:p>
        </w:tc>
      </w:tr>
      <w:permEnd w:id="5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8"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权利义务</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w:t>
            </w:r>
            <w:r>
              <w:rPr>
                <w:rFonts w:ascii="Times New Roman" w:hAnsi="Times New Roman" w:cs="Times New Roman"/>
                <w:kern w:val="0"/>
                <w:sz w:val="24"/>
              </w:rPr>
              <w:t>第</w:t>
            </w:r>
            <w:r>
              <w:rPr>
                <w:rFonts w:hint="eastAsia" w:ascii="Times New Roman" w:hAnsi="Times New Roman" w:cs="Times New Roman"/>
                <w:kern w:val="0"/>
                <w:sz w:val="24"/>
              </w:rPr>
              <w:t>四</w:t>
            </w:r>
            <w:r>
              <w:rPr>
                <w:rFonts w:ascii="Times New Roman" w:hAnsi="Times New Roman" w:cs="Times New Roman"/>
                <w:kern w:val="0"/>
                <w:sz w:val="24"/>
              </w:rPr>
              <w:t>章</w:t>
            </w:r>
            <w:r>
              <w:rPr>
                <w:rFonts w:hint="eastAsia" w:ascii="Times New Roman" w:hAnsi="Times New Roman" w:cs="Times New Roman"/>
                <w:kern w:val="0"/>
                <w:sz w:val="24"/>
              </w:rPr>
              <w:t>“</w:t>
            </w:r>
            <w:r>
              <w:rPr>
                <w:rFonts w:ascii="Times New Roman" w:hAnsi="Times New Roman" w:cs="Times New Roman"/>
                <w:kern w:val="0"/>
                <w:sz w:val="24"/>
              </w:rPr>
              <w:t>合同条款及格式</w:t>
            </w:r>
            <w:r>
              <w:rPr>
                <w:rFonts w:hint="eastAsia" w:ascii="Times New Roman" w:hAnsi="Times New Roman" w:cs="Times New Roman"/>
                <w:kern w:val="0"/>
                <w:sz w:val="24"/>
              </w:rPr>
              <w:t>”规定</w:t>
            </w:r>
          </w:p>
        </w:tc>
      </w:tr>
      <w:permEnd w:id="5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59" w:edGrp="everyone" w:colFirst="3" w:colLast="3"/>
          </w:p>
        </w:tc>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highlight w:val="yellow"/>
              </w:rPr>
            </w:pPr>
            <w:r>
              <w:rPr>
                <w:rFonts w:hint="eastAsia" w:ascii="Times New Roman" w:hAnsi="Times New Roman" w:cs="Times New Roman"/>
                <w:kern w:val="0"/>
                <w:sz w:val="24"/>
              </w:rPr>
              <w:t>已标价工程量清单</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符合第五章“工程量清单”给出的范围及数量</w:t>
            </w:r>
          </w:p>
        </w:tc>
      </w:tr>
      <w:permEnd w:id="5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60" w:edGrp="everyone" w:colFirst="3" w:colLast="3"/>
          </w:p>
        </w:tc>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highlight w:val="yellow"/>
              </w:rPr>
            </w:pPr>
            <w:r>
              <w:rPr>
                <w:rFonts w:hint="eastAsia" w:ascii="Times New Roman" w:hAnsi="Times New Roman" w:cs="Times New Roman"/>
                <w:kern w:val="0"/>
                <w:sz w:val="24"/>
              </w:rPr>
              <w:t>技术标准和要求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符合第七章“技术标准和要求”规定</w:t>
            </w:r>
          </w:p>
        </w:tc>
      </w:tr>
      <w:permEnd w:id="60"/>
    </w:tbl>
    <w:p>
      <w:pPr>
        <w:wordWrap w:val="0"/>
        <w:spacing w:line="440" w:lineRule="exact"/>
        <w:rPr>
          <w:rFonts w:ascii="Times New Roman" w:hAnsi="Times New Roman" w:cs="Times New Roman"/>
          <w:b/>
          <w:bCs/>
          <w:kern w:val="0"/>
          <w:sz w:val="28"/>
          <w:szCs w:val="28"/>
        </w:rPr>
      </w:pPr>
    </w:p>
    <w:p>
      <w:pPr>
        <w:keepNext w:val="0"/>
        <w:keepLines w:val="0"/>
        <w:pageBreakBefore w:val="0"/>
        <w:widowControl w:val="0"/>
        <w:kinsoku/>
        <w:wordWrap w:val="0"/>
        <w:overflowPunct/>
        <w:topLinePunct w:val="0"/>
        <w:autoSpaceDE/>
        <w:autoSpaceDN/>
        <w:bidi w:val="0"/>
        <w:adjustRightInd/>
        <w:snapToGrid/>
        <w:spacing w:line="400" w:lineRule="exact"/>
        <w:ind w:firstLine="482" w:firstLineChars="200"/>
        <w:jc w:val="left"/>
        <w:textAlignment w:val="auto"/>
        <w:outlineLvl w:val="9"/>
        <w:rPr>
          <w:rFonts w:hint="eastAsia" w:ascii="Times New Roman" w:hAnsi="Times New Roman" w:cs="Times New Roman" w:eastAsiaTheme="minorEastAsia"/>
          <w:b/>
          <w:bCs/>
          <w:sz w:val="24"/>
          <w:szCs w:val="24"/>
          <w:highlight w:val="none"/>
          <w:lang w:eastAsia="zh-CN"/>
        </w:rPr>
      </w:pPr>
    </w:p>
    <w:p>
      <w:pPr>
        <w:keepNext w:val="0"/>
        <w:keepLines w:val="0"/>
        <w:pageBreakBefore w:val="0"/>
        <w:widowControl w:val="0"/>
        <w:kinsoku/>
        <w:wordWrap w:val="0"/>
        <w:overflowPunct/>
        <w:topLinePunct w:val="0"/>
        <w:autoSpaceDE/>
        <w:autoSpaceDN/>
        <w:bidi w:val="0"/>
        <w:adjustRightInd/>
        <w:snapToGrid/>
        <w:spacing w:line="400" w:lineRule="exact"/>
        <w:ind w:firstLine="482" w:firstLineChars="200"/>
        <w:jc w:val="left"/>
        <w:textAlignment w:val="auto"/>
        <w:outlineLvl w:val="9"/>
        <w:rPr>
          <w:rFonts w:hint="eastAsia" w:ascii="Times New Roman" w:hAnsi="Times New Roman" w:cs="Times New Roman" w:eastAsiaTheme="minorEastAsia"/>
          <w:b/>
          <w:bCs/>
          <w:sz w:val="24"/>
          <w:szCs w:val="24"/>
          <w:highlight w:val="none"/>
          <w:lang w:eastAsia="zh-CN"/>
        </w:rPr>
      </w:pPr>
    </w:p>
    <w:p>
      <w:pPr>
        <w:keepNext w:val="0"/>
        <w:keepLines w:val="0"/>
        <w:pageBreakBefore w:val="0"/>
        <w:widowControl w:val="0"/>
        <w:kinsoku/>
        <w:wordWrap w:val="0"/>
        <w:overflowPunct/>
        <w:topLinePunct w:val="0"/>
        <w:autoSpaceDE/>
        <w:autoSpaceDN/>
        <w:bidi w:val="0"/>
        <w:adjustRightInd/>
        <w:snapToGrid/>
        <w:spacing w:line="400" w:lineRule="exact"/>
        <w:ind w:firstLine="482" w:firstLineChars="200"/>
        <w:jc w:val="left"/>
        <w:textAlignment w:val="auto"/>
        <w:outlineLvl w:val="9"/>
        <w:rPr>
          <w:rFonts w:hint="eastAsia" w:ascii="Times New Roman" w:hAnsi="Times New Roman" w:cs="Times New Roman" w:eastAsiaTheme="minorEastAsia"/>
          <w:b/>
          <w:bCs/>
          <w:sz w:val="24"/>
          <w:szCs w:val="24"/>
          <w:highlight w:val="none"/>
          <w:lang w:eastAsia="zh-CN"/>
        </w:rPr>
      </w:pPr>
      <w:r>
        <w:rPr>
          <w:rFonts w:hint="eastAsia" w:ascii="Times New Roman" w:hAnsi="Times New Roman" w:cs="Times New Roman" w:eastAsiaTheme="minorEastAsia"/>
          <w:b/>
          <w:bCs/>
          <w:sz w:val="24"/>
          <w:szCs w:val="24"/>
          <w:highlight w:val="none"/>
          <w:lang w:eastAsia="zh-CN"/>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kern w:val="0"/>
          <w:sz w:val="24"/>
          <w:lang w:val="en-US" w:eastAsia="zh-CN"/>
        </w:rPr>
      </w:pPr>
      <w:r>
        <w:rPr>
          <w:rFonts w:hint="eastAsia" w:ascii="Times New Roman" w:hAnsi="Times New Roman" w:cs="Times New Roman"/>
          <w:kern w:val="0"/>
          <w:sz w:val="24"/>
          <w:lang w:val="en-US" w:eastAsia="zh-CN"/>
        </w:rPr>
        <w:t>本次评标采用经评审的最低投标价法。评标委员会对满足招标文件实质要求的投标文件，按照有效报价由低到高的顺序推荐中标候选人，或根据招标人授权直接确定中标人，但投标报价低于其成本的除外。投标报价相等的，由评标委员会投票确定中标候选人排序。</w:t>
      </w:r>
    </w:p>
    <w:p>
      <w:pPr>
        <w:keepNext w:val="0"/>
        <w:keepLines w:val="0"/>
        <w:pageBreakBefore w:val="0"/>
        <w:widowControl w:val="0"/>
        <w:kinsoku/>
        <w:wordWrap w:val="0"/>
        <w:overflowPunct/>
        <w:topLinePunct w:val="0"/>
        <w:autoSpaceDE/>
        <w:autoSpaceDN/>
        <w:bidi w:val="0"/>
        <w:adjustRightInd/>
        <w:snapToGrid/>
        <w:spacing w:line="400" w:lineRule="exact"/>
        <w:ind w:firstLine="482" w:firstLineChars="200"/>
        <w:jc w:val="left"/>
        <w:textAlignment w:val="auto"/>
        <w:outlineLvl w:val="9"/>
        <w:rPr>
          <w:rFonts w:hint="eastAsia" w:ascii="Times New Roman" w:hAnsi="Times New Roman" w:cs="Times New Roman" w:eastAsiaTheme="minorEastAsia"/>
          <w:b/>
          <w:bCs/>
          <w:sz w:val="24"/>
          <w:szCs w:val="24"/>
          <w:highlight w:val="none"/>
          <w:lang w:eastAsia="zh-CN"/>
        </w:rPr>
      </w:pPr>
      <w:r>
        <w:rPr>
          <w:rFonts w:hint="eastAsia" w:ascii="Times New Roman" w:hAnsi="Times New Roman" w:cs="Times New Roman" w:eastAsiaTheme="minorEastAsia"/>
          <w:b/>
          <w:bCs/>
          <w:sz w:val="24"/>
          <w:szCs w:val="24"/>
          <w:highlight w:val="none"/>
          <w:lang w:eastAsia="zh-CN"/>
        </w:rPr>
        <w:t>2. 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kern w:val="0"/>
          <w:sz w:val="24"/>
          <w:lang w:val="en-US" w:eastAsia="zh-CN"/>
        </w:rPr>
      </w:pPr>
      <w:r>
        <w:rPr>
          <w:rFonts w:hint="eastAsia" w:ascii="Times New Roman" w:hAnsi="Times New Roman" w:cs="Times New Roman"/>
          <w:kern w:val="0"/>
          <w:sz w:val="24"/>
          <w:lang w:val="en-US" w:eastAsia="zh-CN"/>
        </w:rPr>
        <w:t>2.1 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kern w:val="0"/>
          <w:sz w:val="24"/>
          <w:lang w:val="en-US" w:eastAsia="zh-CN"/>
        </w:rPr>
      </w:pPr>
      <w:r>
        <w:rPr>
          <w:rFonts w:hint="eastAsia" w:ascii="Times New Roman" w:hAnsi="Times New Roman" w:cs="Times New Roman"/>
          <w:kern w:val="0"/>
          <w:sz w:val="24"/>
          <w:lang w:val="en-US" w:eastAsia="zh-CN"/>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kern w:val="0"/>
          <w:sz w:val="24"/>
          <w:lang w:val="en-US" w:eastAsia="zh-CN"/>
        </w:rPr>
      </w:pPr>
      <w:r>
        <w:rPr>
          <w:rFonts w:hint="eastAsia" w:ascii="Times New Roman" w:hAnsi="Times New Roman" w:cs="Times New Roman"/>
          <w:kern w:val="0"/>
          <w:sz w:val="24"/>
          <w:lang w:val="en-US" w:eastAsia="zh-CN"/>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kern w:val="0"/>
          <w:sz w:val="24"/>
          <w:lang w:val="en-US" w:eastAsia="zh-CN"/>
        </w:rPr>
      </w:pPr>
      <w:r>
        <w:rPr>
          <w:rFonts w:hint="eastAsia" w:ascii="Times New Roman" w:hAnsi="Times New Roman" w:cs="Times New Roman"/>
          <w:kern w:val="0"/>
          <w:sz w:val="24"/>
          <w:lang w:val="en-US" w:eastAsia="zh-CN"/>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00" w:lineRule="exact"/>
        <w:ind w:firstLine="482" w:firstLineChars="200"/>
        <w:jc w:val="left"/>
        <w:textAlignment w:val="auto"/>
        <w:outlineLvl w:val="9"/>
        <w:rPr>
          <w:rFonts w:hint="eastAsia" w:ascii="Times New Roman" w:hAnsi="Times New Roman" w:cs="Times New Roman" w:eastAsiaTheme="minorEastAsia"/>
          <w:b/>
          <w:bCs/>
          <w:sz w:val="24"/>
          <w:szCs w:val="24"/>
          <w:highlight w:val="none"/>
          <w:lang w:eastAsia="zh-CN"/>
        </w:rPr>
      </w:pPr>
      <w:r>
        <w:rPr>
          <w:rFonts w:hint="eastAsia" w:ascii="Times New Roman" w:hAnsi="Times New Roman" w:cs="Times New Roman" w:eastAsiaTheme="minorEastAsia"/>
          <w:b/>
          <w:bCs/>
          <w:sz w:val="24"/>
          <w:szCs w:val="24"/>
          <w:highlight w:val="none"/>
          <w:lang w:eastAsia="zh-CN"/>
        </w:rPr>
        <w:t>3. 评标程序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kern w:val="0"/>
          <w:sz w:val="24"/>
          <w:lang w:val="en-US" w:eastAsia="zh-CN"/>
        </w:rPr>
      </w:pPr>
      <w:r>
        <w:rPr>
          <w:rFonts w:hint="eastAsia" w:ascii="Times New Roman" w:hAnsi="Times New Roman" w:cs="Times New Roman"/>
          <w:kern w:val="0"/>
          <w:sz w:val="24"/>
          <w:lang w:val="en-US" w:eastAsia="zh-CN"/>
        </w:rPr>
        <w:t>3.1 初步评审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kern w:val="0"/>
          <w:sz w:val="24"/>
          <w:lang w:val="en-US" w:eastAsia="zh-CN"/>
        </w:rPr>
      </w:pPr>
      <w:r>
        <w:rPr>
          <w:rFonts w:hint="eastAsia" w:ascii="Times New Roman" w:hAnsi="Times New Roman" w:cs="Times New Roman"/>
          <w:kern w:val="0"/>
          <w:sz w:val="24"/>
          <w:lang w:val="en-US" w:eastAsia="zh-CN"/>
        </w:rPr>
        <w:t>3.1.1评标委员会可以要求投标人提交第二章“投标人须知”规定的有关证明和证件的原件，以便核验。评标委员会依据本章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kern w:val="0"/>
          <w:sz w:val="24"/>
          <w:lang w:val="en-US" w:eastAsia="zh-CN"/>
        </w:rPr>
      </w:pPr>
      <w:r>
        <w:rPr>
          <w:rFonts w:hint="eastAsia" w:ascii="Times New Roman" w:hAnsi="Times New Roman" w:cs="Times New Roman"/>
          <w:kern w:val="0"/>
          <w:sz w:val="24"/>
          <w:lang w:val="en-US" w:eastAsia="zh-CN"/>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kern w:val="0"/>
          <w:sz w:val="24"/>
          <w:lang w:val="en-US" w:eastAsia="zh-CN"/>
        </w:rPr>
      </w:pPr>
      <w:r>
        <w:rPr>
          <w:rFonts w:hint="eastAsia" w:ascii="Times New Roman" w:hAnsi="Times New Roman" w:cs="Times New Roman"/>
          <w:kern w:val="0"/>
          <w:sz w:val="24"/>
          <w:lang w:val="en-US" w:eastAsia="zh-CN"/>
        </w:rPr>
        <w:t>（1）《标准招标文件》中规定的任何一种情形的；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kern w:val="0"/>
          <w:sz w:val="24"/>
          <w:lang w:val="en-US" w:eastAsia="zh-CN"/>
        </w:rPr>
      </w:pPr>
      <w:r>
        <w:rPr>
          <w:rFonts w:hint="eastAsia" w:ascii="Times New Roman" w:hAnsi="Times New Roman" w:cs="Times New Roman"/>
          <w:kern w:val="0"/>
          <w:sz w:val="24"/>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kern w:val="0"/>
          <w:sz w:val="24"/>
          <w:lang w:val="en-US" w:eastAsia="zh-CN"/>
        </w:rPr>
      </w:pPr>
      <w:r>
        <w:rPr>
          <w:rFonts w:hint="eastAsia" w:ascii="Times New Roman" w:hAnsi="Times New Roman" w:cs="Times New Roman"/>
          <w:kern w:val="0"/>
          <w:sz w:val="24"/>
          <w:lang w:val="en-US" w:eastAsia="zh-CN"/>
        </w:rPr>
        <w:t>（3）不按评标委员会要求澄清、说明或补正的。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kern w:val="0"/>
          <w:sz w:val="24"/>
          <w:lang w:val="en-US" w:eastAsia="zh-CN"/>
        </w:rPr>
      </w:pPr>
      <w:r>
        <w:rPr>
          <w:rFonts w:hint="eastAsia" w:ascii="Times New Roman" w:hAnsi="Times New Roman" w:cs="Times New Roman"/>
          <w:kern w:val="0"/>
          <w:sz w:val="24"/>
          <w:lang w:val="en-US" w:eastAsia="zh-CN"/>
        </w:rPr>
        <w:t>3.1.3投标报价有算术错误的，评标委员会按以下原则对投标报价进行修正，修正的价格经投标人书面确认后具有约束力。投标人不接受修正价格的，评标委员会应当否决其投标。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kern w:val="0"/>
          <w:sz w:val="24"/>
          <w:lang w:val="en-US" w:eastAsia="zh-CN"/>
        </w:rPr>
      </w:pPr>
      <w:r>
        <w:rPr>
          <w:rFonts w:hint="eastAsia" w:ascii="Times New Roman" w:hAnsi="Times New Roman" w:cs="Times New Roman"/>
          <w:kern w:val="0"/>
          <w:sz w:val="24"/>
          <w:lang w:val="en-US" w:eastAsia="zh-CN"/>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kern w:val="0"/>
          <w:sz w:val="24"/>
          <w:lang w:val="en-US" w:eastAsia="zh-CN"/>
        </w:rPr>
      </w:pPr>
      <w:r>
        <w:rPr>
          <w:rFonts w:hint="eastAsia" w:ascii="Times New Roman" w:hAnsi="Times New Roman" w:cs="Times New Roman"/>
          <w:kern w:val="0"/>
          <w:sz w:val="24"/>
          <w:lang w:val="en-US" w:eastAsia="zh-CN"/>
        </w:rPr>
        <w:t>（2）总价金额与依据单价计算出的结果不一致的，以单价金额为准修正总价，但单价金额小数点有明显错误的除外。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kern w:val="0"/>
          <w:sz w:val="24"/>
          <w:lang w:val="en-US" w:eastAsia="zh-CN"/>
        </w:rPr>
      </w:pPr>
      <w:r>
        <w:rPr>
          <w:rFonts w:hint="eastAsia" w:ascii="Times New Roman" w:hAnsi="Times New Roman" w:cs="Times New Roman"/>
          <w:kern w:val="0"/>
          <w:sz w:val="24"/>
          <w:lang w:val="en-US" w:eastAsia="zh-CN"/>
        </w:rPr>
        <w:t>3.2 详细评审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kern w:val="0"/>
          <w:sz w:val="24"/>
          <w:lang w:val="en-US" w:eastAsia="zh-CN"/>
        </w:rPr>
      </w:pPr>
      <w:r>
        <w:rPr>
          <w:rFonts w:hint="eastAsia" w:ascii="Times New Roman" w:hAnsi="Times New Roman" w:cs="Times New Roman"/>
          <w:kern w:val="0"/>
          <w:sz w:val="24"/>
          <w:lang w:val="en-US" w:eastAsia="zh-CN"/>
        </w:rPr>
        <w:t>3.2.1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kern w:val="0"/>
          <w:sz w:val="24"/>
          <w:lang w:val="en-US" w:eastAsia="zh-CN"/>
        </w:rPr>
      </w:pPr>
      <w:r>
        <w:rPr>
          <w:rFonts w:hint="eastAsia" w:ascii="Times New Roman" w:hAnsi="Times New Roman" w:cs="Times New Roman"/>
          <w:kern w:val="0"/>
          <w:sz w:val="24"/>
          <w:lang w:val="en-US" w:eastAsia="zh-CN"/>
        </w:rPr>
        <w:t>3.3 投标文件的澄清和补正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kern w:val="0"/>
          <w:sz w:val="24"/>
          <w:lang w:val="en-US" w:eastAsia="zh-CN"/>
        </w:rPr>
      </w:pPr>
      <w:r>
        <w:rPr>
          <w:rFonts w:hint="eastAsia" w:ascii="Times New Roman" w:hAnsi="Times New Roman" w:cs="Times New Roman"/>
          <w:kern w:val="0"/>
          <w:sz w:val="24"/>
          <w:lang w:val="en-US" w:eastAsia="zh-CN"/>
        </w:rPr>
        <w:t>3.3.1在评标过程中，评标委员会可以书面形式要求投标人对所提交的投标文件中不明确的内容进行书面澄清或说明，或者对细微偏差进行补正。评标委员会不接受投标人主动提出的澄清、说明或补正。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kern w:val="0"/>
          <w:sz w:val="24"/>
          <w:lang w:val="en-US" w:eastAsia="zh-CN"/>
        </w:rPr>
      </w:pPr>
      <w:r>
        <w:rPr>
          <w:rFonts w:hint="eastAsia" w:ascii="Times New Roman" w:hAnsi="Times New Roman" w:cs="Times New Roman"/>
          <w:kern w:val="0"/>
          <w:sz w:val="24"/>
          <w:lang w:val="en-US" w:eastAsia="zh-CN"/>
        </w:rPr>
        <w:t>3.3.2 澄清、说明和补正不得改变投标文件的实质性内容。投标人的书面澄清、说明和补正属于投标文件的组成部分。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kern w:val="0"/>
          <w:sz w:val="24"/>
          <w:lang w:val="en-US" w:eastAsia="zh-CN"/>
        </w:rPr>
      </w:pPr>
      <w:r>
        <w:rPr>
          <w:rFonts w:hint="eastAsia" w:ascii="Times New Roman" w:hAnsi="Times New Roman" w:cs="Times New Roman"/>
          <w:kern w:val="0"/>
          <w:sz w:val="24"/>
          <w:lang w:val="en-US" w:eastAsia="zh-CN"/>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kern w:val="0"/>
          <w:sz w:val="24"/>
          <w:lang w:val="en-US" w:eastAsia="zh-CN"/>
        </w:rPr>
      </w:pPr>
      <w:r>
        <w:rPr>
          <w:rFonts w:hint="eastAsia" w:ascii="Times New Roman" w:hAnsi="Times New Roman" w:cs="Times New Roman"/>
          <w:kern w:val="0"/>
          <w:sz w:val="24"/>
          <w:lang w:val="en-US" w:eastAsia="zh-CN"/>
        </w:rPr>
        <w:t>3.4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kern w:val="0"/>
          <w:sz w:val="24"/>
          <w:lang w:val="en-US" w:eastAsia="zh-CN"/>
        </w:rPr>
      </w:pPr>
      <w:r>
        <w:rPr>
          <w:rFonts w:hint="eastAsia" w:ascii="Times New Roman" w:hAnsi="Times New Roman" w:cs="Times New Roman"/>
          <w:kern w:val="0"/>
          <w:sz w:val="24"/>
          <w:lang w:val="en-US" w:eastAsia="zh-CN"/>
        </w:rPr>
        <w:t>3.4.1除第二章“投标人须知”前附表授权直接确定中标人外，评标委员会按照价格由低到高的顺序推荐中标候选人。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default" w:ascii="Times New Roman" w:hAnsi="Times New Roman" w:cs="Times New Roman"/>
          <w:kern w:val="0"/>
          <w:sz w:val="24"/>
          <w:lang w:val="en-US" w:eastAsia="zh-CN"/>
        </w:rPr>
      </w:pPr>
      <w:r>
        <w:rPr>
          <w:rFonts w:hint="eastAsia" w:ascii="Times New Roman" w:hAnsi="Times New Roman" w:cs="Times New Roman"/>
          <w:kern w:val="0"/>
          <w:sz w:val="24"/>
          <w:lang w:val="en-US" w:eastAsia="zh-CN"/>
        </w:rPr>
        <w:t>3.4.2 评标委员会完成评标后，应当向招标人提交书面评标报告。</w:t>
      </w:r>
    </w:p>
    <w:p>
      <w:pPr>
        <w:rPr>
          <w:rFonts w:hint="default" w:asciiTheme="majorEastAsia" w:hAnsiTheme="majorEastAsia" w:eastAsiaTheme="majorEastAsia" w:cstheme="majorEastAsia"/>
          <w:b/>
          <w:bCs/>
          <w:sz w:val="32"/>
          <w:szCs w:val="32"/>
          <w:highlight w:val="none"/>
          <w:lang w:val="en-US" w:eastAsia="zh-CN"/>
        </w:rPr>
      </w:pPr>
    </w:p>
    <w:p>
      <w:pPr>
        <w:rPr>
          <w:rFonts w:hint="default" w:asciiTheme="majorEastAsia" w:hAnsiTheme="majorEastAsia" w:eastAsiaTheme="majorEastAsia" w:cstheme="majorEastAsia"/>
          <w:b/>
          <w:bCs/>
          <w:sz w:val="32"/>
          <w:szCs w:val="32"/>
          <w:highlight w:val="none"/>
          <w:lang w:val="en-US" w:eastAsia="zh-CN"/>
        </w:rPr>
      </w:pPr>
    </w:p>
    <w:p>
      <w:pPr>
        <w:rPr>
          <w:rFonts w:hint="default" w:asciiTheme="majorEastAsia" w:hAnsiTheme="majorEastAsia" w:eastAsiaTheme="majorEastAsia" w:cstheme="majorEastAsia"/>
          <w:b/>
          <w:bCs/>
          <w:sz w:val="32"/>
          <w:szCs w:val="32"/>
          <w:highlight w:val="none"/>
          <w:lang w:val="en-US" w:eastAsia="zh-CN"/>
        </w:rPr>
      </w:pPr>
    </w:p>
    <w:p>
      <w:pPr>
        <w:rPr>
          <w:rFonts w:hint="default" w:asciiTheme="majorEastAsia" w:hAnsiTheme="majorEastAsia" w:eastAsiaTheme="majorEastAsia" w:cstheme="majorEastAsia"/>
          <w:b/>
          <w:bCs/>
          <w:sz w:val="32"/>
          <w:szCs w:val="32"/>
          <w:highlight w:val="none"/>
          <w:lang w:val="en-US" w:eastAsia="zh-CN"/>
        </w:rPr>
      </w:pPr>
    </w:p>
    <w:p>
      <w:pPr>
        <w:rPr>
          <w:rFonts w:hint="default" w:asciiTheme="majorEastAsia" w:hAnsiTheme="majorEastAsia" w:eastAsiaTheme="majorEastAsia" w:cstheme="majorEastAsia"/>
          <w:b/>
          <w:bCs/>
          <w:sz w:val="32"/>
          <w:szCs w:val="32"/>
          <w:highlight w:val="none"/>
          <w:lang w:val="en-US" w:eastAsia="zh-CN"/>
        </w:rPr>
      </w:pPr>
    </w:p>
    <w:p>
      <w:pPr>
        <w:rPr>
          <w:rFonts w:hint="default" w:asciiTheme="majorEastAsia" w:hAnsiTheme="majorEastAsia" w:eastAsiaTheme="majorEastAsia" w:cstheme="majorEastAsia"/>
          <w:b/>
          <w:bCs/>
          <w:sz w:val="32"/>
          <w:szCs w:val="32"/>
          <w:highlight w:val="none"/>
          <w:lang w:val="en-US" w:eastAsia="zh-CN"/>
        </w:rPr>
      </w:pPr>
    </w:p>
    <w:p>
      <w:pPr>
        <w:rPr>
          <w:rFonts w:hint="default" w:asciiTheme="majorEastAsia" w:hAnsiTheme="majorEastAsia" w:eastAsiaTheme="majorEastAsia" w:cstheme="majorEastAsia"/>
          <w:b/>
          <w:bCs/>
          <w:sz w:val="32"/>
          <w:szCs w:val="32"/>
          <w:highlight w:val="none"/>
          <w:lang w:val="en-US" w:eastAsia="zh-CN"/>
        </w:rPr>
      </w:pPr>
    </w:p>
    <w:p>
      <w:pPr>
        <w:rPr>
          <w:rFonts w:hint="default" w:asciiTheme="majorEastAsia" w:hAnsiTheme="majorEastAsia" w:eastAsiaTheme="majorEastAsia" w:cstheme="majorEastAsia"/>
          <w:b/>
          <w:bCs/>
          <w:sz w:val="32"/>
          <w:szCs w:val="32"/>
          <w:highlight w:val="none"/>
          <w:lang w:val="en-US" w:eastAsia="zh-CN"/>
        </w:rPr>
      </w:pP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bookmarkStart w:id="372" w:name="_Toc296602477"/>
      <w:bookmarkStart w:id="373" w:name="_Toc246996232"/>
      <w:bookmarkStart w:id="374" w:name="_Toc179632607"/>
      <w:bookmarkStart w:id="375" w:name="_Toc152042366"/>
      <w:bookmarkStart w:id="376" w:name="_Toc144974556"/>
      <w:bookmarkStart w:id="377" w:name="_Toc152045589"/>
      <w:bookmarkStart w:id="378" w:name="_Toc246996975"/>
      <w:bookmarkStart w:id="379" w:name="_Toc247085747"/>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wordWrap w:val="0"/>
              <w:spacing w:line="440" w:lineRule="exact"/>
              <w:jc w:val="center"/>
              <w:rPr>
                <w:rFonts w:hint="default" w:ascii="Times New Roman" w:hAnsi="Times New Roman" w:cs="Times New Roman"/>
                <w:kern w:val="0"/>
                <w:sz w:val="24"/>
                <w:szCs w:val="24"/>
                <w:highlight w:val="none"/>
                <w:shd w:val="clear" w:color="auto" w:fill="auto"/>
                <w:vertAlign w:val="baseline"/>
                <w:lang w:val="en-US" w:eastAsia="zh-CN"/>
              </w:rPr>
            </w:pPr>
            <w:r>
              <w:rPr>
                <w:rFonts w:ascii="Times New Roman" w:hAnsi="Times New Roman" w:cs="Times New Roman"/>
                <w:kern w:val="0"/>
                <w:sz w:val="24"/>
              </w:rPr>
              <w:t>1</w:t>
            </w:r>
          </w:p>
        </w:tc>
        <w:tc>
          <w:tcPr>
            <w:tcW w:w="1417" w:type="dxa"/>
            <w:vAlign w:val="center"/>
          </w:tcPr>
          <w:p>
            <w:pPr>
              <w:wordWrap w:val="0"/>
              <w:spacing w:line="440" w:lineRule="exact"/>
              <w:jc w:val="center"/>
              <w:rPr>
                <w:rFonts w:hint="default" w:ascii="Times New Roman" w:hAnsi="Times New Roman" w:cs="Times New Roman"/>
                <w:kern w:val="0"/>
                <w:sz w:val="24"/>
                <w:szCs w:val="24"/>
                <w:highlight w:val="none"/>
                <w:shd w:val="clear" w:color="auto" w:fill="auto"/>
                <w:vertAlign w:val="baseline"/>
                <w:lang w:val="en-US" w:eastAsia="zh-CN"/>
              </w:rPr>
            </w:pPr>
            <w:r>
              <w:rPr>
                <w:rFonts w:ascii="Times New Roman" w:hAnsi="Times New Roman" w:cs="Times New Roman"/>
                <w:kern w:val="0"/>
                <w:sz w:val="24"/>
              </w:rPr>
              <w:t>付款人</w:t>
            </w:r>
          </w:p>
        </w:tc>
        <w:tc>
          <w:tcPr>
            <w:tcW w:w="6253" w:type="dxa"/>
            <w:vAlign w:val="center"/>
          </w:tcPr>
          <w:p>
            <w:pPr>
              <w:wordWrap w:val="0"/>
              <w:spacing w:line="440" w:lineRule="exact"/>
              <w:ind w:firstLine="480" w:firstLineChars="200"/>
              <w:rPr>
                <w:rFonts w:hint="default" w:ascii="Times New Roman" w:hAnsi="Times New Roman" w:cs="Times New Roman"/>
                <w:kern w:val="0"/>
                <w:sz w:val="24"/>
                <w:szCs w:val="24"/>
                <w:highlight w:val="none"/>
                <w:shd w:val="clear" w:color="auto" w:fill="auto"/>
                <w:vertAlign w:val="baseline"/>
                <w:lang w:val="en-US" w:eastAsia="zh-CN"/>
              </w:rPr>
            </w:pPr>
            <w:permStart w:id="61" w:edGrp="everyone"/>
            <w:r>
              <w:rPr>
                <w:rFonts w:hint="eastAsia" w:ascii="Times New Roman" w:hAnsi="Times New Roman" w:cs="Times New Roman"/>
                <w:kern w:val="0"/>
                <w:sz w:val="24"/>
              </w:rPr>
              <w:t xml:space="preserve">  安徽通康建设工程有限公司   </w:t>
            </w:r>
            <w:permEnd w:id="6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wordWrap w:val="0"/>
              <w:spacing w:line="440" w:lineRule="exact"/>
              <w:jc w:val="center"/>
              <w:rPr>
                <w:rFonts w:hint="default" w:ascii="Times New Roman" w:hAnsi="Times New Roman" w:cs="Times New Roman"/>
                <w:kern w:val="0"/>
                <w:sz w:val="24"/>
                <w:szCs w:val="24"/>
                <w:highlight w:val="none"/>
                <w:shd w:val="clear" w:color="auto" w:fill="auto"/>
                <w:vertAlign w:val="baseline"/>
                <w:lang w:val="en-US" w:eastAsia="zh-CN"/>
              </w:rPr>
            </w:pPr>
            <w:r>
              <w:rPr>
                <w:rFonts w:ascii="Times New Roman" w:hAnsi="Times New Roman" w:cs="Times New Roman"/>
                <w:kern w:val="0"/>
                <w:sz w:val="24"/>
              </w:rPr>
              <w:t>2</w:t>
            </w:r>
          </w:p>
        </w:tc>
        <w:tc>
          <w:tcPr>
            <w:tcW w:w="1417" w:type="dxa"/>
            <w:vAlign w:val="center"/>
          </w:tcPr>
          <w:p>
            <w:pPr>
              <w:wordWrap w:val="0"/>
              <w:spacing w:line="440" w:lineRule="exact"/>
              <w:jc w:val="center"/>
              <w:rPr>
                <w:rFonts w:hint="default" w:ascii="Times New Roman" w:hAnsi="Times New Roman" w:cs="Times New Roman"/>
                <w:kern w:val="0"/>
                <w:sz w:val="24"/>
                <w:szCs w:val="24"/>
                <w:highlight w:val="none"/>
                <w:shd w:val="clear" w:color="auto" w:fill="auto"/>
                <w:vertAlign w:val="baseline"/>
                <w:lang w:val="en-US" w:eastAsia="zh-CN"/>
              </w:rPr>
            </w:pPr>
            <w:r>
              <w:rPr>
                <w:rFonts w:ascii="Times New Roman" w:hAnsi="Times New Roman" w:cs="Times New Roman"/>
                <w:kern w:val="0"/>
                <w:sz w:val="24"/>
              </w:rPr>
              <w:t>付款方式</w:t>
            </w:r>
          </w:p>
        </w:tc>
        <w:tc>
          <w:tcPr>
            <w:tcW w:w="6253" w:type="dxa"/>
            <w:vAlign w:val="center"/>
          </w:tcPr>
          <w:p>
            <w:pPr>
              <w:wordWrap w:val="0"/>
              <w:spacing w:line="440" w:lineRule="exact"/>
              <w:ind w:firstLine="480" w:firstLineChars="200"/>
              <w:rPr>
                <w:rFonts w:hint="eastAsia" w:ascii="Times New Roman" w:hAnsi="Times New Roman" w:cs="Times New Roman"/>
                <w:kern w:val="0"/>
                <w:sz w:val="24"/>
              </w:rPr>
            </w:pPr>
            <w:r>
              <w:rPr>
                <w:rFonts w:hint="eastAsia" w:ascii="Times New Roman" w:hAnsi="Times New Roman" w:cs="Times New Roman"/>
                <w:kern w:val="0"/>
                <w:sz w:val="24"/>
              </w:rPr>
              <w:t>1.防护设备（包括但不限于人防门）进场，经验收合格后20个工作日内支付至合同款的30%；</w:t>
            </w:r>
          </w:p>
          <w:p>
            <w:pPr>
              <w:wordWrap w:val="0"/>
              <w:spacing w:line="440" w:lineRule="exact"/>
              <w:ind w:firstLine="480" w:firstLineChars="200"/>
              <w:rPr>
                <w:rFonts w:hint="eastAsia" w:ascii="Times New Roman" w:hAnsi="Times New Roman" w:cs="Times New Roman"/>
                <w:kern w:val="0"/>
                <w:sz w:val="24"/>
              </w:rPr>
            </w:pPr>
            <w:r>
              <w:rPr>
                <w:rFonts w:hint="eastAsia" w:ascii="Times New Roman" w:hAnsi="Times New Roman" w:cs="Times New Roman"/>
                <w:kern w:val="0"/>
                <w:sz w:val="24"/>
              </w:rPr>
              <w:t>2.制作、安装全部并调试后完成后20个工作日内支付至合同价款的70%；</w:t>
            </w:r>
          </w:p>
          <w:p>
            <w:pPr>
              <w:wordWrap w:val="0"/>
              <w:spacing w:line="440" w:lineRule="exact"/>
              <w:ind w:firstLine="480" w:firstLineChars="200"/>
              <w:rPr>
                <w:rFonts w:hint="eastAsia" w:ascii="Times New Roman" w:hAnsi="Times New Roman" w:cs="Times New Roman"/>
                <w:kern w:val="0"/>
                <w:sz w:val="24"/>
              </w:rPr>
            </w:pPr>
            <w:r>
              <w:rPr>
                <w:rFonts w:hint="eastAsia" w:ascii="Times New Roman" w:hAnsi="Times New Roman" w:cs="Times New Roman"/>
                <w:kern w:val="0"/>
                <w:sz w:val="24"/>
              </w:rPr>
              <w:t>3.由第三方出具监测报告合格完成后20个工作日内支付至合同价款的80%；</w:t>
            </w:r>
          </w:p>
          <w:p>
            <w:pPr>
              <w:wordWrap w:val="0"/>
              <w:spacing w:line="440" w:lineRule="exact"/>
              <w:ind w:firstLine="480" w:firstLineChars="200"/>
              <w:rPr>
                <w:rFonts w:hint="eastAsia" w:ascii="Times New Roman" w:hAnsi="Times New Roman" w:cs="Times New Roman"/>
                <w:kern w:val="0"/>
                <w:sz w:val="24"/>
              </w:rPr>
            </w:pPr>
            <w:r>
              <w:rPr>
                <w:rFonts w:hint="eastAsia" w:ascii="Times New Roman" w:hAnsi="Times New Roman" w:cs="Times New Roman"/>
                <w:kern w:val="0"/>
                <w:sz w:val="24"/>
              </w:rPr>
              <w:t>4.经亳州市人防主管部门验收合格后20个工作日内支付至合同价款的97%；</w:t>
            </w:r>
          </w:p>
          <w:p>
            <w:pPr>
              <w:wordWrap w:val="0"/>
              <w:spacing w:line="440" w:lineRule="exact"/>
              <w:ind w:firstLine="480" w:firstLineChars="200"/>
              <w:rPr>
                <w:rFonts w:hint="eastAsia" w:ascii="Times New Roman" w:hAnsi="Times New Roman" w:cs="Times New Roman"/>
                <w:kern w:val="0"/>
                <w:sz w:val="24"/>
              </w:rPr>
            </w:pPr>
            <w:r>
              <w:rPr>
                <w:rFonts w:hint="eastAsia" w:ascii="Times New Roman" w:hAnsi="Times New Roman" w:cs="Times New Roman"/>
                <w:kern w:val="0"/>
                <w:sz w:val="24"/>
              </w:rPr>
              <w:t>5.余款3%作为质量保证金，质保期满且无质量问题后20个工作日内无息付清。</w:t>
            </w:r>
          </w:p>
          <w:p>
            <w:pPr>
              <w:wordWrap w:val="0"/>
              <w:spacing w:line="440" w:lineRule="exact"/>
              <w:ind w:firstLine="480" w:firstLineChars="200"/>
              <w:rPr>
                <w:rFonts w:hint="eastAsia" w:ascii="Times New Roman" w:hAnsi="Times New Roman" w:cs="Times New Roman" w:eastAsiaTheme="minorEastAsia"/>
                <w:i/>
                <w:iCs/>
                <w:color w:val="0070C0"/>
                <w:kern w:val="0"/>
                <w:sz w:val="24"/>
                <w:u w:val="single"/>
                <w:lang w:val="en-US" w:eastAsia="zh-CN"/>
              </w:rPr>
            </w:pPr>
            <w:r>
              <w:rPr>
                <w:rFonts w:hint="eastAsia" w:ascii="Times New Roman" w:hAnsi="Times New Roman" w:cs="Times New Roman"/>
                <w:kern w:val="0"/>
                <w:sz w:val="24"/>
                <w:lang w:val="en-US" w:eastAsia="zh-CN"/>
              </w:rPr>
              <w:t>6.</w:t>
            </w:r>
            <w:r>
              <w:rPr>
                <w:rFonts w:hint="eastAsia" w:ascii="Times New Roman" w:hAnsi="Times New Roman" w:cs="Times New Roman"/>
                <w:kern w:val="0"/>
                <w:sz w:val="24"/>
              </w:rPr>
              <w:t>质保期</w:t>
            </w:r>
            <w:r>
              <w:rPr>
                <w:rFonts w:hint="eastAsia" w:ascii="Times New Roman" w:hAnsi="Times New Roman" w:cs="Times New Roman"/>
                <w:kern w:val="0"/>
                <w:sz w:val="24"/>
                <w:lang w:eastAsia="zh-CN"/>
              </w:rPr>
              <w:t>：</w:t>
            </w:r>
            <w:r>
              <w:rPr>
                <w:rFonts w:hint="eastAsia" w:ascii="Times New Roman" w:hAnsi="Times New Roman" w:cs="Times New Roman"/>
                <w:kern w:val="0"/>
                <w:sz w:val="24"/>
              </w:rPr>
              <w:t>自亳州市人防主管部门验收合格之日起2年</w:t>
            </w:r>
            <w:r>
              <w:rPr>
                <w:rFonts w:hint="eastAsia" w:ascii="Times New Roman" w:hAnsi="Times New Roman" w:cs="Times New Roman"/>
                <w:kern w:val="0"/>
                <w:sz w:val="24"/>
                <w:lang w:eastAsia="zh-CN"/>
              </w:rPr>
              <w:t>。</w:t>
            </w:r>
          </w:p>
          <w:p>
            <w:pPr>
              <w:wordWrap w:val="0"/>
              <w:spacing w:line="440" w:lineRule="exact"/>
              <w:ind w:firstLine="480" w:firstLineChars="200"/>
              <w:rPr>
                <w:rFonts w:hint="default" w:ascii="Times New Roman" w:hAnsi="Times New Roman" w:cs="Times New Roman"/>
                <w:kern w:val="0"/>
                <w:sz w:val="24"/>
                <w:szCs w:val="24"/>
                <w:highlight w:val="none"/>
                <w:shd w:val="clear" w:color="auto" w:fill="auto"/>
                <w:vertAlign w:val="baseline"/>
                <w:lang w:val="en-US" w:eastAsia="zh-CN"/>
              </w:rPr>
            </w:pPr>
            <w:r>
              <w:rPr>
                <w:rFonts w:ascii="Times New Roman" w:hAnsi="Times New Roman" w:cs="Times New Roman"/>
                <w:kern w:val="0"/>
                <w:sz w:val="24"/>
              </w:rPr>
              <w:t>注：</w:t>
            </w:r>
            <w:r>
              <w:rPr>
                <w:rFonts w:hint="eastAsia" w:ascii="Times New Roman" w:hAnsi="Times New Roman" w:cs="Times New Roman"/>
                <w:kern w:val="0"/>
                <w:sz w:val="24"/>
              </w:rPr>
              <w:t>招标人</w:t>
            </w:r>
            <w:r>
              <w:rPr>
                <w:rFonts w:ascii="Times New Roman" w:hAnsi="Times New Roman" w:cs="Times New Roman"/>
                <w:kern w:val="0"/>
                <w:sz w:val="24"/>
              </w:rPr>
              <w:t>付款前，</w:t>
            </w:r>
            <w:r>
              <w:rPr>
                <w:rFonts w:hint="eastAsia" w:ascii="Times New Roman" w:hAnsi="Times New Roman" w:cs="Times New Roman"/>
                <w:kern w:val="0"/>
                <w:sz w:val="24"/>
              </w:rPr>
              <w:t>中标人</w:t>
            </w:r>
            <w:r>
              <w:rPr>
                <w:rFonts w:ascii="Times New Roman" w:hAnsi="Times New Roman" w:cs="Times New Roman"/>
                <w:kern w:val="0"/>
                <w:sz w:val="24"/>
              </w:rPr>
              <w:t>应按照国家税收有关规定开具等额增值税专用发票</w:t>
            </w:r>
            <w:r>
              <w:rPr>
                <w:rFonts w:hint="eastAsia" w:ascii="Times New Roman" w:hAnsi="Times New Roman" w:cs="Times New Roman"/>
                <w:kern w:val="0"/>
                <w:sz w:val="24"/>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wordWrap w:val="0"/>
              <w:spacing w:line="440" w:lineRule="exact"/>
              <w:jc w:val="center"/>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rPr>
              <w:t>3</w:t>
            </w:r>
          </w:p>
        </w:tc>
        <w:tc>
          <w:tcPr>
            <w:tcW w:w="1417" w:type="dxa"/>
            <w:vAlign w:val="center"/>
          </w:tcPr>
          <w:p>
            <w:pPr>
              <w:wordWrap w:val="0"/>
              <w:spacing w:line="440" w:lineRule="exact"/>
              <w:jc w:val="center"/>
              <w:rPr>
                <w:rFonts w:hint="default" w:ascii="Times New Roman" w:hAnsi="Times New Roman" w:cs="Times New Roman"/>
                <w:kern w:val="0"/>
                <w:sz w:val="24"/>
                <w:szCs w:val="24"/>
                <w:highlight w:val="none"/>
                <w:shd w:val="clear" w:color="auto" w:fill="auto"/>
                <w:vertAlign w:val="baseline"/>
                <w:lang w:val="en-US" w:eastAsia="zh-CN"/>
              </w:rPr>
            </w:pPr>
            <w:permStart w:id="62" w:edGrp="everyone"/>
            <w:r>
              <w:rPr>
                <w:rFonts w:hint="eastAsia" w:ascii="Times New Roman" w:hAnsi="Times New Roman" w:cs="Times New Roman"/>
                <w:kern w:val="0"/>
                <w:sz w:val="24"/>
              </w:rPr>
              <w:t>工程质量缺陷责任期</w:t>
            </w:r>
            <w:permEnd w:id="62"/>
          </w:p>
        </w:tc>
        <w:tc>
          <w:tcPr>
            <w:tcW w:w="6253" w:type="dxa"/>
            <w:vAlign w:val="center"/>
          </w:tcPr>
          <w:p>
            <w:pPr>
              <w:wordWrap w:val="0"/>
              <w:spacing w:line="440" w:lineRule="exact"/>
              <w:rPr>
                <w:rFonts w:hint="default" w:ascii="Times New Roman" w:hAnsi="Times New Roman" w:cs="Times New Roman"/>
                <w:kern w:val="0"/>
                <w:sz w:val="24"/>
                <w:szCs w:val="24"/>
                <w:highlight w:val="none"/>
                <w:shd w:val="clear" w:color="auto" w:fill="auto"/>
                <w:vertAlign w:val="baseline"/>
                <w:lang w:val="en-US" w:eastAsia="zh-CN"/>
              </w:rPr>
            </w:pPr>
            <w:permStart w:id="63" w:edGrp="everyone"/>
            <w:r>
              <w:rPr>
                <w:rFonts w:hint="eastAsia" w:ascii="Times New Roman" w:hAnsi="Times New Roman" w:cs="Times New Roman"/>
                <w:kern w:val="0"/>
                <w:sz w:val="24"/>
              </w:rPr>
              <w:t>自亳州市人防主管部门验收合格之日起2年</w:t>
            </w:r>
            <w:r>
              <w:rPr>
                <w:rFonts w:hint="eastAsia" w:ascii="Times New Roman" w:hAnsi="Times New Roman" w:cs="Times New Roman"/>
                <w:kern w:val="0"/>
                <w:sz w:val="24"/>
                <w:lang w:eastAsia="zh-CN"/>
              </w:rPr>
              <w:t>。</w:t>
            </w:r>
            <w:permEnd w:id="6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wordWrap w:val="0"/>
              <w:spacing w:line="440" w:lineRule="exact"/>
              <w:jc w:val="center"/>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rPr>
              <w:t>4</w:t>
            </w:r>
          </w:p>
        </w:tc>
        <w:tc>
          <w:tcPr>
            <w:tcW w:w="1417" w:type="dxa"/>
            <w:vAlign w:val="center"/>
          </w:tcPr>
          <w:p>
            <w:pPr>
              <w:wordWrap w:val="0"/>
              <w:spacing w:line="440" w:lineRule="exact"/>
              <w:jc w:val="center"/>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rPr>
              <w:t>其他</w:t>
            </w:r>
          </w:p>
        </w:tc>
        <w:tc>
          <w:tcPr>
            <w:tcW w:w="6253" w:type="dxa"/>
            <w:vAlign w:val="center"/>
          </w:tcPr>
          <w:p>
            <w:pPr>
              <w:wordWrap w:val="0"/>
              <w:spacing w:line="440" w:lineRule="exact"/>
              <w:rPr>
                <w:rFonts w:hint="default" w:ascii="Times New Roman" w:hAnsi="Times New Roman" w:cs="Times New Roman"/>
                <w:kern w:val="0"/>
                <w:sz w:val="24"/>
                <w:szCs w:val="24"/>
                <w:highlight w:val="none"/>
                <w:shd w:val="clear" w:color="auto" w:fill="auto"/>
                <w:vertAlign w:val="baseline"/>
                <w:lang w:val="en-US" w:eastAsia="zh-CN"/>
              </w:rPr>
            </w:pPr>
            <w:permStart w:id="64" w:edGrp="everyone"/>
            <w:r>
              <w:rPr>
                <w:rFonts w:hint="eastAsia" w:ascii="Times New Roman" w:hAnsi="Times New Roman" w:cs="Times New Roman"/>
                <w:kern w:val="0"/>
                <w:sz w:val="24"/>
              </w:rPr>
              <w:t xml:space="preserve"> </w:t>
            </w:r>
            <w:r>
              <w:rPr>
                <w:rFonts w:hint="eastAsia" w:ascii="Times New Roman" w:hAnsi="Times New Roman" w:cs="Times New Roman"/>
                <w:kern w:val="0"/>
                <w:sz w:val="24"/>
                <w:lang w:val="en-US" w:eastAsia="zh-CN"/>
              </w:rPr>
              <w:t xml:space="preserve">/   </w:t>
            </w:r>
            <w:permEnd w:id="64"/>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工程量清单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工程量清单说明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 本工程量清单是根据招标文件中包括的、有合同约束力的图纸以及有关工程量清单的国家标准、行业标准、合同条款中约定的工程量计算规则编制。约定计量规则中没有的子目，其工程量按照有合同约束力的图纸所标示尺寸的理论净量计算。计量采用中华人民共和国法定计量单位。</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 本工程量清单应与招标文件中的投标人须知、通用合同条款、专用合同条款、技术标准和要求及图纸等一起阅读和理解。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 本工程量清单仅是投标报价的共同基础，实际工程计量和工程价款的支付应遵循合同条款的约定和第七章“技术标准和要求”的有关规定。</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1.4 补充子目工程量计算规则及子目工作内容说明：</w:t>
      </w:r>
      <w:permStart w:id="65" w:edGrp="everyone"/>
      <w:r>
        <w:rPr>
          <w:rFonts w:hint="eastAsia" w:ascii="Times New Roman" w:hAnsi="Times New Roman" w:cs="Times New Roman"/>
          <w:kern w:val="0"/>
          <w:sz w:val="24"/>
          <w:szCs w:val="24"/>
          <w:highlight w:val="none"/>
          <w:u w:val="single"/>
          <w:lang w:val="en-US" w:eastAsia="zh-CN"/>
        </w:rPr>
        <w:t xml:space="preserve">     /      </w:t>
      </w:r>
      <w:permEnd w:id="65"/>
      <w:r>
        <w:rPr>
          <w:rFonts w:hint="eastAsia"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2. </w:t>
      </w:r>
      <w:r>
        <w:rPr>
          <w:rFonts w:hint="eastAsia" w:ascii="Times New Roman" w:hAnsi="Times New Roman" w:cs="Times New Roman"/>
          <w:b/>
          <w:bCs/>
          <w:kern w:val="0"/>
          <w:sz w:val="28"/>
          <w:szCs w:val="28"/>
          <w:highlight w:val="none"/>
          <w:lang w:val="en-US" w:eastAsia="zh-CN"/>
        </w:rPr>
        <w:t>投标报价说明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 工程量清单</w:t>
      </w:r>
      <w:bookmarkEnd w:id="372"/>
      <w:bookmarkEnd w:id="373"/>
      <w:bookmarkEnd w:id="374"/>
      <w:bookmarkEnd w:id="375"/>
      <w:bookmarkEnd w:id="376"/>
      <w:bookmarkEnd w:id="377"/>
      <w:bookmarkEnd w:id="378"/>
      <w:bookmarkEnd w:id="379"/>
      <w:r>
        <w:rPr>
          <w:rFonts w:hint="eastAsia" w:ascii="Times New Roman" w:hAnsi="Times New Roman" w:cs="Times New Roman"/>
          <w:kern w:val="0"/>
          <w:sz w:val="24"/>
          <w:szCs w:val="24"/>
          <w:highlight w:val="none"/>
          <w:lang w:val="en-US" w:eastAsia="zh-CN"/>
        </w:rPr>
        <w:t>中的每一子目须填入单价或价格，且只允许有一个报价。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 工程量清单中标价的单价或金额，应包括所需的人工费、材料和施工机具使用费和企业管理费、利润以及一定范围内的风险费用等。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2.3 工程量清单中投标人没有填入单价或价格的子目，其费用视为已分摊在工程量清单中其他相关子目的单价或价格之中。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2.4 暂列金额的数量及拟用子目的说明：</w:t>
      </w:r>
      <w:permStart w:id="66" w:edGrp="everyone"/>
      <w:r>
        <w:rPr>
          <w:rFonts w:hint="eastAsia" w:ascii="Times New Roman" w:hAnsi="Times New Roman" w:cs="Times New Roman"/>
          <w:kern w:val="0"/>
          <w:sz w:val="24"/>
          <w:szCs w:val="24"/>
          <w:highlight w:val="none"/>
          <w:u w:val="single"/>
          <w:lang w:val="en-US" w:eastAsia="zh-CN"/>
        </w:rPr>
        <w:t xml:space="preserve">    /       </w:t>
      </w:r>
      <w:permEnd w:id="66"/>
      <w:r>
        <w:rPr>
          <w:rFonts w:hint="eastAsia"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其他说明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u w:val="none"/>
          <w:lang w:val="en-US" w:eastAsia="zh-CN"/>
        </w:rPr>
      </w:pPr>
      <w:permStart w:id="67" w:edGrp="everyone"/>
      <w:r>
        <w:rPr>
          <w:rFonts w:hint="eastAsia" w:ascii="Times New Roman" w:hAnsi="Times New Roman" w:cs="Times New Roman"/>
          <w:kern w:val="0"/>
          <w:sz w:val="24"/>
          <w:szCs w:val="24"/>
          <w:highlight w:val="none"/>
          <w:lang w:val="en-US" w:eastAsia="zh-CN"/>
        </w:rPr>
        <w:t xml:space="preserve">    /       </w:t>
      </w:r>
      <w:permEnd w:id="67"/>
      <w:r>
        <w:rPr>
          <w:rFonts w:hint="eastAsia" w:ascii="Times New Roman" w:hAnsi="Times New Roman" w:cs="Times New Roman"/>
          <w:kern w:val="0"/>
          <w:sz w:val="24"/>
          <w:szCs w:val="24"/>
          <w:highlight w:val="none"/>
          <w:u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b/>
          <w:bCs/>
          <w:kern w:val="0"/>
          <w:sz w:val="28"/>
          <w:szCs w:val="28"/>
          <w:highlight w:val="none"/>
          <w:lang w:val="en-US" w:eastAsia="zh-CN"/>
        </w:rPr>
        <w:t>4</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工程量清单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permStart w:id="68" w:edGrp="everyone"/>
      <w:r>
        <w:rPr>
          <w:rFonts w:hint="eastAsia" w:ascii="Times New Roman" w:hAnsi="Times New Roman" w:cs="Times New Roman"/>
          <w:kern w:val="0"/>
          <w:sz w:val="24"/>
          <w:szCs w:val="24"/>
          <w:highlight w:val="none"/>
          <w:lang w:val="en-US" w:eastAsia="zh-CN"/>
        </w:rPr>
        <w:t>详见附件。</w:t>
      </w:r>
    </w:p>
    <w:permEnd w:id="68"/>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第六章 图纸</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图纸目录</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tbl>
      <w:tblPr>
        <w:tblStyle w:val="19"/>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3"/>
        <w:gridCol w:w="1273"/>
        <w:gridCol w:w="1273"/>
        <w:gridCol w:w="1273"/>
        <w:gridCol w:w="1273"/>
        <w:gridCol w:w="21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序号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图名</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版本</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出图日期</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permStart w:id="69" w:edGrp="everyone" w:colFirst="0" w:colLast="0"/>
            <w:permStart w:id="70" w:edGrp="everyone" w:colFirst="1" w:colLast="1"/>
            <w:r>
              <w:rPr>
                <w:rFonts w:hint="eastAsia" w:ascii="Times New Roman" w:hAnsi="Times New Roman" w:cs="Times New Roman"/>
                <w:kern w:val="0"/>
                <w:sz w:val="24"/>
                <w:szCs w:val="24"/>
                <w:highlight w:val="none"/>
                <w:vertAlign w:val="baseline"/>
                <w:lang w:val="en-US" w:eastAsia="zh-CN"/>
              </w:rPr>
              <w:t xml:space="preserve"> 1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r>
              <w:rPr>
                <w:rFonts w:hint="eastAsia"/>
                <w:szCs w:val="21"/>
              </w:rPr>
              <w:t>详见图纸</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r>
      <w:permEnd w:id="69"/>
      <w:permEnd w:id="7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图纸</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permStart w:id="71" w:edGrp="everyone"/>
      <w:r>
        <w:rPr>
          <w:rFonts w:hint="eastAsia" w:ascii="Times New Roman" w:hAnsi="Times New Roman" w:cs="Times New Roman"/>
          <w:kern w:val="0"/>
          <w:sz w:val="24"/>
          <w:szCs w:val="24"/>
          <w:highlight w:val="none"/>
          <w:lang w:val="en-US" w:eastAsia="zh-CN"/>
        </w:rPr>
        <w:t>详见附件。</w:t>
      </w:r>
    </w:p>
    <w:permEnd w:id="71"/>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第七章 技术标准和要求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kern w:val="0"/>
          <w:sz w:val="24"/>
          <w:lang w:val="en-US" w:eastAsia="zh-CN"/>
        </w:rPr>
      </w:pPr>
      <w:r>
        <w:rPr>
          <w:rFonts w:hint="eastAsia" w:ascii="Times New Roman" w:hAnsi="Times New Roman" w:cs="Times New Roman"/>
          <w:kern w:val="0"/>
          <w:sz w:val="24"/>
          <w:lang w:val="en-US" w:eastAsia="zh-CN"/>
        </w:rPr>
        <w:t>一、项目概况</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kern w:val="0"/>
          <w:sz w:val="24"/>
          <w:lang w:val="en-US" w:eastAsia="zh-CN"/>
        </w:rPr>
      </w:pPr>
      <w:r>
        <w:rPr>
          <w:rFonts w:hint="eastAsia" w:ascii="Times New Roman" w:hAnsi="Times New Roman" w:cs="Times New Roman"/>
          <w:kern w:val="0"/>
          <w:sz w:val="24"/>
          <w:lang w:val="en-US" w:eastAsia="zh-CN"/>
        </w:rPr>
        <w:t>（一）项目概况：水安凤栖上院34号地块工程项目，位于亳州市高新区曹霸路与旋花路交口，总用地面积35274.60平方米，总建筑面积91084平方米，地上建筑面积70642平方米，地下建筑面积20442平方米(人防建筑面积约4000平方米），高层为24层，共2栋，洋房为7-11层，共10栋。</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kern w:val="0"/>
          <w:sz w:val="24"/>
          <w:lang w:val="en-US" w:eastAsia="zh-CN"/>
        </w:rPr>
      </w:pPr>
      <w:r>
        <w:rPr>
          <w:rFonts w:hint="eastAsia" w:ascii="Times New Roman" w:hAnsi="Times New Roman" w:cs="Times New Roman"/>
          <w:kern w:val="0"/>
          <w:sz w:val="24"/>
          <w:lang w:val="en-US" w:eastAsia="zh-CN"/>
        </w:rPr>
        <w:t>（二）招标范围：</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kern w:val="0"/>
          <w:sz w:val="24"/>
          <w:lang w:val="en-US" w:eastAsia="zh-CN"/>
        </w:rPr>
      </w:pPr>
      <w:r>
        <w:rPr>
          <w:rFonts w:hint="eastAsia" w:ascii="Times New Roman" w:hAnsi="Times New Roman" w:cs="Times New Roman"/>
          <w:color w:val="FF0000"/>
          <w:kern w:val="0"/>
          <w:sz w:val="24"/>
          <w:lang w:val="en-US" w:eastAsia="zh-CN"/>
        </w:rPr>
        <w:t>水安凤栖上院34号地块工程项目战时人防设备采购安装工程。包括但不限于项目战时人防门、人防设备的制造、运输、安装、检测及竣工验收等内容，需满足发包人及施工图纸要求，具体见工程量清单，以本项目人防工程审图合格的图纸为准。投标单位投标前请认真看阅施工图、并现场勘察了解情况，投标时我方认为投标单位已充分了解工程概况</w:t>
      </w:r>
      <w:r>
        <w:rPr>
          <w:rFonts w:hint="eastAsia" w:ascii="Times New Roman" w:hAnsi="Times New Roman" w:cs="Times New Roman"/>
          <w:kern w:val="0"/>
          <w:sz w:val="24"/>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kern w:val="0"/>
          <w:sz w:val="24"/>
          <w:lang w:val="en-US" w:eastAsia="zh-CN"/>
        </w:rPr>
      </w:pPr>
      <w:r>
        <w:rPr>
          <w:rFonts w:hint="eastAsia" w:ascii="Times New Roman" w:hAnsi="Times New Roman" w:cs="Times New Roman"/>
          <w:kern w:val="0"/>
          <w:sz w:val="24"/>
          <w:lang w:val="en-US" w:eastAsia="zh-CN"/>
        </w:rPr>
        <w:t>（三）分包方式：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color w:val="FF0000"/>
          <w:kern w:val="0"/>
          <w:sz w:val="24"/>
          <w:lang w:val="en-US" w:eastAsia="zh-CN"/>
        </w:rPr>
      </w:pPr>
      <w:r>
        <w:rPr>
          <w:rFonts w:hint="eastAsia" w:ascii="Times New Roman" w:hAnsi="Times New Roman" w:cs="Times New Roman"/>
          <w:color w:val="FF0000"/>
          <w:kern w:val="0"/>
          <w:sz w:val="24"/>
          <w:lang w:val="en-US" w:eastAsia="zh-CN"/>
        </w:rPr>
        <w:t>1、战时人防设备采购安装工程分包含施工、全部材料、施工机械等施工服务。并积极配合做好项目部工作，负责与各个主管单位的沟通、协调及对接。</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color w:val="FF0000"/>
          <w:kern w:val="0"/>
          <w:sz w:val="24"/>
          <w:lang w:val="en-US" w:eastAsia="zh-CN"/>
        </w:rPr>
      </w:pPr>
      <w:r>
        <w:rPr>
          <w:rFonts w:hint="eastAsia" w:ascii="Times New Roman" w:hAnsi="Times New Roman" w:cs="Times New Roman"/>
          <w:color w:val="FF0000"/>
          <w:kern w:val="0"/>
          <w:sz w:val="24"/>
          <w:lang w:val="en-US" w:eastAsia="zh-CN"/>
        </w:rPr>
        <w:t>2、负责承包范围内场内外道路及周边的日常清理等工作。确保通过项目部、甲方、监理及政府主管部门的安全、质量、文明、环保等相关验收。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color w:val="FF0000"/>
          <w:kern w:val="0"/>
          <w:sz w:val="24"/>
          <w:lang w:val="en-US" w:eastAsia="zh-CN"/>
        </w:rPr>
      </w:pPr>
      <w:r>
        <w:rPr>
          <w:rFonts w:hint="eastAsia" w:ascii="Times New Roman" w:hAnsi="Times New Roman" w:cs="Times New Roman"/>
          <w:color w:val="FF0000"/>
          <w:kern w:val="0"/>
          <w:sz w:val="24"/>
          <w:lang w:val="en-US" w:eastAsia="zh-CN"/>
        </w:rPr>
        <w:t>3、所有进场设备及材料必须经过建设单位、监理单位及招标人认可，否则招标人有权将进场设备及材料清退出场，所有损失由中标人自行承担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color w:val="FF0000"/>
          <w:kern w:val="0"/>
          <w:sz w:val="24"/>
          <w:lang w:val="en-US" w:eastAsia="zh-CN"/>
        </w:rPr>
      </w:pPr>
      <w:r>
        <w:rPr>
          <w:rFonts w:hint="eastAsia" w:ascii="Times New Roman" w:hAnsi="Times New Roman" w:cs="Times New Roman"/>
          <w:color w:val="FF0000"/>
          <w:kern w:val="0"/>
          <w:sz w:val="24"/>
          <w:lang w:val="en-US" w:eastAsia="zh-CN"/>
        </w:rPr>
        <w:t>4、专业分包机械设备范围：招标人提供塔吊、人货电梯、物料提升机。其他小型机械设备均由专业分包人负责，其费用综合考虑纳入报价。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color w:val="FF0000"/>
          <w:kern w:val="0"/>
          <w:sz w:val="24"/>
          <w:lang w:val="en-US" w:eastAsia="zh-CN"/>
        </w:rPr>
      </w:pPr>
      <w:r>
        <w:rPr>
          <w:rFonts w:hint="eastAsia" w:ascii="Times New Roman" w:hAnsi="Times New Roman" w:cs="Times New Roman"/>
          <w:color w:val="FF0000"/>
          <w:kern w:val="0"/>
          <w:sz w:val="24"/>
          <w:lang w:val="en-US" w:eastAsia="zh-CN"/>
        </w:rPr>
        <w:t>5、专业分包安全文明施工范围：招标人提供施工场区大门、围挡、冲洗设备、实名制通道及设备、扬尘监测仪、变压器、一级配电柜、变压器至一级配电柜电缆；本工程专业分包人施工的安全文明设备设施须符合安徽省建筑工程安全文明标化工地的要求，为满足安全文明施工要求进行的施工范围内洒水、清扫、覆盖、冲洗等施工，所需的一切辅助工作以及其他专业分包单位所需的配合工作，均由专业分包人负责，其费用综合考虑纳入报价；专业分包人须全力协助处理村民、政府、相关单位的关系，积极组织施工确保施工顺利进行；本工程的施工范围相关的施工组织方案及专项方案的编制、专家论证等资料编制工作；承担缺陷责任与质量保修阶段的工作；安全质量资料的收集、编写、整理、报监、上传、扫描、备案等均由专业分包人负责，其费用综合考虑纳入报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kern w:val="0"/>
          <w:sz w:val="24"/>
          <w:lang w:val="en-US" w:eastAsia="zh-CN"/>
        </w:rPr>
      </w:pPr>
      <w:r>
        <w:rPr>
          <w:rFonts w:hint="eastAsia" w:ascii="Times New Roman" w:hAnsi="Times New Roman" w:cs="Times New Roman"/>
          <w:kern w:val="0"/>
          <w:sz w:val="24"/>
          <w:lang w:val="en-US" w:eastAsia="zh-CN"/>
        </w:rPr>
        <w:t>（四）采购人要求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材料品牌：见下表，具体以承包方与建设单位合同约定为准，若建设单位更换品牌，分包单位必须执行。</w:t>
      </w:r>
    </w:p>
    <w:tbl>
      <w:tblPr>
        <w:tblStyle w:val="18"/>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37"/>
        <w:gridCol w:w="1468"/>
        <w:gridCol w:w="4250"/>
        <w:gridCol w:w="217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 w:hRule="atLeast"/>
        </w:trPr>
        <w:tc>
          <w:tcPr>
            <w:tcW w:w="5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序号</w:t>
            </w:r>
          </w:p>
        </w:tc>
        <w:tc>
          <w:tcPr>
            <w:tcW w:w="1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材料名称</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 xml:space="preserve">推荐品牌要求 </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 xml:space="preserve">备注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4" w:hRule="atLeast"/>
        </w:trPr>
        <w:tc>
          <w:tcPr>
            <w:tcW w:w="5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1</w:t>
            </w:r>
          </w:p>
        </w:tc>
        <w:tc>
          <w:tcPr>
            <w:tcW w:w="1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钢材</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长江（马钢控股）、马钢、山东钢铁(含济钢和莱钢)、江苏永钢南京钢铁、沙钢、安钢信阳、闽源</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一个标段最多两种钢材品牌；每件钢材需配有原厂出厂合格证标牌和出厂检测报告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5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2</w:t>
            </w:r>
          </w:p>
        </w:tc>
        <w:tc>
          <w:tcPr>
            <w:tcW w:w="1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墙、地砖</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诺贝尔、马可波罗、东鹏、斯米克、法恩莎、蒙娜丽莎 、箭牌</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优等品，按物料表样品送样，经甲方确定后方可使用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9" w:hRule="atLeast"/>
        </w:trPr>
        <w:tc>
          <w:tcPr>
            <w:tcW w:w="5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3</w:t>
            </w:r>
          </w:p>
        </w:tc>
        <w:tc>
          <w:tcPr>
            <w:tcW w:w="1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门窗工程</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铝合金：“亚铝”、“坚美”、“实德”、“南山”、“安徽海螺”；（2）塑钢：“安徽海螺”、“中财”、“华之杰”、“雄峰”、“国风”；（3）玻璃原片：“耀皮”、“南玻”、“信义”；（4）五金：“春光”、“立兴”、“国强”；（5）毛条：“佳得利”、“合和”、“瑞得”、“新安东”；（6）密封胶：“安泰”、“硅宝”、“白云”。</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所选产品施工前必须提供三个及以上样板，建设方根据质量选择品牌；所选品牌必须有厂家的授权委托书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5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4</w:t>
            </w:r>
          </w:p>
        </w:tc>
        <w:tc>
          <w:tcPr>
            <w:tcW w:w="1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入户门</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步阳、王力、盼盼、美心</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（必须提供厂家授权证）且该标段所有入户门统一品牌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5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cs="宋体"/>
                <w:b/>
                <w:bCs/>
                <w:i w:val="0"/>
                <w:iCs w:val="0"/>
                <w:color w:val="auto"/>
                <w:kern w:val="0"/>
                <w:sz w:val="24"/>
                <w:szCs w:val="24"/>
                <w:highlight w:val="none"/>
                <w:u w:val="none"/>
                <w:lang w:val="en-US" w:eastAsia="zh-CN" w:bidi="ar"/>
              </w:rPr>
              <w:t>5</w:t>
            </w:r>
          </w:p>
        </w:tc>
        <w:tc>
          <w:tcPr>
            <w:tcW w:w="1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木质防火门</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符合设计要求及行业标准，安全耐用，绿色环保，质地 坚硬，使用寿命长。</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木质门品质及颜色应经甲方看样选用确定后方可使用。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4" w:hRule="atLeast"/>
        </w:trPr>
        <w:tc>
          <w:tcPr>
            <w:tcW w:w="5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cs="宋体"/>
                <w:b/>
                <w:bCs/>
                <w:i w:val="0"/>
                <w:iCs w:val="0"/>
                <w:color w:val="auto"/>
                <w:kern w:val="0"/>
                <w:sz w:val="24"/>
                <w:szCs w:val="24"/>
                <w:highlight w:val="none"/>
                <w:u w:val="none"/>
                <w:lang w:val="en-US" w:eastAsia="zh-CN" w:bidi="ar"/>
              </w:rPr>
              <w:t>6</w:t>
            </w:r>
          </w:p>
        </w:tc>
        <w:tc>
          <w:tcPr>
            <w:tcW w:w="1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钢制防火门</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安徽通晓、合肥警盾、合肥祈明、长春铸诚、群升、浙江千秋、中建五洲</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必须是在公安消防主管部门官网备案的产品，确保通过消防验收。采用在工厂涂刷 UV 漆。成品门。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4" w:hRule="atLeast"/>
        </w:trPr>
        <w:tc>
          <w:tcPr>
            <w:tcW w:w="5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cs="宋体"/>
                <w:b/>
                <w:bCs/>
                <w:i w:val="0"/>
                <w:iCs w:val="0"/>
                <w:color w:val="auto"/>
                <w:kern w:val="0"/>
                <w:sz w:val="24"/>
                <w:szCs w:val="24"/>
                <w:highlight w:val="none"/>
                <w:u w:val="none"/>
                <w:lang w:val="en-US" w:eastAsia="zh-CN" w:bidi="ar"/>
              </w:rPr>
              <w:t>7</w:t>
            </w:r>
          </w:p>
        </w:tc>
        <w:tc>
          <w:tcPr>
            <w:tcW w:w="1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内墙乳胶漆</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多乐士（内墙 1000 型）、三棵树（SJI001 系列）、立邦（美得丽）、华润（S86000）、富思特（G200）</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三个及以上样板，建设方根据质量选择品牌；所选品牌必须有厂家的授权委托书，且经甲方认可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1" w:hRule="atLeast"/>
        </w:trPr>
        <w:tc>
          <w:tcPr>
            <w:tcW w:w="5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cs="宋体"/>
                <w:b/>
                <w:bCs/>
                <w:i w:val="0"/>
                <w:iCs w:val="0"/>
                <w:color w:val="auto"/>
                <w:kern w:val="0"/>
                <w:sz w:val="24"/>
                <w:szCs w:val="24"/>
                <w:highlight w:val="none"/>
                <w:u w:val="none"/>
                <w:lang w:val="en-US" w:eastAsia="zh-CN" w:bidi="ar"/>
              </w:rPr>
              <w:t>8</w:t>
            </w:r>
          </w:p>
        </w:tc>
        <w:tc>
          <w:tcPr>
            <w:tcW w:w="1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外墙真石漆</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三棵树、亚士、立邦、科创美、万博、本雅明、好思家、美涂士</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所选产品施工前必须提供三个及以上样板，建设方根据质量选择品牌；所选品牌必须有厂家的授权委托书所选产品施工前必须提供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 w:hRule="atLeast"/>
        </w:trPr>
        <w:tc>
          <w:tcPr>
            <w:tcW w:w="5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cs="宋体"/>
                <w:b/>
                <w:bCs/>
                <w:i w:val="0"/>
                <w:iCs w:val="0"/>
                <w:color w:val="auto"/>
                <w:kern w:val="0"/>
                <w:sz w:val="24"/>
                <w:szCs w:val="24"/>
                <w:highlight w:val="none"/>
                <w:u w:val="none"/>
                <w:lang w:val="en-US" w:eastAsia="zh-CN" w:bidi="ar"/>
              </w:rPr>
              <w:t>9</w:t>
            </w:r>
          </w:p>
        </w:tc>
        <w:tc>
          <w:tcPr>
            <w:tcW w:w="1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防水材料</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eastAsia="zh-CN"/>
              </w:rPr>
            </w:pPr>
            <w:r>
              <w:rPr>
                <w:rFonts w:hint="eastAsia" w:ascii="宋体" w:hAnsi="宋体" w:eastAsia="宋体" w:cs="宋体"/>
                <w:i w:val="0"/>
                <w:iCs w:val="0"/>
                <w:color w:val="auto"/>
                <w:sz w:val="24"/>
                <w:szCs w:val="24"/>
                <w:highlight w:val="none"/>
                <w:u w:val="none"/>
                <w:lang w:val="en-US" w:eastAsia="zh-CN"/>
              </w:rPr>
              <w:t>三棵树、东方雨虹、禹王、 宏源、科顺、卓 宝、华丰、江西思科</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（必须提供厂家授权证）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5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4"/>
                <w:szCs w:val="24"/>
                <w:highlight w:val="none"/>
                <w:u w:val="none"/>
                <w:lang w:val="en-US"/>
              </w:rPr>
            </w:pPr>
            <w:r>
              <w:rPr>
                <w:rFonts w:hint="eastAsia" w:ascii="宋体" w:hAnsi="宋体" w:cs="宋体"/>
                <w:b/>
                <w:bCs/>
                <w:i w:val="0"/>
                <w:iCs w:val="0"/>
                <w:color w:val="auto"/>
                <w:kern w:val="0"/>
                <w:sz w:val="24"/>
                <w:szCs w:val="24"/>
                <w:highlight w:val="none"/>
                <w:u w:val="none"/>
                <w:lang w:val="en-US" w:eastAsia="zh-CN" w:bidi="ar"/>
              </w:rPr>
              <w:t>10</w:t>
            </w:r>
          </w:p>
        </w:tc>
        <w:tc>
          <w:tcPr>
            <w:tcW w:w="1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电线、电缆 </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伟光、远东、中超、江南、江淮、中特华星、绿宝 、天龙伟业</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4" w:hRule="atLeast"/>
        </w:trPr>
        <w:tc>
          <w:tcPr>
            <w:tcW w:w="5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4"/>
                <w:szCs w:val="24"/>
                <w:highlight w:val="none"/>
                <w:u w:val="none"/>
                <w:lang w:val="en-US"/>
              </w:rPr>
            </w:pPr>
            <w:r>
              <w:rPr>
                <w:rFonts w:hint="eastAsia" w:ascii="宋体" w:hAnsi="宋体" w:cs="宋体"/>
                <w:b/>
                <w:bCs/>
                <w:i w:val="0"/>
                <w:iCs w:val="0"/>
                <w:color w:val="auto"/>
                <w:kern w:val="0"/>
                <w:sz w:val="24"/>
                <w:szCs w:val="24"/>
                <w:highlight w:val="none"/>
                <w:u w:val="none"/>
                <w:lang w:val="en-US" w:eastAsia="zh-CN" w:bidi="ar"/>
              </w:rPr>
              <w:t>11</w:t>
            </w:r>
          </w:p>
        </w:tc>
        <w:tc>
          <w:tcPr>
            <w:tcW w:w="1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商品混凝土 /预拌砂浆</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必须是当地建管局备案的供应商（商品混凝土及预拌砂浆所用水泥必须为海螺、东关、巢湖品牌之一）（海螺、铸字、巢东 ） </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5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4"/>
                <w:szCs w:val="24"/>
                <w:highlight w:val="none"/>
                <w:u w:val="none"/>
                <w:lang w:val="en-US"/>
              </w:rPr>
            </w:pPr>
            <w:r>
              <w:rPr>
                <w:rFonts w:hint="eastAsia" w:ascii="宋体" w:hAnsi="宋体" w:cs="宋体"/>
                <w:b/>
                <w:bCs/>
                <w:i w:val="0"/>
                <w:iCs w:val="0"/>
                <w:color w:val="auto"/>
                <w:kern w:val="0"/>
                <w:sz w:val="24"/>
                <w:szCs w:val="24"/>
                <w:highlight w:val="none"/>
                <w:u w:val="none"/>
                <w:lang w:val="en-US" w:eastAsia="zh-CN" w:bidi="ar"/>
              </w:rPr>
              <w:t>12</w:t>
            </w:r>
          </w:p>
        </w:tc>
        <w:tc>
          <w:tcPr>
            <w:tcW w:w="1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镀锌无缝钢管/消防热浸镀锌钢管</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浙江金州、天津钢管、上海劳钢、南京东升、河北华岐 、天津友发</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符合设计要求及行业标准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 w:hRule="atLeast"/>
        </w:trPr>
        <w:tc>
          <w:tcPr>
            <w:tcW w:w="5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4"/>
                <w:szCs w:val="24"/>
                <w:highlight w:val="none"/>
                <w:u w:val="none"/>
                <w:lang w:val="en-US"/>
              </w:rPr>
            </w:pPr>
            <w:r>
              <w:rPr>
                <w:rFonts w:hint="eastAsia" w:ascii="宋体" w:hAnsi="宋体" w:cs="宋体"/>
                <w:b/>
                <w:bCs/>
                <w:i w:val="0"/>
                <w:iCs w:val="0"/>
                <w:color w:val="auto"/>
                <w:kern w:val="0"/>
                <w:sz w:val="24"/>
                <w:szCs w:val="24"/>
                <w:highlight w:val="none"/>
                <w:u w:val="none"/>
                <w:lang w:val="en-US" w:eastAsia="zh-CN" w:bidi="ar"/>
              </w:rPr>
              <w:t>13</w:t>
            </w:r>
          </w:p>
        </w:tc>
        <w:tc>
          <w:tcPr>
            <w:tcW w:w="1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焊接钢管、JDG 管 </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武汉恒久远、河北鹏凌、廊坊盛宝、河北成龙 </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国标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5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4"/>
                <w:szCs w:val="24"/>
                <w:highlight w:val="none"/>
                <w:u w:val="none"/>
                <w:lang w:val="en-US"/>
              </w:rPr>
            </w:pPr>
            <w:r>
              <w:rPr>
                <w:rFonts w:hint="eastAsia" w:ascii="宋体" w:hAnsi="宋体" w:cs="宋体"/>
                <w:b/>
                <w:bCs/>
                <w:i w:val="0"/>
                <w:iCs w:val="0"/>
                <w:color w:val="auto"/>
                <w:kern w:val="0"/>
                <w:sz w:val="24"/>
                <w:szCs w:val="24"/>
                <w:highlight w:val="none"/>
                <w:u w:val="none"/>
                <w:lang w:val="en-US" w:eastAsia="zh-CN" w:bidi="ar"/>
              </w:rPr>
              <w:t>14</w:t>
            </w:r>
          </w:p>
        </w:tc>
        <w:tc>
          <w:tcPr>
            <w:tcW w:w="1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UPVC、PPR、PVC、PC等</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浙江中财、浙江光华、浙江伟星、河北康乐、鸿雁</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A 型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5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4"/>
                <w:szCs w:val="24"/>
                <w:highlight w:val="none"/>
                <w:u w:val="none"/>
                <w:lang w:val="en-US"/>
              </w:rPr>
            </w:pPr>
            <w:r>
              <w:rPr>
                <w:rFonts w:hint="eastAsia" w:ascii="宋体" w:hAnsi="宋体" w:cs="宋体"/>
                <w:b/>
                <w:bCs/>
                <w:i w:val="0"/>
                <w:iCs w:val="0"/>
                <w:color w:val="auto"/>
                <w:kern w:val="0"/>
                <w:sz w:val="24"/>
                <w:szCs w:val="24"/>
                <w:highlight w:val="none"/>
                <w:u w:val="none"/>
                <w:lang w:val="en-US" w:eastAsia="zh-CN" w:bidi="ar"/>
              </w:rPr>
              <w:t>15</w:t>
            </w:r>
          </w:p>
        </w:tc>
        <w:tc>
          <w:tcPr>
            <w:tcW w:w="1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灯具</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欧普、TCL、三雄极光、浙江阳光、飞利浦、郎士</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所选产品施工前必须提供三个及以上样板，满足设计施工要求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5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4"/>
                <w:szCs w:val="24"/>
                <w:highlight w:val="none"/>
                <w:u w:val="none"/>
                <w:lang w:val="en-US"/>
              </w:rPr>
            </w:pPr>
            <w:r>
              <w:rPr>
                <w:rFonts w:hint="eastAsia" w:ascii="宋体" w:hAnsi="宋体" w:cs="宋体"/>
                <w:b/>
                <w:bCs/>
                <w:i w:val="0"/>
                <w:iCs w:val="0"/>
                <w:color w:val="auto"/>
                <w:kern w:val="0"/>
                <w:sz w:val="24"/>
                <w:szCs w:val="24"/>
                <w:highlight w:val="none"/>
                <w:u w:val="none"/>
                <w:lang w:val="en-US" w:eastAsia="zh-CN" w:bidi="ar"/>
              </w:rPr>
              <w:t>16</w:t>
            </w:r>
          </w:p>
        </w:tc>
        <w:tc>
          <w:tcPr>
            <w:tcW w:w="1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开关、插座、空白面板</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鸿雁、正泰、TCL</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符合设计要求及行业标准,按物料表样品送样，经甲方确定后方可使用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5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4"/>
                <w:szCs w:val="24"/>
                <w:highlight w:val="none"/>
                <w:u w:val="none"/>
                <w:lang w:val="en-US"/>
              </w:rPr>
            </w:pPr>
            <w:r>
              <w:rPr>
                <w:rFonts w:hint="eastAsia" w:ascii="宋体" w:hAnsi="宋体" w:cs="宋体"/>
                <w:b/>
                <w:bCs/>
                <w:i w:val="0"/>
                <w:iCs w:val="0"/>
                <w:color w:val="auto"/>
                <w:kern w:val="0"/>
                <w:sz w:val="24"/>
                <w:szCs w:val="24"/>
                <w:highlight w:val="none"/>
                <w:u w:val="none"/>
                <w:lang w:val="en-US" w:eastAsia="zh-CN" w:bidi="ar"/>
              </w:rPr>
              <w:t>17</w:t>
            </w:r>
          </w:p>
        </w:tc>
        <w:tc>
          <w:tcPr>
            <w:tcW w:w="1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金属桥架</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镇江通力电气，安徽长龙电气，合肥鑫立泰电器，安徽振中电气</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5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4"/>
                <w:szCs w:val="24"/>
                <w:highlight w:val="none"/>
                <w:u w:val="none"/>
                <w:lang w:val="en-US"/>
              </w:rPr>
            </w:pPr>
            <w:r>
              <w:rPr>
                <w:rFonts w:hint="eastAsia" w:ascii="宋体" w:hAnsi="宋体" w:cs="宋体"/>
                <w:b/>
                <w:bCs/>
                <w:i w:val="0"/>
                <w:iCs w:val="0"/>
                <w:color w:val="auto"/>
                <w:kern w:val="0"/>
                <w:sz w:val="24"/>
                <w:szCs w:val="24"/>
                <w:highlight w:val="none"/>
                <w:u w:val="none"/>
                <w:lang w:val="en-US" w:eastAsia="zh-CN" w:bidi="ar"/>
              </w:rPr>
              <w:t>18</w:t>
            </w:r>
          </w:p>
        </w:tc>
        <w:tc>
          <w:tcPr>
            <w:tcW w:w="1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配电箱</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德力西、西门子、正泰、ABB（备注栏：包含元器件）</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5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4"/>
                <w:szCs w:val="24"/>
                <w:highlight w:val="none"/>
                <w:u w:val="none"/>
                <w:lang w:val="en-US"/>
              </w:rPr>
            </w:pPr>
            <w:r>
              <w:rPr>
                <w:rFonts w:hint="eastAsia" w:ascii="宋体" w:hAnsi="宋体" w:cs="宋体"/>
                <w:b/>
                <w:bCs/>
                <w:i w:val="0"/>
                <w:iCs w:val="0"/>
                <w:color w:val="auto"/>
                <w:kern w:val="0"/>
                <w:sz w:val="24"/>
                <w:szCs w:val="24"/>
                <w:highlight w:val="none"/>
                <w:u w:val="none"/>
                <w:lang w:val="en-US" w:eastAsia="zh-CN" w:bidi="ar"/>
              </w:rPr>
              <w:t>19</w:t>
            </w:r>
          </w:p>
        </w:tc>
        <w:tc>
          <w:tcPr>
            <w:tcW w:w="1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管阀及配件</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安徽白湖、上海沪航、上阀五厂、天津耐莱斯、渤海阀门 </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阀门：阀芯、阀杆按图纸设计要求；具有 CCCF 认证。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5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4"/>
                <w:szCs w:val="24"/>
                <w:highlight w:val="none"/>
                <w:u w:val="none"/>
                <w:lang w:val="en-US"/>
              </w:rPr>
            </w:pPr>
            <w:r>
              <w:rPr>
                <w:rFonts w:hint="eastAsia" w:ascii="宋体" w:hAnsi="宋体" w:cs="宋体"/>
                <w:b/>
                <w:bCs/>
                <w:i w:val="0"/>
                <w:iCs w:val="0"/>
                <w:color w:val="auto"/>
                <w:kern w:val="0"/>
                <w:sz w:val="24"/>
                <w:szCs w:val="24"/>
                <w:highlight w:val="none"/>
                <w:u w:val="none"/>
                <w:lang w:val="en-US" w:eastAsia="zh-CN" w:bidi="ar"/>
              </w:rPr>
              <w:t>20</w:t>
            </w:r>
          </w:p>
        </w:tc>
        <w:tc>
          <w:tcPr>
            <w:tcW w:w="1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排污泵及控制箱 </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上海东方、上海凯泉、上海连成、南方泵业、白云泵业 </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配套原厂液位浮球、线缆长度 6.5 米。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5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4"/>
                <w:szCs w:val="24"/>
                <w:highlight w:val="none"/>
                <w:u w:val="none"/>
                <w:lang w:val="en-US"/>
              </w:rPr>
            </w:pPr>
            <w:r>
              <w:rPr>
                <w:rFonts w:hint="eastAsia" w:ascii="宋体" w:hAnsi="宋体" w:cs="宋体"/>
                <w:b/>
                <w:bCs/>
                <w:i w:val="0"/>
                <w:iCs w:val="0"/>
                <w:color w:val="auto"/>
                <w:kern w:val="0"/>
                <w:sz w:val="24"/>
                <w:szCs w:val="24"/>
                <w:highlight w:val="none"/>
                <w:u w:val="none"/>
                <w:lang w:val="en-US" w:eastAsia="zh-CN" w:bidi="ar"/>
              </w:rPr>
              <w:t>21</w:t>
            </w:r>
          </w:p>
        </w:tc>
        <w:tc>
          <w:tcPr>
            <w:tcW w:w="1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消防及报警系统</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1、向阳、南方、天广（消防箱及辅材）</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2、上海金盾、天广消防、四川川消、成都捷晟、浙江快达（水喷淋系统（含水流指示器、自动喷淋喷头、湿示报警阀、信号蝶阀等）</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符合国标，保证消防验收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 w:hRule="atLeast"/>
        </w:trPr>
        <w:tc>
          <w:tcPr>
            <w:tcW w:w="5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4"/>
                <w:szCs w:val="24"/>
                <w:highlight w:val="none"/>
                <w:u w:val="none"/>
                <w:lang w:val="en-US"/>
              </w:rPr>
            </w:pPr>
            <w:r>
              <w:rPr>
                <w:rFonts w:hint="eastAsia" w:ascii="宋体" w:hAnsi="宋体" w:cs="宋体"/>
                <w:b/>
                <w:bCs/>
                <w:i w:val="0"/>
                <w:iCs w:val="0"/>
                <w:color w:val="auto"/>
                <w:kern w:val="0"/>
                <w:sz w:val="24"/>
                <w:szCs w:val="24"/>
                <w:highlight w:val="none"/>
                <w:u w:val="none"/>
                <w:lang w:val="en-US" w:eastAsia="zh-CN" w:bidi="ar"/>
              </w:rPr>
              <w:t>22</w:t>
            </w:r>
          </w:p>
        </w:tc>
        <w:tc>
          <w:tcPr>
            <w:tcW w:w="1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风机、风阀、风口</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上海英飞、合肥南方、上海科禄格、德州亚泰</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1" w:hRule="atLeast"/>
        </w:trPr>
        <w:tc>
          <w:tcPr>
            <w:tcW w:w="5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4"/>
                <w:szCs w:val="24"/>
                <w:highlight w:val="none"/>
                <w:u w:val="none"/>
                <w:lang w:val="en-US"/>
              </w:rPr>
            </w:pPr>
            <w:r>
              <w:rPr>
                <w:rFonts w:hint="eastAsia" w:ascii="宋体" w:hAnsi="宋体" w:cs="宋体"/>
                <w:b/>
                <w:bCs/>
                <w:i w:val="0"/>
                <w:iCs w:val="0"/>
                <w:color w:val="auto"/>
                <w:kern w:val="0"/>
                <w:sz w:val="24"/>
                <w:szCs w:val="24"/>
                <w:highlight w:val="none"/>
                <w:u w:val="none"/>
                <w:lang w:val="en-US" w:eastAsia="zh-CN" w:bidi="ar"/>
              </w:rPr>
              <w:t>23</w:t>
            </w:r>
          </w:p>
        </w:tc>
        <w:tc>
          <w:tcPr>
            <w:tcW w:w="1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自动报警设备、主机、探头、模块、手报、声光报警器、联动闭门器</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Style w:val="26"/>
                <w:rFonts w:hint="eastAsia" w:ascii="宋体" w:hAnsi="宋体" w:eastAsia="宋体" w:cs="宋体"/>
                <w:color w:val="auto"/>
                <w:sz w:val="24"/>
                <w:szCs w:val="24"/>
                <w:highlight w:val="none"/>
                <w:lang w:val="en-US" w:eastAsia="zh-CN" w:bidi="ar"/>
              </w:rPr>
              <w:t xml:space="preserve"> </w:t>
            </w:r>
            <w:r>
              <w:rPr>
                <w:rStyle w:val="32"/>
                <w:rFonts w:hint="eastAsia" w:ascii="宋体" w:hAnsi="宋体" w:eastAsia="宋体" w:cs="宋体"/>
                <w:color w:val="auto"/>
                <w:sz w:val="24"/>
                <w:szCs w:val="24"/>
                <w:highlight w:val="none"/>
                <w:lang w:val="en-US" w:eastAsia="zh-CN" w:bidi="ar"/>
              </w:rPr>
              <w:t>北京利达、秦皇岛海湾、亳州依爱、上海松江、北大青鸟、深圳中电</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7" w:hRule="atLeast"/>
        </w:trPr>
        <w:tc>
          <w:tcPr>
            <w:tcW w:w="5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4"/>
                <w:szCs w:val="24"/>
                <w:highlight w:val="none"/>
                <w:u w:val="none"/>
                <w:lang w:val="en-US"/>
              </w:rPr>
            </w:pPr>
            <w:r>
              <w:rPr>
                <w:rFonts w:hint="eastAsia" w:ascii="宋体" w:hAnsi="宋体" w:cs="宋体"/>
                <w:b/>
                <w:bCs/>
                <w:i w:val="0"/>
                <w:iCs w:val="0"/>
                <w:color w:val="auto"/>
                <w:kern w:val="0"/>
                <w:sz w:val="24"/>
                <w:szCs w:val="24"/>
                <w:highlight w:val="none"/>
                <w:u w:val="none"/>
                <w:lang w:val="en-US" w:eastAsia="zh-CN" w:bidi="ar"/>
              </w:rPr>
              <w:t>24</w:t>
            </w:r>
          </w:p>
        </w:tc>
        <w:tc>
          <w:tcPr>
            <w:tcW w:w="1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消防铸铁管、管件、配件及胶圈</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Style w:val="26"/>
                <w:rFonts w:hint="eastAsia" w:ascii="宋体" w:hAnsi="宋体" w:eastAsia="宋体" w:cs="宋体"/>
                <w:color w:val="auto"/>
                <w:sz w:val="24"/>
                <w:szCs w:val="24"/>
                <w:highlight w:val="none"/>
                <w:lang w:val="en-US" w:eastAsia="zh-CN" w:bidi="ar"/>
              </w:rPr>
              <w:t>新兴铸管、圣戈班穆松桥、国铭、徐州光大</w:t>
            </w:r>
            <w:r>
              <w:rPr>
                <w:rStyle w:val="33"/>
                <w:rFonts w:hint="eastAsia" w:ascii="宋体" w:hAnsi="宋体" w:eastAsia="宋体" w:cs="宋体"/>
                <w:color w:val="auto"/>
                <w:sz w:val="24"/>
                <w:szCs w:val="24"/>
                <w:highlight w:val="none"/>
                <w:lang w:val="en-US" w:eastAsia="zh-CN" w:bidi="ar"/>
              </w:rPr>
              <w:t xml:space="preserve"> </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4" w:hRule="atLeast"/>
        </w:trPr>
        <w:tc>
          <w:tcPr>
            <w:tcW w:w="5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4"/>
                <w:szCs w:val="24"/>
                <w:highlight w:val="none"/>
                <w:u w:val="none"/>
                <w:lang w:val="en-US"/>
              </w:rPr>
            </w:pPr>
            <w:r>
              <w:rPr>
                <w:rFonts w:hint="eastAsia" w:ascii="宋体" w:hAnsi="宋体" w:cs="宋体"/>
                <w:b/>
                <w:bCs/>
                <w:i w:val="0"/>
                <w:iCs w:val="0"/>
                <w:color w:val="auto"/>
                <w:kern w:val="0"/>
                <w:sz w:val="24"/>
                <w:szCs w:val="24"/>
                <w:highlight w:val="none"/>
                <w:u w:val="none"/>
                <w:lang w:val="en-US" w:eastAsia="zh-CN" w:bidi="ar"/>
              </w:rPr>
              <w:t>25</w:t>
            </w:r>
          </w:p>
        </w:tc>
        <w:tc>
          <w:tcPr>
            <w:tcW w:w="1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镀锌钢管</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浙江金州、天津友发、上海劳钢</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5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4"/>
                <w:szCs w:val="24"/>
                <w:highlight w:val="none"/>
                <w:u w:val="none"/>
                <w:lang w:val="en-US"/>
              </w:rPr>
            </w:pPr>
            <w:r>
              <w:rPr>
                <w:rFonts w:hint="eastAsia" w:ascii="宋体" w:hAnsi="宋体" w:cs="宋体"/>
                <w:b/>
                <w:bCs/>
                <w:i w:val="0"/>
                <w:iCs w:val="0"/>
                <w:color w:val="auto"/>
                <w:kern w:val="0"/>
                <w:sz w:val="24"/>
                <w:szCs w:val="24"/>
                <w:highlight w:val="none"/>
                <w:u w:val="none"/>
                <w:lang w:val="en-US" w:eastAsia="zh-CN" w:bidi="ar"/>
              </w:rPr>
              <w:t>26</w:t>
            </w:r>
          </w:p>
        </w:tc>
        <w:tc>
          <w:tcPr>
            <w:tcW w:w="1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Style w:val="26"/>
                <w:rFonts w:hint="eastAsia" w:ascii="宋体" w:hAnsi="宋体" w:eastAsia="宋体" w:cs="宋体"/>
                <w:color w:val="auto"/>
                <w:sz w:val="24"/>
                <w:szCs w:val="24"/>
                <w:highlight w:val="none"/>
                <w:lang w:val="en-US" w:eastAsia="zh-CN" w:bidi="ar"/>
              </w:rPr>
              <w:t>水泵接合器</w:t>
            </w:r>
            <w:r>
              <w:rPr>
                <w:rStyle w:val="34"/>
                <w:rFonts w:hint="eastAsia" w:ascii="宋体" w:hAnsi="宋体" w:eastAsia="宋体" w:cs="宋体"/>
                <w:color w:val="auto"/>
                <w:sz w:val="24"/>
                <w:szCs w:val="24"/>
                <w:highlight w:val="none"/>
                <w:lang w:val="en-US" w:eastAsia="zh-CN" w:bidi="ar"/>
              </w:rPr>
              <w:t>（国标，具有</w:t>
            </w:r>
            <w:r>
              <w:rPr>
                <w:rStyle w:val="29"/>
                <w:rFonts w:hint="eastAsia" w:ascii="宋体" w:hAnsi="宋体" w:eastAsia="宋体" w:cs="宋体"/>
                <w:color w:val="auto"/>
                <w:sz w:val="24"/>
                <w:szCs w:val="24"/>
                <w:highlight w:val="none"/>
                <w:lang w:val="en-US" w:eastAsia="zh-CN" w:bidi="ar"/>
              </w:rPr>
              <w:t xml:space="preserve"> CCCF </w:t>
            </w:r>
            <w:r>
              <w:rPr>
                <w:rStyle w:val="34"/>
                <w:rFonts w:hint="eastAsia" w:ascii="宋体" w:hAnsi="宋体" w:eastAsia="宋体" w:cs="宋体"/>
                <w:color w:val="auto"/>
                <w:sz w:val="24"/>
                <w:szCs w:val="24"/>
                <w:highlight w:val="none"/>
                <w:lang w:val="en-US" w:eastAsia="zh-CN" w:bidi="ar"/>
              </w:rPr>
              <w:t>认证）</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Style w:val="26"/>
                <w:rFonts w:hint="eastAsia" w:ascii="宋体" w:hAnsi="宋体" w:eastAsia="宋体" w:cs="宋体"/>
                <w:color w:val="auto"/>
                <w:sz w:val="24"/>
                <w:szCs w:val="24"/>
                <w:highlight w:val="none"/>
                <w:lang w:val="en-US" w:eastAsia="zh-CN" w:bidi="ar"/>
              </w:rPr>
              <w:t xml:space="preserve"> </w:t>
            </w:r>
            <w:r>
              <w:rPr>
                <w:rStyle w:val="32"/>
                <w:rFonts w:hint="eastAsia" w:ascii="宋体" w:hAnsi="宋体" w:eastAsia="宋体" w:cs="宋体"/>
                <w:color w:val="auto"/>
                <w:sz w:val="24"/>
                <w:szCs w:val="24"/>
                <w:highlight w:val="none"/>
                <w:lang w:val="en-US" w:eastAsia="zh-CN" w:bidi="ar"/>
              </w:rPr>
              <w:t>天广消防、南京国泰、四川川消</w:t>
            </w:r>
            <w:r>
              <w:rPr>
                <w:rStyle w:val="33"/>
                <w:rFonts w:hint="eastAsia" w:ascii="宋体" w:hAnsi="宋体" w:eastAsia="宋体" w:cs="宋体"/>
                <w:color w:val="auto"/>
                <w:sz w:val="24"/>
                <w:szCs w:val="24"/>
                <w:highlight w:val="none"/>
                <w:lang w:val="en-US" w:eastAsia="zh-CN" w:bidi="ar"/>
              </w:rPr>
              <w:t xml:space="preserve"> </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4"/>
                <w:szCs w:val="24"/>
                <w:highlight w:val="none"/>
                <w:u w:val="none"/>
                <w:lang w:val="en-US"/>
              </w:rPr>
            </w:pPr>
            <w:r>
              <w:rPr>
                <w:rFonts w:hint="eastAsia" w:ascii="宋体" w:hAnsi="宋体" w:cs="宋体"/>
                <w:b/>
                <w:bCs/>
                <w:i w:val="0"/>
                <w:iCs w:val="0"/>
                <w:color w:val="auto"/>
                <w:kern w:val="0"/>
                <w:sz w:val="24"/>
                <w:szCs w:val="24"/>
                <w:highlight w:val="none"/>
                <w:u w:val="none"/>
                <w:lang w:val="en-US" w:eastAsia="zh-CN" w:bidi="ar"/>
              </w:rPr>
              <w:t>27</w:t>
            </w:r>
          </w:p>
        </w:tc>
        <w:tc>
          <w:tcPr>
            <w:tcW w:w="1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Style w:val="26"/>
                <w:rFonts w:hint="eastAsia" w:ascii="宋体" w:hAnsi="宋体" w:eastAsia="宋体" w:cs="宋体"/>
                <w:color w:val="auto"/>
                <w:sz w:val="24"/>
                <w:szCs w:val="24"/>
                <w:highlight w:val="none"/>
                <w:lang w:val="en-US" w:eastAsia="zh-CN" w:bidi="ar"/>
              </w:rPr>
              <w:t>管阀及配件</w:t>
            </w:r>
            <w:r>
              <w:rPr>
                <w:rStyle w:val="34"/>
                <w:rFonts w:hint="eastAsia" w:ascii="宋体" w:hAnsi="宋体" w:eastAsia="宋体" w:cs="宋体"/>
                <w:color w:val="auto"/>
                <w:sz w:val="24"/>
                <w:szCs w:val="24"/>
                <w:highlight w:val="none"/>
                <w:lang w:val="en-US" w:eastAsia="zh-CN" w:bidi="ar"/>
              </w:rPr>
              <w:t>（国标，具有</w:t>
            </w:r>
            <w:r>
              <w:rPr>
                <w:rStyle w:val="29"/>
                <w:rFonts w:hint="eastAsia" w:ascii="宋体" w:hAnsi="宋体" w:eastAsia="宋体" w:cs="宋体"/>
                <w:color w:val="auto"/>
                <w:sz w:val="24"/>
                <w:szCs w:val="24"/>
                <w:highlight w:val="none"/>
                <w:lang w:val="en-US" w:eastAsia="zh-CN" w:bidi="ar"/>
              </w:rPr>
              <w:t xml:space="preserve"> CCCF </w:t>
            </w:r>
            <w:r>
              <w:rPr>
                <w:rStyle w:val="34"/>
                <w:rFonts w:hint="eastAsia" w:ascii="宋体" w:hAnsi="宋体" w:eastAsia="宋体" w:cs="宋体"/>
                <w:color w:val="auto"/>
                <w:sz w:val="24"/>
                <w:szCs w:val="24"/>
                <w:highlight w:val="none"/>
                <w:lang w:val="en-US" w:eastAsia="zh-CN" w:bidi="ar"/>
              </w:rPr>
              <w:t>认证）</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安徽白湖、上海沪航、上阀五厂、天津耐莱斯、渤海阀门</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阀门：阀芯、阀杆按图纸设计要求；具有 CCCF 认证。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1" w:hRule="atLeast"/>
        </w:trPr>
        <w:tc>
          <w:tcPr>
            <w:tcW w:w="5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4"/>
                <w:szCs w:val="24"/>
                <w:highlight w:val="none"/>
                <w:u w:val="none"/>
                <w:lang w:val="en-US"/>
              </w:rPr>
            </w:pPr>
            <w:r>
              <w:rPr>
                <w:rFonts w:hint="eastAsia" w:ascii="宋体" w:hAnsi="宋体" w:cs="宋体"/>
                <w:b/>
                <w:bCs/>
                <w:i w:val="0"/>
                <w:iCs w:val="0"/>
                <w:color w:val="auto"/>
                <w:kern w:val="0"/>
                <w:sz w:val="24"/>
                <w:szCs w:val="24"/>
                <w:highlight w:val="none"/>
                <w:u w:val="none"/>
                <w:lang w:val="en-US" w:eastAsia="zh-CN" w:bidi="ar"/>
              </w:rPr>
              <w:t>28</w:t>
            </w:r>
          </w:p>
        </w:tc>
        <w:tc>
          <w:tcPr>
            <w:tcW w:w="1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Style w:val="26"/>
                <w:rFonts w:hint="eastAsia" w:ascii="宋体" w:hAnsi="宋体" w:eastAsia="宋体" w:cs="宋体"/>
                <w:color w:val="auto"/>
                <w:sz w:val="24"/>
                <w:szCs w:val="24"/>
                <w:highlight w:val="none"/>
                <w:lang w:val="en-US" w:eastAsia="zh-CN" w:bidi="ar"/>
              </w:rPr>
              <w:t>卡箍及配件</w:t>
            </w:r>
            <w:r>
              <w:rPr>
                <w:rStyle w:val="34"/>
                <w:rFonts w:hint="eastAsia" w:ascii="宋体" w:hAnsi="宋体" w:eastAsia="宋体" w:cs="宋体"/>
                <w:color w:val="auto"/>
                <w:sz w:val="24"/>
                <w:szCs w:val="24"/>
                <w:highlight w:val="none"/>
                <w:lang w:val="en-US" w:eastAsia="zh-CN" w:bidi="ar"/>
              </w:rPr>
              <w:t>（国标，具有</w:t>
            </w:r>
            <w:r>
              <w:rPr>
                <w:rStyle w:val="29"/>
                <w:rFonts w:hint="eastAsia" w:ascii="宋体" w:hAnsi="宋体" w:eastAsia="宋体" w:cs="宋体"/>
                <w:color w:val="auto"/>
                <w:sz w:val="24"/>
                <w:szCs w:val="24"/>
                <w:highlight w:val="none"/>
                <w:lang w:val="en-US" w:eastAsia="zh-CN" w:bidi="ar"/>
              </w:rPr>
              <w:t xml:space="preserve"> CCCF </w:t>
            </w:r>
            <w:r>
              <w:rPr>
                <w:rStyle w:val="34"/>
                <w:rFonts w:hint="eastAsia" w:ascii="宋体" w:hAnsi="宋体" w:eastAsia="宋体" w:cs="宋体"/>
                <w:color w:val="auto"/>
                <w:sz w:val="24"/>
                <w:szCs w:val="24"/>
                <w:highlight w:val="none"/>
                <w:lang w:val="en-US" w:eastAsia="zh-CN" w:bidi="ar"/>
              </w:rPr>
              <w:t>认证）</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Style w:val="26"/>
                <w:rFonts w:hint="eastAsia" w:ascii="宋体" w:hAnsi="宋体" w:eastAsia="宋体" w:cs="宋体"/>
                <w:color w:val="auto"/>
                <w:sz w:val="24"/>
                <w:szCs w:val="24"/>
                <w:highlight w:val="none"/>
                <w:lang w:val="en-US" w:eastAsia="zh-CN" w:bidi="ar"/>
              </w:rPr>
              <w:t xml:space="preserve"> </w:t>
            </w:r>
            <w:r>
              <w:rPr>
                <w:rStyle w:val="32"/>
                <w:rFonts w:hint="eastAsia" w:ascii="宋体" w:hAnsi="宋体" w:eastAsia="宋体" w:cs="宋体"/>
                <w:color w:val="auto"/>
                <w:sz w:val="24"/>
                <w:szCs w:val="24"/>
                <w:highlight w:val="none"/>
                <w:lang w:val="en-US" w:eastAsia="zh-CN" w:bidi="ar"/>
              </w:rPr>
              <w:t>潍坊金通、上海沪航、上海瑞孚、亳州禹王</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符合设计要求及行业标准； 具有 CCCF 认证；符合GB5135.11 标准；高强度螺栓、螺母；密封圈为优质橡胶。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5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4"/>
                <w:szCs w:val="24"/>
                <w:highlight w:val="none"/>
                <w:u w:val="none"/>
                <w:lang w:val="en-US"/>
              </w:rPr>
            </w:pPr>
            <w:r>
              <w:rPr>
                <w:rFonts w:hint="eastAsia" w:ascii="宋体" w:hAnsi="宋体" w:cs="宋体"/>
                <w:b/>
                <w:bCs/>
                <w:i w:val="0"/>
                <w:iCs w:val="0"/>
                <w:color w:val="auto"/>
                <w:kern w:val="0"/>
                <w:sz w:val="24"/>
                <w:szCs w:val="24"/>
                <w:highlight w:val="none"/>
                <w:u w:val="none"/>
                <w:lang w:val="en-US" w:eastAsia="zh-CN" w:bidi="ar"/>
              </w:rPr>
              <w:t>29</w:t>
            </w:r>
          </w:p>
        </w:tc>
        <w:tc>
          <w:tcPr>
            <w:tcW w:w="1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Style w:val="26"/>
                <w:rFonts w:hint="eastAsia" w:ascii="宋体" w:hAnsi="宋体" w:eastAsia="宋体" w:cs="宋体"/>
                <w:color w:val="auto"/>
                <w:sz w:val="24"/>
                <w:szCs w:val="24"/>
                <w:highlight w:val="none"/>
                <w:lang w:val="en-US" w:eastAsia="zh-CN" w:bidi="ar"/>
              </w:rPr>
              <w:t>电气配管</w:t>
            </w:r>
            <w:r>
              <w:rPr>
                <w:rStyle w:val="34"/>
                <w:rFonts w:hint="eastAsia" w:ascii="宋体" w:hAnsi="宋体" w:eastAsia="宋体" w:cs="宋体"/>
                <w:color w:val="auto"/>
                <w:sz w:val="24"/>
                <w:szCs w:val="24"/>
                <w:highlight w:val="none"/>
                <w:lang w:val="en-US" w:eastAsia="zh-CN" w:bidi="ar"/>
              </w:rPr>
              <w:t>（含</w:t>
            </w:r>
            <w:r>
              <w:rPr>
                <w:rStyle w:val="29"/>
                <w:rFonts w:hint="eastAsia" w:ascii="宋体" w:hAnsi="宋体" w:eastAsia="宋体" w:cs="宋体"/>
                <w:color w:val="auto"/>
                <w:sz w:val="24"/>
                <w:szCs w:val="24"/>
                <w:highlight w:val="none"/>
                <w:lang w:val="en-US" w:eastAsia="zh-CN" w:bidi="ar"/>
              </w:rPr>
              <w:t xml:space="preserve"> PE</w:t>
            </w:r>
            <w:r>
              <w:rPr>
                <w:rStyle w:val="34"/>
                <w:rFonts w:hint="eastAsia" w:ascii="宋体" w:hAnsi="宋体" w:eastAsia="宋体" w:cs="宋体"/>
                <w:color w:val="auto"/>
                <w:sz w:val="24"/>
                <w:szCs w:val="24"/>
                <w:highlight w:val="none"/>
                <w:lang w:val="en-US" w:eastAsia="zh-CN" w:bidi="ar"/>
              </w:rPr>
              <w:t>、梅花管）</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中财、光华、联塑、河北康乐</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4"/>
                <w:szCs w:val="24"/>
                <w:highlight w:val="none"/>
                <w:u w:val="none"/>
                <w:lang w:val="en-US"/>
              </w:rPr>
            </w:pPr>
            <w:r>
              <w:rPr>
                <w:rFonts w:hint="eastAsia" w:ascii="宋体" w:hAnsi="宋体" w:cs="宋体"/>
                <w:b/>
                <w:bCs/>
                <w:i w:val="0"/>
                <w:iCs w:val="0"/>
                <w:color w:val="auto"/>
                <w:kern w:val="0"/>
                <w:sz w:val="24"/>
                <w:szCs w:val="24"/>
                <w:highlight w:val="none"/>
                <w:u w:val="none"/>
                <w:lang w:val="en-US" w:eastAsia="zh-CN" w:bidi="ar"/>
              </w:rPr>
              <w:t>30</w:t>
            </w:r>
          </w:p>
        </w:tc>
        <w:tc>
          <w:tcPr>
            <w:tcW w:w="1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Style w:val="26"/>
                <w:rFonts w:hint="eastAsia" w:ascii="宋体" w:hAnsi="宋体" w:eastAsia="宋体" w:cs="宋体"/>
                <w:color w:val="auto"/>
                <w:sz w:val="24"/>
                <w:szCs w:val="24"/>
                <w:highlight w:val="none"/>
                <w:lang w:val="en-US" w:eastAsia="zh-CN" w:bidi="ar"/>
              </w:rPr>
              <w:t>电气配管</w:t>
            </w:r>
            <w:r>
              <w:rPr>
                <w:rStyle w:val="34"/>
                <w:rFonts w:hint="eastAsia" w:ascii="宋体" w:hAnsi="宋体" w:eastAsia="宋体" w:cs="宋体"/>
                <w:color w:val="auto"/>
                <w:sz w:val="24"/>
                <w:szCs w:val="24"/>
                <w:highlight w:val="none"/>
                <w:lang w:val="en-US" w:eastAsia="zh-CN" w:bidi="ar"/>
              </w:rPr>
              <w:t>（含</w:t>
            </w:r>
            <w:r>
              <w:rPr>
                <w:rStyle w:val="29"/>
                <w:rFonts w:hint="eastAsia" w:ascii="宋体" w:hAnsi="宋体" w:eastAsia="宋体" w:cs="宋体"/>
                <w:color w:val="auto"/>
                <w:sz w:val="24"/>
                <w:szCs w:val="24"/>
                <w:highlight w:val="none"/>
                <w:lang w:val="en-US" w:eastAsia="zh-CN" w:bidi="ar"/>
              </w:rPr>
              <w:t xml:space="preserve"> JDG</w:t>
            </w:r>
            <w:r>
              <w:rPr>
                <w:rStyle w:val="34"/>
                <w:rFonts w:hint="eastAsia" w:ascii="宋体" w:hAnsi="宋体" w:eastAsia="宋体" w:cs="宋体"/>
                <w:color w:val="auto"/>
                <w:sz w:val="24"/>
                <w:szCs w:val="24"/>
                <w:highlight w:val="none"/>
                <w:lang w:val="en-US" w:eastAsia="zh-CN" w:bidi="ar"/>
              </w:rPr>
              <w:t>，</w:t>
            </w:r>
            <w:r>
              <w:rPr>
                <w:rStyle w:val="29"/>
                <w:rFonts w:hint="eastAsia" w:ascii="宋体" w:hAnsi="宋体" w:eastAsia="宋体" w:cs="宋体"/>
                <w:color w:val="auto"/>
                <w:sz w:val="24"/>
                <w:szCs w:val="24"/>
                <w:highlight w:val="none"/>
                <w:lang w:val="en-US" w:eastAsia="zh-CN" w:bidi="ar"/>
              </w:rPr>
              <w:t xml:space="preserve">KBG </w:t>
            </w:r>
            <w:r>
              <w:rPr>
                <w:rStyle w:val="34"/>
                <w:rFonts w:hint="eastAsia" w:ascii="宋体" w:hAnsi="宋体" w:eastAsia="宋体" w:cs="宋体"/>
                <w:color w:val="auto"/>
                <w:sz w:val="24"/>
                <w:szCs w:val="24"/>
                <w:highlight w:val="none"/>
                <w:lang w:val="en-US" w:eastAsia="zh-CN" w:bidi="ar"/>
              </w:rPr>
              <w:t>等）</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Style w:val="26"/>
                <w:rFonts w:hint="eastAsia" w:ascii="宋体" w:hAnsi="宋体" w:eastAsia="宋体" w:cs="宋体"/>
                <w:color w:val="auto"/>
                <w:sz w:val="24"/>
                <w:szCs w:val="24"/>
                <w:highlight w:val="none"/>
                <w:lang w:val="en-US" w:eastAsia="zh-CN" w:bidi="ar"/>
              </w:rPr>
              <w:t>满足国标要求</w:t>
            </w:r>
            <w:r>
              <w:rPr>
                <w:rStyle w:val="33"/>
                <w:rFonts w:hint="eastAsia" w:ascii="宋体" w:hAnsi="宋体" w:eastAsia="宋体" w:cs="宋体"/>
                <w:color w:val="auto"/>
                <w:sz w:val="24"/>
                <w:szCs w:val="24"/>
                <w:highlight w:val="none"/>
                <w:lang w:val="en-US" w:eastAsia="zh-CN" w:bidi="ar"/>
              </w:rPr>
              <w:t xml:space="preserve"> </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4" w:hRule="atLeast"/>
        </w:trPr>
        <w:tc>
          <w:tcPr>
            <w:tcW w:w="5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4"/>
                <w:szCs w:val="24"/>
                <w:highlight w:val="none"/>
                <w:u w:val="none"/>
                <w:lang w:val="en-US" w:eastAsia="zh-CN"/>
              </w:rPr>
            </w:pPr>
            <w:r>
              <w:rPr>
                <w:rFonts w:hint="eastAsia" w:ascii="宋体" w:hAnsi="宋体" w:cs="宋体"/>
                <w:b/>
                <w:bCs/>
                <w:i w:val="0"/>
                <w:iCs w:val="0"/>
                <w:color w:val="auto"/>
                <w:sz w:val="24"/>
                <w:szCs w:val="24"/>
                <w:highlight w:val="none"/>
                <w:u w:val="none"/>
                <w:lang w:val="en-US" w:eastAsia="zh-CN"/>
              </w:rPr>
              <w:t>31</w:t>
            </w:r>
          </w:p>
        </w:tc>
        <w:tc>
          <w:tcPr>
            <w:tcW w:w="1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Style w:val="26"/>
                <w:rFonts w:hint="eastAsia" w:ascii="宋体" w:hAnsi="宋体" w:eastAsia="宋体" w:cs="宋体"/>
                <w:color w:val="auto"/>
                <w:sz w:val="24"/>
                <w:szCs w:val="24"/>
                <w:highlight w:val="none"/>
                <w:lang w:val="en-US" w:eastAsia="zh-CN" w:bidi="ar"/>
              </w:rPr>
              <w:t>消防泵及配套配电柜、巡检柜等相关配件</w:t>
            </w:r>
            <w:r>
              <w:rPr>
                <w:rStyle w:val="29"/>
                <w:rFonts w:hint="eastAsia" w:ascii="宋体" w:hAnsi="宋体" w:eastAsia="宋体" w:cs="宋体"/>
                <w:color w:val="auto"/>
                <w:sz w:val="24"/>
                <w:szCs w:val="24"/>
                <w:highlight w:val="none"/>
                <w:lang w:val="en-US" w:eastAsia="zh-CN" w:bidi="ar"/>
              </w:rPr>
              <w:t>:</w:t>
            </w:r>
          </w:p>
        </w:tc>
        <w:tc>
          <w:tcPr>
            <w:tcW w:w="42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上海东方、上海凯泉、上海熊猫、上海连成</w:t>
            </w:r>
          </w:p>
        </w:tc>
        <w:tc>
          <w:tcPr>
            <w:tcW w:w="217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highlight w:val="none"/>
                <w:u w:val="none"/>
              </w:rPr>
            </w:pPr>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default" w:ascii="Times New Roman" w:hAnsi="Times New Roman" w:cs="Times New Roman"/>
          <w:kern w:val="0"/>
          <w:sz w:val="24"/>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八</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水安凤栖上院34号地块工程项目战时人防设备采购安装</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工程施工招标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72" w:edGrp="everyone"/>
      <w:r>
        <w:rPr>
          <w:rFonts w:hint="default" w:ascii="Times New Roman" w:hAnsi="Times New Roman" w:eastAsia="楷体" w:cs="Times New Roman"/>
          <w:kern w:val="0"/>
          <w:sz w:val="28"/>
          <w:szCs w:val="28"/>
          <w:highlight w:val="yellow"/>
          <w:shd w:val="clear" w:color="auto" w:fill="auto"/>
          <w:lang w:val="en-US" w:eastAsia="zh-CN"/>
        </w:rPr>
        <w:t>BZJK-</w:t>
      </w:r>
      <w:r>
        <w:rPr>
          <w:rFonts w:hint="eastAsia" w:ascii="Times New Roman" w:hAnsi="Times New Roman" w:eastAsia="楷体" w:cs="Times New Roman"/>
          <w:kern w:val="0"/>
          <w:sz w:val="28"/>
          <w:szCs w:val="28"/>
          <w:highlight w:val="yellow"/>
          <w:shd w:val="clear" w:color="auto" w:fill="auto"/>
          <w:lang w:val="en-US" w:eastAsia="zh-CN"/>
        </w:rPr>
        <w:t>2024</w:t>
      </w:r>
      <w:r>
        <w:rPr>
          <w:rFonts w:hint="default" w:ascii="Times New Roman" w:hAnsi="Times New Roman" w:eastAsia="楷体" w:cs="Times New Roman"/>
          <w:kern w:val="0"/>
          <w:sz w:val="28"/>
          <w:szCs w:val="28"/>
          <w:highlight w:val="yellow"/>
          <w:shd w:val="clear" w:color="auto" w:fill="auto"/>
          <w:lang w:val="en-US" w:eastAsia="zh-CN"/>
        </w:rPr>
        <w:t>-</w:t>
      </w:r>
      <w:r>
        <w:rPr>
          <w:rFonts w:hint="eastAsia" w:ascii="Times New Roman" w:hAnsi="Times New Roman" w:eastAsia="楷体" w:cs="Times New Roman"/>
          <w:kern w:val="0"/>
          <w:sz w:val="28"/>
          <w:szCs w:val="28"/>
          <w:highlight w:val="yellow"/>
          <w:u w:val="single"/>
          <w:shd w:val="clear" w:color="auto" w:fill="auto"/>
          <w:lang w:val="en-US" w:eastAsia="zh-CN"/>
        </w:rPr>
        <w:t>004</w:t>
      </w:r>
      <w:r>
        <w:rPr>
          <w:rFonts w:hint="default" w:ascii="Times New Roman" w:hAnsi="Times New Roman" w:eastAsia="楷体" w:cs="Times New Roman"/>
          <w:kern w:val="0"/>
          <w:sz w:val="28"/>
          <w:szCs w:val="28"/>
          <w:highlight w:val="yellow"/>
          <w:shd w:val="clear" w:color="auto" w:fill="auto"/>
          <w:lang w:val="en-US" w:eastAsia="zh-CN"/>
        </w:rPr>
        <w:t>号</w:t>
      </w:r>
      <w:permEnd w:id="72"/>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380" w:name="_Toc247527827"/>
      <w:bookmarkStart w:id="381" w:name="_Toc152045787"/>
      <w:bookmarkStart w:id="382" w:name="_Toc152042576"/>
      <w:bookmarkStart w:id="383" w:name="_Toc247514246"/>
      <w:bookmarkStart w:id="384" w:name="_Toc144974856"/>
      <w:bookmarkStart w:id="385" w:name="_Toc300835209"/>
      <w:r>
        <w:rPr>
          <w:rFonts w:hint="default" w:ascii="Times New Roman" w:hAnsi="Times New Roman" w:cs="Times New Roman"/>
        </w:rPr>
        <w:t>目    录</w:t>
      </w:r>
      <w:bookmarkEnd w:id="380"/>
      <w:bookmarkEnd w:id="381"/>
      <w:bookmarkEnd w:id="382"/>
      <w:bookmarkEnd w:id="383"/>
      <w:bookmarkEnd w:id="384"/>
      <w:bookmarkEnd w:id="385"/>
    </w:p>
    <w:p>
      <w:pPr>
        <w:spacing w:line="540" w:lineRule="exact"/>
        <w:rPr>
          <w:rFonts w:hint="default" w:ascii="Times New Roman" w:hAnsi="Times New Roman" w:cs="Times New Roman"/>
        </w:rPr>
      </w:pPr>
    </w:p>
    <w:p>
      <w:pPr>
        <w:spacing w:line="540" w:lineRule="exact"/>
        <w:rPr>
          <w:rFonts w:hint="default" w:ascii="Times New Roman" w:hAnsi="Times New Roman" w:cs="Times New Roman"/>
        </w:rPr>
      </w:pPr>
      <w:r>
        <w:rPr>
          <w:rFonts w:hint="default" w:ascii="Times New Roman" w:hAnsi="Times New Roman" w:cs="Times New Roman"/>
        </w:rPr>
        <w:t>一、投标函及投标函附录</w:t>
      </w:r>
    </w:p>
    <w:p>
      <w:pPr>
        <w:spacing w:line="540" w:lineRule="exact"/>
        <w:rPr>
          <w:rFonts w:hint="default" w:ascii="Times New Roman" w:hAnsi="Times New Roman" w:cs="Times New Roman"/>
        </w:rPr>
      </w:pPr>
      <w:r>
        <w:rPr>
          <w:rFonts w:hint="default" w:ascii="Times New Roman" w:hAnsi="Times New Roman" w:cs="Times New Roman"/>
        </w:rPr>
        <w:t>二、法定代表人身份证明</w:t>
      </w:r>
    </w:p>
    <w:p>
      <w:pPr>
        <w:spacing w:line="540" w:lineRule="exact"/>
        <w:rPr>
          <w:rFonts w:hint="default" w:ascii="Times New Roman" w:hAnsi="Times New Roman" w:cs="Times New Roman"/>
        </w:rPr>
      </w:pPr>
      <w:r>
        <w:rPr>
          <w:rFonts w:hint="eastAsia" w:ascii="Times New Roman" w:hAnsi="Times New Roman" w:cs="Times New Roman"/>
          <w:lang w:val="en-US" w:eastAsia="zh-CN"/>
        </w:rPr>
        <w:t>二、</w:t>
      </w:r>
      <w:r>
        <w:rPr>
          <w:rFonts w:hint="default" w:ascii="Times New Roman" w:hAnsi="Times New Roman" w:cs="Times New Roman"/>
        </w:rPr>
        <w:t>授权委托书</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已标价工程量清单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五、专项施工方案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项目管理机构</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资格审查资料</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cs="Times New Roman"/>
        </w:rPr>
      </w:pPr>
      <w:bookmarkStart w:id="386" w:name="_Toc144974857"/>
      <w:bookmarkStart w:id="387" w:name="_Toc247527828"/>
      <w:bookmarkStart w:id="388" w:name="_Toc152045788"/>
      <w:bookmarkStart w:id="389" w:name="_Toc300835210"/>
      <w:bookmarkStart w:id="390" w:name="_Toc247514247"/>
      <w:bookmarkStart w:id="391" w:name="_Toc152042577"/>
      <w:r>
        <w:rPr>
          <w:rFonts w:hint="default" w:ascii="Times New Roman" w:hAnsi="Times New Roman" w:cs="Times New Roman"/>
        </w:rPr>
        <w:t>一、投标函及投标函附录</w:t>
      </w:r>
      <w:bookmarkEnd w:id="386"/>
      <w:bookmarkEnd w:id="387"/>
      <w:bookmarkEnd w:id="388"/>
      <w:bookmarkEnd w:id="389"/>
      <w:bookmarkEnd w:id="390"/>
      <w:bookmarkEnd w:id="391"/>
    </w:p>
    <w:p>
      <w:pPr>
        <w:spacing w:line="440" w:lineRule="exact"/>
        <w:rPr>
          <w:rFonts w:hint="default" w:ascii="Times New Roman" w:hAnsi="Times New Roman" w:eastAsia="黑体" w:cs="Times New Roman"/>
          <w:sz w:val="20"/>
          <w:szCs w:val="20"/>
        </w:rPr>
      </w:pPr>
    </w:p>
    <w:p>
      <w:pPr>
        <w:pStyle w:val="4"/>
        <w:rPr>
          <w:rFonts w:hint="default" w:ascii="Times New Roman" w:hAnsi="Times New Roman" w:cs="Times New Roman"/>
        </w:rPr>
      </w:pPr>
      <w:bookmarkStart w:id="392" w:name="_Toc247527829"/>
      <w:bookmarkStart w:id="393" w:name="_Toc247514248"/>
      <w:bookmarkStart w:id="394" w:name="_Toc152045789"/>
      <w:bookmarkStart w:id="395" w:name="_Toc300835211"/>
      <w:bookmarkStart w:id="396" w:name="_Toc152042578"/>
      <w:bookmarkStart w:id="397" w:name="_Toc144974858"/>
      <w:r>
        <w:rPr>
          <w:rFonts w:hint="default" w:ascii="Times New Roman" w:hAnsi="Times New Roman" w:cs="Times New Roman"/>
        </w:rPr>
        <w:t>（一）投标函</w:t>
      </w:r>
      <w:bookmarkEnd w:id="392"/>
      <w:bookmarkEnd w:id="393"/>
      <w:bookmarkEnd w:id="394"/>
      <w:bookmarkEnd w:id="395"/>
      <w:bookmarkEnd w:id="396"/>
      <w:bookmarkEnd w:id="397"/>
    </w:p>
    <w:p>
      <w:pPr>
        <w:spacing w:line="440" w:lineRule="exact"/>
        <w:rPr>
          <w:rFonts w:hint="default" w:ascii="Times New Roman" w:hAnsi="Times New Roman" w:cs="Times New Roman"/>
          <w:sz w:val="20"/>
          <w:szCs w:val="20"/>
        </w:rPr>
      </w:pPr>
    </w:p>
    <w:p>
      <w:pPr>
        <w:spacing w:line="440" w:lineRule="exact"/>
        <w:rPr>
          <w:rFonts w:ascii="Times New Roman" w:hAnsi="Times New Roman" w:cs="Times New Roman"/>
          <w:szCs w:val="21"/>
        </w:rPr>
      </w:pPr>
      <w:r>
        <w:rPr>
          <w:rFonts w:hint="eastAsia" w:ascii="Times New Roman" w:hAnsi="Times New Roman" w:cs="Times New Roman"/>
          <w:szCs w:val="21"/>
          <w:u w:val="single"/>
          <w:lang w:eastAsia="zh-CN"/>
        </w:rPr>
        <w:t>安徽通康建设工程有限公司</w:t>
      </w:r>
      <w:r>
        <w:rPr>
          <w:rFonts w:ascii="Times New Roman" w:hAnsi="Times New Roman" w:cs="Times New Roman"/>
          <w:szCs w:val="21"/>
        </w:rPr>
        <w:t>：</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ascii="Times New Roman" w:hAnsi="Times New Roman" w:cs="Times New Roman"/>
          <w:szCs w:val="21"/>
        </w:rPr>
        <w:t>1．我方已仔细研究了</w:t>
      </w:r>
      <w:r>
        <w:rPr>
          <w:rFonts w:hint="eastAsia" w:ascii="Times New Roman" w:hAnsi="Times New Roman" w:cs="Times New Roman"/>
          <w:color w:val="000000" w:themeColor="text1"/>
          <w:szCs w:val="21"/>
          <w:u w:val="single"/>
          <w14:textFill>
            <w14:solidFill>
              <w14:schemeClr w14:val="tx1"/>
            </w14:solidFill>
          </w14:textFill>
        </w:rPr>
        <w:t>水安凤栖上院34号地块工程项目</w:t>
      </w:r>
      <w:r>
        <w:rPr>
          <w:rFonts w:hint="eastAsia" w:ascii="Times New Roman" w:hAnsi="Times New Roman" w:cs="Times New Roman"/>
          <w:color w:val="000000" w:themeColor="text1"/>
          <w:szCs w:val="21"/>
          <w:u w:val="single"/>
          <w:lang w:val="en-US" w:eastAsia="zh-CN"/>
          <w14:textFill>
            <w14:solidFill>
              <w14:schemeClr w14:val="tx1"/>
            </w14:solidFill>
          </w14:textFill>
        </w:rPr>
        <w:t>战时人防设备采购安装工程</w:t>
      </w:r>
      <w:r>
        <w:rPr>
          <w:rFonts w:ascii="Times New Roman" w:hAnsi="Times New Roman" w:cs="Times New Roman"/>
          <w:szCs w:val="21"/>
        </w:rPr>
        <w:t>招标文件的全部内容，愿意以</w:t>
      </w:r>
      <w:r>
        <w:rPr>
          <w:rFonts w:hint="eastAsia" w:ascii="Times New Roman" w:hAnsi="Times New Roman" w:cs="Times New Roman"/>
          <w:szCs w:val="21"/>
          <w:lang w:val="en-US" w:eastAsia="zh-CN"/>
        </w:rPr>
        <w:t>（大写）</w:t>
      </w:r>
      <w:r>
        <w:rPr>
          <w:rFonts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ascii="Times New Roman" w:hAnsi="Times New Roman" w:cs="Times New Roman"/>
          <w:szCs w:val="21"/>
          <w:u w:val="single"/>
        </w:rPr>
        <w:t xml:space="preserve"> </w:t>
      </w:r>
      <w:r>
        <w:rPr>
          <w:rFonts w:hint="eastAsia" w:ascii="Times New Roman" w:hAnsi="Times New Roman" w:cs="Times New Roman"/>
          <w:szCs w:val="21"/>
          <w:lang w:val="en-US" w:eastAsia="zh-CN"/>
        </w:rPr>
        <w:t xml:space="preserve"> （¥ </w:t>
      </w:r>
      <w:r>
        <w:rPr>
          <w:rFonts w:ascii="Times New Roman" w:hAnsi="Times New Roman" w:cs="Times New Roman"/>
          <w:szCs w:val="21"/>
          <w:u w:val="single"/>
        </w:rPr>
        <w:t xml:space="preserve">       </w:t>
      </w:r>
      <w:r>
        <w:rPr>
          <w:rFonts w:hint="eastAsia" w:ascii="Times New Roman" w:hAnsi="Times New Roman" w:cs="Times New Roman"/>
          <w:szCs w:val="21"/>
          <w:lang w:val="en-US" w:eastAsia="zh-CN"/>
        </w:rPr>
        <w:t>）的投标总报价（含税9%）</w:t>
      </w:r>
      <w:r>
        <w:rPr>
          <w:rFonts w:hint="eastAsia" w:ascii="Times New Roman" w:hAnsi="Times New Roman" w:cs="Times New Roman"/>
          <w:szCs w:val="21"/>
        </w:rPr>
        <w:t>，</w:t>
      </w:r>
      <w:r>
        <w:rPr>
          <w:rFonts w:hint="eastAsia" w:ascii="Times New Roman" w:hAnsi="Times New Roman" w:cs="Times New Roman" w:eastAsiaTheme="minorEastAsia"/>
          <w:sz w:val="21"/>
          <w:szCs w:val="21"/>
          <w:lang w:val="en-US" w:eastAsia="zh-CN"/>
        </w:rPr>
        <w:t>自合同签订之日起至人防设备通过亳州市人防办验收合格</w:t>
      </w:r>
      <w:r>
        <w:rPr>
          <w:rFonts w:hint="eastAsia" w:ascii="Times New Roman" w:hAnsi="Times New Roman" w:cs="Times New Roman"/>
          <w:szCs w:val="21"/>
        </w:rPr>
        <w:t>，按合同约定实施和完成承包工程，修补工程中的任何缺陷，工程质量达到</w:t>
      </w:r>
      <w:r>
        <w:rPr>
          <w:rFonts w:ascii="Times New Roman" w:hAnsi="Times New Roman" w:cs="Times New Roman"/>
          <w:szCs w:val="21"/>
          <w:u w:val="single"/>
        </w:rPr>
        <w:t xml:space="preserve">       </w:t>
      </w:r>
      <w:r>
        <w:rPr>
          <w:rFonts w:hint="eastAsia" w:ascii="Times New Roman" w:hAnsi="Times New Roman" w:cs="Times New Roman"/>
          <w:szCs w:val="21"/>
        </w:rPr>
        <w:t xml:space="preserve">。   </w:t>
      </w:r>
      <w:r>
        <w:rPr>
          <w:rFonts w:hint="eastAsia" w:ascii="Times New Roman" w:hAnsi="Times New Roman" w:cs="Times New Roman"/>
          <w:szCs w:val="21"/>
          <w:u w:val="none"/>
          <w:lang w:val="en-US" w:eastAsia="zh-CN"/>
        </w:rPr>
        <w:t xml:space="preserve">      </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2．我方承诺在招标文件规定的投标有效期内不修改、撤销投标文件。</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3．随同本投标函提交投标保证金一份，金额为人民币（大写）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4．如我方中标：</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（1）我方承诺在收到中标通知书后，在中标通知书规定的期限内与你方签订合同。</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（2）随同本投标函递交的投标函附录属于合同文件的组成部分。</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（3）我方承诺按照招标文件规定向你方递交履约担保。</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（4）我方承诺在合同约定的期限内完成并移交全部合同工程。</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2</w:t>
      </w:r>
      <w:r>
        <w:rPr>
          <w:rFonts w:hint="default" w:ascii="Times New Roman" w:hAnsi="Times New Roman" w:cs="Times New Roman"/>
        </w:rPr>
        <w:t>项和第1.4.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pStyle w:val="4"/>
        <w:rPr>
          <w:rFonts w:hint="default" w:ascii="Times New Roman" w:hAnsi="Times New Roman" w:cs="Times New Roman"/>
        </w:rPr>
      </w:pPr>
      <w:bookmarkStart w:id="398" w:name="_Toc152042579"/>
      <w:bookmarkStart w:id="399" w:name="_Toc144974859"/>
      <w:bookmarkStart w:id="400" w:name="_Toc300835212"/>
      <w:bookmarkStart w:id="401" w:name="_Toc152045790"/>
      <w:bookmarkStart w:id="402" w:name="_Toc247514249"/>
      <w:bookmarkStart w:id="403" w:name="_Toc247527830"/>
    </w:p>
    <w:p>
      <w:pPr>
        <w:pStyle w:val="4"/>
        <w:rPr>
          <w:rFonts w:hint="default" w:ascii="Times New Roman" w:hAnsi="Times New Roman" w:cs="Times New Roman"/>
        </w:rPr>
      </w:pPr>
      <w:r>
        <w:rPr>
          <w:rFonts w:hint="default" w:ascii="Times New Roman" w:hAnsi="Times New Roman" w:cs="Times New Roman"/>
        </w:rPr>
        <w:t>（二）投标函附录</w:t>
      </w:r>
      <w:bookmarkEnd w:id="398"/>
      <w:bookmarkEnd w:id="399"/>
      <w:bookmarkEnd w:id="400"/>
      <w:bookmarkEnd w:id="401"/>
      <w:bookmarkEnd w:id="402"/>
      <w:bookmarkEnd w:id="403"/>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1701"/>
        <w:gridCol w:w="3315"/>
        <w:gridCol w:w="9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序号</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条款名称</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szCs w:val="21"/>
                <w:lang w:val="en-US" w:eastAsia="zh-CN"/>
              </w:rPr>
            </w:pPr>
            <w:r>
              <w:rPr>
                <w:rFonts w:hint="eastAsia" w:ascii="Times New Roman" w:hAnsi="Times New Roman" w:cs="Times New Roman"/>
                <w:b/>
                <w:bCs/>
                <w:szCs w:val="21"/>
                <w:lang w:val="en-US" w:eastAsia="zh-CN"/>
              </w:rPr>
              <w:t>合同条款号</w:t>
            </w:r>
          </w:p>
        </w:tc>
        <w:tc>
          <w:tcPr>
            <w:tcW w:w="331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约定内容</w:t>
            </w:r>
          </w:p>
        </w:tc>
        <w:tc>
          <w:tcPr>
            <w:tcW w:w="95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1</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负责人</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331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姓名：</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身份证号：</w:t>
            </w:r>
          </w:p>
        </w:tc>
        <w:tc>
          <w:tcPr>
            <w:tcW w:w="95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2</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工期</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331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cs="Times New Roman"/>
                <w:szCs w:val="21"/>
                <w:lang w:eastAsia="zh-CN"/>
              </w:rPr>
            </w:pPr>
            <w:r>
              <w:rPr>
                <w:rFonts w:hint="default" w:ascii="Times New Roman" w:hAnsi="Times New Roman" w:cs="Times New Roman"/>
                <w:szCs w:val="21"/>
              </w:rPr>
              <w:t>自合同签订之日起至人防设备通过亳州市人防办验收合格</w:t>
            </w:r>
            <w:r>
              <w:rPr>
                <w:rFonts w:hint="eastAsia" w:ascii="Times New Roman" w:hAnsi="Times New Roman" w:cs="Times New Roman"/>
                <w:szCs w:val="21"/>
                <w:lang w:eastAsia="zh-CN"/>
              </w:rPr>
              <w:t>。</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cs="Times New Roman"/>
                <w:szCs w:val="21"/>
                <w:lang w:eastAsia="zh-CN"/>
              </w:rPr>
            </w:pPr>
            <w:r>
              <w:rPr>
                <w:rFonts w:hint="eastAsia" w:ascii="Times New Roman" w:hAnsi="Times New Roman" w:cs="Times New Roman"/>
                <w:szCs w:val="21"/>
                <w:lang w:val="en-US" w:eastAsia="zh-CN"/>
              </w:rPr>
              <w:t>前期：以合同签订之日起</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个</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日历天内完成制作并安装人防门预埋配件及门框；后期：以建设单位发出通知为准，</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个日历天内完成制作并安装剩余人防门以及通过第三方检测合格。</w:t>
            </w:r>
          </w:p>
        </w:tc>
        <w:tc>
          <w:tcPr>
            <w:tcW w:w="95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718" w:firstLineChars="342"/>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3</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缺陷责任期</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331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ascii="Times New Roman" w:hAnsi="Times New Roman" w:cs="Times New Roman"/>
                <w:szCs w:val="21"/>
              </w:rPr>
            </w:pPr>
            <w:r>
              <w:rPr>
                <w:rFonts w:hint="eastAsia" w:ascii="Times New Roman" w:hAnsi="Times New Roman" w:cs="Times New Roman"/>
                <w:szCs w:val="21"/>
                <w:lang w:val="en-US" w:eastAsia="zh-CN"/>
              </w:rPr>
              <w:t>自亳州市人防主管部门验收合格之日起2年。</w:t>
            </w:r>
          </w:p>
        </w:tc>
        <w:tc>
          <w:tcPr>
            <w:tcW w:w="95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331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w:t>
            </w:r>
          </w:p>
        </w:tc>
        <w:tc>
          <w:tcPr>
            <w:tcW w:w="95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r>
        <w:rPr>
          <w:rFonts w:hint="default" w:ascii="Times New Roman" w:hAnsi="Times New Roman" w:cs="Times New Roman"/>
          <w:szCs w:val="21"/>
        </w:rPr>
        <w:br w:type="page"/>
      </w:r>
    </w:p>
    <w:p>
      <w:pPr>
        <w:pStyle w:val="3"/>
        <w:jc w:val="center"/>
        <w:rPr>
          <w:rFonts w:hint="default" w:ascii="Times New Roman" w:hAnsi="Times New Roman" w:cs="Times New Roman"/>
        </w:rPr>
      </w:pPr>
      <w:bookmarkStart w:id="404" w:name="_Toc247527831"/>
      <w:bookmarkStart w:id="405" w:name="_Toc247514283"/>
      <w:bookmarkStart w:id="406" w:name="_Toc300835213"/>
      <w:bookmarkStart w:id="407" w:name="_Toc152042580"/>
      <w:bookmarkStart w:id="408" w:name="_Toc152045791"/>
      <w:bookmarkStart w:id="409" w:name="_Toc144974860"/>
      <w:r>
        <w:rPr>
          <w:rFonts w:hint="default" w:ascii="Times New Roman" w:hAnsi="Times New Roman" w:cs="Times New Roman"/>
        </w:rPr>
        <w:t>二、法定代表人身份证明</w:t>
      </w:r>
      <w:bookmarkEnd w:id="404"/>
      <w:bookmarkEnd w:id="405"/>
      <w:bookmarkEnd w:id="406"/>
      <w:bookmarkEnd w:id="407"/>
      <w:bookmarkEnd w:id="408"/>
      <w:bookmarkEnd w:id="409"/>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10" w:name="_Toc247514284"/>
      <w:bookmarkStart w:id="411" w:name="_Toc247527832"/>
      <w:bookmarkStart w:id="412" w:name="_Toc300835214"/>
      <w:bookmarkStart w:id="413" w:name="_Toc152045792"/>
      <w:bookmarkStart w:id="414" w:name="_Toc152042581"/>
      <w:bookmarkStart w:id="415" w:name="_Toc144974861"/>
      <w:r>
        <w:rPr>
          <w:rFonts w:hint="default" w:ascii="Times New Roman" w:hAnsi="Times New Roman" w:cs="Times New Roman"/>
        </w:rPr>
        <w:t>二、授权委托书</w:t>
      </w:r>
      <w:bookmarkEnd w:id="410"/>
      <w:bookmarkEnd w:id="411"/>
      <w:bookmarkEnd w:id="412"/>
      <w:bookmarkEnd w:id="413"/>
      <w:bookmarkEnd w:id="414"/>
      <w:bookmarkEnd w:id="415"/>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（项目名称）投标文件、签订合同和处理有关事宜，其法律后果由我方承担。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附：法定代表人身份证明、委托代理人身份证复印件、委托代理人</w:t>
      </w:r>
      <w:r>
        <w:rPr>
          <w:rFonts w:hint="eastAsia" w:ascii="Times New Roman" w:hAnsi="Times New Roman" w:cs="Times New Roman"/>
          <w:szCs w:val="21"/>
          <w:lang w:eastAsia="zh-CN"/>
        </w:rPr>
        <w:t>2023</w:t>
      </w:r>
      <w:r>
        <w:rPr>
          <w:rFonts w:hint="default" w:ascii="Times New Roman" w:hAnsi="Times New Roman" w:cs="Times New Roman"/>
          <w:szCs w:val="21"/>
        </w:rPr>
        <w:t>年</w:t>
      </w:r>
      <w:r>
        <w:rPr>
          <w:rFonts w:hint="eastAsia" w:ascii="Times New Roman" w:hAnsi="Times New Roman" w:cs="Times New Roman"/>
          <w:szCs w:val="21"/>
          <w:lang w:val="en-US" w:eastAsia="zh-CN"/>
        </w:rPr>
        <w:t>6</w:t>
      </w:r>
      <w:r>
        <w:rPr>
          <w:rFonts w:hint="default" w:ascii="Times New Roman" w:hAnsi="Times New Roman" w:cs="Times New Roman"/>
          <w:szCs w:val="21"/>
        </w:rPr>
        <w:t>月以来任意连续3个月的养老保险证明复印件</w:t>
      </w:r>
      <w:r>
        <w:rPr>
          <w:rFonts w:hint="eastAsia" w:ascii="Times New Roman" w:hAnsi="Times New Roman" w:cs="Times New Roman"/>
          <w:szCs w:val="21"/>
          <w:lang w:eastAsia="zh-CN"/>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1575" w:firstLineChars="7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16" w:name="_Toc300835216"/>
      <w:bookmarkStart w:id="417" w:name="_Toc247527834"/>
      <w:bookmarkStart w:id="418" w:name="_Toc247514286"/>
      <w:bookmarkStart w:id="419" w:name="_Toc152045794"/>
      <w:bookmarkStart w:id="420" w:name="_Toc152042583"/>
      <w:bookmarkStart w:id="421" w:name="_Toc144974862"/>
      <w:r>
        <w:rPr>
          <w:rFonts w:hint="default" w:ascii="Times New Roman" w:hAnsi="Times New Roman" w:cs="Times New Roman"/>
          <w:lang w:val="en-US" w:eastAsia="zh-CN"/>
        </w:rPr>
        <w:t>三</w:t>
      </w:r>
      <w:r>
        <w:rPr>
          <w:rFonts w:hint="default" w:ascii="Times New Roman" w:hAnsi="Times New Roman" w:cs="Times New Roman"/>
        </w:rPr>
        <w:t>、投标保证金</w:t>
      </w:r>
      <w:bookmarkEnd w:id="416"/>
      <w:bookmarkEnd w:id="417"/>
      <w:bookmarkEnd w:id="418"/>
      <w:bookmarkEnd w:id="419"/>
      <w:bookmarkEnd w:id="420"/>
      <w:bookmarkEnd w:id="421"/>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22"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422"/>
    <w:p>
      <w:pPr>
        <w:rPr>
          <w:rFonts w:hint="default" w:ascii="Times New Roman" w:hAnsi="Times New Roman" w:cs="Times New Roman"/>
        </w:rPr>
      </w:pPr>
      <w:bookmarkStart w:id="423" w:name="_Toc144974863"/>
      <w:bookmarkStart w:id="424" w:name="_Toc152045795"/>
      <w:bookmarkStart w:id="425" w:name="_Toc247514287"/>
      <w:bookmarkStart w:id="426" w:name="_Toc152042584"/>
      <w:bookmarkStart w:id="427" w:name="_Toc300835218"/>
      <w:bookmarkStart w:id="428" w:name="_Toc247527835"/>
      <w:r>
        <w:rPr>
          <w:rFonts w:hint="default" w:ascii="Times New Roman" w:hAnsi="Times New Roman" w:cs="Times New Roman"/>
        </w:rPr>
        <w:br w:type="page"/>
      </w:r>
    </w:p>
    <w:p>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423"/>
      <w:bookmarkEnd w:id="424"/>
      <w:bookmarkEnd w:id="425"/>
      <w:bookmarkEnd w:id="426"/>
      <w:bookmarkEnd w:id="427"/>
      <w:bookmarkEnd w:id="428"/>
      <w:r>
        <w:rPr>
          <w:rFonts w:hint="eastAsia" w:ascii="Times New Roman" w:hAnsi="Times New Roman" w:cs="Times New Roman"/>
          <w:lang w:val="en-US" w:eastAsia="zh-CN"/>
        </w:rPr>
        <w:t>已标价工程量清单</w:t>
      </w:r>
    </w:p>
    <w:p>
      <w:pPr>
        <w:rPr>
          <w:rFonts w:hint="default" w:ascii="Times New Roman" w:hAnsi="Times New Roman" w:cs="Times New Roman"/>
        </w:rPr>
      </w:pPr>
      <w:bookmarkStart w:id="429" w:name="_Toc300835221"/>
      <w:bookmarkStart w:id="430" w:name="_Toc152042585"/>
      <w:bookmarkStart w:id="431" w:name="_Toc247514288"/>
      <w:bookmarkStart w:id="432" w:name="_Toc247527836"/>
      <w:bookmarkStart w:id="433" w:name="_Toc144974864"/>
      <w:bookmarkStart w:id="434" w:name="_Toc152045796"/>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bookmarkEnd w:id="429"/>
    <w:bookmarkEnd w:id="430"/>
    <w:bookmarkEnd w:id="431"/>
    <w:bookmarkEnd w:id="432"/>
    <w:bookmarkEnd w:id="433"/>
    <w:bookmarkEnd w:id="434"/>
    <w:p>
      <w:pPr>
        <w:pStyle w:val="3"/>
        <w:jc w:val="center"/>
        <w:rPr>
          <w:rFonts w:ascii="Times New Roman" w:hAnsi="Times New Roman" w:cs="Times New Roman"/>
        </w:rPr>
      </w:pPr>
      <w:bookmarkStart w:id="435" w:name="_Toc300835223"/>
      <w:r>
        <w:rPr>
          <w:rFonts w:hint="eastAsia" w:ascii="Times New Roman" w:hAnsi="Times New Roman" w:cs="Times New Roman"/>
        </w:rPr>
        <w:t>五</w:t>
      </w:r>
      <w:r>
        <w:rPr>
          <w:rFonts w:ascii="Times New Roman" w:hAnsi="Times New Roman" w:cs="Times New Roman"/>
        </w:rPr>
        <w:t>、</w:t>
      </w:r>
      <w:r>
        <w:rPr>
          <w:rFonts w:hint="eastAsia" w:ascii="Times New Roman" w:hAnsi="Times New Roman" w:cs="Times New Roman"/>
          <w:lang w:val="en-US" w:eastAsia="zh-CN"/>
        </w:rPr>
        <w:t>专项</w:t>
      </w:r>
      <w:r>
        <w:rPr>
          <w:rFonts w:hint="eastAsia" w:ascii="Times New Roman" w:hAnsi="Times New Roman" w:cs="Times New Roman"/>
        </w:rPr>
        <w:t>施工方案</w:t>
      </w:r>
    </w:p>
    <w:p>
      <w:pPr>
        <w:spacing w:line="440" w:lineRule="exact"/>
        <w:rPr>
          <w:rFonts w:ascii="Times New Roman" w:hAnsi="Times New Roman" w:eastAsia="黑体" w:cs="Times New Roman"/>
          <w:szCs w:val="21"/>
          <w:highlight w:val="green"/>
        </w:rPr>
      </w:pPr>
    </w:p>
    <w:p>
      <w:pPr>
        <w:tabs>
          <w:tab w:val="left" w:pos="720"/>
        </w:tabs>
        <w:spacing w:line="440" w:lineRule="exact"/>
        <w:ind w:firstLine="420" w:firstLineChars="200"/>
        <w:rPr>
          <w:rFonts w:ascii="Times New Roman" w:hAnsi="Times New Roman" w:cs="Times New Roman"/>
          <w:szCs w:val="21"/>
        </w:rPr>
      </w:pPr>
      <w:r>
        <w:rPr>
          <w:rFonts w:ascii="Times New Roman" w:hAnsi="Times New Roman" w:cs="Times New Roman"/>
          <w:szCs w:val="21"/>
        </w:rPr>
        <w:t xml:space="preserve">1. </w:t>
      </w:r>
      <w:r>
        <w:rPr>
          <w:rFonts w:ascii="Times New Roman" w:hAnsi="Times New Roman" w:cs="Times New Roman"/>
          <w:szCs w:val="21"/>
        </w:rPr>
        <w:tab/>
      </w:r>
      <w:r>
        <w:rPr>
          <w:rFonts w:ascii="Times New Roman" w:hAnsi="Times New Roman" w:cs="Times New Roman"/>
          <w:szCs w:val="21"/>
        </w:rPr>
        <w:t>投标人编制</w:t>
      </w:r>
      <w:r>
        <w:rPr>
          <w:rFonts w:hint="eastAsia" w:ascii="Times New Roman" w:hAnsi="Times New Roman" w:cs="Times New Roman"/>
          <w:szCs w:val="21"/>
          <w:lang w:val="en-US" w:eastAsia="zh-CN"/>
        </w:rPr>
        <w:t>专项</w:t>
      </w:r>
      <w:r>
        <w:rPr>
          <w:rFonts w:hint="eastAsia" w:ascii="Times New Roman" w:hAnsi="Times New Roman" w:cs="Times New Roman"/>
          <w:szCs w:val="21"/>
        </w:rPr>
        <w:t>施工方案</w:t>
      </w:r>
      <w:r>
        <w:rPr>
          <w:rFonts w:ascii="Times New Roman" w:hAnsi="Times New Roman" w:cs="Times New Roman"/>
          <w:szCs w:val="21"/>
        </w:rPr>
        <w:t>的要求：编制时应简明扼要地说明施工方法，工程质量、安全生产、文明施工、环境保护、冬雨季施工、工程进度、技术组织等主要措施。用图表形式阐明本项目的施工总平面、进度计划以及拟投入主要施工设备、劳动力、项目管理机构等。</w:t>
      </w:r>
    </w:p>
    <w:p>
      <w:pPr>
        <w:tabs>
          <w:tab w:val="left" w:pos="720"/>
        </w:tabs>
        <w:spacing w:line="440" w:lineRule="exact"/>
        <w:ind w:firstLine="420" w:firstLineChars="200"/>
        <w:rPr>
          <w:rFonts w:ascii="Times New Roman" w:hAnsi="Times New Roman" w:cs="Times New Roman"/>
          <w:szCs w:val="21"/>
        </w:rPr>
      </w:pPr>
      <w:r>
        <w:rPr>
          <w:rFonts w:ascii="Times New Roman" w:hAnsi="Times New Roman" w:cs="Times New Roman"/>
          <w:szCs w:val="21"/>
        </w:rPr>
        <w:t>2. 图表及格式要求：</w:t>
      </w:r>
    </w:p>
    <w:p>
      <w:pPr>
        <w:tabs>
          <w:tab w:val="left" w:pos="720"/>
        </w:tabs>
        <w:spacing w:line="440" w:lineRule="exact"/>
        <w:ind w:firstLine="756" w:firstLineChars="360"/>
        <w:rPr>
          <w:rFonts w:ascii="Times New Roman" w:hAnsi="Times New Roman" w:cs="Times New Roman"/>
          <w:szCs w:val="21"/>
        </w:rPr>
      </w:pPr>
      <w:r>
        <w:rPr>
          <w:rFonts w:ascii="Times New Roman" w:hAnsi="Times New Roman" w:cs="Times New Roman"/>
          <w:szCs w:val="21"/>
        </w:rPr>
        <w:t>附表一  拟投入的主要施工设备表</w:t>
      </w:r>
    </w:p>
    <w:p>
      <w:pPr>
        <w:tabs>
          <w:tab w:val="left" w:pos="720"/>
        </w:tabs>
        <w:spacing w:line="440" w:lineRule="exact"/>
        <w:ind w:firstLine="756" w:firstLineChars="360"/>
        <w:rPr>
          <w:rFonts w:ascii="Times New Roman" w:hAnsi="Times New Roman" w:cs="Times New Roman"/>
          <w:szCs w:val="21"/>
        </w:rPr>
      </w:pPr>
      <w:r>
        <w:rPr>
          <w:rFonts w:ascii="Times New Roman" w:hAnsi="Times New Roman" w:cs="Times New Roman"/>
          <w:szCs w:val="21"/>
        </w:rPr>
        <w:t>附表二  劳动力计划表</w:t>
      </w:r>
    </w:p>
    <w:p>
      <w:pPr>
        <w:tabs>
          <w:tab w:val="left" w:pos="720"/>
        </w:tabs>
        <w:spacing w:line="440" w:lineRule="exact"/>
        <w:ind w:firstLine="756" w:firstLineChars="360"/>
        <w:rPr>
          <w:rFonts w:ascii="Times New Roman" w:hAnsi="Times New Roman" w:cs="Times New Roman"/>
          <w:szCs w:val="21"/>
        </w:rPr>
      </w:pPr>
      <w:r>
        <w:rPr>
          <w:rFonts w:ascii="Times New Roman" w:hAnsi="Times New Roman" w:cs="Times New Roman"/>
          <w:szCs w:val="21"/>
        </w:rPr>
        <w:t>附表三  进度计划</w:t>
      </w:r>
    </w:p>
    <w:p>
      <w:pPr>
        <w:rPr>
          <w:rFonts w:hint="default" w:ascii="Times New Roman" w:hAnsi="Times New Roman" w:cs="Times New Roman"/>
          <w:szCs w:val="21"/>
        </w:rPr>
      </w:pPr>
      <w:r>
        <w:rPr>
          <w:rFonts w:hint="default" w:ascii="Times New Roman" w:hAnsi="Times New Roman" w:cs="Times New Roman"/>
          <w:szCs w:val="21"/>
        </w:rPr>
        <w:br w:type="page"/>
      </w:r>
    </w:p>
    <w:p>
      <w:pPr>
        <w:pStyle w:val="4"/>
        <w:rPr>
          <w:rFonts w:hint="default" w:ascii="Times New Roman" w:hAnsi="Times New Roman" w:cs="Times New Roman"/>
        </w:rPr>
      </w:pPr>
      <w:bookmarkStart w:id="436" w:name="_Toc152045797"/>
      <w:bookmarkStart w:id="437" w:name="_Toc247085883"/>
      <w:bookmarkStart w:id="438" w:name="_Toc246997108"/>
      <w:bookmarkStart w:id="439" w:name="_Toc296602610"/>
      <w:bookmarkStart w:id="440" w:name="_Toc246996365"/>
      <w:bookmarkStart w:id="441" w:name="_Toc152042586"/>
      <w:bookmarkStart w:id="442" w:name="_Toc179632817"/>
      <w:bookmarkStart w:id="443" w:name="_Toc144974865"/>
      <w:r>
        <w:rPr>
          <w:rFonts w:hint="default" w:ascii="Times New Roman" w:hAnsi="Times New Roman" w:cs="Times New Roman"/>
        </w:rPr>
        <w:t>附表一：拟投入本项目的主要施工设备表</w:t>
      </w:r>
      <w:bookmarkEnd w:id="436"/>
      <w:bookmarkEnd w:id="437"/>
      <w:bookmarkEnd w:id="438"/>
      <w:bookmarkEnd w:id="439"/>
      <w:bookmarkEnd w:id="440"/>
      <w:bookmarkEnd w:id="441"/>
      <w:bookmarkEnd w:id="442"/>
      <w:bookmarkEnd w:id="443"/>
    </w:p>
    <w:tbl>
      <w:tblPr>
        <w:tblStyle w:val="18"/>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rPr>
                <w:rFonts w:hint="default" w:ascii="Times New Roman" w:hAnsi="Times New Roman" w:cs="Times New Roman"/>
                <w:szCs w:val="21"/>
              </w:rPr>
            </w:pPr>
            <w:r>
              <w:rPr>
                <w:rFonts w:hint="default" w:ascii="Times New Roman" w:hAnsi="Times New Roman" w:cs="Times New Roman"/>
                <w:szCs w:val="21"/>
              </w:rPr>
              <w:t>序号</w:t>
            </w:r>
          </w:p>
        </w:tc>
        <w:tc>
          <w:tcPr>
            <w:tcW w:w="1086"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设备名称</w:t>
            </w:r>
          </w:p>
        </w:tc>
        <w:tc>
          <w:tcPr>
            <w:tcW w:w="76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型号</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规格</w:t>
            </w:r>
          </w:p>
        </w:tc>
        <w:tc>
          <w:tcPr>
            <w:tcW w:w="990"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数量</w:t>
            </w:r>
          </w:p>
        </w:tc>
        <w:tc>
          <w:tcPr>
            <w:tcW w:w="67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国别</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产地</w:t>
            </w:r>
          </w:p>
        </w:tc>
        <w:tc>
          <w:tcPr>
            <w:tcW w:w="738"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制造</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年份</w:t>
            </w:r>
          </w:p>
        </w:tc>
        <w:tc>
          <w:tcPr>
            <w:tcW w:w="121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额定功率（kW）</w:t>
            </w:r>
          </w:p>
        </w:tc>
        <w:tc>
          <w:tcPr>
            <w:tcW w:w="874"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生产</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能力</w:t>
            </w:r>
          </w:p>
        </w:tc>
        <w:tc>
          <w:tcPr>
            <w:tcW w:w="1055"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用于施工部位</w:t>
            </w:r>
          </w:p>
        </w:tc>
        <w:tc>
          <w:tcPr>
            <w:tcW w:w="69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4"/>
        <w:rPr>
          <w:rFonts w:hint="default" w:ascii="Times New Roman" w:hAnsi="Times New Roman" w:cs="Times New Roman"/>
        </w:rPr>
      </w:pPr>
      <w:bookmarkStart w:id="444" w:name="_Toc296602611"/>
      <w:bookmarkStart w:id="445" w:name="_Toc152042588"/>
      <w:bookmarkStart w:id="446" w:name="_Toc179632819"/>
      <w:bookmarkStart w:id="447" w:name="_Toc246996366"/>
      <w:bookmarkStart w:id="448" w:name="_Toc246997109"/>
      <w:bookmarkStart w:id="449" w:name="_Toc152045799"/>
      <w:bookmarkStart w:id="450" w:name="_Toc144974867"/>
      <w:bookmarkStart w:id="451" w:name="_Toc247085884"/>
      <w:r>
        <w:rPr>
          <w:rFonts w:hint="default" w:ascii="Times New Roman" w:hAnsi="Times New Roman" w:cs="Times New Roman"/>
        </w:rPr>
        <w:t>附表二：劳动力计划表</w:t>
      </w:r>
      <w:bookmarkEnd w:id="444"/>
      <w:bookmarkEnd w:id="445"/>
      <w:bookmarkEnd w:id="446"/>
      <w:bookmarkEnd w:id="447"/>
      <w:bookmarkEnd w:id="448"/>
      <w:bookmarkEnd w:id="449"/>
      <w:bookmarkEnd w:id="450"/>
      <w:bookmarkEnd w:id="451"/>
    </w:p>
    <w:p>
      <w:pPr>
        <w:spacing w:line="440" w:lineRule="exact"/>
        <w:ind w:right="200"/>
        <w:jc w:val="right"/>
        <w:rPr>
          <w:rFonts w:hint="default" w:ascii="Times New Roman" w:hAnsi="Times New Roman" w:eastAsia="黑体" w:cs="Times New Roman"/>
          <w:szCs w:val="21"/>
        </w:rPr>
      </w:pPr>
      <w:r>
        <w:rPr>
          <w:rFonts w:hint="default" w:ascii="Times New Roman" w:hAnsi="Times New Roman" w:eastAsia="黑体" w:cs="Times New Roman"/>
          <w:szCs w:val="21"/>
        </w:rPr>
        <w:t>单位：人</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工种</w:t>
            </w:r>
          </w:p>
        </w:tc>
        <w:tc>
          <w:tcPr>
            <w:tcW w:w="7693" w:type="dxa"/>
            <w:gridSpan w:val="7"/>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bl>
    <w:p>
      <w:pPr>
        <w:pStyle w:val="11"/>
        <w:rPr>
          <w:rFonts w:hint="default" w:ascii="Times New Roman" w:hAnsi="Times New Roman" w:cs="Times New Roman"/>
        </w:rPr>
      </w:pPr>
      <w:bookmarkStart w:id="452" w:name="_Toc179632820"/>
      <w:bookmarkStart w:id="453" w:name="_Toc144974868"/>
      <w:bookmarkStart w:id="454" w:name="_Toc152045800"/>
      <w:bookmarkStart w:id="455" w:name="_Toc246997110"/>
      <w:bookmarkStart w:id="456" w:name="_Toc246996367"/>
      <w:bookmarkStart w:id="457" w:name="_Toc152042589"/>
    </w:p>
    <w:p>
      <w:pPr>
        <w:pStyle w:val="11"/>
        <w:rPr>
          <w:rFonts w:hint="default" w:ascii="Times New Roman" w:hAnsi="Times New Roman" w:cs="Times New Roman"/>
        </w:rPr>
      </w:pPr>
      <w:r>
        <w:rPr>
          <w:rFonts w:hint="default" w:ascii="Times New Roman" w:hAnsi="Times New Roman" w:cs="Times New Roman"/>
        </w:rPr>
        <w:br w:type="page"/>
      </w:r>
    </w:p>
    <w:p>
      <w:pPr>
        <w:pStyle w:val="4"/>
        <w:rPr>
          <w:rFonts w:hint="default" w:ascii="Times New Roman" w:hAnsi="Times New Roman" w:cs="Times New Roman"/>
        </w:rPr>
      </w:pPr>
      <w:bookmarkStart w:id="458" w:name="_Toc247085885"/>
      <w:bookmarkStart w:id="459" w:name="_Toc296602612"/>
      <w:r>
        <w:rPr>
          <w:rFonts w:hint="default" w:ascii="Times New Roman" w:hAnsi="Times New Roman" w:cs="Times New Roman"/>
        </w:rPr>
        <w:t>附表三：进度计划</w:t>
      </w:r>
      <w:bookmarkEnd w:id="452"/>
      <w:bookmarkEnd w:id="453"/>
      <w:bookmarkEnd w:id="454"/>
      <w:bookmarkEnd w:id="455"/>
      <w:bookmarkEnd w:id="456"/>
      <w:bookmarkEnd w:id="457"/>
      <w:bookmarkEnd w:id="458"/>
      <w:bookmarkEnd w:id="459"/>
    </w:p>
    <w:p>
      <w:pPr>
        <w:spacing w:line="440" w:lineRule="exact"/>
        <w:rPr>
          <w:rFonts w:hint="default" w:ascii="Times New Roman" w:hAnsi="Times New Roman" w:eastAsia="黑体" w:cs="Times New Roman"/>
          <w:sz w:val="20"/>
          <w:szCs w:val="20"/>
        </w:rPr>
      </w:pP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1. 投标人应递交施工进度网络图或施工进度表，说明按招标文件要求的计划工期进行施工的各个关键日期。</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施工进度表可采用网络图或横道图表示。</w:t>
      </w:r>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cs="Times New Roman"/>
          <w:szCs w:val="21"/>
        </w:rPr>
      </w:pPr>
      <w:r>
        <w:rPr>
          <w:sz w:val="20"/>
        </w:rPr>
        <w:br w:type="page"/>
      </w:r>
    </w:p>
    <w:bookmarkEnd w:id="435"/>
    <w:p>
      <w:pPr>
        <w:pStyle w:val="3"/>
        <w:jc w:val="center"/>
        <w:rPr>
          <w:szCs w:val="21"/>
        </w:rPr>
      </w:pPr>
      <w:bookmarkStart w:id="460" w:name="_Toc246996369"/>
      <w:bookmarkStart w:id="461" w:name="_Toc152042592"/>
      <w:bookmarkStart w:id="462" w:name="_Toc296602614"/>
      <w:bookmarkStart w:id="463" w:name="_Toc246997112"/>
      <w:bookmarkStart w:id="464" w:name="_Toc179632823"/>
      <w:bookmarkStart w:id="465" w:name="_Toc247085887"/>
      <w:bookmarkStart w:id="466" w:name="_Toc152045803"/>
      <w:bookmarkStart w:id="467" w:name="_Toc144974871"/>
      <w:bookmarkStart w:id="468" w:name="_Toc247514300"/>
      <w:bookmarkStart w:id="469" w:name="_Toc152042597"/>
      <w:bookmarkStart w:id="470" w:name="_Toc152045808"/>
      <w:bookmarkStart w:id="471" w:name="_Toc300835224"/>
      <w:bookmarkStart w:id="472" w:name="_Toc144974876"/>
      <w:bookmarkStart w:id="473" w:name="_Toc247527848"/>
      <w:r>
        <w:rPr>
          <w:rFonts w:hint="eastAsia"/>
        </w:rPr>
        <w:t>六</w:t>
      </w:r>
      <w:r>
        <w:t>、项目管理机构</w:t>
      </w:r>
      <w:bookmarkEnd w:id="460"/>
      <w:bookmarkEnd w:id="461"/>
      <w:bookmarkEnd w:id="462"/>
      <w:bookmarkEnd w:id="463"/>
      <w:bookmarkEnd w:id="464"/>
      <w:bookmarkEnd w:id="465"/>
      <w:bookmarkEnd w:id="466"/>
      <w:bookmarkEnd w:id="467"/>
    </w:p>
    <w:p>
      <w:pPr>
        <w:spacing w:line="440" w:lineRule="exact"/>
        <w:jc w:val="center"/>
        <w:rPr>
          <w:rFonts w:eastAsia="黑体"/>
          <w:sz w:val="23"/>
          <w:szCs w:val="23"/>
        </w:rPr>
      </w:pPr>
    </w:p>
    <w:p>
      <w:pPr>
        <w:pStyle w:val="4"/>
        <w:jc w:val="both"/>
      </w:pPr>
      <w:bookmarkStart w:id="474" w:name="_Toc246997113"/>
      <w:bookmarkStart w:id="475" w:name="_Toc247085888"/>
      <w:bookmarkStart w:id="476" w:name="_Toc296602615"/>
      <w:bookmarkStart w:id="477" w:name="_Toc246996370"/>
      <w:r>
        <w:t>（一）项目管理机构组成表</w:t>
      </w:r>
      <w:bookmarkEnd w:id="474"/>
      <w:bookmarkEnd w:id="475"/>
      <w:bookmarkEnd w:id="476"/>
      <w:bookmarkEnd w:id="477"/>
    </w:p>
    <w:p>
      <w:pPr>
        <w:spacing w:line="440" w:lineRule="exact"/>
        <w:jc w:val="center"/>
        <w:rPr>
          <w:rFonts w:eastAsia="黑体"/>
          <w:sz w:val="23"/>
          <w:szCs w:val="23"/>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4"/>
        <w:jc w:val="both"/>
      </w:pPr>
      <w:bookmarkStart w:id="478" w:name="_Toc296602616"/>
      <w:bookmarkStart w:id="479" w:name="_Toc247085889"/>
      <w:bookmarkStart w:id="480" w:name="_Toc246997114"/>
      <w:bookmarkStart w:id="481" w:name="_Toc246996371"/>
      <w:r>
        <w:t>（二）</w:t>
      </w:r>
      <w:r>
        <w:rPr>
          <w:rFonts w:hint="eastAsia"/>
          <w:lang w:eastAsia="zh-CN"/>
        </w:rPr>
        <w:t>项目负责人</w:t>
      </w:r>
      <w:r>
        <w:t>简历表</w:t>
      </w:r>
      <w:bookmarkEnd w:id="478"/>
      <w:bookmarkEnd w:id="479"/>
      <w:bookmarkEnd w:id="480"/>
      <w:bookmarkEnd w:id="481"/>
    </w:p>
    <w:p>
      <w:pPr>
        <w:spacing w:line="400" w:lineRule="exact"/>
        <w:ind w:firstLine="420" w:firstLineChars="200"/>
        <w:rPr>
          <w:rFonts w:hint="eastAsia"/>
        </w:rPr>
      </w:pPr>
      <w:r>
        <w:rPr>
          <w:rFonts w:hint="eastAsia"/>
        </w:rPr>
        <w:t>应附注册建造师执业资格证书、身份证、职称证</w:t>
      </w:r>
      <w:r>
        <w:rPr>
          <w:rFonts w:hint="eastAsia"/>
          <w:lang w:eastAsia="zh-CN"/>
        </w:rPr>
        <w:t>（</w:t>
      </w:r>
      <w:r>
        <w:rPr>
          <w:rFonts w:hint="eastAsia"/>
          <w:lang w:val="en-US" w:eastAsia="zh-CN"/>
        </w:rPr>
        <w:t>如有</w:t>
      </w:r>
      <w:r>
        <w:rPr>
          <w:rFonts w:hint="eastAsia"/>
          <w:lang w:eastAsia="zh-CN"/>
        </w:rPr>
        <w:t>）</w:t>
      </w:r>
      <w:r>
        <w:rPr>
          <w:rFonts w:hint="eastAsia"/>
        </w:rPr>
        <w:t>、学历证、养老保险复印件，管理过的项目业绩须附合同协议书复印件。</w:t>
      </w:r>
    </w:p>
    <w:p>
      <w:pPr>
        <w:topLinePunct/>
        <w:spacing w:line="440" w:lineRule="exact"/>
        <w:jc w:val="center"/>
        <w:rPr>
          <w:rFonts w:eastAsia="黑体"/>
          <w:sz w:val="23"/>
          <w:szCs w:val="23"/>
        </w:rPr>
      </w:pP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ascii="宋体" w:hAnsi="宋体"/>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eastAsia"/>
        </w:rPr>
      </w:pPr>
      <w:bookmarkStart w:id="482" w:name="_Toc179632827"/>
      <w:bookmarkStart w:id="483" w:name="_Toc296602617"/>
      <w:bookmarkStart w:id="484" w:name="_Toc152042596"/>
      <w:bookmarkStart w:id="485" w:name="_Toc246997115"/>
      <w:bookmarkStart w:id="486" w:name="_Toc144974875"/>
      <w:bookmarkStart w:id="487" w:name="_Toc247085890"/>
      <w:bookmarkStart w:id="488" w:name="_Toc246996372"/>
      <w:bookmarkStart w:id="489" w:name="_Toc152045807"/>
      <w:r>
        <w:rPr>
          <w:rFonts w:hint="eastAsia"/>
        </w:rPr>
        <w:t>七</w:t>
      </w:r>
      <w:r>
        <w:t>、资格审查资料</w:t>
      </w:r>
      <w:bookmarkEnd w:id="482"/>
      <w:bookmarkEnd w:id="483"/>
      <w:bookmarkEnd w:id="484"/>
      <w:bookmarkEnd w:id="485"/>
      <w:bookmarkEnd w:id="486"/>
      <w:bookmarkEnd w:id="487"/>
      <w:bookmarkEnd w:id="488"/>
      <w:bookmarkEnd w:id="489"/>
    </w:p>
    <w:p>
      <w:pPr>
        <w:pStyle w:val="4"/>
        <w:jc w:val="both"/>
        <w:rPr>
          <w:rFonts w:hint="eastAsia"/>
        </w:rPr>
      </w:pPr>
      <w:bookmarkStart w:id="490" w:name="_Toc246996373"/>
      <w:bookmarkStart w:id="491" w:name="_Toc179632828"/>
      <w:bookmarkStart w:id="492" w:name="_Toc247085891"/>
      <w:bookmarkStart w:id="493" w:name="_Toc296602618"/>
      <w:bookmarkStart w:id="494" w:name="_Toc246997116"/>
      <w:r>
        <w:t>（一）投标人基本情况表</w:t>
      </w:r>
      <w:bookmarkEnd w:id="490"/>
      <w:bookmarkEnd w:id="491"/>
      <w:bookmarkEnd w:id="492"/>
      <w:bookmarkEnd w:id="493"/>
      <w:bookmarkEnd w:id="494"/>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bookmarkEnd w:id="468"/>
    <w:bookmarkEnd w:id="469"/>
    <w:bookmarkEnd w:id="470"/>
    <w:bookmarkEnd w:id="471"/>
    <w:bookmarkEnd w:id="472"/>
    <w:bookmarkEnd w:id="473"/>
    <w:p>
      <w:pPr>
        <w:pStyle w:val="4"/>
        <w:rPr>
          <w:rFonts w:hint="default" w:ascii="Times New Roman" w:hAnsi="Times New Roman" w:cs="Times New Roman"/>
        </w:rPr>
      </w:pPr>
      <w:bookmarkStart w:id="495" w:name="_Toc144974877"/>
      <w:bookmarkStart w:id="496" w:name="_Toc300835225"/>
      <w:bookmarkStart w:id="497" w:name="_Toc152045809"/>
      <w:bookmarkStart w:id="498" w:name="_Toc247527849"/>
      <w:bookmarkStart w:id="499" w:name="_Toc247514301"/>
      <w:bookmarkStart w:id="500" w:name="_Toc152042598"/>
      <w:r>
        <w:rPr>
          <w:rFonts w:hint="default" w:ascii="Times New Roman" w:hAnsi="Times New Roman" w:cs="Times New Roman"/>
        </w:rPr>
        <w:t>（二）近年财务状况表</w:t>
      </w:r>
      <w:bookmarkEnd w:id="495"/>
      <w:bookmarkEnd w:id="496"/>
      <w:bookmarkEnd w:id="497"/>
      <w:bookmarkEnd w:id="498"/>
      <w:bookmarkEnd w:id="499"/>
      <w:bookmarkEnd w:id="500"/>
    </w:p>
    <w:p>
      <w:pPr>
        <w:topLinePunct/>
        <w:spacing w:line="440" w:lineRule="exact"/>
        <w:ind w:firstLine="420" w:firstLineChars="200"/>
        <w:rPr>
          <w:rFonts w:hint="eastAsia" w:ascii="Times New Roman" w:hAnsi="Times New Roman"/>
          <w:color w:val="000000"/>
        </w:rPr>
      </w:pPr>
      <w:r>
        <w:rPr>
          <w:rFonts w:hint="eastAsia" w:ascii="Times New Roman" w:hAnsi="Times New Roman"/>
          <w:color w:val="000000"/>
        </w:rPr>
        <w:t>“近年财务状况表”应附经会计师事务所或审计机构审计的财务会计报表，包括资产</w:t>
      </w:r>
      <w:r>
        <w:rPr>
          <w:rFonts w:hint="eastAsia" w:ascii="Times New Roman" w:hAnsi="Times New Roman"/>
          <w:color w:val="000000"/>
          <w:lang w:val="en-US" w:eastAsia="zh-CN"/>
        </w:rPr>
        <w:t>负</w:t>
      </w:r>
      <w:r>
        <w:rPr>
          <w:rFonts w:hint="eastAsia" w:ascii="Times New Roman" w:hAnsi="Times New Roman"/>
          <w:color w:val="000000"/>
        </w:rPr>
        <w:t>债表、现金流量表、利润表和财务情况说明书的复印件，具体年份要求见投标人须知前附表。</w:t>
      </w:r>
    </w:p>
    <w:p>
      <w:pPr>
        <w:topLinePunct/>
        <w:spacing w:line="440" w:lineRule="exact"/>
        <w:ind w:firstLine="420" w:firstLineChars="200"/>
        <w:rPr>
          <w:rFonts w:hint="default" w:ascii="Times New Roman" w:hAnsi="Times New Roman" w:eastAsia="黑体" w:cs="Times New Roman"/>
          <w:sz w:val="23"/>
          <w:szCs w:val="23"/>
        </w:rPr>
      </w:pPr>
      <w:r>
        <w:rPr>
          <w:rFonts w:hint="eastAsia" w:ascii="Times New Roman" w:hAnsi="Times New Roman"/>
          <w:color w:val="000000"/>
        </w:rPr>
        <w:t>投标人的成立时间少于投标人须知前附表规定年份的，应提供成立以来的财务状况表。</w:t>
      </w:r>
      <w:r>
        <w:rPr>
          <w:rFonts w:hint="default" w:ascii="Times New Roman" w:hAnsi="Times New Roman" w:eastAsia="黑体" w:cs="Times New Roman"/>
          <w:sz w:val="20"/>
          <w:szCs w:val="20"/>
        </w:rPr>
        <w:br w:type="page"/>
      </w:r>
    </w:p>
    <w:p>
      <w:pPr>
        <w:pStyle w:val="4"/>
        <w:rPr>
          <w:rFonts w:hint="default" w:ascii="Times New Roman" w:hAnsi="Times New Roman" w:cs="Times New Roman"/>
        </w:rPr>
      </w:pPr>
      <w:bookmarkStart w:id="501" w:name="_Toc300835226"/>
      <w:bookmarkStart w:id="502" w:name="_Toc152042599"/>
      <w:bookmarkStart w:id="503" w:name="_Toc152045810"/>
      <w:bookmarkStart w:id="504" w:name="_Toc247514302"/>
      <w:bookmarkStart w:id="505" w:name="_Toc144974878"/>
      <w:bookmarkStart w:id="506" w:name="_Toc247527850"/>
      <w:r>
        <w:rPr>
          <w:rFonts w:hint="default" w:ascii="Times New Roman" w:hAnsi="Times New Roman" w:cs="Times New Roman"/>
        </w:rPr>
        <w:t>（三）近年完成的类似项目情况表</w:t>
      </w:r>
      <w:bookmarkEnd w:id="501"/>
      <w:bookmarkEnd w:id="502"/>
      <w:bookmarkEnd w:id="503"/>
      <w:bookmarkEnd w:id="504"/>
      <w:bookmarkEnd w:id="505"/>
      <w:bookmarkEnd w:id="506"/>
    </w:p>
    <w:p>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rPr>
              <w:t>竣工</w:t>
            </w:r>
            <w:r>
              <w:rPr>
                <w:rFonts w:hint="default" w:ascii="Times New Roman" w:hAnsi="Times New Roman" w:cs="Times New Roman"/>
                <w:szCs w:val="21"/>
              </w:rPr>
              <w:t>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507" w:name="_Toc247514303"/>
      <w:bookmarkStart w:id="508" w:name="_Toc152042600"/>
      <w:bookmarkStart w:id="509" w:name="_Toc152045811"/>
      <w:bookmarkStart w:id="510" w:name="_Toc144974879"/>
      <w:bookmarkStart w:id="511" w:name="_Toc247527851"/>
    </w:p>
    <w:p>
      <w:pPr>
        <w:spacing w:line="440" w:lineRule="exact"/>
        <w:rPr>
          <w:rFonts w:hint="default" w:ascii="Times New Roman" w:hAnsi="Times New Roman" w:cs="Times New Roman"/>
        </w:rPr>
      </w:pPr>
    </w:p>
    <w:p>
      <w:pPr>
        <w:pStyle w:val="4"/>
        <w:rPr>
          <w:rFonts w:hint="default" w:ascii="Times New Roman" w:hAnsi="Times New Roman" w:cs="Times New Roman"/>
        </w:rPr>
      </w:pPr>
      <w:bookmarkStart w:id="512" w:name="_Toc300835227"/>
      <w:r>
        <w:rPr>
          <w:rFonts w:hint="default" w:ascii="Times New Roman" w:hAnsi="Times New Roman" w:cs="Times New Roman"/>
        </w:rPr>
        <w:t>（四）正在实施的和新承接的项目情况表</w:t>
      </w:r>
      <w:bookmarkEnd w:id="507"/>
      <w:bookmarkEnd w:id="508"/>
      <w:bookmarkEnd w:id="509"/>
      <w:bookmarkEnd w:id="510"/>
      <w:bookmarkEnd w:id="511"/>
      <w:bookmarkEnd w:id="512"/>
    </w:p>
    <w:p>
      <w:pPr>
        <w:spacing w:line="440" w:lineRule="exact"/>
        <w:rPr>
          <w:rFonts w:hint="default" w:ascii="Times New Roman" w:hAnsi="Times New Roman" w:eastAsia="黑体" w:cs="Times New Roman"/>
          <w:sz w:val="20"/>
          <w:szCs w:val="20"/>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签约合同价</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计划</w:t>
            </w:r>
            <w:r>
              <w:rPr>
                <w:rFonts w:hint="default" w:ascii="Times New Roman" w:hAnsi="Times New Roman" w:cs="Times New Roman"/>
              </w:rPr>
              <w:t>竣工</w:t>
            </w:r>
            <w:r>
              <w:rPr>
                <w:rFonts w:hint="default" w:ascii="Times New Roman" w:hAnsi="Times New Roman" w:cs="Times New Roman"/>
                <w:szCs w:val="21"/>
              </w:rPr>
              <w:t>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40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40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513" w:name="_Toc247527852"/>
      <w:bookmarkStart w:id="514" w:name="_Toc144974880"/>
      <w:bookmarkStart w:id="515" w:name="_Toc152045812"/>
      <w:bookmarkStart w:id="516" w:name="_Toc247514304"/>
      <w:bookmarkStart w:id="517" w:name="_Toc152042601"/>
    </w:p>
    <w:p>
      <w:pPr>
        <w:spacing w:line="440" w:lineRule="exact"/>
        <w:rPr>
          <w:rFonts w:hint="default" w:ascii="Times New Roman" w:hAnsi="Times New Roman" w:cs="Times New Roman"/>
        </w:rPr>
      </w:pPr>
    </w:p>
    <w:bookmarkEnd w:id="513"/>
    <w:bookmarkEnd w:id="514"/>
    <w:bookmarkEnd w:id="515"/>
    <w:bookmarkEnd w:id="516"/>
    <w:bookmarkEnd w:id="517"/>
    <w:p>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pPr>
        <w:spacing w:line="440" w:lineRule="exact"/>
        <w:ind w:firstLine="420" w:firstLineChars="200"/>
        <w:rPr>
          <w:rFonts w:hint="default" w:ascii="Times New Roman" w:hAnsi="Times New Roman" w:eastAsiaTheme="minorEastAsia"/>
          <w:color w:val="000000"/>
          <w:lang w:val="en-US" w:eastAsia="zh-CN"/>
        </w:rPr>
      </w:pPr>
      <w:permStart w:id="73" w:edGrp="everyone"/>
      <w:r>
        <w:rPr>
          <w:rFonts w:ascii="Times New Roman" w:hAnsi="Times New Roman"/>
        </w:rPr>
        <w:t>注：</w:t>
      </w:r>
      <w:r>
        <w:rPr>
          <w:rFonts w:hint="eastAsia" w:ascii="Times New Roman" w:hAnsi="Times New Roman"/>
          <w:lang w:val="en-US" w:eastAsia="zh-CN"/>
        </w:rPr>
        <w:t>如有，按招标文件要求提供。</w:t>
      </w:r>
    </w:p>
    <w:permEnd w:id="73"/>
    <w:p>
      <w:pPr>
        <w:spacing w:line="440" w:lineRule="exact"/>
        <w:rPr>
          <w:rFonts w:hint="default" w:ascii="Times New Roman" w:hAnsi="Times New Roman" w:cs="Times New Roman"/>
        </w:rPr>
      </w:pPr>
      <w:r>
        <w:rPr>
          <w:rFonts w:hint="default" w:ascii="Times New Roman" w:hAnsi="Times New Roman" w:cs="Times New Roman"/>
        </w:rPr>
        <w:br w:type="page"/>
      </w:r>
      <w:bookmarkStart w:id="518" w:name="_Toc247527853"/>
      <w:bookmarkStart w:id="519" w:name="_Toc144974881"/>
      <w:bookmarkStart w:id="520" w:name="_Toc247530162"/>
      <w:bookmarkStart w:id="521" w:name="_Toc152042602"/>
      <w:bookmarkStart w:id="522" w:name="_Toc152045813"/>
      <w:bookmarkStart w:id="523" w:name="_Toc247514305"/>
    </w:p>
    <w:bookmarkEnd w:id="518"/>
    <w:bookmarkEnd w:id="519"/>
    <w:bookmarkEnd w:id="520"/>
    <w:bookmarkEnd w:id="521"/>
    <w:bookmarkEnd w:id="522"/>
    <w:bookmarkEnd w:id="523"/>
    <w:p>
      <w:pPr>
        <w:pStyle w:val="3"/>
        <w:jc w:val="center"/>
        <w:rPr>
          <w:rFonts w:hint="default" w:ascii="Times New Roman" w:hAnsi="Times New Roman" w:cs="Times New Roman"/>
        </w:rPr>
      </w:pPr>
      <w:bookmarkStart w:id="524" w:name="_Toc271821942"/>
      <w:bookmarkStart w:id="525" w:name="_Toc300835233"/>
      <w:r>
        <w:rPr>
          <w:rFonts w:hint="eastAsia" w:ascii="Times New Roman" w:hAnsi="Times New Roman" w:cs="Times New Roman"/>
          <w:lang w:val="en-US" w:eastAsia="zh-CN"/>
        </w:rPr>
        <w:t>八</w:t>
      </w:r>
      <w:r>
        <w:rPr>
          <w:rFonts w:hint="default" w:ascii="Times New Roman" w:hAnsi="Times New Roman" w:cs="Times New Roman"/>
        </w:rPr>
        <w:t>、其他资料</w:t>
      </w:r>
      <w:bookmarkEnd w:id="524"/>
      <w:bookmarkEnd w:id="525"/>
    </w:p>
    <w:p>
      <w:pPr>
        <w:ind w:firstLine="420" w:firstLineChars="200"/>
        <w:rPr>
          <w:rFonts w:hint="eastAsia" w:ascii="Times New Roman" w:hAnsi="Times New Roman" w:eastAsiaTheme="minorEastAsia"/>
          <w:lang w:eastAsia="zh-CN"/>
        </w:rPr>
      </w:pPr>
      <w:permStart w:id="74" w:edGrp="everyone"/>
      <w:r>
        <w:rPr>
          <w:rFonts w:hint="eastAsia" w:ascii="Times New Roman" w:hAnsi="Times New Roman"/>
        </w:rPr>
        <w:t>第</w:t>
      </w:r>
      <w:r>
        <w:rPr>
          <w:rFonts w:hint="eastAsia" w:ascii="Times New Roman" w:hAnsi="Times New Roman"/>
          <w:lang w:val="en-US" w:eastAsia="zh-CN"/>
        </w:rPr>
        <w:t>八</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ermEnd w:id="74"/>
    <w:p>
      <w:pPr>
        <w:spacing w:line="400" w:lineRule="exact"/>
        <w:rPr>
          <w:rFonts w:hint="default" w:ascii="Times New Roman" w:hAnsi="Times New Roman" w:cs="Times New Roman"/>
        </w:rPr>
      </w:pPr>
    </w:p>
    <w:p>
      <w:pPr>
        <w:pStyle w:val="6"/>
        <w:rPr>
          <w:rFonts w:hint="default" w:ascii="Times New Roman" w:hAnsi="Times New Roman" w:cs="Times New Roman"/>
        </w:rPr>
      </w:pP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95C28991-E640-40C5-913B-568CC0097A2B}"/>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60336FCF-1B15-455A-B592-8D00943AA42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3" w:fontKey="{8422FE29-9767-458E-9CF4-9924A35297D7}"/>
  </w:font>
  <w:font w:name="方正小标宋简体">
    <w:panose1 w:val="03000509000000000000"/>
    <w:charset w:val="86"/>
    <w:family w:val="auto"/>
    <w:pitch w:val="default"/>
    <w:sig w:usb0="00000001" w:usb1="080E0000" w:usb2="00000000" w:usb3="00000000" w:csb0="00040000" w:csb1="00000000"/>
    <w:embedRegular r:id="rId4" w:fontKey="{9A2F0FAD-14FA-4457-8394-A34E12CD64C9}"/>
  </w:font>
  <w:font w:name="楷体">
    <w:panose1 w:val="02010609060101010101"/>
    <w:charset w:val="86"/>
    <w:family w:val="auto"/>
    <w:pitch w:val="default"/>
    <w:sig w:usb0="800002BF" w:usb1="38CF7CFA" w:usb2="00000016" w:usb3="00000000" w:csb0="00040001" w:csb1="00000000"/>
    <w:embedRegular r:id="rId5" w:fontKey="{ECF8EB88-E361-4617-9D83-91DC57DA897C}"/>
  </w:font>
  <w:font w:name="Wingdings 2">
    <w:panose1 w:val="05020102010507070707"/>
    <w:charset w:val="00"/>
    <w:family w:val="auto"/>
    <w:pitch w:val="default"/>
    <w:sig w:usb0="00000000" w:usb1="00000000" w:usb2="00000000" w:usb3="00000000" w:csb0="80000000" w:csb1="00000000"/>
    <w:embedRegular r:id="rId6" w:fontKey="{32C73A4A-6509-4AA9-B707-20ECF0355488}"/>
  </w:font>
  <w:font w:name="_x000B__x000C_">
    <w:altName w:val="Times New Roman"/>
    <w:panose1 w:val="00000000000000000000"/>
    <w:charset w:val="00"/>
    <w:family w:val="roman"/>
    <w:pitch w:val="default"/>
    <w:sig w:usb0="00000000" w:usb1="00000000" w:usb2="00000000" w:usb3="00000000" w:csb0="00000001" w:csb1="00000000"/>
  </w:font>
  <w:font w:name="MingLiU">
    <w:panose1 w:val="02020509000000000000"/>
    <w:charset w:val="88"/>
    <w:family w:val="modern"/>
    <w:pitch w:val="default"/>
    <w:sig w:usb0="A00002FF" w:usb1="28CFFCFA" w:usb2="00000016" w:usb3="00000000" w:csb0="00100001" w:csb1="00000000"/>
    <w:embedRegular r:id="rId7" w:fontKey="{E59AE526-B622-4F0C-A611-1F3CDC0704D3}"/>
  </w:font>
  <w:font w:name="楷体_GB2312">
    <w:panose1 w:val="02010609030101010101"/>
    <w:charset w:val="86"/>
    <w:family w:val="modern"/>
    <w:pitch w:val="default"/>
    <w:sig w:usb0="00000001" w:usb1="080E0000" w:usb2="00000000" w:usb3="00000000" w:csb0="00040000" w:csb1="00000000"/>
    <w:embedRegular r:id="rId8" w:fontKey="{F4C54A57-A814-4ACF-8A53-EC58FACA9A2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ZmU1NzVmNjhkMDIxNjU5ZDRhNTBkNWVmYjUyMGYifQ=="/>
  </w:docVars>
  <w:rsids>
    <w:rsidRoot w:val="00000000"/>
    <w:rsid w:val="000A4B92"/>
    <w:rsid w:val="002609D3"/>
    <w:rsid w:val="002C069E"/>
    <w:rsid w:val="0040224D"/>
    <w:rsid w:val="00733B0B"/>
    <w:rsid w:val="00764376"/>
    <w:rsid w:val="00796B76"/>
    <w:rsid w:val="00850CC0"/>
    <w:rsid w:val="00A850CE"/>
    <w:rsid w:val="00B00F2F"/>
    <w:rsid w:val="00F4022E"/>
    <w:rsid w:val="00FF308E"/>
    <w:rsid w:val="011E6004"/>
    <w:rsid w:val="0145105E"/>
    <w:rsid w:val="01581C5E"/>
    <w:rsid w:val="019846E3"/>
    <w:rsid w:val="01CB0CDF"/>
    <w:rsid w:val="01CD2334"/>
    <w:rsid w:val="01E140D3"/>
    <w:rsid w:val="01F16263"/>
    <w:rsid w:val="02016132"/>
    <w:rsid w:val="021D1F07"/>
    <w:rsid w:val="021D348F"/>
    <w:rsid w:val="026E5FAB"/>
    <w:rsid w:val="029702A0"/>
    <w:rsid w:val="02983D41"/>
    <w:rsid w:val="029F2BC9"/>
    <w:rsid w:val="02A31129"/>
    <w:rsid w:val="02A46690"/>
    <w:rsid w:val="02AC508C"/>
    <w:rsid w:val="02BE075F"/>
    <w:rsid w:val="02F4317E"/>
    <w:rsid w:val="0324584F"/>
    <w:rsid w:val="032652C7"/>
    <w:rsid w:val="033964DC"/>
    <w:rsid w:val="035021B2"/>
    <w:rsid w:val="03696450"/>
    <w:rsid w:val="038E65F9"/>
    <w:rsid w:val="03C10800"/>
    <w:rsid w:val="03C8709D"/>
    <w:rsid w:val="03C96DCC"/>
    <w:rsid w:val="03FB71CD"/>
    <w:rsid w:val="04127BBC"/>
    <w:rsid w:val="041515CF"/>
    <w:rsid w:val="04210376"/>
    <w:rsid w:val="04212D24"/>
    <w:rsid w:val="042C575E"/>
    <w:rsid w:val="04382327"/>
    <w:rsid w:val="043A6EF6"/>
    <w:rsid w:val="043F5557"/>
    <w:rsid w:val="044363A4"/>
    <w:rsid w:val="04885B47"/>
    <w:rsid w:val="04A52387"/>
    <w:rsid w:val="04B54547"/>
    <w:rsid w:val="04CD15E8"/>
    <w:rsid w:val="04CF4810"/>
    <w:rsid w:val="04D63FDF"/>
    <w:rsid w:val="04EB08D2"/>
    <w:rsid w:val="04EC7DA2"/>
    <w:rsid w:val="050252F6"/>
    <w:rsid w:val="055625ED"/>
    <w:rsid w:val="0572490A"/>
    <w:rsid w:val="057E3D65"/>
    <w:rsid w:val="058253F2"/>
    <w:rsid w:val="05872EB9"/>
    <w:rsid w:val="05933026"/>
    <w:rsid w:val="05BA17C0"/>
    <w:rsid w:val="05D9116E"/>
    <w:rsid w:val="061F0438"/>
    <w:rsid w:val="06225487"/>
    <w:rsid w:val="06292F58"/>
    <w:rsid w:val="063F4D83"/>
    <w:rsid w:val="064B59D4"/>
    <w:rsid w:val="06501BB5"/>
    <w:rsid w:val="065D00E9"/>
    <w:rsid w:val="06624967"/>
    <w:rsid w:val="06626753"/>
    <w:rsid w:val="06714440"/>
    <w:rsid w:val="067240CC"/>
    <w:rsid w:val="06866D3C"/>
    <w:rsid w:val="06972E4E"/>
    <w:rsid w:val="06A31B6E"/>
    <w:rsid w:val="06A848F7"/>
    <w:rsid w:val="06B86823"/>
    <w:rsid w:val="06BF2153"/>
    <w:rsid w:val="06D375E0"/>
    <w:rsid w:val="06D9502E"/>
    <w:rsid w:val="06E329B2"/>
    <w:rsid w:val="06EB4F76"/>
    <w:rsid w:val="06ED1728"/>
    <w:rsid w:val="06F81D74"/>
    <w:rsid w:val="074267A8"/>
    <w:rsid w:val="074A7C93"/>
    <w:rsid w:val="075F4568"/>
    <w:rsid w:val="07666E00"/>
    <w:rsid w:val="07723470"/>
    <w:rsid w:val="077965A7"/>
    <w:rsid w:val="07832BA1"/>
    <w:rsid w:val="07972327"/>
    <w:rsid w:val="07A85930"/>
    <w:rsid w:val="07EE56D8"/>
    <w:rsid w:val="08075C8C"/>
    <w:rsid w:val="083726B7"/>
    <w:rsid w:val="08554A0D"/>
    <w:rsid w:val="08563EE1"/>
    <w:rsid w:val="086D3DA1"/>
    <w:rsid w:val="08774BE1"/>
    <w:rsid w:val="088F5820"/>
    <w:rsid w:val="08903F11"/>
    <w:rsid w:val="08932D8F"/>
    <w:rsid w:val="08ED571D"/>
    <w:rsid w:val="08F53A28"/>
    <w:rsid w:val="0922447E"/>
    <w:rsid w:val="0926237D"/>
    <w:rsid w:val="092D0C4C"/>
    <w:rsid w:val="096213E6"/>
    <w:rsid w:val="09641BD1"/>
    <w:rsid w:val="0967298A"/>
    <w:rsid w:val="098F4C8F"/>
    <w:rsid w:val="099948FD"/>
    <w:rsid w:val="09A71C3D"/>
    <w:rsid w:val="09AF2C22"/>
    <w:rsid w:val="09B32D8C"/>
    <w:rsid w:val="09C37FE6"/>
    <w:rsid w:val="09D236A1"/>
    <w:rsid w:val="09DB25D9"/>
    <w:rsid w:val="09DF226A"/>
    <w:rsid w:val="09EC69D2"/>
    <w:rsid w:val="0A074254"/>
    <w:rsid w:val="0A195A3E"/>
    <w:rsid w:val="0A1E12A6"/>
    <w:rsid w:val="0A3B332D"/>
    <w:rsid w:val="0A500304"/>
    <w:rsid w:val="0A5234C1"/>
    <w:rsid w:val="0A704DEE"/>
    <w:rsid w:val="0A8B5261"/>
    <w:rsid w:val="0A8E5075"/>
    <w:rsid w:val="0AA20E8B"/>
    <w:rsid w:val="0AA913FB"/>
    <w:rsid w:val="0AAE6B76"/>
    <w:rsid w:val="0AB37F43"/>
    <w:rsid w:val="0AB930A2"/>
    <w:rsid w:val="0ADD0DF0"/>
    <w:rsid w:val="0AEB40E8"/>
    <w:rsid w:val="0B416906"/>
    <w:rsid w:val="0B5D1C2A"/>
    <w:rsid w:val="0B685C3C"/>
    <w:rsid w:val="0B7202E7"/>
    <w:rsid w:val="0B991D46"/>
    <w:rsid w:val="0B9F686D"/>
    <w:rsid w:val="0BDE31B0"/>
    <w:rsid w:val="0C110CA2"/>
    <w:rsid w:val="0C2E5244"/>
    <w:rsid w:val="0C3F7190"/>
    <w:rsid w:val="0C773477"/>
    <w:rsid w:val="0C9F113B"/>
    <w:rsid w:val="0CD3448B"/>
    <w:rsid w:val="0CF072F3"/>
    <w:rsid w:val="0D2466BD"/>
    <w:rsid w:val="0D3A1668"/>
    <w:rsid w:val="0D5C2246"/>
    <w:rsid w:val="0D6A3C45"/>
    <w:rsid w:val="0D7F3B4D"/>
    <w:rsid w:val="0D84383E"/>
    <w:rsid w:val="0DA13B17"/>
    <w:rsid w:val="0DA277FF"/>
    <w:rsid w:val="0DA77C5A"/>
    <w:rsid w:val="0DB8057F"/>
    <w:rsid w:val="0DC57869"/>
    <w:rsid w:val="0DD331D8"/>
    <w:rsid w:val="0DDB677F"/>
    <w:rsid w:val="0DFB7EEE"/>
    <w:rsid w:val="0E093A81"/>
    <w:rsid w:val="0E1201C4"/>
    <w:rsid w:val="0E3B2427"/>
    <w:rsid w:val="0E3C08A3"/>
    <w:rsid w:val="0E626142"/>
    <w:rsid w:val="0E6D3EE4"/>
    <w:rsid w:val="0E8168AC"/>
    <w:rsid w:val="0E9601D9"/>
    <w:rsid w:val="0ED97EA7"/>
    <w:rsid w:val="0EDF4D5E"/>
    <w:rsid w:val="0EF860F0"/>
    <w:rsid w:val="0F024085"/>
    <w:rsid w:val="0F1438EF"/>
    <w:rsid w:val="0F463825"/>
    <w:rsid w:val="0F4B0F6A"/>
    <w:rsid w:val="0F575798"/>
    <w:rsid w:val="0F5F5CB1"/>
    <w:rsid w:val="0F6D192D"/>
    <w:rsid w:val="0F6E4AA0"/>
    <w:rsid w:val="0F886069"/>
    <w:rsid w:val="0F8A2D10"/>
    <w:rsid w:val="0FA819A2"/>
    <w:rsid w:val="0FA946D1"/>
    <w:rsid w:val="0FCA08C0"/>
    <w:rsid w:val="0FCA14B6"/>
    <w:rsid w:val="0FE42DE8"/>
    <w:rsid w:val="0FFA6EBC"/>
    <w:rsid w:val="101038A7"/>
    <w:rsid w:val="101E2D38"/>
    <w:rsid w:val="10446D2F"/>
    <w:rsid w:val="104957CA"/>
    <w:rsid w:val="104D6EF3"/>
    <w:rsid w:val="105C0433"/>
    <w:rsid w:val="1069417C"/>
    <w:rsid w:val="106C1E4B"/>
    <w:rsid w:val="108A23D3"/>
    <w:rsid w:val="1095135B"/>
    <w:rsid w:val="10D35E97"/>
    <w:rsid w:val="11114551"/>
    <w:rsid w:val="112269D1"/>
    <w:rsid w:val="11356135"/>
    <w:rsid w:val="11800917"/>
    <w:rsid w:val="118955AD"/>
    <w:rsid w:val="11970BCB"/>
    <w:rsid w:val="1197226B"/>
    <w:rsid w:val="11AA0839"/>
    <w:rsid w:val="11C42470"/>
    <w:rsid w:val="11C71895"/>
    <w:rsid w:val="11CD444A"/>
    <w:rsid w:val="11E2334D"/>
    <w:rsid w:val="11F058CE"/>
    <w:rsid w:val="11FC3F3B"/>
    <w:rsid w:val="124D3BAD"/>
    <w:rsid w:val="125A52C4"/>
    <w:rsid w:val="12655D96"/>
    <w:rsid w:val="128E3C38"/>
    <w:rsid w:val="12B320C8"/>
    <w:rsid w:val="12BF2922"/>
    <w:rsid w:val="12C942C8"/>
    <w:rsid w:val="12DC5F5E"/>
    <w:rsid w:val="12DC7F8C"/>
    <w:rsid w:val="12E82A0B"/>
    <w:rsid w:val="131873D2"/>
    <w:rsid w:val="13274F9C"/>
    <w:rsid w:val="13417410"/>
    <w:rsid w:val="134A448A"/>
    <w:rsid w:val="134F7EA7"/>
    <w:rsid w:val="135107A8"/>
    <w:rsid w:val="136066CF"/>
    <w:rsid w:val="13657E31"/>
    <w:rsid w:val="136C3340"/>
    <w:rsid w:val="1387094F"/>
    <w:rsid w:val="139C08EB"/>
    <w:rsid w:val="13B679AD"/>
    <w:rsid w:val="13D35238"/>
    <w:rsid w:val="13D81B1F"/>
    <w:rsid w:val="14061B66"/>
    <w:rsid w:val="142B5FE2"/>
    <w:rsid w:val="14542872"/>
    <w:rsid w:val="147E2423"/>
    <w:rsid w:val="1487273A"/>
    <w:rsid w:val="148C28CB"/>
    <w:rsid w:val="14944440"/>
    <w:rsid w:val="14A059A0"/>
    <w:rsid w:val="14B97B05"/>
    <w:rsid w:val="14CD31B9"/>
    <w:rsid w:val="14DA6BBE"/>
    <w:rsid w:val="14E67563"/>
    <w:rsid w:val="14F926F4"/>
    <w:rsid w:val="15021B62"/>
    <w:rsid w:val="150A21BA"/>
    <w:rsid w:val="151779D1"/>
    <w:rsid w:val="1522437E"/>
    <w:rsid w:val="15283931"/>
    <w:rsid w:val="15382F40"/>
    <w:rsid w:val="158374C1"/>
    <w:rsid w:val="15A62ECC"/>
    <w:rsid w:val="15B14179"/>
    <w:rsid w:val="15C516BD"/>
    <w:rsid w:val="15CD7A4B"/>
    <w:rsid w:val="166266B1"/>
    <w:rsid w:val="16C724D4"/>
    <w:rsid w:val="16D411E7"/>
    <w:rsid w:val="16ED0036"/>
    <w:rsid w:val="170756D4"/>
    <w:rsid w:val="170F4587"/>
    <w:rsid w:val="172F4AF3"/>
    <w:rsid w:val="176115DC"/>
    <w:rsid w:val="176D7525"/>
    <w:rsid w:val="17824660"/>
    <w:rsid w:val="178D2C0D"/>
    <w:rsid w:val="178F2FF8"/>
    <w:rsid w:val="179121FE"/>
    <w:rsid w:val="17915931"/>
    <w:rsid w:val="17B22B7E"/>
    <w:rsid w:val="17C41ABF"/>
    <w:rsid w:val="17F760BC"/>
    <w:rsid w:val="18175D56"/>
    <w:rsid w:val="18276B10"/>
    <w:rsid w:val="189B5F22"/>
    <w:rsid w:val="18A70256"/>
    <w:rsid w:val="18A944F8"/>
    <w:rsid w:val="18B73074"/>
    <w:rsid w:val="18DA76F1"/>
    <w:rsid w:val="19034C2D"/>
    <w:rsid w:val="1916127C"/>
    <w:rsid w:val="19366330"/>
    <w:rsid w:val="193D465D"/>
    <w:rsid w:val="193D4E12"/>
    <w:rsid w:val="196C6238"/>
    <w:rsid w:val="198A59D6"/>
    <w:rsid w:val="199D7E14"/>
    <w:rsid w:val="19A73D74"/>
    <w:rsid w:val="19AA5416"/>
    <w:rsid w:val="19CE7FF6"/>
    <w:rsid w:val="19D70C6D"/>
    <w:rsid w:val="19E2271F"/>
    <w:rsid w:val="1A075570"/>
    <w:rsid w:val="1A1C623A"/>
    <w:rsid w:val="1A270D5F"/>
    <w:rsid w:val="1A4D4CED"/>
    <w:rsid w:val="1A797469"/>
    <w:rsid w:val="1A7A1340"/>
    <w:rsid w:val="1A8850B8"/>
    <w:rsid w:val="1A9B5FFB"/>
    <w:rsid w:val="1AA066C8"/>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94EBC"/>
    <w:rsid w:val="1B8C1172"/>
    <w:rsid w:val="1B9269B7"/>
    <w:rsid w:val="1BB12BB2"/>
    <w:rsid w:val="1BCE49E9"/>
    <w:rsid w:val="1BD12722"/>
    <w:rsid w:val="1BD15865"/>
    <w:rsid w:val="1BFE7E24"/>
    <w:rsid w:val="1C100B6A"/>
    <w:rsid w:val="1C2075D6"/>
    <w:rsid w:val="1C2B6CB4"/>
    <w:rsid w:val="1C3774BA"/>
    <w:rsid w:val="1C5D5F8B"/>
    <w:rsid w:val="1C6E241C"/>
    <w:rsid w:val="1CB07DF9"/>
    <w:rsid w:val="1CC3681B"/>
    <w:rsid w:val="1CF251D3"/>
    <w:rsid w:val="1CFF3217"/>
    <w:rsid w:val="1D0C3E62"/>
    <w:rsid w:val="1D1D0D81"/>
    <w:rsid w:val="1D4565F3"/>
    <w:rsid w:val="1D5835F0"/>
    <w:rsid w:val="1D60106B"/>
    <w:rsid w:val="1D8C5045"/>
    <w:rsid w:val="1D9244F8"/>
    <w:rsid w:val="1D931CEA"/>
    <w:rsid w:val="1DC177D9"/>
    <w:rsid w:val="1DFA5AEB"/>
    <w:rsid w:val="1E1A236E"/>
    <w:rsid w:val="1E225BB3"/>
    <w:rsid w:val="1E2A6113"/>
    <w:rsid w:val="1E2D212B"/>
    <w:rsid w:val="1E2E6E13"/>
    <w:rsid w:val="1E32182A"/>
    <w:rsid w:val="1E5A61EE"/>
    <w:rsid w:val="1E713E2F"/>
    <w:rsid w:val="1E997889"/>
    <w:rsid w:val="1EA573D8"/>
    <w:rsid w:val="1EB0513B"/>
    <w:rsid w:val="1EB56ABF"/>
    <w:rsid w:val="1EB72F76"/>
    <w:rsid w:val="1EE36B2C"/>
    <w:rsid w:val="1EF342CB"/>
    <w:rsid w:val="1F020A44"/>
    <w:rsid w:val="1F041BC7"/>
    <w:rsid w:val="1F127B09"/>
    <w:rsid w:val="1F2111C5"/>
    <w:rsid w:val="1F2354C8"/>
    <w:rsid w:val="1F36160E"/>
    <w:rsid w:val="1F3F33F9"/>
    <w:rsid w:val="1F5D00BF"/>
    <w:rsid w:val="1F640255"/>
    <w:rsid w:val="1F671677"/>
    <w:rsid w:val="1F722047"/>
    <w:rsid w:val="1F904945"/>
    <w:rsid w:val="1FAA6A2E"/>
    <w:rsid w:val="1FC11059"/>
    <w:rsid w:val="1FDC7161"/>
    <w:rsid w:val="1FE570E2"/>
    <w:rsid w:val="1FE7673E"/>
    <w:rsid w:val="200E38F2"/>
    <w:rsid w:val="201E585F"/>
    <w:rsid w:val="2049266D"/>
    <w:rsid w:val="20534B67"/>
    <w:rsid w:val="20557DC5"/>
    <w:rsid w:val="205A5C16"/>
    <w:rsid w:val="205B7D6A"/>
    <w:rsid w:val="207C33EE"/>
    <w:rsid w:val="2081342E"/>
    <w:rsid w:val="209740BF"/>
    <w:rsid w:val="2099242E"/>
    <w:rsid w:val="20B0411F"/>
    <w:rsid w:val="20D658C9"/>
    <w:rsid w:val="20D95B5B"/>
    <w:rsid w:val="20DC2416"/>
    <w:rsid w:val="20F22231"/>
    <w:rsid w:val="21015C26"/>
    <w:rsid w:val="21121083"/>
    <w:rsid w:val="211518DD"/>
    <w:rsid w:val="212B2F31"/>
    <w:rsid w:val="21327DB2"/>
    <w:rsid w:val="213D6756"/>
    <w:rsid w:val="213D7BD8"/>
    <w:rsid w:val="214C4EC5"/>
    <w:rsid w:val="2153567F"/>
    <w:rsid w:val="21592826"/>
    <w:rsid w:val="217422B6"/>
    <w:rsid w:val="2188758A"/>
    <w:rsid w:val="21A61686"/>
    <w:rsid w:val="21C1113B"/>
    <w:rsid w:val="21C13A32"/>
    <w:rsid w:val="22266257"/>
    <w:rsid w:val="22270787"/>
    <w:rsid w:val="224D73DD"/>
    <w:rsid w:val="22592601"/>
    <w:rsid w:val="22603DB2"/>
    <w:rsid w:val="226D7B83"/>
    <w:rsid w:val="228622C2"/>
    <w:rsid w:val="2293123C"/>
    <w:rsid w:val="22A570EC"/>
    <w:rsid w:val="22B61C24"/>
    <w:rsid w:val="22B660C8"/>
    <w:rsid w:val="232E56FD"/>
    <w:rsid w:val="233F5F96"/>
    <w:rsid w:val="235F4D23"/>
    <w:rsid w:val="236D4028"/>
    <w:rsid w:val="238A4DFC"/>
    <w:rsid w:val="24226CC5"/>
    <w:rsid w:val="24312A4A"/>
    <w:rsid w:val="244A5E9A"/>
    <w:rsid w:val="244C4BB8"/>
    <w:rsid w:val="245F6120"/>
    <w:rsid w:val="24635DDC"/>
    <w:rsid w:val="24691193"/>
    <w:rsid w:val="246C3A46"/>
    <w:rsid w:val="247152E7"/>
    <w:rsid w:val="24DA1CDC"/>
    <w:rsid w:val="24FF7718"/>
    <w:rsid w:val="251A7612"/>
    <w:rsid w:val="25237A22"/>
    <w:rsid w:val="252C329A"/>
    <w:rsid w:val="252E0774"/>
    <w:rsid w:val="25481BCE"/>
    <w:rsid w:val="256221F5"/>
    <w:rsid w:val="256E1E26"/>
    <w:rsid w:val="257C3C98"/>
    <w:rsid w:val="25812F8D"/>
    <w:rsid w:val="25814DB7"/>
    <w:rsid w:val="25824959"/>
    <w:rsid w:val="25826736"/>
    <w:rsid w:val="25987A23"/>
    <w:rsid w:val="25BC46FF"/>
    <w:rsid w:val="25C517A2"/>
    <w:rsid w:val="25EF41EA"/>
    <w:rsid w:val="25F5789E"/>
    <w:rsid w:val="25FD6A72"/>
    <w:rsid w:val="2608561B"/>
    <w:rsid w:val="26196938"/>
    <w:rsid w:val="26261861"/>
    <w:rsid w:val="26382AAC"/>
    <w:rsid w:val="26506FAD"/>
    <w:rsid w:val="26656277"/>
    <w:rsid w:val="26663117"/>
    <w:rsid w:val="267771CA"/>
    <w:rsid w:val="26807144"/>
    <w:rsid w:val="268A362E"/>
    <w:rsid w:val="269560EE"/>
    <w:rsid w:val="26AF686C"/>
    <w:rsid w:val="26CA60FC"/>
    <w:rsid w:val="26D16018"/>
    <w:rsid w:val="26DB3228"/>
    <w:rsid w:val="26DF6074"/>
    <w:rsid w:val="26E05716"/>
    <w:rsid w:val="26FE679C"/>
    <w:rsid w:val="27301EDB"/>
    <w:rsid w:val="27453115"/>
    <w:rsid w:val="276C029F"/>
    <w:rsid w:val="27867E0A"/>
    <w:rsid w:val="27982DD4"/>
    <w:rsid w:val="27DD09CE"/>
    <w:rsid w:val="27EC553C"/>
    <w:rsid w:val="280C4BFC"/>
    <w:rsid w:val="2813394B"/>
    <w:rsid w:val="281C1F63"/>
    <w:rsid w:val="281C54D8"/>
    <w:rsid w:val="283610D5"/>
    <w:rsid w:val="285F5293"/>
    <w:rsid w:val="28622D71"/>
    <w:rsid w:val="286E69FD"/>
    <w:rsid w:val="28C56178"/>
    <w:rsid w:val="28FA546B"/>
    <w:rsid w:val="28FE025E"/>
    <w:rsid w:val="29245F1A"/>
    <w:rsid w:val="29366359"/>
    <w:rsid w:val="29586D7A"/>
    <w:rsid w:val="29772B51"/>
    <w:rsid w:val="29791894"/>
    <w:rsid w:val="2984235F"/>
    <w:rsid w:val="29967FD2"/>
    <w:rsid w:val="29A52D8F"/>
    <w:rsid w:val="29C56C3A"/>
    <w:rsid w:val="29D85278"/>
    <w:rsid w:val="29E1380C"/>
    <w:rsid w:val="29E85046"/>
    <w:rsid w:val="2A017BFD"/>
    <w:rsid w:val="2A0A71F8"/>
    <w:rsid w:val="2A4913A2"/>
    <w:rsid w:val="2A9154D8"/>
    <w:rsid w:val="2AA04C57"/>
    <w:rsid w:val="2AD750C3"/>
    <w:rsid w:val="2AE77D08"/>
    <w:rsid w:val="2AEA3011"/>
    <w:rsid w:val="2B252D72"/>
    <w:rsid w:val="2B312EF9"/>
    <w:rsid w:val="2B3E0375"/>
    <w:rsid w:val="2B406E77"/>
    <w:rsid w:val="2B492499"/>
    <w:rsid w:val="2B652A8D"/>
    <w:rsid w:val="2B6C55DB"/>
    <w:rsid w:val="2B8D5640"/>
    <w:rsid w:val="2BF4029C"/>
    <w:rsid w:val="2C1C6937"/>
    <w:rsid w:val="2C202757"/>
    <w:rsid w:val="2C270D43"/>
    <w:rsid w:val="2C6436A6"/>
    <w:rsid w:val="2C78619D"/>
    <w:rsid w:val="2C7A2A8F"/>
    <w:rsid w:val="2C9023A5"/>
    <w:rsid w:val="2C937549"/>
    <w:rsid w:val="2C9D6A04"/>
    <w:rsid w:val="2CB62598"/>
    <w:rsid w:val="2CBC136A"/>
    <w:rsid w:val="2CD47877"/>
    <w:rsid w:val="2CFE607B"/>
    <w:rsid w:val="2D095409"/>
    <w:rsid w:val="2D3A3199"/>
    <w:rsid w:val="2D4B38E7"/>
    <w:rsid w:val="2D5470D9"/>
    <w:rsid w:val="2D551303"/>
    <w:rsid w:val="2D772574"/>
    <w:rsid w:val="2D8D31B7"/>
    <w:rsid w:val="2D8D5835"/>
    <w:rsid w:val="2DAB1C25"/>
    <w:rsid w:val="2DCC12FC"/>
    <w:rsid w:val="2DD66E3A"/>
    <w:rsid w:val="2DF17A39"/>
    <w:rsid w:val="2DF17D73"/>
    <w:rsid w:val="2E652B8E"/>
    <w:rsid w:val="2E66167A"/>
    <w:rsid w:val="2E6C7EF1"/>
    <w:rsid w:val="2E6D69DB"/>
    <w:rsid w:val="2E6F6584"/>
    <w:rsid w:val="2E7823B0"/>
    <w:rsid w:val="2E933BCE"/>
    <w:rsid w:val="2E9C6490"/>
    <w:rsid w:val="2EA40069"/>
    <w:rsid w:val="2EAA3B87"/>
    <w:rsid w:val="2EB66E96"/>
    <w:rsid w:val="2EBC23A0"/>
    <w:rsid w:val="2EFA0191"/>
    <w:rsid w:val="2F436846"/>
    <w:rsid w:val="2F4556CE"/>
    <w:rsid w:val="2F6F3C93"/>
    <w:rsid w:val="2F754A27"/>
    <w:rsid w:val="2FA76965"/>
    <w:rsid w:val="2FB1448A"/>
    <w:rsid w:val="2FC802AE"/>
    <w:rsid w:val="301C41BF"/>
    <w:rsid w:val="302369A0"/>
    <w:rsid w:val="303474C0"/>
    <w:rsid w:val="305C41A9"/>
    <w:rsid w:val="30820205"/>
    <w:rsid w:val="308E41B5"/>
    <w:rsid w:val="30952C59"/>
    <w:rsid w:val="30FF4D69"/>
    <w:rsid w:val="3113559B"/>
    <w:rsid w:val="311978DB"/>
    <w:rsid w:val="312421F6"/>
    <w:rsid w:val="3127420C"/>
    <w:rsid w:val="31477BEB"/>
    <w:rsid w:val="315523B1"/>
    <w:rsid w:val="3198056E"/>
    <w:rsid w:val="31B45EC9"/>
    <w:rsid w:val="31CD31BF"/>
    <w:rsid w:val="31E10F55"/>
    <w:rsid w:val="31F462C5"/>
    <w:rsid w:val="320B7F80"/>
    <w:rsid w:val="3219008D"/>
    <w:rsid w:val="32215B79"/>
    <w:rsid w:val="322241F2"/>
    <w:rsid w:val="3229379D"/>
    <w:rsid w:val="32294133"/>
    <w:rsid w:val="322D5AFA"/>
    <w:rsid w:val="32514C44"/>
    <w:rsid w:val="328916BE"/>
    <w:rsid w:val="32974C7A"/>
    <w:rsid w:val="32BB4ABE"/>
    <w:rsid w:val="32C8549C"/>
    <w:rsid w:val="32CA16D9"/>
    <w:rsid w:val="32CB34CA"/>
    <w:rsid w:val="32E83928"/>
    <w:rsid w:val="32F45590"/>
    <w:rsid w:val="331C19F3"/>
    <w:rsid w:val="33380434"/>
    <w:rsid w:val="33773188"/>
    <w:rsid w:val="337E77C9"/>
    <w:rsid w:val="338F53C2"/>
    <w:rsid w:val="33925662"/>
    <w:rsid w:val="339B7AA1"/>
    <w:rsid w:val="33A35479"/>
    <w:rsid w:val="33B7637D"/>
    <w:rsid w:val="33D4661F"/>
    <w:rsid w:val="33ED39C2"/>
    <w:rsid w:val="340F56DE"/>
    <w:rsid w:val="3425597D"/>
    <w:rsid w:val="342A5DF5"/>
    <w:rsid w:val="344851FD"/>
    <w:rsid w:val="349B5E0E"/>
    <w:rsid w:val="34A432B6"/>
    <w:rsid w:val="34AA020B"/>
    <w:rsid w:val="34BB748D"/>
    <w:rsid w:val="34BC17DA"/>
    <w:rsid w:val="34D015E3"/>
    <w:rsid w:val="34F85DA8"/>
    <w:rsid w:val="3509398E"/>
    <w:rsid w:val="3547266B"/>
    <w:rsid w:val="3554479E"/>
    <w:rsid w:val="357D63E5"/>
    <w:rsid w:val="357F00D0"/>
    <w:rsid w:val="35894506"/>
    <w:rsid w:val="35A377DB"/>
    <w:rsid w:val="35AE5EB4"/>
    <w:rsid w:val="35E7387F"/>
    <w:rsid w:val="35E81F7A"/>
    <w:rsid w:val="35F52BF3"/>
    <w:rsid w:val="360530D8"/>
    <w:rsid w:val="3605698A"/>
    <w:rsid w:val="36162F1C"/>
    <w:rsid w:val="363277D2"/>
    <w:rsid w:val="366244D5"/>
    <w:rsid w:val="36A82C1D"/>
    <w:rsid w:val="36B34449"/>
    <w:rsid w:val="36C342D9"/>
    <w:rsid w:val="370F2E93"/>
    <w:rsid w:val="370F32ED"/>
    <w:rsid w:val="374E35E0"/>
    <w:rsid w:val="37560CC6"/>
    <w:rsid w:val="378D0CEB"/>
    <w:rsid w:val="379A026D"/>
    <w:rsid w:val="379D2F5B"/>
    <w:rsid w:val="37A2207E"/>
    <w:rsid w:val="37A2434F"/>
    <w:rsid w:val="37ED6D6E"/>
    <w:rsid w:val="380C3B20"/>
    <w:rsid w:val="381039F4"/>
    <w:rsid w:val="38422CE2"/>
    <w:rsid w:val="38464281"/>
    <w:rsid w:val="386E21B0"/>
    <w:rsid w:val="38AE496C"/>
    <w:rsid w:val="38B54D45"/>
    <w:rsid w:val="38D242CD"/>
    <w:rsid w:val="38DC4910"/>
    <w:rsid w:val="393E0C7A"/>
    <w:rsid w:val="39470BCD"/>
    <w:rsid w:val="39821F75"/>
    <w:rsid w:val="398B5520"/>
    <w:rsid w:val="398C3DB7"/>
    <w:rsid w:val="39AB6275"/>
    <w:rsid w:val="39E17621"/>
    <w:rsid w:val="39F227B1"/>
    <w:rsid w:val="3A151290"/>
    <w:rsid w:val="3A201663"/>
    <w:rsid w:val="3A257964"/>
    <w:rsid w:val="3A292038"/>
    <w:rsid w:val="3A4A1178"/>
    <w:rsid w:val="3A4A33B1"/>
    <w:rsid w:val="3A524E6B"/>
    <w:rsid w:val="3A762A49"/>
    <w:rsid w:val="3A79380C"/>
    <w:rsid w:val="3A826354"/>
    <w:rsid w:val="3A9C399E"/>
    <w:rsid w:val="3A9D28F5"/>
    <w:rsid w:val="3ACD43C9"/>
    <w:rsid w:val="3AFF2C64"/>
    <w:rsid w:val="3B2F69DB"/>
    <w:rsid w:val="3B79226F"/>
    <w:rsid w:val="3B904834"/>
    <w:rsid w:val="3B932344"/>
    <w:rsid w:val="3B9D20F5"/>
    <w:rsid w:val="3BA0301A"/>
    <w:rsid w:val="3BB33F88"/>
    <w:rsid w:val="3BD93153"/>
    <w:rsid w:val="3BDA6996"/>
    <w:rsid w:val="3C0A3047"/>
    <w:rsid w:val="3C2E50FB"/>
    <w:rsid w:val="3C37637A"/>
    <w:rsid w:val="3C4A12AD"/>
    <w:rsid w:val="3C5125FC"/>
    <w:rsid w:val="3C690ECB"/>
    <w:rsid w:val="3C860AC6"/>
    <w:rsid w:val="3C960BC8"/>
    <w:rsid w:val="3C9848A1"/>
    <w:rsid w:val="3CA509B7"/>
    <w:rsid w:val="3CA509D1"/>
    <w:rsid w:val="3CD537E6"/>
    <w:rsid w:val="3CD93879"/>
    <w:rsid w:val="3D02592B"/>
    <w:rsid w:val="3D2571D3"/>
    <w:rsid w:val="3D7A2818"/>
    <w:rsid w:val="3D8106EA"/>
    <w:rsid w:val="3D834DF8"/>
    <w:rsid w:val="3DA352B1"/>
    <w:rsid w:val="3DBA61E7"/>
    <w:rsid w:val="3DD55956"/>
    <w:rsid w:val="3E0778AE"/>
    <w:rsid w:val="3E100FFC"/>
    <w:rsid w:val="3E201534"/>
    <w:rsid w:val="3E492913"/>
    <w:rsid w:val="3E651EE9"/>
    <w:rsid w:val="3E784A78"/>
    <w:rsid w:val="3E8554F5"/>
    <w:rsid w:val="3EB65E71"/>
    <w:rsid w:val="3EC33032"/>
    <w:rsid w:val="3EC61DB3"/>
    <w:rsid w:val="3EF62661"/>
    <w:rsid w:val="3F3C595E"/>
    <w:rsid w:val="3F59346C"/>
    <w:rsid w:val="3F657308"/>
    <w:rsid w:val="3F7856B5"/>
    <w:rsid w:val="3F7970EE"/>
    <w:rsid w:val="3F8003ED"/>
    <w:rsid w:val="3FC519F7"/>
    <w:rsid w:val="3FD0326B"/>
    <w:rsid w:val="3FD34D1A"/>
    <w:rsid w:val="3FED63B1"/>
    <w:rsid w:val="40031733"/>
    <w:rsid w:val="40076D3D"/>
    <w:rsid w:val="401F65F0"/>
    <w:rsid w:val="402D56FF"/>
    <w:rsid w:val="404470DB"/>
    <w:rsid w:val="404C2292"/>
    <w:rsid w:val="405D572D"/>
    <w:rsid w:val="408D1EA0"/>
    <w:rsid w:val="408E2DBF"/>
    <w:rsid w:val="409D2A1A"/>
    <w:rsid w:val="40A752D1"/>
    <w:rsid w:val="40B21FB5"/>
    <w:rsid w:val="40B95E2E"/>
    <w:rsid w:val="40C17F9E"/>
    <w:rsid w:val="40C43B66"/>
    <w:rsid w:val="40E247F7"/>
    <w:rsid w:val="40EE5966"/>
    <w:rsid w:val="410F1967"/>
    <w:rsid w:val="41335FC7"/>
    <w:rsid w:val="415978C8"/>
    <w:rsid w:val="415C1B4D"/>
    <w:rsid w:val="417843F2"/>
    <w:rsid w:val="41865B29"/>
    <w:rsid w:val="418A1799"/>
    <w:rsid w:val="41A61C3F"/>
    <w:rsid w:val="41B17185"/>
    <w:rsid w:val="41F05895"/>
    <w:rsid w:val="420C70DA"/>
    <w:rsid w:val="4226611D"/>
    <w:rsid w:val="425402BB"/>
    <w:rsid w:val="42564ADA"/>
    <w:rsid w:val="42747A95"/>
    <w:rsid w:val="427E52C8"/>
    <w:rsid w:val="429D02B3"/>
    <w:rsid w:val="42FA6BD0"/>
    <w:rsid w:val="42FB4E01"/>
    <w:rsid w:val="4301585B"/>
    <w:rsid w:val="431B31A4"/>
    <w:rsid w:val="43325808"/>
    <w:rsid w:val="433E1CAF"/>
    <w:rsid w:val="43412297"/>
    <w:rsid w:val="43413ED4"/>
    <w:rsid w:val="43594499"/>
    <w:rsid w:val="43636C3F"/>
    <w:rsid w:val="436E5353"/>
    <w:rsid w:val="438073DF"/>
    <w:rsid w:val="439D6340"/>
    <w:rsid w:val="43FD7280"/>
    <w:rsid w:val="441532B2"/>
    <w:rsid w:val="441C5686"/>
    <w:rsid w:val="441E55BD"/>
    <w:rsid w:val="442C59F4"/>
    <w:rsid w:val="442C5CE7"/>
    <w:rsid w:val="443010C9"/>
    <w:rsid w:val="443F7EE3"/>
    <w:rsid w:val="44477A7A"/>
    <w:rsid w:val="445A5900"/>
    <w:rsid w:val="44831552"/>
    <w:rsid w:val="44A72CB4"/>
    <w:rsid w:val="44DC0CFE"/>
    <w:rsid w:val="44DC4FCA"/>
    <w:rsid w:val="44FD1C6D"/>
    <w:rsid w:val="45197B79"/>
    <w:rsid w:val="453F207E"/>
    <w:rsid w:val="454276A8"/>
    <w:rsid w:val="45465AD9"/>
    <w:rsid w:val="45575091"/>
    <w:rsid w:val="4577525A"/>
    <w:rsid w:val="457C4AF8"/>
    <w:rsid w:val="45A100BA"/>
    <w:rsid w:val="45A31600"/>
    <w:rsid w:val="45CA5863"/>
    <w:rsid w:val="45E526C2"/>
    <w:rsid w:val="45EF5694"/>
    <w:rsid w:val="45F32D75"/>
    <w:rsid w:val="45FE4441"/>
    <w:rsid w:val="460934CE"/>
    <w:rsid w:val="461F685B"/>
    <w:rsid w:val="463A35BA"/>
    <w:rsid w:val="464478D6"/>
    <w:rsid w:val="46594972"/>
    <w:rsid w:val="46763AFA"/>
    <w:rsid w:val="46A86AC5"/>
    <w:rsid w:val="46AF0ACC"/>
    <w:rsid w:val="46B1257F"/>
    <w:rsid w:val="46CD2EA3"/>
    <w:rsid w:val="46E33C2A"/>
    <w:rsid w:val="46EB5C2E"/>
    <w:rsid w:val="47191F43"/>
    <w:rsid w:val="471B210D"/>
    <w:rsid w:val="47330BB1"/>
    <w:rsid w:val="474340E1"/>
    <w:rsid w:val="4754737E"/>
    <w:rsid w:val="476E5DEA"/>
    <w:rsid w:val="47914A33"/>
    <w:rsid w:val="479B0044"/>
    <w:rsid w:val="479C10BC"/>
    <w:rsid w:val="47A4380D"/>
    <w:rsid w:val="47A6297A"/>
    <w:rsid w:val="47B35BF8"/>
    <w:rsid w:val="47C041C7"/>
    <w:rsid w:val="47CB4E60"/>
    <w:rsid w:val="47CD1E0C"/>
    <w:rsid w:val="47D964DB"/>
    <w:rsid w:val="47FC33A5"/>
    <w:rsid w:val="48012A31"/>
    <w:rsid w:val="481D4366"/>
    <w:rsid w:val="485803F1"/>
    <w:rsid w:val="4865215C"/>
    <w:rsid w:val="486942C4"/>
    <w:rsid w:val="487B552A"/>
    <w:rsid w:val="48842F37"/>
    <w:rsid w:val="48A34F21"/>
    <w:rsid w:val="48B05292"/>
    <w:rsid w:val="48B76A74"/>
    <w:rsid w:val="48B971DC"/>
    <w:rsid w:val="48F556EA"/>
    <w:rsid w:val="491946D3"/>
    <w:rsid w:val="4924047E"/>
    <w:rsid w:val="49276380"/>
    <w:rsid w:val="4948117F"/>
    <w:rsid w:val="494B0B0D"/>
    <w:rsid w:val="497E20AD"/>
    <w:rsid w:val="49820EB7"/>
    <w:rsid w:val="499416E9"/>
    <w:rsid w:val="49A63EAD"/>
    <w:rsid w:val="49B4166E"/>
    <w:rsid w:val="49BA2C9E"/>
    <w:rsid w:val="49F72310"/>
    <w:rsid w:val="49FD2EE4"/>
    <w:rsid w:val="4A0B4FDE"/>
    <w:rsid w:val="4A1D0657"/>
    <w:rsid w:val="4A343D11"/>
    <w:rsid w:val="4A374C1E"/>
    <w:rsid w:val="4A497D35"/>
    <w:rsid w:val="4A8A37D8"/>
    <w:rsid w:val="4A8B4AB2"/>
    <w:rsid w:val="4AD9595B"/>
    <w:rsid w:val="4AF93EAE"/>
    <w:rsid w:val="4B0E551F"/>
    <w:rsid w:val="4B311212"/>
    <w:rsid w:val="4B3E6720"/>
    <w:rsid w:val="4B3E79B5"/>
    <w:rsid w:val="4B43535A"/>
    <w:rsid w:val="4B476348"/>
    <w:rsid w:val="4B625BF7"/>
    <w:rsid w:val="4BB21AF4"/>
    <w:rsid w:val="4BB54107"/>
    <w:rsid w:val="4BB67EEE"/>
    <w:rsid w:val="4BD17814"/>
    <w:rsid w:val="4BDC5109"/>
    <w:rsid w:val="4BE84FA7"/>
    <w:rsid w:val="4BF70C92"/>
    <w:rsid w:val="4BFD0513"/>
    <w:rsid w:val="4C005E77"/>
    <w:rsid w:val="4C1A02C6"/>
    <w:rsid w:val="4C2B76C1"/>
    <w:rsid w:val="4C5419A1"/>
    <w:rsid w:val="4C5429A3"/>
    <w:rsid w:val="4C645A11"/>
    <w:rsid w:val="4C87254B"/>
    <w:rsid w:val="4CDE4416"/>
    <w:rsid w:val="4D1C2C8C"/>
    <w:rsid w:val="4D1E77BE"/>
    <w:rsid w:val="4D245FC5"/>
    <w:rsid w:val="4D2B3B2C"/>
    <w:rsid w:val="4D405137"/>
    <w:rsid w:val="4D6513A6"/>
    <w:rsid w:val="4D785257"/>
    <w:rsid w:val="4DA943B0"/>
    <w:rsid w:val="4DC515BB"/>
    <w:rsid w:val="4DCB5984"/>
    <w:rsid w:val="4DD64458"/>
    <w:rsid w:val="4E135BFA"/>
    <w:rsid w:val="4E1B2DDB"/>
    <w:rsid w:val="4E250E8C"/>
    <w:rsid w:val="4E355E12"/>
    <w:rsid w:val="4E407F99"/>
    <w:rsid w:val="4E5D7C3A"/>
    <w:rsid w:val="4E8D762E"/>
    <w:rsid w:val="4E9B1112"/>
    <w:rsid w:val="4EA06365"/>
    <w:rsid w:val="4EBD3915"/>
    <w:rsid w:val="4ECD54B1"/>
    <w:rsid w:val="4ED4046B"/>
    <w:rsid w:val="4EDF4B15"/>
    <w:rsid w:val="4EF43B16"/>
    <w:rsid w:val="4F0E1E8F"/>
    <w:rsid w:val="4F2B6C13"/>
    <w:rsid w:val="4F3153D3"/>
    <w:rsid w:val="4F3A5808"/>
    <w:rsid w:val="4F5F3ED1"/>
    <w:rsid w:val="4F804E7C"/>
    <w:rsid w:val="4F85516A"/>
    <w:rsid w:val="4F944D8F"/>
    <w:rsid w:val="4FCA5221"/>
    <w:rsid w:val="4FED0FB9"/>
    <w:rsid w:val="507410D2"/>
    <w:rsid w:val="50A4392E"/>
    <w:rsid w:val="50A97681"/>
    <w:rsid w:val="50AE3B94"/>
    <w:rsid w:val="50AF7418"/>
    <w:rsid w:val="50E21A58"/>
    <w:rsid w:val="50E93575"/>
    <w:rsid w:val="50F04D4E"/>
    <w:rsid w:val="50F57385"/>
    <w:rsid w:val="50F6016F"/>
    <w:rsid w:val="50FB1FB9"/>
    <w:rsid w:val="51132FF4"/>
    <w:rsid w:val="51151213"/>
    <w:rsid w:val="513225F9"/>
    <w:rsid w:val="513F5114"/>
    <w:rsid w:val="51440384"/>
    <w:rsid w:val="515E6A1B"/>
    <w:rsid w:val="516B705C"/>
    <w:rsid w:val="5177537A"/>
    <w:rsid w:val="518806E3"/>
    <w:rsid w:val="51A1217B"/>
    <w:rsid w:val="51A47CAD"/>
    <w:rsid w:val="51BC2004"/>
    <w:rsid w:val="51C462A1"/>
    <w:rsid w:val="51CB0C5C"/>
    <w:rsid w:val="51CB74F6"/>
    <w:rsid w:val="51D13948"/>
    <w:rsid w:val="51D4104F"/>
    <w:rsid w:val="51EB5979"/>
    <w:rsid w:val="521A0101"/>
    <w:rsid w:val="52241967"/>
    <w:rsid w:val="52263E21"/>
    <w:rsid w:val="522D1CB6"/>
    <w:rsid w:val="52444C58"/>
    <w:rsid w:val="5263075C"/>
    <w:rsid w:val="52660A26"/>
    <w:rsid w:val="52717995"/>
    <w:rsid w:val="528315FB"/>
    <w:rsid w:val="52910142"/>
    <w:rsid w:val="52990759"/>
    <w:rsid w:val="52B87033"/>
    <w:rsid w:val="52BE5917"/>
    <w:rsid w:val="52ED3633"/>
    <w:rsid w:val="52FA69A5"/>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3F960E1"/>
    <w:rsid w:val="540540F5"/>
    <w:rsid w:val="540D4F84"/>
    <w:rsid w:val="542913B3"/>
    <w:rsid w:val="543F18BA"/>
    <w:rsid w:val="54883400"/>
    <w:rsid w:val="54932F58"/>
    <w:rsid w:val="54A81CB5"/>
    <w:rsid w:val="54C41B11"/>
    <w:rsid w:val="550E49C6"/>
    <w:rsid w:val="55A47D96"/>
    <w:rsid w:val="55C94049"/>
    <w:rsid w:val="55DA287E"/>
    <w:rsid w:val="55DD1819"/>
    <w:rsid w:val="55EE6DAD"/>
    <w:rsid w:val="56073162"/>
    <w:rsid w:val="5609127C"/>
    <w:rsid w:val="56243B92"/>
    <w:rsid w:val="563D619D"/>
    <w:rsid w:val="56413F2B"/>
    <w:rsid w:val="56537C47"/>
    <w:rsid w:val="566A7763"/>
    <w:rsid w:val="56807E50"/>
    <w:rsid w:val="56A010C0"/>
    <w:rsid w:val="56B96B8E"/>
    <w:rsid w:val="56C747B5"/>
    <w:rsid w:val="56D42684"/>
    <w:rsid w:val="56DD2471"/>
    <w:rsid w:val="57210A6D"/>
    <w:rsid w:val="57362D58"/>
    <w:rsid w:val="5744214A"/>
    <w:rsid w:val="574B480A"/>
    <w:rsid w:val="57543081"/>
    <w:rsid w:val="5789649C"/>
    <w:rsid w:val="57A373F0"/>
    <w:rsid w:val="57C071FE"/>
    <w:rsid w:val="57C83C57"/>
    <w:rsid w:val="57FB2FB4"/>
    <w:rsid w:val="580C3D4A"/>
    <w:rsid w:val="582028C2"/>
    <w:rsid w:val="582908A2"/>
    <w:rsid w:val="583D07DD"/>
    <w:rsid w:val="585F1862"/>
    <w:rsid w:val="58620D26"/>
    <w:rsid w:val="58706FB1"/>
    <w:rsid w:val="58742882"/>
    <w:rsid w:val="587C5983"/>
    <w:rsid w:val="58E8415E"/>
    <w:rsid w:val="58FF1A45"/>
    <w:rsid w:val="59182567"/>
    <w:rsid w:val="591C580B"/>
    <w:rsid w:val="5926497A"/>
    <w:rsid w:val="592A1893"/>
    <w:rsid w:val="595D3E12"/>
    <w:rsid w:val="59961EFB"/>
    <w:rsid w:val="59A11353"/>
    <w:rsid w:val="59B40569"/>
    <w:rsid w:val="59CA491F"/>
    <w:rsid w:val="5A0336C4"/>
    <w:rsid w:val="5A1D0D82"/>
    <w:rsid w:val="5A20315B"/>
    <w:rsid w:val="5A4C2893"/>
    <w:rsid w:val="5A5827FE"/>
    <w:rsid w:val="5A70211C"/>
    <w:rsid w:val="5AAB2A29"/>
    <w:rsid w:val="5AAB3211"/>
    <w:rsid w:val="5AAC7307"/>
    <w:rsid w:val="5AB86388"/>
    <w:rsid w:val="5ABF41C0"/>
    <w:rsid w:val="5AD07CB2"/>
    <w:rsid w:val="5AE37CAA"/>
    <w:rsid w:val="5AEF1DC1"/>
    <w:rsid w:val="5AF50835"/>
    <w:rsid w:val="5B3A7E78"/>
    <w:rsid w:val="5B3D442E"/>
    <w:rsid w:val="5B412C22"/>
    <w:rsid w:val="5B4B2EB1"/>
    <w:rsid w:val="5B570332"/>
    <w:rsid w:val="5B583D6C"/>
    <w:rsid w:val="5B5F0395"/>
    <w:rsid w:val="5B6300A3"/>
    <w:rsid w:val="5B6C0ED6"/>
    <w:rsid w:val="5B790B4E"/>
    <w:rsid w:val="5B7A2400"/>
    <w:rsid w:val="5B9B626D"/>
    <w:rsid w:val="5BA762EC"/>
    <w:rsid w:val="5BD32897"/>
    <w:rsid w:val="5BF50A44"/>
    <w:rsid w:val="5C295CCC"/>
    <w:rsid w:val="5C381A3A"/>
    <w:rsid w:val="5C5C135C"/>
    <w:rsid w:val="5C872DAA"/>
    <w:rsid w:val="5C974816"/>
    <w:rsid w:val="5CA97228"/>
    <w:rsid w:val="5CBA57BD"/>
    <w:rsid w:val="5CC5471C"/>
    <w:rsid w:val="5CDC5386"/>
    <w:rsid w:val="5CEE7B85"/>
    <w:rsid w:val="5CF73D69"/>
    <w:rsid w:val="5D202057"/>
    <w:rsid w:val="5D2578B0"/>
    <w:rsid w:val="5D4700C2"/>
    <w:rsid w:val="5D474DBB"/>
    <w:rsid w:val="5D6C4615"/>
    <w:rsid w:val="5D6D48D7"/>
    <w:rsid w:val="5D786312"/>
    <w:rsid w:val="5D7C5A81"/>
    <w:rsid w:val="5DC25864"/>
    <w:rsid w:val="5DD31E8F"/>
    <w:rsid w:val="5DDF2196"/>
    <w:rsid w:val="5DF704AE"/>
    <w:rsid w:val="5DF954B7"/>
    <w:rsid w:val="5DFF05CD"/>
    <w:rsid w:val="5E1672C2"/>
    <w:rsid w:val="5E1B6033"/>
    <w:rsid w:val="5E2612F9"/>
    <w:rsid w:val="5E534129"/>
    <w:rsid w:val="5E6E3C24"/>
    <w:rsid w:val="5E7255BD"/>
    <w:rsid w:val="5E7D74BF"/>
    <w:rsid w:val="5E937CCC"/>
    <w:rsid w:val="5EF83794"/>
    <w:rsid w:val="5F0173CC"/>
    <w:rsid w:val="5F1A1A93"/>
    <w:rsid w:val="5F1A4D0E"/>
    <w:rsid w:val="5F287F7E"/>
    <w:rsid w:val="5F475677"/>
    <w:rsid w:val="5F484198"/>
    <w:rsid w:val="5F567498"/>
    <w:rsid w:val="5F7D71F9"/>
    <w:rsid w:val="5F8420E2"/>
    <w:rsid w:val="5F887220"/>
    <w:rsid w:val="5F9022AB"/>
    <w:rsid w:val="5F943824"/>
    <w:rsid w:val="5FB81E56"/>
    <w:rsid w:val="5FD85FDC"/>
    <w:rsid w:val="5FEB78D3"/>
    <w:rsid w:val="5FEC00EE"/>
    <w:rsid w:val="600951D4"/>
    <w:rsid w:val="6010358A"/>
    <w:rsid w:val="601A25EF"/>
    <w:rsid w:val="60250EC1"/>
    <w:rsid w:val="603E7832"/>
    <w:rsid w:val="6044067F"/>
    <w:rsid w:val="60547768"/>
    <w:rsid w:val="60793AF7"/>
    <w:rsid w:val="6099592B"/>
    <w:rsid w:val="60A13AB9"/>
    <w:rsid w:val="60A7744C"/>
    <w:rsid w:val="60CF04AB"/>
    <w:rsid w:val="60DB5486"/>
    <w:rsid w:val="60E82C1A"/>
    <w:rsid w:val="60EC0541"/>
    <w:rsid w:val="60F65BD0"/>
    <w:rsid w:val="60FD245E"/>
    <w:rsid w:val="60FD6695"/>
    <w:rsid w:val="60FF3583"/>
    <w:rsid w:val="61033EA8"/>
    <w:rsid w:val="610A1613"/>
    <w:rsid w:val="61251167"/>
    <w:rsid w:val="61432D9E"/>
    <w:rsid w:val="61683AEB"/>
    <w:rsid w:val="618A70BC"/>
    <w:rsid w:val="61963F6D"/>
    <w:rsid w:val="61BD1F9D"/>
    <w:rsid w:val="61EA093B"/>
    <w:rsid w:val="62024DB4"/>
    <w:rsid w:val="62117D72"/>
    <w:rsid w:val="62140656"/>
    <w:rsid w:val="62210A89"/>
    <w:rsid w:val="62285DB7"/>
    <w:rsid w:val="626857C6"/>
    <w:rsid w:val="628538C3"/>
    <w:rsid w:val="62923991"/>
    <w:rsid w:val="62966DA1"/>
    <w:rsid w:val="629B6165"/>
    <w:rsid w:val="62F20D03"/>
    <w:rsid w:val="62F26EC0"/>
    <w:rsid w:val="62F75B83"/>
    <w:rsid w:val="63095375"/>
    <w:rsid w:val="6312135F"/>
    <w:rsid w:val="632A3D0D"/>
    <w:rsid w:val="633443AB"/>
    <w:rsid w:val="638857E1"/>
    <w:rsid w:val="63AB78F4"/>
    <w:rsid w:val="63C642C7"/>
    <w:rsid w:val="63C85688"/>
    <w:rsid w:val="63CD5666"/>
    <w:rsid w:val="63D01EF3"/>
    <w:rsid w:val="63D2038C"/>
    <w:rsid w:val="63E631E1"/>
    <w:rsid w:val="63F66CE6"/>
    <w:rsid w:val="640E7E19"/>
    <w:rsid w:val="647527CB"/>
    <w:rsid w:val="648A0F84"/>
    <w:rsid w:val="648E4974"/>
    <w:rsid w:val="648F4377"/>
    <w:rsid w:val="649E65A7"/>
    <w:rsid w:val="64B70C4D"/>
    <w:rsid w:val="64D14920"/>
    <w:rsid w:val="64EA382F"/>
    <w:rsid w:val="64ED3306"/>
    <w:rsid w:val="6511603A"/>
    <w:rsid w:val="652763A9"/>
    <w:rsid w:val="653B0F51"/>
    <w:rsid w:val="65434194"/>
    <w:rsid w:val="65477730"/>
    <w:rsid w:val="654912E0"/>
    <w:rsid w:val="656A4332"/>
    <w:rsid w:val="65733372"/>
    <w:rsid w:val="65744876"/>
    <w:rsid w:val="657845AE"/>
    <w:rsid w:val="65991D3E"/>
    <w:rsid w:val="659E280B"/>
    <w:rsid w:val="65B74A52"/>
    <w:rsid w:val="65BD55BD"/>
    <w:rsid w:val="65C53449"/>
    <w:rsid w:val="65F27286"/>
    <w:rsid w:val="6602655A"/>
    <w:rsid w:val="66037BA1"/>
    <w:rsid w:val="660D45C7"/>
    <w:rsid w:val="66280ABB"/>
    <w:rsid w:val="6642669A"/>
    <w:rsid w:val="666717B3"/>
    <w:rsid w:val="6668032B"/>
    <w:rsid w:val="667C4290"/>
    <w:rsid w:val="66C95898"/>
    <w:rsid w:val="66F8201A"/>
    <w:rsid w:val="671C5A04"/>
    <w:rsid w:val="673F01D2"/>
    <w:rsid w:val="676777C3"/>
    <w:rsid w:val="677D4B8A"/>
    <w:rsid w:val="67802ACE"/>
    <w:rsid w:val="67804B33"/>
    <w:rsid w:val="67C40A09"/>
    <w:rsid w:val="67D020A7"/>
    <w:rsid w:val="67D600B8"/>
    <w:rsid w:val="67DC1DB1"/>
    <w:rsid w:val="67E4087E"/>
    <w:rsid w:val="6821192D"/>
    <w:rsid w:val="68337E89"/>
    <w:rsid w:val="68337EE8"/>
    <w:rsid w:val="683A6C76"/>
    <w:rsid w:val="685C5B46"/>
    <w:rsid w:val="688C0656"/>
    <w:rsid w:val="68AE1735"/>
    <w:rsid w:val="68B72950"/>
    <w:rsid w:val="68D60630"/>
    <w:rsid w:val="68F00432"/>
    <w:rsid w:val="68F8555D"/>
    <w:rsid w:val="691D712E"/>
    <w:rsid w:val="697E7396"/>
    <w:rsid w:val="69A009FE"/>
    <w:rsid w:val="69A729C5"/>
    <w:rsid w:val="69BF206E"/>
    <w:rsid w:val="69CA348C"/>
    <w:rsid w:val="69E46DF1"/>
    <w:rsid w:val="69E8174D"/>
    <w:rsid w:val="69EB7655"/>
    <w:rsid w:val="69F66247"/>
    <w:rsid w:val="69F820EF"/>
    <w:rsid w:val="69F86AAF"/>
    <w:rsid w:val="6A1F6154"/>
    <w:rsid w:val="6A2746CC"/>
    <w:rsid w:val="6A4F7CF0"/>
    <w:rsid w:val="6A5517EC"/>
    <w:rsid w:val="6A694BA1"/>
    <w:rsid w:val="6A6A2BB1"/>
    <w:rsid w:val="6A734205"/>
    <w:rsid w:val="6AB40C27"/>
    <w:rsid w:val="6ABC3292"/>
    <w:rsid w:val="6AC04F0B"/>
    <w:rsid w:val="6AD34458"/>
    <w:rsid w:val="6ADC4801"/>
    <w:rsid w:val="6ADF25FC"/>
    <w:rsid w:val="6B020CD0"/>
    <w:rsid w:val="6B1148AC"/>
    <w:rsid w:val="6B3E0351"/>
    <w:rsid w:val="6B42449D"/>
    <w:rsid w:val="6B4A5562"/>
    <w:rsid w:val="6B565807"/>
    <w:rsid w:val="6B633598"/>
    <w:rsid w:val="6B7A369F"/>
    <w:rsid w:val="6BAC2823"/>
    <w:rsid w:val="6BB25BC3"/>
    <w:rsid w:val="6BBD5024"/>
    <w:rsid w:val="6BF37DF1"/>
    <w:rsid w:val="6C630CE9"/>
    <w:rsid w:val="6C914CAA"/>
    <w:rsid w:val="6CB57E24"/>
    <w:rsid w:val="6CEC0F34"/>
    <w:rsid w:val="6CF73CA4"/>
    <w:rsid w:val="6D005FF7"/>
    <w:rsid w:val="6D05105B"/>
    <w:rsid w:val="6D207FCD"/>
    <w:rsid w:val="6D280C36"/>
    <w:rsid w:val="6D286C4C"/>
    <w:rsid w:val="6D2B5B01"/>
    <w:rsid w:val="6D381497"/>
    <w:rsid w:val="6D6A2DB3"/>
    <w:rsid w:val="6D6A69AA"/>
    <w:rsid w:val="6D79127B"/>
    <w:rsid w:val="6D7D01DF"/>
    <w:rsid w:val="6D832281"/>
    <w:rsid w:val="6DC237AE"/>
    <w:rsid w:val="6DF91502"/>
    <w:rsid w:val="6E01482E"/>
    <w:rsid w:val="6E0D1941"/>
    <w:rsid w:val="6E18292B"/>
    <w:rsid w:val="6E402C35"/>
    <w:rsid w:val="6E403BCF"/>
    <w:rsid w:val="6E424CF7"/>
    <w:rsid w:val="6E7C4C28"/>
    <w:rsid w:val="6E96703D"/>
    <w:rsid w:val="6E984122"/>
    <w:rsid w:val="6EC4761A"/>
    <w:rsid w:val="6ED26905"/>
    <w:rsid w:val="6ED924EF"/>
    <w:rsid w:val="6EE20566"/>
    <w:rsid w:val="6EEB6DD8"/>
    <w:rsid w:val="6EF513F6"/>
    <w:rsid w:val="6F1F0771"/>
    <w:rsid w:val="6F3669E2"/>
    <w:rsid w:val="6F3A0437"/>
    <w:rsid w:val="6F452492"/>
    <w:rsid w:val="6F4E1ABB"/>
    <w:rsid w:val="6F65489B"/>
    <w:rsid w:val="6F86274A"/>
    <w:rsid w:val="6F8A6B50"/>
    <w:rsid w:val="6F9E4E98"/>
    <w:rsid w:val="6FB536E7"/>
    <w:rsid w:val="6FC169C6"/>
    <w:rsid w:val="6FD20CED"/>
    <w:rsid w:val="700148B1"/>
    <w:rsid w:val="700708F2"/>
    <w:rsid w:val="700C2E32"/>
    <w:rsid w:val="70262445"/>
    <w:rsid w:val="70796EB7"/>
    <w:rsid w:val="70846EFD"/>
    <w:rsid w:val="70891E2B"/>
    <w:rsid w:val="709304FC"/>
    <w:rsid w:val="70AB1C6A"/>
    <w:rsid w:val="70B21D55"/>
    <w:rsid w:val="70BA4068"/>
    <w:rsid w:val="70BD0B88"/>
    <w:rsid w:val="70F06D61"/>
    <w:rsid w:val="70F36F46"/>
    <w:rsid w:val="711147BD"/>
    <w:rsid w:val="71231B23"/>
    <w:rsid w:val="713B214A"/>
    <w:rsid w:val="714633CE"/>
    <w:rsid w:val="718621EE"/>
    <w:rsid w:val="71894FD2"/>
    <w:rsid w:val="71A3311F"/>
    <w:rsid w:val="71AA4E1C"/>
    <w:rsid w:val="71DD0526"/>
    <w:rsid w:val="72005730"/>
    <w:rsid w:val="72280301"/>
    <w:rsid w:val="7231753D"/>
    <w:rsid w:val="72386C6E"/>
    <w:rsid w:val="723A3057"/>
    <w:rsid w:val="72400885"/>
    <w:rsid w:val="724B6026"/>
    <w:rsid w:val="725273EA"/>
    <w:rsid w:val="725B1897"/>
    <w:rsid w:val="72603689"/>
    <w:rsid w:val="726C47BC"/>
    <w:rsid w:val="72CD2240"/>
    <w:rsid w:val="72DC19E2"/>
    <w:rsid w:val="72E9747C"/>
    <w:rsid w:val="72EC4E12"/>
    <w:rsid w:val="73373DED"/>
    <w:rsid w:val="73391B68"/>
    <w:rsid w:val="733F7A24"/>
    <w:rsid w:val="735C44F0"/>
    <w:rsid w:val="736A01CD"/>
    <w:rsid w:val="736B4D35"/>
    <w:rsid w:val="73741988"/>
    <w:rsid w:val="73814929"/>
    <w:rsid w:val="738F631E"/>
    <w:rsid w:val="7393399F"/>
    <w:rsid w:val="73984022"/>
    <w:rsid w:val="73C11347"/>
    <w:rsid w:val="73E2421D"/>
    <w:rsid w:val="74000D97"/>
    <w:rsid w:val="74185CCF"/>
    <w:rsid w:val="741D2E7E"/>
    <w:rsid w:val="741E6BF6"/>
    <w:rsid w:val="74694C3B"/>
    <w:rsid w:val="746A6AAD"/>
    <w:rsid w:val="747A4FBC"/>
    <w:rsid w:val="748B466B"/>
    <w:rsid w:val="749018A2"/>
    <w:rsid w:val="74D94903"/>
    <w:rsid w:val="74DC7834"/>
    <w:rsid w:val="74E271F1"/>
    <w:rsid w:val="75326EC3"/>
    <w:rsid w:val="7551327B"/>
    <w:rsid w:val="755F3E02"/>
    <w:rsid w:val="755F782E"/>
    <w:rsid w:val="75A16A9F"/>
    <w:rsid w:val="75BC6CCF"/>
    <w:rsid w:val="75E27D49"/>
    <w:rsid w:val="7616464A"/>
    <w:rsid w:val="761867BE"/>
    <w:rsid w:val="76365AD0"/>
    <w:rsid w:val="765D57EA"/>
    <w:rsid w:val="7688585F"/>
    <w:rsid w:val="76F54CF0"/>
    <w:rsid w:val="76FD5906"/>
    <w:rsid w:val="77072866"/>
    <w:rsid w:val="770B684E"/>
    <w:rsid w:val="771D50F3"/>
    <w:rsid w:val="77204CB1"/>
    <w:rsid w:val="777C1603"/>
    <w:rsid w:val="77A14CDE"/>
    <w:rsid w:val="77AA2F7D"/>
    <w:rsid w:val="77AC1715"/>
    <w:rsid w:val="77C96BD3"/>
    <w:rsid w:val="78266CE5"/>
    <w:rsid w:val="7827421F"/>
    <w:rsid w:val="782B4A23"/>
    <w:rsid w:val="78302F8F"/>
    <w:rsid w:val="783E55D2"/>
    <w:rsid w:val="784117AB"/>
    <w:rsid w:val="78510397"/>
    <w:rsid w:val="78552936"/>
    <w:rsid w:val="785C257E"/>
    <w:rsid w:val="78731F0E"/>
    <w:rsid w:val="78754CBA"/>
    <w:rsid w:val="78962FA5"/>
    <w:rsid w:val="789950B8"/>
    <w:rsid w:val="78C148AC"/>
    <w:rsid w:val="78CA1FEE"/>
    <w:rsid w:val="78CB3FEB"/>
    <w:rsid w:val="79334EF2"/>
    <w:rsid w:val="793B5CE2"/>
    <w:rsid w:val="795C411F"/>
    <w:rsid w:val="796834B3"/>
    <w:rsid w:val="797B3C8A"/>
    <w:rsid w:val="797F45FC"/>
    <w:rsid w:val="79970647"/>
    <w:rsid w:val="79BF139D"/>
    <w:rsid w:val="79D9682C"/>
    <w:rsid w:val="79DB75C0"/>
    <w:rsid w:val="79E37881"/>
    <w:rsid w:val="79E4486C"/>
    <w:rsid w:val="79EA2E0E"/>
    <w:rsid w:val="79ED08FA"/>
    <w:rsid w:val="7A067AFA"/>
    <w:rsid w:val="7A0C585A"/>
    <w:rsid w:val="7A2C7450"/>
    <w:rsid w:val="7A326B5A"/>
    <w:rsid w:val="7A553725"/>
    <w:rsid w:val="7A616D0A"/>
    <w:rsid w:val="7A7F2C76"/>
    <w:rsid w:val="7AAC462A"/>
    <w:rsid w:val="7AF84FA0"/>
    <w:rsid w:val="7AF909C6"/>
    <w:rsid w:val="7B4109A6"/>
    <w:rsid w:val="7B6F1BD0"/>
    <w:rsid w:val="7B732126"/>
    <w:rsid w:val="7B755C15"/>
    <w:rsid w:val="7B7B20CE"/>
    <w:rsid w:val="7B8E1216"/>
    <w:rsid w:val="7B9A1345"/>
    <w:rsid w:val="7BCA6C86"/>
    <w:rsid w:val="7BEE3352"/>
    <w:rsid w:val="7C044DA1"/>
    <w:rsid w:val="7C365DE1"/>
    <w:rsid w:val="7C5D7DFC"/>
    <w:rsid w:val="7C80617B"/>
    <w:rsid w:val="7CA33449"/>
    <w:rsid w:val="7D0A0BA4"/>
    <w:rsid w:val="7D107AF3"/>
    <w:rsid w:val="7D4253C7"/>
    <w:rsid w:val="7D4C5341"/>
    <w:rsid w:val="7D4E5EE6"/>
    <w:rsid w:val="7D8901AD"/>
    <w:rsid w:val="7D8E577D"/>
    <w:rsid w:val="7D9A426A"/>
    <w:rsid w:val="7E006F08"/>
    <w:rsid w:val="7E1370A0"/>
    <w:rsid w:val="7E333E03"/>
    <w:rsid w:val="7E391FE6"/>
    <w:rsid w:val="7E916762"/>
    <w:rsid w:val="7EA916FD"/>
    <w:rsid w:val="7EAB552B"/>
    <w:rsid w:val="7EC62F8B"/>
    <w:rsid w:val="7EE53C64"/>
    <w:rsid w:val="7F541580"/>
    <w:rsid w:val="7F590594"/>
    <w:rsid w:val="7F667225"/>
    <w:rsid w:val="7F844A6E"/>
    <w:rsid w:val="7F956BE0"/>
    <w:rsid w:val="7FA40A1F"/>
    <w:rsid w:val="7FAA1C29"/>
    <w:rsid w:val="7FAC4830"/>
    <w:rsid w:val="7FB659E5"/>
    <w:rsid w:val="7FB7407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20">
    <w:name w:val="Default Paragraph Font"/>
    <w:autoRedefine/>
    <w:semiHidden/>
    <w:qFormat/>
    <w:uiPriority w:val="0"/>
  </w:style>
  <w:style w:type="table" w:default="1" w:styleId="18">
    <w:name w:val="Normal Table"/>
    <w:autoRedefine/>
    <w:semiHidden/>
    <w:qFormat/>
    <w:uiPriority w:val="0"/>
    <w:tblPr>
      <w:tblCellMar>
        <w:top w:w="0" w:type="dxa"/>
        <w:left w:w="108" w:type="dxa"/>
        <w:bottom w:w="0" w:type="dxa"/>
        <w:right w:w="108" w:type="dxa"/>
      </w:tblCellMar>
    </w:tblPr>
  </w:style>
  <w:style w:type="paragraph" w:styleId="5">
    <w:name w:val="toc 7"/>
    <w:basedOn w:val="1"/>
    <w:next w:val="1"/>
    <w:autoRedefine/>
    <w:qFormat/>
    <w:uiPriority w:val="0"/>
    <w:pPr>
      <w:widowControl/>
      <w:spacing w:line="460" w:lineRule="exact"/>
      <w:ind w:left="1200" w:firstLine="200" w:firstLineChars="200"/>
      <w:jc w:val="left"/>
    </w:pPr>
    <w:rPr>
      <w:rFonts w:ascii="Times New Roman" w:hAnsi="Times New Roman" w:eastAsia="宋体" w:cs="Times New Roman"/>
      <w:kern w:val="0"/>
      <w:sz w:val="24"/>
      <w:szCs w:val="20"/>
    </w:rPr>
  </w:style>
  <w:style w:type="paragraph" w:styleId="6">
    <w:name w:val="annotation text"/>
    <w:basedOn w:val="1"/>
    <w:autoRedefine/>
    <w:qFormat/>
    <w:uiPriority w:val="0"/>
    <w:pPr>
      <w:jc w:val="left"/>
    </w:pPr>
    <w:rPr>
      <w:rFonts w:eastAsia="宋体"/>
      <w:kern w:val="2"/>
      <w:sz w:val="21"/>
      <w:szCs w:val="24"/>
      <w:lang w:val="en-US" w:eastAsia="zh-CN" w:bidi="ar-SA"/>
    </w:rPr>
  </w:style>
  <w:style w:type="paragraph" w:styleId="7">
    <w:name w:val="Body Text 3"/>
    <w:basedOn w:val="1"/>
    <w:autoRedefine/>
    <w:qFormat/>
    <w:uiPriority w:val="0"/>
    <w:rPr>
      <w:rFonts w:ascii="宋体"/>
      <w:sz w:val="24"/>
      <w:szCs w:val="20"/>
    </w:rPr>
  </w:style>
  <w:style w:type="paragraph" w:styleId="8">
    <w:name w:val="Body Text"/>
    <w:basedOn w:val="1"/>
    <w:autoRedefine/>
    <w:qFormat/>
    <w:uiPriority w:val="0"/>
    <w:pPr>
      <w:spacing w:after="120"/>
    </w:pPr>
  </w:style>
  <w:style w:type="paragraph" w:styleId="9">
    <w:name w:val="Body Text Indent"/>
    <w:basedOn w:val="1"/>
    <w:next w:val="10"/>
    <w:autoRedefine/>
    <w:qFormat/>
    <w:uiPriority w:val="0"/>
    <w:pPr>
      <w:spacing w:after="120" w:afterLines="0"/>
      <w:ind w:left="420" w:leftChars="200"/>
    </w:pPr>
  </w:style>
  <w:style w:type="paragraph" w:styleId="10">
    <w:name w:val="envelope return"/>
    <w:basedOn w:val="1"/>
    <w:autoRedefine/>
    <w:qFormat/>
    <w:uiPriority w:val="0"/>
    <w:pPr>
      <w:snapToGrid w:val="0"/>
    </w:pPr>
    <w:rPr>
      <w:rFonts w:ascii="Arial" w:hAnsi="Arial"/>
    </w:rPr>
  </w:style>
  <w:style w:type="paragraph" w:styleId="11">
    <w:name w:val="Plain Text"/>
    <w:basedOn w:val="1"/>
    <w:autoRedefine/>
    <w:qFormat/>
    <w:uiPriority w:val="0"/>
    <w:rPr>
      <w:rFonts w:ascii="宋体" w:hAnsi="Courier New"/>
      <w:szCs w:val="20"/>
    </w:rPr>
  </w:style>
  <w:style w:type="paragraph" w:styleId="12">
    <w:name w:val="footer"/>
    <w:basedOn w:val="1"/>
    <w:autoRedefine/>
    <w:qFormat/>
    <w:uiPriority w:val="0"/>
    <w:pPr>
      <w:tabs>
        <w:tab w:val="center" w:pos="4153"/>
        <w:tab w:val="right" w:pos="8306"/>
      </w:tabs>
      <w:snapToGrid w:val="0"/>
      <w:jc w:val="left"/>
    </w:pPr>
    <w:rPr>
      <w:sz w:val="18"/>
      <w:szCs w:val="18"/>
    </w:rPr>
  </w:style>
  <w:style w:type="paragraph" w:styleId="1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autoRedefine/>
    <w:semiHidden/>
    <w:qFormat/>
    <w:uiPriority w:val="0"/>
    <w:pPr>
      <w:spacing w:line="440" w:lineRule="exact"/>
      <w:jc w:val="center"/>
    </w:pPr>
  </w:style>
  <w:style w:type="paragraph" w:styleId="15">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8"/>
    <w:autoRedefine/>
    <w:qFormat/>
    <w:uiPriority w:val="0"/>
    <w:pPr>
      <w:ind w:firstLine="420" w:firstLineChars="100"/>
    </w:pPr>
  </w:style>
  <w:style w:type="paragraph" w:styleId="17">
    <w:name w:val="Body Text First Indent 2"/>
    <w:basedOn w:val="9"/>
    <w:next w:val="16"/>
    <w:autoRedefine/>
    <w:qFormat/>
    <w:uiPriority w:val="0"/>
    <w:pPr>
      <w:ind w:firstLine="420" w:firstLineChars="200"/>
    </w:pPr>
  </w:style>
  <w:style w:type="table" w:styleId="19">
    <w:name w:val="Table Grid"/>
    <w:basedOn w:val="1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autoRedefine/>
    <w:qFormat/>
    <w:uiPriority w:val="0"/>
  </w:style>
  <w:style w:type="paragraph" w:customStyle="1" w:styleId="22">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4">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autoRedefine/>
    <w:qFormat/>
    <w:uiPriority w:val="34"/>
    <w:pPr>
      <w:ind w:firstLine="420" w:firstLineChars="200"/>
    </w:pPr>
  </w:style>
  <w:style w:type="character" w:customStyle="1" w:styleId="26">
    <w:name w:val="font11"/>
    <w:basedOn w:val="20"/>
    <w:autoRedefine/>
    <w:qFormat/>
    <w:uiPriority w:val="0"/>
    <w:rPr>
      <w:rFonts w:ascii="Calibri" w:hAnsi="Calibri" w:cs="Calibri"/>
      <w:color w:val="000000"/>
      <w:sz w:val="21"/>
      <w:szCs w:val="21"/>
      <w:u w:val="none"/>
    </w:rPr>
  </w:style>
  <w:style w:type="character" w:customStyle="1" w:styleId="27">
    <w:name w:val="font21"/>
    <w:basedOn w:val="20"/>
    <w:autoRedefine/>
    <w:qFormat/>
    <w:uiPriority w:val="0"/>
    <w:rPr>
      <w:rFonts w:hint="eastAsia" w:ascii="宋体" w:hAnsi="宋体" w:eastAsia="宋体" w:cs="宋体"/>
      <w:color w:val="000000"/>
      <w:sz w:val="21"/>
      <w:szCs w:val="21"/>
      <w:u w:val="none"/>
    </w:rPr>
  </w:style>
  <w:style w:type="character" w:customStyle="1" w:styleId="28">
    <w:name w:val="font01"/>
    <w:basedOn w:val="20"/>
    <w:autoRedefine/>
    <w:qFormat/>
    <w:uiPriority w:val="0"/>
    <w:rPr>
      <w:rFonts w:ascii="Calibri" w:hAnsi="Calibri" w:cs="Calibri"/>
      <w:color w:val="000000"/>
      <w:sz w:val="21"/>
      <w:szCs w:val="21"/>
      <w:u w:val="none"/>
    </w:rPr>
  </w:style>
  <w:style w:type="character" w:customStyle="1" w:styleId="29">
    <w:name w:val="font31"/>
    <w:basedOn w:val="20"/>
    <w:autoRedefine/>
    <w:qFormat/>
    <w:uiPriority w:val="0"/>
    <w:rPr>
      <w:rFonts w:hint="default" w:ascii="Calibri" w:hAnsi="Calibri" w:cs="Calibri"/>
      <w:color w:val="000000"/>
      <w:sz w:val="21"/>
      <w:szCs w:val="21"/>
      <w:u w:val="none"/>
    </w:rPr>
  </w:style>
  <w:style w:type="paragraph" w:customStyle="1" w:styleId="30">
    <w:name w:val="Table Paragraph"/>
    <w:basedOn w:val="1"/>
    <w:autoRedefine/>
    <w:qFormat/>
    <w:uiPriority w:val="1"/>
    <w:rPr>
      <w:rFonts w:ascii="宋体" w:hAnsi="宋体" w:eastAsia="宋体" w:cs="宋体"/>
    </w:rPr>
  </w:style>
  <w:style w:type="paragraph" w:customStyle="1" w:styleId="31">
    <w:name w:val="Heading1"/>
    <w:basedOn w:val="1"/>
    <w:next w:val="1"/>
    <w:autoRedefine/>
    <w:qFormat/>
    <w:uiPriority w:val="0"/>
    <w:pPr>
      <w:keepNext/>
      <w:keepLines/>
      <w:spacing w:before="340" w:after="330" w:line="578" w:lineRule="auto"/>
      <w:jc w:val="center"/>
      <w:textAlignment w:val="baseline"/>
    </w:pPr>
    <w:rPr>
      <w:rFonts w:ascii="Calibri" w:hAnsi="Calibri" w:eastAsia="宋体" w:cs="Times New Roman"/>
      <w:b/>
      <w:bCs/>
      <w:kern w:val="44"/>
      <w:sz w:val="32"/>
      <w:szCs w:val="44"/>
      <w:lang w:val="en-US" w:eastAsia="zh-CN" w:bidi="ar-SA"/>
    </w:rPr>
  </w:style>
  <w:style w:type="character" w:customStyle="1" w:styleId="32">
    <w:name w:val="font41"/>
    <w:basedOn w:val="20"/>
    <w:autoRedefine/>
    <w:qFormat/>
    <w:uiPriority w:val="0"/>
    <w:rPr>
      <w:rFonts w:hint="eastAsia" w:ascii="宋体" w:hAnsi="宋体" w:eastAsia="宋体" w:cs="宋体"/>
      <w:color w:val="000000"/>
      <w:sz w:val="21"/>
      <w:szCs w:val="21"/>
      <w:u w:val="none"/>
    </w:rPr>
  </w:style>
  <w:style w:type="character" w:customStyle="1" w:styleId="33">
    <w:name w:val="font51"/>
    <w:basedOn w:val="20"/>
    <w:autoRedefine/>
    <w:qFormat/>
    <w:uiPriority w:val="0"/>
    <w:rPr>
      <w:rFonts w:hint="default" w:ascii="Times New Roman" w:hAnsi="Times New Roman" w:cs="Times New Roman"/>
      <w:color w:val="000000"/>
      <w:sz w:val="21"/>
      <w:szCs w:val="21"/>
      <w:u w:val="none"/>
    </w:rPr>
  </w:style>
  <w:style w:type="character" w:customStyle="1" w:styleId="34">
    <w:name w:val="font61"/>
    <w:basedOn w:val="20"/>
    <w:autoRedefine/>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10788</Words>
  <Characters>12113</Characters>
  <Lines>0</Lines>
  <Paragraphs>0</Paragraphs>
  <TotalTime>7</TotalTime>
  <ScaleCrop>false</ScaleCrop>
  <LinksUpToDate>false</LinksUpToDate>
  <CharactersWithSpaces>13701</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2024-01-15T07:49:00Z</cp:lastPrinted>
  <dcterms:modified xsi:type="dcterms:W3CDTF">2024-01-16T01:14:57Z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B025B1B69809472AA10CCD2947880001_13</vt:lpwstr>
  </property>
</Properties>
</file>