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permEnd w:id="0"/>
    </w:p>
    <w:p>
      <w:pPr>
        <w:wordWrap w:val="0"/>
        <w:jc w:val="center"/>
        <w:rPr>
          <w:rFonts w:hint="eastAsia" w:ascii="Times New Roman" w:hAnsi="Times New Roman" w:eastAsia="黑体" w:cs="Times New Roman"/>
          <w:kern w:val="0"/>
          <w:sz w:val="32"/>
          <w:szCs w:val="32"/>
        </w:rPr>
      </w:pPr>
      <w:permStart w:id="1"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水电工程专业</w:t>
      </w:r>
      <w:r>
        <w:rPr>
          <w:rFonts w:hint="eastAsia" w:ascii="Times New Roman" w:hAnsi="Times New Roman" w:eastAsia="黑体" w:cs="Times New Roman"/>
          <w:kern w:val="0"/>
          <w:sz w:val="32"/>
          <w:szCs w:val="32"/>
        </w:rPr>
        <w:t>分包</w:t>
      </w:r>
    </w:p>
    <w:permEnd w:id="1"/>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lang w:val="en-US" w:eastAsia="zh-CN"/>
        </w:rPr>
        <w:t>BZJK-2024-005号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rPr>
        <w:t>安徽通康建设工程有限公司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 xml:space="preserve">2024年 1 </w:t>
      </w:r>
      <w:r>
        <w:rPr>
          <w:rFonts w:hint="eastAsia" w:ascii="Times New Roman" w:hAnsi="Times New Roman" w:eastAsia="楷体" w:cs="Times New Roman"/>
          <w:kern w:val="0"/>
          <w:sz w:val="32"/>
          <w:szCs w:val="32"/>
          <w:highlight w:val="none"/>
          <w:u w:val="none"/>
          <w:shd w:val="clear" w:color="auto" w:fill="auto"/>
          <w:lang w:val="en-US" w:eastAsia="zh-CN"/>
        </w:rPr>
        <w:t>月 16日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rPr>
      </w:pPr>
      <w:permStart w:id="5" w:edGrp="everyone"/>
      <w:r>
        <w:rPr>
          <w:rFonts w:hint="eastAsia" w:ascii="Times New Roman" w:hAnsi="Times New Roman" w:eastAsia="黑体" w:cs="Times New Roman"/>
          <w:sz w:val="28"/>
          <w:szCs w:val="28"/>
        </w:rPr>
        <w:t>水安凤栖上院34号地块工程项目</w:t>
      </w:r>
      <w:r>
        <w:rPr>
          <w:rFonts w:hint="eastAsia" w:ascii="Times New Roman" w:hAnsi="Times New Roman" w:eastAsia="黑体" w:cs="Times New Roman"/>
          <w:sz w:val="28"/>
          <w:szCs w:val="28"/>
          <w:lang w:val="en-US" w:eastAsia="zh-CN"/>
        </w:rPr>
        <w:t>水电工程专业</w:t>
      </w:r>
      <w:r>
        <w:rPr>
          <w:rFonts w:hint="eastAsia" w:ascii="Times New Roman" w:hAnsi="Times New Roman" w:eastAsia="黑体" w:cs="Times New Roman"/>
          <w:sz w:val="28"/>
          <w:szCs w:val="28"/>
        </w:rPr>
        <w:t>分包</w:t>
      </w:r>
    </w:p>
    <w:permEnd w:id="5"/>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黑体" w:cs="Times New Roman"/>
          <w:sz w:val="28"/>
          <w:szCs w:val="28"/>
          <w:highlight w:val="none"/>
          <w:lang w:val="en-US" w:eastAsia="zh-CN"/>
        </w:rPr>
        <w:t>招标公告</w:t>
      </w:r>
      <w:bookmarkStart w:id="0" w:name="_Toc152045519"/>
      <w:bookmarkStart w:id="1" w:name="_Toc296602410"/>
      <w:bookmarkStart w:id="2" w:name="_Toc246996909"/>
      <w:bookmarkStart w:id="3" w:name="_Toc144974487"/>
      <w:bookmarkStart w:id="4" w:name="_Toc247085680"/>
      <w:bookmarkStart w:id="5" w:name="_Toc246996166"/>
      <w:bookmarkStart w:id="6" w:name="_Toc179632536"/>
      <w:bookmarkStart w:id="7" w:name="_Toc15204229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wordWrap w:val="0"/>
        <w:spacing w:line="480" w:lineRule="exact"/>
        <w:ind w:firstLine="420" w:firstLineChars="150"/>
        <w:rPr>
          <w:rFonts w:asciiTheme="minorEastAsia" w:hAnsiTheme="minorEastAsia" w:cstheme="minorEastAsia"/>
          <w:sz w:val="28"/>
          <w:szCs w:val="28"/>
        </w:rPr>
      </w:pPr>
      <w:bookmarkStart w:id="8" w:name="_Toc152042296"/>
      <w:bookmarkStart w:id="9" w:name="_Toc296602411"/>
      <w:bookmarkStart w:id="10" w:name="_Toc246996167"/>
      <w:bookmarkStart w:id="11" w:name="_Toc179632537"/>
      <w:bookmarkStart w:id="12" w:name="_Toc144974488"/>
      <w:bookmarkStart w:id="13" w:name="_Toc246996910"/>
      <w:bookmarkStart w:id="14" w:name="_Toc247085681"/>
      <w:bookmarkStart w:id="15" w:name="_Toc152045520"/>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cstheme="minorEastAsia"/>
          <w:sz w:val="28"/>
          <w:szCs w:val="28"/>
        </w:rPr>
        <w:t>水安凤栖上院34号地块工程项目</w:t>
      </w:r>
      <w:r>
        <w:rPr>
          <w:rFonts w:hint="eastAsia" w:asciiTheme="minorEastAsia" w:hAnsiTheme="minorEastAsia" w:cstheme="minorEastAsia"/>
          <w:sz w:val="28"/>
          <w:szCs w:val="28"/>
          <w:lang w:val="en-US" w:eastAsia="zh-CN"/>
        </w:rPr>
        <w:t>水电工程专业</w:t>
      </w:r>
      <w:r>
        <w:rPr>
          <w:rFonts w:hint="eastAsia" w:asciiTheme="minorEastAsia" w:hAnsiTheme="minorEastAsia" w:cstheme="minorEastAsia"/>
          <w:sz w:val="28"/>
          <w:szCs w:val="28"/>
        </w:rPr>
        <w:t>分包</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r>
        <w:rPr>
          <w:rFonts w:hint="eastAsia" w:ascii="Times New Roman" w:hAnsi="Times New Roman" w:eastAsia="楷体" w:cs="Times New Roman"/>
          <w:kern w:val="0"/>
          <w:sz w:val="28"/>
          <w:szCs w:val="28"/>
          <w:highlight w:val="none"/>
          <w:lang w:val="en-US" w:eastAsia="zh-CN"/>
        </w:rPr>
        <w:t>BZJK-2024-005号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7" w:edGrp="everyone"/>
      <w:r>
        <w:rPr>
          <w:rFonts w:hint="eastAsia" w:asciiTheme="minorEastAsia" w:hAnsiTheme="minorEastAsia" w:cstheme="minorEastAsia"/>
          <w:sz w:val="28"/>
          <w:szCs w:val="28"/>
        </w:rPr>
        <w:t xml:space="preserve"> 企业自筹</w:t>
      </w:r>
    </w:p>
    <w:permEnd w:id="7"/>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8" w:edGrp="everyone"/>
      <w:r>
        <w:rPr>
          <w:rFonts w:hint="eastAsia" w:asciiTheme="minorEastAsia" w:hAnsiTheme="minorEastAsia" w:cstheme="minorEastAsia"/>
          <w:sz w:val="28"/>
          <w:szCs w:val="28"/>
        </w:rPr>
        <w:t>安徽通康建设工程有限公司</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9" w:edGrp="everyone"/>
      <w:r>
        <w:rPr>
          <w:rFonts w:hint="eastAsia" w:asciiTheme="minorEastAsia" w:hAnsiTheme="minorEastAsia" w:cstheme="minorEastAsia"/>
          <w:sz w:val="28"/>
          <w:szCs w:val="28"/>
        </w:rPr>
        <w:t>项目位于亳州市曹霸路与旋花路交口，总建筑面积约9万平方米，水安凤栖上院34号地块工程项目</w:t>
      </w:r>
      <w:r>
        <w:rPr>
          <w:rFonts w:hint="eastAsia" w:asciiTheme="minorEastAsia" w:hAnsiTheme="minorEastAsia" w:cstheme="minorEastAsia"/>
          <w:sz w:val="28"/>
          <w:szCs w:val="28"/>
          <w:lang w:val="en-US" w:eastAsia="zh-CN"/>
        </w:rPr>
        <w:t>水电工程专业分包</w:t>
      </w:r>
      <w:r>
        <w:rPr>
          <w:rFonts w:hint="eastAsia" w:asciiTheme="minorEastAsia" w:hAnsiTheme="minorEastAsia" w:cstheme="minorEastAsia"/>
          <w:sz w:val="28"/>
          <w:szCs w:val="28"/>
        </w:rPr>
        <w:t>工程。</w:t>
      </w:r>
      <w:permEnd w:id="9"/>
    </w:p>
    <w:p>
      <w:pPr>
        <w:spacing w:line="520" w:lineRule="exact"/>
        <w:ind w:firstLine="560" w:firstLineChars="200"/>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r>
        <w:rPr>
          <w:rFonts w:hint="eastAsia" w:asciiTheme="minorEastAsia" w:hAnsiTheme="minorEastAsia" w:cstheme="minorEastAsia"/>
          <w:sz w:val="28"/>
          <w:szCs w:val="28"/>
        </w:rPr>
        <w:t>包括但不限于总承包合同及施工图纸范围内所表明的水电工程（给排水、电气、弱电、雨污水工程</w:t>
      </w:r>
      <w:r>
        <w:rPr>
          <w:rFonts w:hint="eastAsia" w:asciiTheme="minorEastAsia" w:hAnsiTheme="minorEastAsia" w:cstheme="minorEastAsia"/>
          <w:sz w:val="28"/>
          <w:szCs w:val="28"/>
          <w:lang w:val="en-US" w:eastAsia="zh-CN"/>
        </w:rPr>
        <w:t>等</w:t>
      </w:r>
      <w:r>
        <w:rPr>
          <w:rFonts w:hint="eastAsia" w:asciiTheme="minorEastAsia" w:hAnsiTheme="minorEastAsia" w:cstheme="minorEastAsia"/>
          <w:sz w:val="28"/>
          <w:szCs w:val="28"/>
        </w:rPr>
        <w:t>）预埋、安装及后期封堵工程及工程量清单、设计变更、业主及招标人要求增加、工程联系单等要求的安装工作内容（消防工程除外）。详见图纸，具体工程量以实际完成合格工程量为准。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工作内容详见第七章技术标准和要求）</w:t>
      </w:r>
      <w:r>
        <w:rPr>
          <w:rFonts w:hint="eastAsia" w:asciiTheme="minorEastAsia" w:hAnsiTheme="minorEastAsia" w:cstheme="minorEastAsia"/>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1" w:edGrp="everyone"/>
      <w:r>
        <w:rPr>
          <w:rFonts w:hint="eastAsia" w:asciiTheme="minorEastAsia" w:hAnsiTheme="minorEastAsia" w:cstheme="minorEastAsia"/>
          <w:sz w:val="28"/>
          <w:szCs w:val="28"/>
        </w:rPr>
        <w:t>自合同签订之日起</w:t>
      </w:r>
      <w:r>
        <w:rPr>
          <w:rFonts w:hint="eastAsia" w:asciiTheme="minorEastAsia" w:hAnsiTheme="minorEastAsia" w:cstheme="minorEastAsia"/>
          <w:sz w:val="28"/>
          <w:szCs w:val="28"/>
          <w:u w:val="single"/>
          <w:lang w:val="en-US" w:eastAsia="zh-CN"/>
        </w:rPr>
        <w:t>650</w:t>
      </w:r>
      <w:r>
        <w:rPr>
          <w:rFonts w:hint="eastAsia" w:asciiTheme="minorEastAsia" w:hAnsiTheme="minorEastAsia" w:cstheme="minorEastAsia"/>
          <w:sz w:val="28"/>
          <w:szCs w:val="28"/>
          <w:u w:val="single"/>
        </w:rPr>
        <w:t xml:space="preserve"> </w:t>
      </w:r>
      <w:r>
        <w:rPr>
          <w:rFonts w:hint="eastAsia" w:asciiTheme="minorEastAsia" w:hAnsiTheme="minorEastAsia" w:cstheme="minorEastAsia"/>
          <w:sz w:val="28"/>
          <w:szCs w:val="28"/>
        </w:rPr>
        <w:t>日历天</w:t>
      </w:r>
      <w:permEnd w:id="11"/>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asciiTheme="minorEastAsia" w:hAnsiTheme="minorEastAsia" w:cstheme="minorEastAsia"/>
          <w:sz w:val="28"/>
          <w:szCs w:val="28"/>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cstheme="minorEastAsia"/>
          <w:color w:val="FF0000"/>
          <w:sz w:val="28"/>
          <w:szCs w:val="28"/>
          <w:highlight w:val="none"/>
          <w:lang w:val="en-US" w:eastAsia="zh-CN"/>
        </w:rPr>
        <w:t>（含税：9% ）</w:t>
      </w:r>
      <w:permEnd w:id="12"/>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rPr>
        <w:t>以建设单位</w:t>
      </w:r>
      <w:r>
        <w:rPr>
          <w:rFonts w:hint="eastAsia" w:asciiTheme="minorEastAsia" w:hAnsiTheme="minorEastAsia" w:cstheme="minorEastAsia"/>
          <w:color w:val="FF0000"/>
          <w:sz w:val="28"/>
          <w:szCs w:val="28"/>
          <w:lang w:val="en-US" w:eastAsia="zh-CN"/>
        </w:rPr>
        <w:t>提供的</w:t>
      </w:r>
      <w:r>
        <w:rPr>
          <w:rFonts w:hint="eastAsia" w:asciiTheme="minorEastAsia" w:hAnsiTheme="minorEastAsia" w:cstheme="minorEastAsia"/>
          <w:color w:val="FF0000"/>
          <w:sz w:val="28"/>
          <w:szCs w:val="28"/>
        </w:rPr>
        <w:t>清单控制价</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水电工程</w:t>
      </w:r>
      <w:r>
        <w:rPr>
          <w:rFonts w:hint="eastAsia" w:asciiTheme="minorEastAsia" w:hAnsiTheme="minorEastAsia" w:cstheme="minorEastAsia"/>
          <w:color w:val="FF0000"/>
          <w:sz w:val="28"/>
          <w:szCs w:val="28"/>
          <w:lang w:val="en-US" w:eastAsia="zh-CN"/>
        </w:rPr>
        <w:t>部分</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为基数，报价不得超过基数的82%</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sz w:val="28"/>
          <w:szCs w:val="28"/>
          <w:highlight w:val="none"/>
          <w:lang w:val="en-US" w:eastAsia="zh-CN"/>
        </w:rPr>
        <w:t>本项目</w:t>
      </w:r>
      <w:r>
        <w:rPr>
          <w:rFonts w:hint="eastAsia" w:asciiTheme="minorEastAsia" w:hAnsiTheme="minorEastAsia" w:eastAsiaTheme="minorEastAsia" w:cstheme="minorEastAsia"/>
          <w:sz w:val="28"/>
          <w:szCs w:val="28"/>
          <w:highlight w:val="none"/>
          <w:lang w:val="en-US" w:eastAsia="zh-CN"/>
        </w:rPr>
        <w:t>按</w:t>
      </w:r>
      <w:r>
        <w:rPr>
          <w:rFonts w:hint="eastAsia" w:asciiTheme="minorEastAsia" w:hAnsiTheme="minorEastAsia" w:cstheme="minorEastAsia"/>
          <w:color w:val="FF0000"/>
          <w:sz w:val="28"/>
          <w:szCs w:val="28"/>
          <w:highlight w:val="none"/>
          <w:u w:val="single"/>
          <w:lang w:val="en-US" w:eastAsia="zh-CN"/>
        </w:rPr>
        <w:t>费率</w:t>
      </w:r>
      <w:r>
        <w:rPr>
          <w:rFonts w:hint="eastAsia" w:asciiTheme="minorEastAsia" w:hAnsiTheme="minorEastAsia" w:eastAsiaTheme="minorEastAsia" w:cstheme="minorEastAsia"/>
          <w:sz w:val="28"/>
          <w:szCs w:val="28"/>
          <w:highlight w:val="none"/>
          <w:lang w:val="en-US" w:eastAsia="zh-CN"/>
        </w:rPr>
        <w:t>报价</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3" w:edGrp="everyone"/>
      <w:r>
        <w:rPr>
          <w:rFonts w:hint="eastAsia" w:asciiTheme="minorEastAsia" w:hAnsiTheme="minorEastAsia" w:cstheme="minorEastAsia"/>
          <w:color w:val="FF0000"/>
          <w:sz w:val="28"/>
          <w:szCs w:val="28"/>
        </w:rPr>
        <w:t>独立法人资格</w:t>
      </w:r>
      <w:permEnd w:id="13"/>
      <w:r>
        <w:rPr>
          <w:rFonts w:hint="eastAsia" w:asciiTheme="minorEastAsia" w:hAnsiTheme="minorEastAsia" w:cstheme="minorEastAsia"/>
          <w:sz w:val="28"/>
          <w:szCs w:val="28"/>
        </w:rPr>
        <w:t>，并在人员、设备、资金等方面具有承担本工程施工的能力；</w:t>
      </w:r>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（二）具有</w:t>
      </w:r>
      <w:permStart w:id="14" w:edGrp="everyone"/>
      <w:r>
        <w:rPr>
          <w:rFonts w:hint="eastAsia" w:asciiTheme="minorEastAsia" w:hAnsiTheme="minorEastAsia" w:cstheme="minorEastAsia"/>
          <w:sz w:val="28"/>
          <w:szCs w:val="28"/>
        </w:rPr>
        <w:t>有效的</w:t>
      </w:r>
      <w:r>
        <w:rPr>
          <w:rFonts w:hint="eastAsia" w:asciiTheme="minorEastAsia" w:hAnsiTheme="minorEastAsia" w:cstheme="minorEastAsia"/>
          <w:sz w:val="28"/>
          <w:szCs w:val="28"/>
          <w:lang w:val="en-US" w:eastAsia="zh-CN"/>
        </w:rPr>
        <w:t>建筑机电安装工程专业承包贰级及以上资质和</w:t>
      </w:r>
      <w:r>
        <w:rPr>
          <w:rFonts w:hint="eastAsia" w:asciiTheme="minorEastAsia" w:hAnsiTheme="minorEastAsia" w:cstheme="minorEastAsia"/>
          <w:sz w:val="28"/>
          <w:szCs w:val="28"/>
        </w:rPr>
        <w:t>安全生产许可证</w:t>
      </w:r>
      <w:permEnd w:id="14"/>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（三）项目负责人具备</w:t>
      </w:r>
      <w:permStart w:id="15" w:edGrp="everyone"/>
      <w:r>
        <w:rPr>
          <w:rFonts w:hint="eastAsia" w:asciiTheme="minorEastAsia" w:hAnsiTheme="minorEastAsia" w:cstheme="minorEastAsia"/>
          <w:sz w:val="28"/>
          <w:szCs w:val="28"/>
          <w:lang w:val="en-US" w:eastAsia="zh-CN"/>
        </w:rPr>
        <w:t>二级及以上机电工程建造师，</w:t>
      </w:r>
      <w:r>
        <w:rPr>
          <w:rFonts w:hint="eastAsia" w:asciiTheme="minorEastAsia" w:hAnsiTheme="minorEastAsia" w:cstheme="minorEastAsia"/>
          <w:sz w:val="28"/>
          <w:szCs w:val="28"/>
        </w:rPr>
        <w:t xml:space="preserve"> </w:t>
      </w:r>
      <w:r>
        <w:rPr>
          <w:rFonts w:hint="eastAsia" w:asciiTheme="minorEastAsia" w:hAnsiTheme="minorEastAsia" w:eastAsiaTheme="minorEastAsia" w:cstheme="minorEastAsia"/>
          <w:sz w:val="28"/>
          <w:szCs w:val="28"/>
          <w:highlight w:val="none"/>
          <w:lang w:val="en-US" w:eastAsia="zh-CN"/>
        </w:rPr>
        <w:t>具备有效的安全考核合格证书B证，无被亳州市市本级及县区各行业主管部门或公共资源交易监管部门限制投标的不良行为记录（有效期内），未在其他项目上任职，且符合注册建造师执业管理办法规定</w:t>
      </w:r>
      <w:r>
        <w:rPr>
          <w:rFonts w:hint="eastAsia" w:asciiTheme="minorEastAsia" w:hAnsiTheme="minorEastAsia" w:cstheme="minorEastAsia"/>
          <w:sz w:val="28"/>
          <w:szCs w:val="28"/>
        </w:rPr>
        <w:t>。</w:t>
      </w:r>
      <w:permEnd w:id="15"/>
    </w:p>
    <w:p>
      <w:pPr>
        <w:spacing w:line="52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（四）提供</w:t>
      </w:r>
      <w:permStart w:id="16" w:edGrp="everyone"/>
      <w:r>
        <w:rPr>
          <w:rFonts w:hint="eastAsia" w:asciiTheme="minorEastAsia" w:hAnsiTheme="minorEastAsia" w:cstheme="minorEastAsia"/>
          <w:sz w:val="28"/>
          <w:szCs w:val="28"/>
          <w:u w:val="single"/>
        </w:rPr>
        <w:t xml:space="preserve"> 20</w:t>
      </w:r>
      <w:r>
        <w:rPr>
          <w:rFonts w:hint="eastAsia" w:asciiTheme="minorEastAsia" w:hAnsiTheme="minorEastAsia" w:cstheme="minorEastAsia"/>
          <w:sz w:val="28"/>
          <w:szCs w:val="28"/>
          <w:u w:val="single"/>
          <w:lang w:val="en-US" w:eastAsia="zh-CN"/>
        </w:rPr>
        <w:t>21</w:t>
      </w:r>
      <w:permEnd w:id="16"/>
      <w:r>
        <w:rPr>
          <w:rFonts w:hint="eastAsia" w:asciiTheme="minorEastAsia" w:hAnsiTheme="minorEastAsia" w:cstheme="minorEastAsia"/>
          <w:sz w:val="28"/>
          <w:szCs w:val="28"/>
        </w:rPr>
        <w:t>年至今企业类似项目业绩</w:t>
      </w:r>
      <w:permStart w:id="17" w:edGrp="everyone"/>
      <w:r>
        <w:rPr>
          <w:rFonts w:hint="eastAsia" w:asciiTheme="minorEastAsia" w:hAnsiTheme="minorEastAsia" w:cstheme="minorEastAsia"/>
          <w:sz w:val="28"/>
          <w:szCs w:val="28"/>
          <w:u w:val="single"/>
        </w:rPr>
        <w:t xml:space="preserve"> 1 </w:t>
      </w:r>
      <w:permEnd w:id="17"/>
      <w:r>
        <w:rPr>
          <w:rFonts w:hint="eastAsia" w:asciiTheme="minorEastAsia" w:hAnsiTheme="minorEastAsia" w:cstheme="minorEastAsia"/>
          <w:sz w:val="28"/>
          <w:szCs w:val="28"/>
        </w:rPr>
        <w:t>个，以</w:t>
      </w:r>
      <w:permStart w:id="18" w:edGrp="everyone"/>
      <w:r>
        <w:rPr>
          <w:rFonts w:hint="eastAsia" w:asciiTheme="minorEastAsia" w:hAnsiTheme="minorEastAsia" w:cstheme="minorEastAsia"/>
          <w:sz w:val="28"/>
          <w:szCs w:val="28"/>
        </w:rPr>
        <w:t>合同签订时间</w:t>
      </w:r>
      <w:permEnd w:id="18"/>
      <w:r>
        <w:rPr>
          <w:rFonts w:hint="eastAsia" w:asciiTheme="minorEastAsia" w:hAnsiTheme="minorEastAsia" w:cstheme="minorEastAsia"/>
          <w:sz w:val="28"/>
          <w:szCs w:val="28"/>
        </w:rPr>
        <w:t>为准。类似项目业绩指：</w:t>
      </w:r>
      <w:permStart w:id="19" w:edGrp="everyone"/>
      <w:r>
        <w:rPr>
          <w:rFonts w:hint="eastAsia" w:asciiTheme="minorEastAsia" w:hAnsiTheme="minorEastAsia" w:cstheme="minorEastAsia"/>
          <w:sz w:val="28"/>
          <w:szCs w:val="28"/>
          <w:lang w:val="en-US" w:eastAsia="zh-CN"/>
        </w:rPr>
        <w:t>已完成的</w:t>
      </w:r>
      <w:r>
        <w:rPr>
          <w:rFonts w:hint="eastAsia" w:asciiTheme="minorEastAsia" w:hAnsiTheme="minorEastAsia" w:cstheme="minorEastAsia"/>
          <w:sz w:val="28"/>
          <w:szCs w:val="28"/>
        </w:rPr>
        <w:t>单项合同金额不低于</w:t>
      </w:r>
      <w:r>
        <w:rPr>
          <w:rFonts w:hint="eastAsia" w:asciiTheme="minorEastAsia" w:hAnsiTheme="minorEastAsia" w:cstheme="minorEastAsia"/>
          <w:sz w:val="28"/>
          <w:szCs w:val="28"/>
          <w:lang w:val="en-US" w:eastAsia="zh-CN"/>
        </w:rPr>
        <w:t>800</w:t>
      </w:r>
      <w:r>
        <w:rPr>
          <w:rFonts w:hint="eastAsia" w:asciiTheme="minorEastAsia" w:hAnsiTheme="minorEastAsia" w:cstheme="minorEastAsia"/>
          <w:sz w:val="28"/>
          <w:szCs w:val="28"/>
        </w:rPr>
        <w:t>万元的房建</w:t>
      </w:r>
      <w:r>
        <w:rPr>
          <w:rFonts w:hint="eastAsia" w:asciiTheme="minorEastAsia" w:hAnsiTheme="minorEastAsia" w:cstheme="minorEastAsia"/>
          <w:sz w:val="28"/>
          <w:szCs w:val="28"/>
          <w:lang w:val="en-US" w:eastAsia="zh-CN"/>
        </w:rPr>
        <w:t>水电</w:t>
      </w:r>
      <w:r>
        <w:rPr>
          <w:rFonts w:hint="eastAsia" w:asciiTheme="minorEastAsia" w:hAnsiTheme="minorEastAsia" w:cstheme="minorEastAsia"/>
          <w:sz w:val="28"/>
          <w:szCs w:val="28"/>
        </w:rPr>
        <w:t>工程业绩</w:t>
      </w:r>
      <w:permEnd w:id="19"/>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permStart w:id="20" w:edGrp="everyone"/>
      <w:r>
        <w:rPr>
          <w:rFonts w:asciiTheme="minorEastAsia" w:hAnsiTheme="minorEastAsia" w:cstheme="minorEastAsia"/>
          <w:sz w:val="28"/>
          <w:szCs w:val="28"/>
        </w:rPr>
        <w:t>提供业绩合同复印件</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竣工验收资料等</w:t>
      </w:r>
      <w:r>
        <w:rPr>
          <w:rFonts w:asciiTheme="minorEastAsia" w:hAnsiTheme="minorEastAsia" w:cstheme="minorEastAsia"/>
          <w:sz w:val="28"/>
          <w:szCs w:val="28"/>
        </w:rPr>
        <w:t>装订入投标文件中</w:t>
      </w:r>
      <w:permEnd w:id="20"/>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（六）投标人如在以往承接交控集团及下属企业项目过程中被记入“黑名单”，不得参加本次招标投标活动；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（七）本次招标</w:t>
      </w:r>
      <w:permStart w:id="21" w:edGrp="everyone"/>
      <w:r>
        <w:rPr>
          <w:rFonts w:hint="eastAsia" w:asciiTheme="minorEastAsia" w:hAnsiTheme="minorEastAsia" w:cstheme="minorEastAsia"/>
          <w:color w:val="FF0000"/>
          <w:sz w:val="28"/>
          <w:szCs w:val="28"/>
        </w:rPr>
        <w:t>不接受</w:t>
      </w:r>
      <w:permEnd w:id="21"/>
      <w:r>
        <w:rPr>
          <w:rFonts w:hint="eastAsia" w:asciiTheme="minorEastAsia" w:hAnsiTheme="minorEastAsia" w:cstheme="minorEastAsia"/>
          <w:sz w:val="28"/>
          <w:szCs w:val="28"/>
        </w:rPr>
        <w:t>联合体投标。联合体投标的，应满足下列要求：</w:t>
      </w:r>
      <w:permStart w:id="22" w:edGrp="everyone"/>
      <w:r>
        <w:rPr>
          <w:rFonts w:hint="eastAsia" w:asciiTheme="minorEastAsia" w:hAnsiTheme="minorEastAsia" w:cstheme="minorEastAsia"/>
          <w:sz w:val="28"/>
          <w:szCs w:val="28"/>
        </w:rPr>
        <w:t xml:space="preserve">  /  </w:t>
      </w:r>
      <w:permEnd w:id="22"/>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（八）本项目委托代理人必须是投标单位正式人员，须提供投标单位公司为其缴纳的</w:t>
      </w:r>
      <w:permStart w:id="23" w:edGrp="everyone"/>
      <w:r>
        <w:rPr>
          <w:rFonts w:hint="eastAsia" w:asciiTheme="minorEastAsia" w:hAnsiTheme="minorEastAsia" w:cstheme="minorEastAsia"/>
          <w:color w:val="000000" w:themeColor="text1"/>
          <w:sz w:val="28"/>
          <w:szCs w:val="28"/>
          <w:lang w:eastAsia="zh-CN"/>
          <w14:textFill>
            <w14:solidFill>
              <w14:schemeClr w14:val="tx1"/>
            </w14:solidFill>
          </w14:textFill>
        </w:rPr>
        <w:t>2023</w:t>
      </w:r>
      <w:r>
        <w:rPr>
          <w:rFonts w:hint="eastAsia" w:asciiTheme="minorEastAsia" w:hAnsiTheme="minorEastAsia" w:cstheme="minorEastAsia"/>
          <w:color w:val="FF0000"/>
          <w:sz w:val="28"/>
          <w:szCs w:val="28"/>
        </w:rPr>
        <w:t>年</w:t>
      </w:r>
      <w:r>
        <w:rPr>
          <w:rFonts w:hint="eastAsia" w:asciiTheme="minorEastAsia" w:hAnsiTheme="minorEastAsia" w:cstheme="minorEastAsia"/>
          <w:color w:val="FF0000"/>
          <w:sz w:val="28"/>
          <w:szCs w:val="28"/>
          <w:lang w:val="en-US" w:eastAsia="zh-CN"/>
        </w:rPr>
        <w:t>6</w:t>
      </w:r>
      <w:r>
        <w:rPr>
          <w:rFonts w:hint="eastAsia" w:asciiTheme="minorEastAsia" w:hAnsiTheme="minorEastAsia" w:cstheme="minorEastAsia"/>
          <w:color w:val="FF0000"/>
          <w:sz w:val="28"/>
          <w:szCs w:val="28"/>
        </w:rPr>
        <w:t>月</w:t>
      </w:r>
      <w:permEnd w:id="23"/>
      <w:r>
        <w:rPr>
          <w:rFonts w:hint="eastAsia" w:asciiTheme="minorEastAsia" w:hAnsiTheme="minorEastAsia" w:cstheme="minorEastAsia"/>
          <w:color w:val="000000" w:themeColor="text1"/>
          <w:sz w:val="28"/>
          <w:szCs w:val="28"/>
          <w14:textFill>
            <w14:solidFill>
              <w14:schemeClr w14:val="tx1"/>
            </w14:solidFill>
          </w14:textFill>
        </w:rPr>
        <w:t>起任意3个月及以上养老保险证明，否则按无效投标处理。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w:t>
      </w:r>
      <w:r>
        <w:rPr>
          <w:rFonts w:hint="eastAsia" w:asciiTheme="minorEastAsia" w:hAnsiTheme="minorEastAsia" w:cstheme="minorEastAsia"/>
          <w:sz w:val="28"/>
          <w:szCs w:val="28"/>
        </w:rPr>
        <w:t>亳州交通投资控股集团有限公司官网（www.bzjkjt.com）、安徽省招标投标信息网（www.ahtba.org.cn）及优质采云采购平台（www.youzhicai.com）</w:t>
      </w:r>
      <w:r>
        <w:rPr>
          <w:rFonts w:asciiTheme="minorEastAsia" w:hAnsiTheme="minorEastAsia" w:cstheme="minorEastAsia"/>
          <w:sz w:val="28"/>
          <w:szCs w:val="28"/>
        </w:rPr>
        <w:t>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2024</w:t>
      </w:r>
      <w:bookmarkStart w:id="574" w:name="_GoBack"/>
      <w:bookmarkEnd w:id="574"/>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1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24 </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9 </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 xml:space="preserve">  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5" w:edGrp="everyone"/>
      <w:r>
        <w:rPr>
          <w:rFonts w:hint="default" w:asciiTheme="minorEastAsia" w:hAnsiTheme="minorEastAsia" w:eastAsiaTheme="minorEastAsia" w:cstheme="minorEastAsia"/>
          <w:color w:val="FF0000"/>
          <w:sz w:val="28"/>
          <w:szCs w:val="28"/>
          <w:highlight w:val="none"/>
          <w:lang w:val="en-US" w:eastAsia="zh-CN"/>
        </w:rPr>
        <w:t>允许</w:t>
      </w:r>
      <w:permEnd w:id="25"/>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6" w:edGrp="everyone"/>
      <w:r>
        <w:rPr>
          <w:rFonts w:asciiTheme="minorEastAsia" w:hAnsiTheme="minorEastAsia" w:cstheme="minorEastAsia"/>
          <w:sz w:val="28"/>
          <w:szCs w:val="28"/>
          <w:u w:val="single"/>
        </w:rPr>
        <w:t xml:space="preserve"> </w:t>
      </w:r>
      <w:r>
        <w:rPr>
          <w:rFonts w:hint="eastAsia" w:asciiTheme="minorEastAsia" w:hAnsiTheme="minorEastAsia" w:cstheme="minorEastAsia"/>
          <w:sz w:val="28"/>
          <w:szCs w:val="28"/>
          <w:u w:val="single"/>
          <w:lang w:val="en-US" w:eastAsia="zh-CN"/>
        </w:rPr>
        <w:t>100000元</w:t>
      </w:r>
      <w:r>
        <w:rPr>
          <w:rFonts w:hint="eastAsia" w:asciiTheme="minorEastAsia" w:hAnsiTheme="minorEastAsia" w:cstheme="minorEastAsia"/>
          <w:sz w:val="28"/>
          <w:szCs w:val="28"/>
          <w:u w:val="single"/>
        </w:rPr>
        <w:t xml:space="preserve"> </w:t>
      </w:r>
      <w:r>
        <w:rPr>
          <w:rFonts w:hint="default" w:asciiTheme="minorEastAsia" w:hAnsiTheme="minorEastAsia" w:eastAsiaTheme="minorEastAsia" w:cstheme="minorEastAsia"/>
          <w:sz w:val="28"/>
          <w:szCs w:val="28"/>
          <w:highlight w:val="none"/>
          <w:lang w:val="en-US" w:eastAsia="zh-CN"/>
        </w:rPr>
        <w:t>（人民币）</w:t>
      </w:r>
      <w:permEnd w:id="26"/>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7" w:edGrp="everyone"/>
      <w:r>
        <w:rPr>
          <w:rFonts w:hint="eastAsia" w:asciiTheme="minorEastAsia" w:hAnsiTheme="minorEastAsia" w:cstheme="minorEastAsia"/>
          <w:sz w:val="28"/>
          <w:szCs w:val="28"/>
        </w:rPr>
        <w:t xml:space="preserve"> 安徽通康建设工程有限公司 </w:t>
      </w:r>
    </w:p>
    <w:permEnd w:id="27"/>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8" w:edGrp="everyone"/>
      <w:r>
        <w:rPr>
          <w:rFonts w:hint="eastAsia" w:asciiTheme="minorEastAsia" w:hAnsiTheme="minorEastAsia" w:cstheme="minorEastAsia"/>
          <w:sz w:val="28"/>
          <w:szCs w:val="28"/>
        </w:rPr>
        <w:t xml:space="preserve"> 安徽省亳州市谯城区S309收费站。 </w:t>
      </w:r>
      <w:permEnd w:id="28"/>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9" w:edGrp="everyone"/>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李尔康</w:t>
      </w:r>
      <w:r>
        <w:rPr>
          <w:rFonts w:hint="eastAsia" w:asciiTheme="minorEastAsia" w:hAnsiTheme="minorEastAsia" w:cstheme="minorEastAsia"/>
          <w:sz w:val="28"/>
          <w:szCs w:val="28"/>
        </w:rPr>
        <w:t xml:space="preserve"> </w:t>
      </w:r>
      <w:permEnd w:id="2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30" w:edGrp="everyone"/>
      <w:r>
        <w:rPr>
          <w:rFonts w:hint="eastAsia" w:asciiTheme="minorEastAsia" w:hAnsiTheme="minorEastAsia" w:cstheme="minorEastAsia"/>
          <w:sz w:val="28"/>
          <w:szCs w:val="28"/>
          <w:lang w:val="en-US" w:eastAsia="zh-CN"/>
        </w:rPr>
        <w:t>18906343943</w:t>
      </w:r>
      <w:r>
        <w:rPr>
          <w:rFonts w:hint="eastAsia" w:asciiTheme="minorEastAsia" w:hAnsiTheme="minorEastAsia" w:cstheme="minorEastAsia"/>
          <w:sz w:val="28"/>
          <w:szCs w:val="28"/>
        </w:rPr>
        <w:t xml:space="preserve"> </w:t>
      </w:r>
      <w:permEnd w:id="3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1" w:edGrp="everyone"/>
      <w:r>
        <w:rPr>
          <w:rFonts w:hint="eastAsia" w:asciiTheme="minorEastAsia" w:hAnsiTheme="minorEastAsia" w:cstheme="minorEastAsia"/>
          <w:sz w:val="28"/>
          <w:szCs w:val="28"/>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 xml:space="preserve"> 1</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16</w:t>
      </w:r>
      <w:r>
        <w:rPr>
          <w:rFonts w:hint="eastAsia" w:asciiTheme="minorEastAsia" w:hAnsiTheme="minorEastAsia" w:eastAsiaTheme="minorEastAsia" w:cstheme="minorEastAsia"/>
          <w:color w:val="FF0000"/>
          <w:sz w:val="28"/>
          <w:szCs w:val="28"/>
          <w:highlight w:val="none"/>
          <w:lang w:val="en-US" w:eastAsia="zh-CN"/>
        </w:rPr>
        <w:t>日</w:t>
      </w:r>
      <w:permEnd w:id="31"/>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64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2"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r>
              <w:rPr>
                <w:rFonts w:hint="eastAsia" w:hAnsi="宋体"/>
                <w:color w:val="FF0000"/>
                <w:szCs w:val="21"/>
              </w:rPr>
              <w:sym w:font="Wingdings 2" w:char="0052"/>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2"/>
          <w:p>
            <w:pPr>
              <w:autoSpaceDE w:val="0"/>
              <w:autoSpaceDN w:val="0"/>
              <w:adjustRightInd w:val="0"/>
              <w:snapToGrid w:val="0"/>
              <w:spacing w:line="440" w:lineRule="exact"/>
              <w:jc w:val="left"/>
            </w:pPr>
            <w:r>
              <w:rPr>
                <w:rFonts w:hint="eastAsia"/>
              </w:rPr>
              <w:t>3、其他要求：</w:t>
            </w:r>
          </w:p>
          <w:p>
            <w:pPr>
              <w:autoSpaceDE w:val="0"/>
              <w:autoSpaceDN w:val="0"/>
              <w:adjustRightInd w:val="0"/>
              <w:snapToGrid w:val="0"/>
              <w:spacing w:line="440" w:lineRule="exact"/>
              <w:ind w:firstLine="411" w:firstLineChars="196"/>
              <w:jc w:val="left"/>
            </w:pPr>
            <w:permStart w:id="33" w:edGrp="everyone"/>
            <w:r>
              <w:rPr>
                <w:rFonts w:hint="eastAsia"/>
              </w:rPr>
              <w:t>（</w:t>
            </w:r>
            <w:r>
              <w:rPr>
                <w:rFonts w:hint="eastAsia"/>
                <w:lang w:val="en-US" w:eastAsia="zh-CN"/>
              </w:rPr>
              <w:t>1</w:t>
            </w:r>
            <w:r>
              <w:rPr>
                <w:rFonts w:hint="eastAsia"/>
              </w:rPr>
              <w:t>）技术负责人：具有</w:t>
            </w:r>
            <w:r>
              <w:rPr>
                <w:rFonts w:hint="eastAsia" w:hAnsi="宋体"/>
                <w:snapToGrid w:val="0"/>
                <w:spacing w:val="-4"/>
                <w:kern w:val="0"/>
                <w:sz w:val="24"/>
                <w:u w:val="single"/>
              </w:rPr>
              <w:t xml:space="preserve"> </w:t>
            </w:r>
            <w:r>
              <w:rPr>
                <w:rFonts w:hint="eastAsia" w:hAnsi="宋体"/>
                <w:snapToGrid w:val="0"/>
                <w:spacing w:val="-4"/>
                <w:kern w:val="0"/>
                <w:sz w:val="24"/>
                <w:u w:val="single"/>
                <w:lang w:val="en-US" w:eastAsia="zh-CN"/>
              </w:rPr>
              <w:t>机电</w:t>
            </w:r>
            <w:r>
              <w:rPr>
                <w:rFonts w:hint="eastAsia" w:hAnsi="宋体"/>
                <w:snapToGrid w:val="0"/>
                <w:spacing w:val="-4"/>
                <w:kern w:val="0"/>
                <w:sz w:val="24"/>
                <w:u w:val="single"/>
              </w:rPr>
              <w:t>工程</w:t>
            </w:r>
            <w:r>
              <w:rPr>
                <w:rFonts w:hint="eastAsia" w:hAnsi="宋体"/>
                <w:snapToGrid w:val="0"/>
                <w:spacing w:val="-4"/>
                <w:kern w:val="0"/>
                <w:sz w:val="24"/>
                <w:u w:val="single"/>
                <w:lang w:val="en-US" w:eastAsia="zh-CN"/>
              </w:rPr>
              <w:t>相关专业</w:t>
            </w:r>
            <w:r>
              <w:rPr>
                <w:rFonts w:hint="eastAsia" w:hAnsi="宋体"/>
                <w:snapToGrid w:val="0"/>
                <w:spacing w:val="-4"/>
                <w:kern w:val="0"/>
                <w:sz w:val="24"/>
                <w:u w:val="single"/>
              </w:rPr>
              <w:t xml:space="preserve"> </w:t>
            </w:r>
            <w:r>
              <w:rPr>
                <w:rFonts w:hint="eastAsia" w:ascii="_x000B__x000C_" w:hAnsi="_x000B__x000C_"/>
                <w:szCs w:val="21"/>
              </w:rPr>
              <w:t>（专业类别）</w:t>
            </w:r>
            <w:r>
              <w:rPr>
                <w:rFonts w:hint="eastAsia"/>
                <w:b/>
                <w:bCs/>
                <w:sz w:val="21"/>
              </w:rPr>
              <w:t>中级</w:t>
            </w:r>
            <w:r>
              <w:rPr>
                <w:rFonts w:hint="eastAsia"/>
                <w:b/>
                <w:bCs/>
                <w:sz w:val="21"/>
                <w:lang w:val="en-US" w:eastAsia="zh-CN"/>
              </w:rPr>
              <w:t>工程师</w:t>
            </w:r>
            <w:r>
              <w:rPr>
                <w:rFonts w:hint="eastAsia"/>
              </w:rPr>
              <w:t>及以上职称。</w:t>
            </w:r>
          </w:p>
          <w:p>
            <w:pPr>
              <w:spacing w:line="440" w:lineRule="exact"/>
              <w:ind w:firstLine="415" w:firstLineChars="198"/>
              <w:rPr>
                <w:rFonts w:hAnsi="宋体"/>
                <w:szCs w:val="21"/>
              </w:rPr>
            </w:pPr>
            <w:r>
              <w:rPr>
                <w:rFonts w:hint="eastAsia" w:hAnsi="宋体"/>
                <w:szCs w:val="21"/>
              </w:rPr>
              <w:t>（</w:t>
            </w:r>
            <w:r>
              <w:rPr>
                <w:rFonts w:hint="eastAsia" w:hAnsi="宋体"/>
                <w:szCs w:val="21"/>
                <w:lang w:val="en-US" w:eastAsia="zh-CN"/>
              </w:rPr>
              <w:t>2</w:t>
            </w:r>
            <w:r>
              <w:rPr>
                <w:rFonts w:hint="eastAsia" w:hAnsi="宋体"/>
                <w:szCs w:val="21"/>
              </w:rPr>
              <w:t>）</w:t>
            </w:r>
            <w:r>
              <w:rPr>
                <w:rFonts w:hint="eastAsia" w:ascii="_x000B__x000C_" w:hAnsi="_x000B__x000C_"/>
                <w:szCs w:val="21"/>
              </w:rPr>
              <w:t>本工程拟派专职人员的具体资格和数量要求：</w:t>
            </w:r>
          </w:p>
          <w:p>
            <w:pPr>
              <w:spacing w:line="440" w:lineRule="exact"/>
              <w:ind w:firstLine="415" w:firstLineChars="198"/>
              <w:rPr>
                <w:rFonts w:ascii="_x000B__x000C_" w:hAnsi="_x000B__x000C_"/>
                <w:szCs w:val="21"/>
              </w:rPr>
            </w:pPr>
            <w:r>
              <w:rPr>
                <w:rFonts w:hint="eastAsia" w:ascii="_x000B__x000C_" w:hAnsi="_x000B__x000C_"/>
                <w:szCs w:val="21"/>
              </w:rPr>
              <w:t>施工员：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质量员：</w:t>
            </w:r>
            <w:r>
              <w:rPr>
                <w:rFonts w:hint="eastAsia" w:hAnsi="宋体"/>
                <w:snapToGrid w:val="0"/>
                <w:spacing w:val="-4"/>
                <w:kern w:val="0"/>
                <w:sz w:val="24"/>
                <w:u w:val="single"/>
                <w:lang w:val="en-US" w:eastAsia="zh-CN"/>
              </w:rPr>
              <w:t xml:space="preserve"> /</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安全员：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_x000B__x000C_" w:hAnsi="_x000B__x000C_"/>
                <w:szCs w:val="21"/>
              </w:rPr>
            </w:pPr>
            <w:r>
              <w:rPr>
                <w:rFonts w:hint="eastAsia" w:ascii="_x000B__x000C_" w:hAnsi="_x000B__x000C_"/>
                <w:szCs w:val="21"/>
              </w:rPr>
              <w:t>资料员：</w:t>
            </w:r>
            <w:r>
              <w:rPr>
                <w:rFonts w:hint="eastAsia" w:ascii="_x000B__x000C_" w:hAnsi="_x000B__x000C_"/>
                <w:szCs w:val="21"/>
                <w:u w:val="single"/>
              </w:rPr>
              <w:t xml:space="preserve"> </w:t>
            </w:r>
            <w:r>
              <w:rPr>
                <w:rFonts w:hint="eastAsia" w:hAnsi="宋体"/>
                <w:snapToGrid w:val="0"/>
                <w:spacing w:val="-4"/>
                <w:kern w:val="0"/>
                <w:sz w:val="24"/>
                <w:u w:val="single"/>
                <w:lang w:val="en-US" w:eastAsia="zh-CN"/>
              </w:rPr>
              <w:t>1</w:t>
            </w:r>
            <w:r>
              <w:rPr>
                <w:rFonts w:hint="eastAsia" w:ascii="_x000B__x000C_" w:hAnsi="_x000B__x000C_"/>
                <w:szCs w:val="21"/>
                <w:u w:val="single"/>
              </w:rPr>
              <w:t xml:space="preserve"> </w:t>
            </w:r>
            <w:r>
              <w:rPr>
                <w:rFonts w:hint="eastAsia" w:ascii="_x000B__x000C_" w:hAnsi="_x000B__x000C_"/>
                <w:szCs w:val="21"/>
              </w:rPr>
              <w:t>人；</w:t>
            </w:r>
          </w:p>
          <w:p>
            <w:pPr>
              <w:spacing w:line="440" w:lineRule="exact"/>
              <w:ind w:firstLine="415" w:firstLineChars="198"/>
              <w:rPr>
                <w:rFonts w:ascii="宋体" w:hAnsi="宋体"/>
                <w:szCs w:val="21"/>
              </w:rPr>
            </w:pPr>
            <w:r>
              <w:rPr>
                <w:rFonts w:hint="eastAsia" w:ascii="宋体" w:hAnsi="宋体"/>
                <w:szCs w:val="21"/>
              </w:rPr>
              <w:t>取样员或试验员（可兼任）：</w:t>
            </w:r>
            <w:r>
              <w:rPr>
                <w:rFonts w:hint="eastAsia" w:hAnsi="宋体"/>
                <w:snapToGrid w:val="0"/>
                <w:spacing w:val="-4"/>
                <w:kern w:val="0"/>
                <w:sz w:val="24"/>
                <w:u w:val="single"/>
              </w:rPr>
              <w:t xml:space="preserve"> / </w:t>
            </w:r>
            <w:r>
              <w:rPr>
                <w:rFonts w:hint="eastAsia" w:ascii="宋体" w:hAnsi="宋体"/>
                <w:szCs w:val="21"/>
              </w:rPr>
              <w:t>人。</w:t>
            </w:r>
          </w:p>
          <w:p>
            <w:pPr>
              <w:spacing w:line="440" w:lineRule="exact"/>
              <w:ind w:firstLine="420" w:firstLineChars="200"/>
              <w:rPr>
                <w:rFonts w:ascii="宋体" w:hAnsi="宋体" w:cs="MingLiU"/>
                <w:spacing w:val="-24"/>
                <w:kern w:val="0"/>
                <w:szCs w:val="21"/>
              </w:rPr>
            </w:pPr>
            <w:r>
              <w:rPr>
                <w:rFonts w:hint="eastAsia" w:ascii="宋体" w:hAnsi="宋体" w:cs="MingLiU"/>
                <w:kern w:val="0"/>
                <w:szCs w:val="21"/>
              </w:rPr>
              <w:t>项目负责人应附建造师注册证</w:t>
            </w:r>
            <w:r>
              <w:rPr>
                <w:rFonts w:hint="eastAsia" w:ascii="宋体" w:hAnsi="宋体" w:cs="MingLiU"/>
                <w:kern w:val="0"/>
                <w:szCs w:val="21"/>
                <w:lang w:eastAsia="zh-CN"/>
              </w:rPr>
              <w:t>（</w:t>
            </w:r>
            <w:r>
              <w:rPr>
                <w:rFonts w:hint="eastAsia" w:ascii="宋体" w:hAnsi="宋体" w:cs="MingLiU"/>
                <w:kern w:val="0"/>
                <w:szCs w:val="21"/>
              </w:rPr>
              <w:t>或建造师临时执业证）、职称证（如有）、</w:t>
            </w:r>
            <w:r>
              <w:rPr>
                <w:rFonts w:hint="eastAsia" w:hAnsi="宋体"/>
                <w:szCs w:val="21"/>
              </w:rPr>
              <w:t>安全生产考核合格证</w:t>
            </w:r>
            <w:r>
              <w:rPr>
                <w:rFonts w:hint="eastAsia"/>
              </w:rPr>
              <w:t>（B类）</w:t>
            </w:r>
            <w:r>
              <w:rPr>
                <w:rFonts w:hint="eastAsia" w:hAnsi="宋体"/>
                <w:szCs w:val="21"/>
              </w:rPr>
              <w:t>、</w:t>
            </w:r>
            <w:r>
              <w:rPr>
                <w:rFonts w:hint="eastAsia" w:hAnsi="宋体" w:cs="MingLiU"/>
                <w:kern w:val="0"/>
                <w:szCs w:val="21"/>
              </w:rPr>
              <w:t>缴纳</w:t>
            </w:r>
            <w:r>
              <w:rPr>
                <w:rFonts w:hint="eastAsia" w:ascii="宋体" w:hAnsi="宋体" w:cs="MingLiU"/>
                <w:kern w:val="0"/>
                <w:szCs w:val="21"/>
              </w:rPr>
              <w:t>养老保险的复印件</w:t>
            </w:r>
            <w:r>
              <w:rPr>
                <w:rFonts w:hint="eastAsia" w:ascii="宋体" w:hAnsi="宋体" w:cs="MingLiU"/>
                <w:spacing w:val="-24"/>
                <w:kern w:val="0"/>
                <w:szCs w:val="21"/>
              </w:rPr>
              <w:t>。</w:t>
            </w:r>
          </w:p>
          <w:p>
            <w:pPr>
              <w:autoSpaceDE w:val="0"/>
              <w:autoSpaceDN w:val="0"/>
              <w:adjustRightInd w:val="0"/>
              <w:snapToGrid w:val="0"/>
              <w:spacing w:line="440" w:lineRule="exact"/>
              <w:ind w:right="40" w:firstLine="420" w:firstLineChars="200"/>
              <w:rPr>
                <w:rFonts w:hint="eastAsia" w:ascii="宋体" w:hAnsi="宋体" w:cs="MingLiU"/>
                <w:kern w:val="0"/>
                <w:szCs w:val="21"/>
              </w:rPr>
            </w:pPr>
            <w:r>
              <w:rPr>
                <w:rFonts w:hint="eastAsia" w:ascii="宋体" w:hAnsi="宋体" w:cs="MingLiU"/>
                <w:kern w:val="0"/>
                <w:szCs w:val="21"/>
              </w:rPr>
              <w:t>技术负责人应附职称证、</w:t>
            </w:r>
            <w:r>
              <w:rPr>
                <w:rFonts w:hint="eastAsia" w:hAnsi="宋体" w:cs="MingLiU"/>
                <w:kern w:val="0"/>
                <w:szCs w:val="21"/>
              </w:rPr>
              <w:t>缴纳</w:t>
            </w:r>
            <w:r>
              <w:rPr>
                <w:rFonts w:hint="eastAsia" w:ascii="宋体" w:hAnsi="宋体" w:cs="MingLiU"/>
                <w:kern w:val="0"/>
                <w:szCs w:val="21"/>
              </w:rPr>
              <w:t>养老保险的复印件。</w:t>
            </w:r>
          </w:p>
          <w:p>
            <w:pPr>
              <w:autoSpaceDE w:val="0"/>
              <w:autoSpaceDN w:val="0"/>
              <w:adjustRightInd w:val="0"/>
              <w:snapToGrid w:val="0"/>
              <w:spacing w:line="440" w:lineRule="exact"/>
              <w:ind w:right="40" w:firstLine="420" w:firstLineChars="200"/>
              <w:rPr>
                <w:rFonts w:hint="eastAsia" w:ascii="宋体" w:hAnsi="宋体" w:cs="MingLiU"/>
                <w:kern w:val="0"/>
                <w:szCs w:val="21"/>
              </w:rPr>
            </w:pPr>
            <w:r>
              <w:rPr>
                <w:rFonts w:hint="eastAsia" w:ascii="_x000B__x000C_" w:hAnsi="_x000B__x000C_"/>
                <w:szCs w:val="21"/>
              </w:rPr>
              <w:t>拟派专职人员</w:t>
            </w:r>
            <w:r>
              <w:rPr>
                <w:rFonts w:hint="eastAsia" w:ascii="_x000B__x000C_" w:hAnsi="_x000B__x000C_"/>
                <w:szCs w:val="21"/>
                <w:lang w:val="en-US" w:eastAsia="zh-CN"/>
              </w:rPr>
              <w:t>应附职业资格证书。</w:t>
            </w:r>
          </w:p>
          <w:p>
            <w:pPr>
              <w:autoSpaceDE w:val="0"/>
              <w:autoSpaceDN w:val="0"/>
              <w:adjustRightInd w:val="0"/>
              <w:snapToGrid w:val="0"/>
              <w:spacing w:line="440" w:lineRule="exact"/>
              <w:ind w:right="40" w:firstLine="480" w:firstLineChars="200"/>
              <w:rPr>
                <w:rFonts w:ascii="宋体" w:hAnsi="宋体" w:cs="宋体"/>
                <w:szCs w:val="21"/>
              </w:rPr>
            </w:pPr>
            <w:r>
              <w:rPr>
                <w:rFonts w:hint="eastAsia" w:ascii="Times New Roman" w:hAnsi="Times New Roman" w:cs="Times New Roman"/>
                <w:color w:val="FF0000"/>
                <w:kern w:val="0"/>
                <w:sz w:val="24"/>
                <w:lang w:val="en-US" w:eastAsia="zh-CN"/>
              </w:rPr>
              <w:t>注：派驻</w:t>
            </w:r>
            <w:r>
              <w:rPr>
                <w:rFonts w:hint="default" w:ascii="Times New Roman" w:hAnsi="Times New Roman" w:cs="Times New Roman" w:eastAsiaTheme="minorEastAsia"/>
                <w:color w:val="FF0000"/>
                <w:kern w:val="0"/>
                <w:sz w:val="24"/>
                <w:lang w:val="en-US" w:eastAsia="zh-CN"/>
              </w:rPr>
              <w:t>人员必须到岗履职，</w:t>
            </w:r>
            <w:r>
              <w:rPr>
                <w:rFonts w:hint="eastAsia" w:ascii="Times New Roman" w:hAnsi="Times New Roman" w:cs="Times New Roman"/>
                <w:color w:val="FF0000"/>
                <w:kern w:val="0"/>
                <w:sz w:val="24"/>
                <w:lang w:val="en-US" w:eastAsia="zh-CN"/>
              </w:rPr>
              <w:t>服从项目部管理，</w:t>
            </w:r>
            <w:r>
              <w:rPr>
                <w:rFonts w:hint="default" w:ascii="Times New Roman" w:hAnsi="Times New Roman" w:cs="Times New Roman" w:eastAsiaTheme="minorEastAsia"/>
                <w:color w:val="FF0000"/>
                <w:kern w:val="0"/>
                <w:sz w:val="24"/>
                <w:lang w:val="en-US" w:eastAsia="zh-CN"/>
              </w:rPr>
              <w:t>否则按</w:t>
            </w:r>
            <w:r>
              <w:rPr>
                <w:rFonts w:hint="eastAsia" w:ascii="Times New Roman" w:hAnsi="Times New Roman" w:cs="Times New Roman"/>
                <w:color w:val="FF0000"/>
                <w:kern w:val="0"/>
                <w:sz w:val="24"/>
                <w:lang w:val="en-US" w:eastAsia="zh-CN"/>
              </w:rPr>
              <w:t>15000元/月/人的罚款</w:t>
            </w:r>
            <w:r>
              <w:rPr>
                <w:rFonts w:hint="default" w:ascii="Times New Roman" w:hAnsi="Times New Roman" w:cs="Times New Roman" w:eastAsiaTheme="minorEastAsia"/>
                <w:color w:val="FF0000"/>
                <w:kern w:val="0"/>
                <w:sz w:val="24"/>
                <w:lang w:val="en-US" w:eastAsia="zh-CN"/>
              </w:rPr>
              <w:t>处理</w:t>
            </w:r>
            <w:r>
              <w:rPr>
                <w:rFonts w:hint="eastAsia" w:hAnsi="宋体"/>
                <w:sz w:val="21"/>
                <w:szCs w:val="21"/>
              </w:rPr>
              <w:t>。</w:t>
            </w:r>
            <w:permEnd w:id="33"/>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宋体" w:hAnsi="宋体" w:cs="MingLiU"/>
                <w:kern w:val="0"/>
                <w:szCs w:val="21"/>
              </w:rPr>
              <w:t>养老保险须提供</w:t>
            </w:r>
            <w:permStart w:id="34" w:edGrp="everyone"/>
            <w:r>
              <w:rPr>
                <w:rFonts w:hint="eastAsia" w:hAnsi="宋体"/>
                <w:snapToGrid w:val="0"/>
                <w:spacing w:val="-4"/>
                <w:kern w:val="0"/>
                <w:sz w:val="24"/>
                <w:u w:val="single"/>
              </w:rPr>
              <w:t xml:space="preserve"> </w:t>
            </w:r>
            <w:r>
              <w:rPr>
                <w:rFonts w:hint="eastAsia" w:hAnsi="宋体"/>
                <w:snapToGrid w:val="0"/>
                <w:spacing w:val="-4"/>
                <w:kern w:val="0"/>
                <w:sz w:val="24"/>
                <w:u w:val="single"/>
                <w:lang w:eastAsia="zh-CN"/>
              </w:rPr>
              <w:t>2023</w:t>
            </w:r>
            <w:r>
              <w:rPr>
                <w:rFonts w:hint="eastAsia" w:hAnsi="宋体"/>
                <w:snapToGrid w:val="0"/>
                <w:spacing w:val="-4"/>
                <w:kern w:val="0"/>
                <w:sz w:val="24"/>
                <w:u w:val="single"/>
              </w:rPr>
              <w:t xml:space="preserve"> </w:t>
            </w:r>
            <w:permEnd w:id="34"/>
            <w:r>
              <w:rPr>
                <w:rFonts w:hint="eastAsia" w:ascii="宋体" w:hAnsi="宋体" w:cs="MingLiU"/>
                <w:kern w:val="0"/>
                <w:szCs w:val="21"/>
              </w:rPr>
              <w:t>年</w:t>
            </w:r>
            <w:permStart w:id="35" w:edGrp="everyone"/>
            <w:r>
              <w:rPr>
                <w:rFonts w:hint="eastAsia" w:ascii="宋体" w:hAnsi="宋体" w:cs="MingLiU"/>
                <w:kern w:val="0"/>
                <w:szCs w:val="21"/>
                <w:u w:val="single"/>
              </w:rPr>
              <w:t xml:space="preserve">  </w:t>
            </w:r>
            <w:r>
              <w:rPr>
                <w:rFonts w:hint="eastAsia" w:ascii="宋体" w:hAnsi="宋体" w:cs="MingLiU"/>
                <w:kern w:val="0"/>
                <w:szCs w:val="21"/>
                <w:u w:val="single"/>
                <w:lang w:val="en-US" w:eastAsia="zh-CN"/>
              </w:rPr>
              <w:t>6</w:t>
            </w:r>
            <w:r>
              <w:rPr>
                <w:rFonts w:hint="eastAsia" w:ascii="宋体" w:hAnsi="宋体" w:cs="MingLiU"/>
                <w:kern w:val="0"/>
                <w:szCs w:val="21"/>
                <w:u w:val="single"/>
              </w:rPr>
              <w:t xml:space="preserve">  </w:t>
            </w:r>
            <w:permEnd w:id="35"/>
            <w:r>
              <w:rPr>
                <w:rFonts w:hint="eastAsia" w:ascii="宋体" w:hAnsi="宋体" w:cs="MingLiU"/>
                <w:kern w:val="0"/>
                <w:szCs w:val="21"/>
              </w:rPr>
              <w:t>月以来在投标单位已缴纳的任意3个月的养老保险证明（指养老保险管理单位出具的养老保险证明，加盖养老保险管理单位的公章或电子章；</w:t>
            </w:r>
            <w:r>
              <w:rPr>
                <w:rFonts w:hint="eastAsia" w:ascii="宋体" w:hAnsi="宋体"/>
                <w:szCs w:val="21"/>
              </w:rPr>
              <w:t>投标时将原件、复印件或扫描件制作在投标文件中</w:t>
            </w:r>
            <w:r>
              <w:rPr>
                <w:rFonts w:hint="eastAsia" w:ascii="宋体" w:hAnsi="宋体" w:cs="MingLiU"/>
                <w:kern w:val="0"/>
                <w:szCs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36"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3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37"/>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pStyle w:val="7"/>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投标截止时间前，招标文件的澄清将</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招标文件的澄清</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进行发布。</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招标文件的</w:t>
            </w:r>
            <w:r>
              <w:rPr>
                <w:rFonts w:hint="eastAsia" w:ascii="Times New Roman" w:hAnsi="Times New Roman" w:cs="Times New Roman"/>
                <w:szCs w:val="21"/>
              </w:rPr>
              <w:t>修改</w:t>
            </w:r>
            <w:r>
              <w:rPr>
                <w:rFonts w:hint="eastAsia" w:ascii="Times New Roman" w:hAnsi="Times New Roman" w:cs="Times New Roman"/>
                <w:szCs w:val="21"/>
                <w:lang w:eastAsia="zh-CN"/>
              </w:rPr>
              <w:t>亳州交通投资控股集团有限公司官网（www.bzjkjt.com）、安徽省招标投标信息网（www.ahtba.org.cn）及优质采云采购平台（www.youzhicai.com）上</w:t>
            </w:r>
            <w:r>
              <w:rPr>
                <w:rFonts w:ascii="Times New Roman" w:hAnsi="Times New Roman" w:cs="Times New Roman"/>
                <w:szCs w:val="21"/>
              </w:rPr>
              <w:t>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w:t>
            </w:r>
            <w:r>
              <w:rPr>
                <w:rFonts w:ascii="Times New Roman" w:hAnsi="Times New Roman" w:cs="Times New Roman"/>
                <w:szCs w:val="21"/>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ascii="Times New Roman" w:hAnsi="Times New Roman" w:cs="Times New Roman"/>
                <w:szCs w:val="21"/>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38"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38"/>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w:t>
            </w:r>
            <w:r>
              <w:rPr>
                <w:rFonts w:hint="eastAsia" w:ascii="Times New Roman" w:hAnsi="Times New Roman" w:cs="Times New Roman"/>
                <w:szCs w:val="21"/>
                <w:lang w:val="en-US" w:eastAsia="zh-CN"/>
              </w:rPr>
              <w:t>现金</w:t>
            </w:r>
            <w:r>
              <w:rPr>
                <w:rFonts w:ascii="Times New Roman" w:hAnsi="Times New Roman" w:cs="Times New Roman"/>
                <w:szCs w:val="21"/>
              </w:rPr>
              <w:t>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permStart w:id="39" w:edGrp="everyone"/>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100000</w:t>
            </w:r>
            <w:r>
              <w:rPr>
                <w:rFonts w:hint="eastAsia" w:ascii="Times New Roman" w:hAnsi="Times New Roman" w:cs="Times New Roman"/>
                <w:szCs w:val="21"/>
                <w:u w:val="single"/>
              </w:rPr>
              <w:t xml:space="preserve">元 </w:t>
            </w:r>
            <w:permEnd w:id="39"/>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40" w:edGrp="everyone"/>
            <w:r>
              <w:rPr>
                <w:rFonts w:hint="eastAsia" w:ascii="Times New Roman" w:hAnsi="Times New Roman" w:cs="Times New Roman"/>
                <w:color w:val="FF0000"/>
                <w:szCs w:val="21"/>
              </w:rPr>
              <w:t>BZJK-</w:t>
            </w:r>
            <w:r>
              <w:rPr>
                <w:rFonts w:hint="eastAsia" w:ascii="Times New Roman" w:hAnsi="Times New Roman" w:cs="Times New Roman"/>
                <w:color w:val="FF0000"/>
                <w:szCs w:val="21"/>
                <w:lang w:eastAsia="zh-CN"/>
              </w:rPr>
              <w:t>202</w:t>
            </w:r>
            <w:r>
              <w:rPr>
                <w:rFonts w:hint="eastAsia" w:ascii="Times New Roman" w:hAnsi="Times New Roman" w:cs="Times New Roman"/>
                <w:color w:val="FF0000"/>
                <w:szCs w:val="21"/>
                <w:lang w:val="en-US" w:eastAsia="zh-CN"/>
              </w:rPr>
              <w:t>4</w:t>
            </w:r>
            <w:r>
              <w:rPr>
                <w:rFonts w:hint="eastAsia" w:ascii="Times New Roman" w:hAnsi="Times New Roman" w:cs="Times New Roman"/>
                <w:color w:val="FF0000"/>
                <w:szCs w:val="21"/>
              </w:rPr>
              <w:t>-</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rPr>
              <w:t>号保证金</w:t>
            </w:r>
            <w:permEnd w:id="40"/>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41" w:edGrp="everyone"/>
            <w:permEnd w:id="41"/>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42" w:edGrp="everyone"/>
            <w:r>
              <w:rPr>
                <w:rFonts w:hint="eastAsia" w:ascii="Times New Roman" w:hAnsi="Times New Roman" w:cs="Times New Roman"/>
                <w:color w:val="FF0000"/>
                <w:szCs w:val="21"/>
              </w:rPr>
              <w:t>开标地址</w:t>
            </w:r>
            <w:r>
              <w:rPr>
                <w:rFonts w:hint="eastAsia" w:ascii="Times New Roman" w:hAnsi="Times New Roman" w:cs="Times New Roman"/>
                <w:color w:val="FF0000"/>
                <w:szCs w:val="21"/>
                <w:lang w:eastAsia="zh-CN"/>
              </w:rPr>
              <w:t>：</w:t>
            </w:r>
            <w:r>
              <w:rPr>
                <w:rFonts w:hint="eastAsia" w:ascii="Times New Roman" w:hAnsi="Times New Roman" w:cs="Times New Roman"/>
                <w:color w:val="FF0000"/>
                <w:szCs w:val="21"/>
              </w:rPr>
              <w:t>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 xml:space="preserve">  水安凤栖上院34号地块工程项目</w:t>
            </w:r>
            <w:r>
              <w:rPr>
                <w:rFonts w:hint="eastAsia" w:ascii="Times New Roman" w:hAnsi="Times New Roman" w:cs="Times New Roman"/>
                <w:color w:val="FF0000"/>
                <w:szCs w:val="21"/>
                <w:u w:val="single"/>
                <w:lang w:val="en-US" w:eastAsia="zh-CN"/>
              </w:rPr>
              <w:t>水电工程专业</w:t>
            </w:r>
            <w:r>
              <w:rPr>
                <w:rFonts w:hint="eastAsia" w:ascii="Times New Roman" w:hAnsi="Times New Roman" w:cs="Times New Roman"/>
                <w:color w:val="FF0000"/>
                <w:szCs w:val="21"/>
                <w:u w:val="single"/>
              </w:rPr>
              <w:t>分包</w:t>
            </w:r>
            <w:r>
              <w:rPr>
                <w:rFonts w:hint="eastAsia" w:ascii="Times New Roman" w:hAnsi="Times New Roman" w:cs="Times New Roman"/>
                <w:color w:val="FF0000"/>
                <w:szCs w:val="21"/>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BZJK-2024-005号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评标委员会构成：5人以上单数（含5人）。</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43"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43"/>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44" w:edGrp="everyone"/>
            <w:r>
              <w:rPr>
                <w:rFonts w:ascii="Times New Roman" w:hAnsi="Times New Roman" w:cs="Times New Roman"/>
                <w:color w:val="FF0000"/>
                <w:szCs w:val="21"/>
              </w:rPr>
              <w:t>中标人</w:t>
            </w:r>
            <w:r>
              <w:rPr>
                <w:rFonts w:hint="eastAsia" w:ascii="Times New Roman" w:hAnsi="Times New Roman" w:cs="Times New Roman"/>
                <w:color w:val="FF0000"/>
                <w:szCs w:val="21"/>
                <w:lang w:val="en-US" w:eastAsia="zh-CN"/>
              </w:rPr>
              <w:t>投标保证金直接转成履约保证金，不足部分</w:t>
            </w:r>
            <w:r>
              <w:rPr>
                <w:rFonts w:ascii="Times New Roman" w:hAnsi="Times New Roman" w:cs="Times New Roman"/>
                <w:color w:val="FF0000"/>
                <w:szCs w:val="21"/>
              </w:rPr>
              <w:t>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r>
              <w:rPr>
                <w:rFonts w:hint="eastAsia" w:ascii="Times New Roman" w:hAnsi="Times New Roman" w:cs="Times New Roman"/>
                <w:color w:val="FF0000"/>
                <w:szCs w:val="21"/>
              </w:rPr>
              <w:t>或开具保函</w:t>
            </w:r>
            <w:r>
              <w:rPr>
                <w:rFonts w:ascii="Times New Roman" w:hAnsi="Times New Roman" w:cs="Times New Roman"/>
                <w:color w:val="FF0000"/>
                <w:szCs w:val="21"/>
              </w:rPr>
              <w:t>。</w:t>
            </w:r>
            <w:permEnd w:id="44"/>
          </w:p>
          <w:p>
            <w:pPr>
              <w:wordWrap w:val="0"/>
              <w:spacing w:line="430" w:lineRule="exact"/>
              <w:rPr>
                <w:rFonts w:hint="default" w:ascii="Times New Roman" w:hAnsi="Times New Roman" w:cs="Times New Roman" w:eastAsiaTheme="minorEastAsia"/>
                <w:szCs w:val="21"/>
                <w:highlight w:val="yellow"/>
                <w:lang w:val="en-US" w:eastAsia="zh-CN"/>
              </w:rPr>
            </w:pPr>
            <w:r>
              <w:rPr>
                <w:rFonts w:ascii="Times New Roman" w:hAnsi="Times New Roman" w:cs="Times New Roman"/>
                <w:szCs w:val="21"/>
              </w:rPr>
              <w:t>履约担保的金额：</w:t>
            </w:r>
            <w:permStart w:id="45" w:edGrp="everyone"/>
            <w:r>
              <w:rPr>
                <w:rFonts w:hint="eastAsia" w:ascii="Times New Roman" w:hAnsi="Times New Roman" w:cs="Times New Roman"/>
                <w:b/>
                <w:bCs/>
                <w:color w:val="FF0000"/>
                <w:szCs w:val="21"/>
                <w:lang w:val="en-US" w:eastAsia="zh-CN"/>
              </w:rPr>
              <w:t>500000元</w:t>
            </w:r>
            <w:permEnd w:id="45"/>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ascii="Times New Roman" w:hAnsi="Times New Roman" w:cs="Times New Roman"/>
                <w:szCs w:val="21"/>
              </w:rPr>
              <w:t>履约保证金的退还：</w:t>
            </w:r>
            <w:permStart w:id="46" w:edGrp="everyone"/>
            <w:r>
              <w:rPr>
                <w:rFonts w:hint="eastAsia" w:ascii="Times New Roman" w:hAnsi="Times New Roman" w:cs="Times New Roman"/>
                <w:szCs w:val="21"/>
              </w:rPr>
              <w:t xml:space="preserve"> </w:t>
            </w:r>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工程</w:t>
            </w:r>
            <w:r>
              <w:rPr>
                <w:rFonts w:ascii="Times New Roman" w:hAnsi="Times New Roman" w:cs="Times New Roman"/>
                <w:color w:val="FF0000"/>
                <w:szCs w:val="21"/>
              </w:rPr>
              <w:t>竣工验收合格后</w:t>
            </w:r>
            <w:r>
              <w:rPr>
                <w:rFonts w:hint="eastAsia" w:ascii="Times New Roman" w:hAnsi="Times New Roman" w:cs="Times New Roman"/>
                <w:szCs w:val="21"/>
              </w:rPr>
              <w:t>退</w:t>
            </w:r>
            <w:r>
              <w:rPr>
                <w:rFonts w:ascii="Times New Roman" w:hAnsi="Times New Roman" w:cs="Times New Roman"/>
                <w:szCs w:val="21"/>
              </w:rPr>
              <w:t>还</w:t>
            </w:r>
            <w:r>
              <w:rPr>
                <w:rFonts w:hint="eastAsia" w:ascii="Times New Roman" w:hAnsi="Times New Roman" w:cs="Times New Roman"/>
                <w:szCs w:val="21"/>
              </w:rPr>
              <w:t>全部</w:t>
            </w:r>
            <w:r>
              <w:rPr>
                <w:rFonts w:ascii="Times New Roman" w:hAnsi="Times New Roman" w:cs="Times New Roman"/>
                <w:szCs w:val="21"/>
              </w:rPr>
              <w:t>履约保证金（本金</w:t>
            </w:r>
            <w:r>
              <w:rPr>
                <w:rFonts w:hint="eastAsia" w:ascii="Times New Roman" w:hAnsi="Times New Roman" w:cs="Times New Roman"/>
                <w:szCs w:val="21"/>
              </w:rPr>
              <w:t>无息</w:t>
            </w:r>
            <w:r>
              <w:rPr>
                <w:rFonts w:ascii="Times New Roman" w:hAnsi="Times New Roman" w:cs="Times New Roman"/>
                <w:szCs w:val="21"/>
              </w:rPr>
              <w:t>）。</w:t>
            </w:r>
            <w:permEnd w:id="4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64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9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w:t>
            </w:r>
            <w:r>
              <w:rPr>
                <w:rFonts w:hint="eastAsia" w:ascii="Times New Roman" w:hAnsi="Times New Roman" w:cs="Times New Roman"/>
                <w:szCs w:val="21"/>
                <w:highlight w:val="none"/>
                <w:lang w:eastAsia="zh-CN"/>
              </w:rPr>
              <w:t>亳州交通投资控股集团有限公司官网（www.bzjkjt.com）</w:t>
            </w:r>
            <w:r>
              <w:rPr>
                <w:rFonts w:hint="default" w:ascii="Times New Roman" w:hAnsi="Times New Roman" w:cs="Times New Roman"/>
                <w:szCs w:val="21"/>
                <w:highlight w:val="none"/>
              </w:rPr>
              <w:t>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63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lang w:val="en-US" w:eastAsia="zh-CN"/>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0"/>
      <w:bookmarkStart w:id="17" w:name="_Toc152045529"/>
      <w:bookmarkStart w:id="18" w:name="_Toc179632546"/>
      <w:bookmarkStart w:id="19" w:name="_Toc144974497"/>
      <w:bookmarkStart w:id="20" w:name="_Toc152042305"/>
      <w:bookmarkStart w:id="21" w:name="_Toc247085689"/>
      <w:bookmarkStart w:id="22" w:name="_Toc246996918"/>
      <w:bookmarkStart w:id="23" w:name="_Toc24699617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498"/>
      <w:bookmarkStart w:id="25" w:name="_Toc246996919"/>
      <w:bookmarkStart w:id="26" w:name="_Toc179632547"/>
      <w:bookmarkStart w:id="27" w:name="_Toc247085690"/>
      <w:bookmarkStart w:id="28" w:name="_Toc152045530"/>
      <w:bookmarkStart w:id="29" w:name="_Toc296602421"/>
      <w:bookmarkStart w:id="30" w:name="_Toc246996176"/>
      <w:bookmarkStart w:id="31" w:name="_Toc152042306"/>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6996920"/>
      <w:bookmarkStart w:id="34" w:name="_Toc152042307"/>
      <w:bookmarkStart w:id="35" w:name="_Toc246996177"/>
      <w:bookmarkStart w:id="36" w:name="_Toc152045531"/>
      <w:bookmarkStart w:id="37" w:name="_Toc247085691"/>
      <w:bookmarkStart w:id="38" w:name="_Toc144974499"/>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79632549"/>
      <w:bookmarkStart w:id="41" w:name="_Toc152042308"/>
      <w:bookmarkStart w:id="42" w:name="_Toc246996921"/>
      <w:bookmarkStart w:id="43" w:name="_Toc144974500"/>
      <w:bookmarkStart w:id="44" w:name="_Toc246996178"/>
      <w:bookmarkStart w:id="45" w:name="_Toc247085692"/>
      <w:bookmarkStart w:id="46" w:name="_Toc152045532"/>
      <w:bookmarkStart w:id="47" w:name="_Toc296602423"/>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922"/>
      <w:bookmarkStart w:id="49" w:name="_Toc296602424"/>
      <w:bookmarkStart w:id="50" w:name="_Toc247085693"/>
      <w:bookmarkStart w:id="51" w:name="_Toc144974502"/>
      <w:bookmarkStart w:id="52" w:name="_Toc152045534"/>
      <w:bookmarkStart w:id="53" w:name="_Toc152042310"/>
      <w:bookmarkStart w:id="54" w:name="_Toc246996179"/>
      <w:bookmarkStart w:id="55" w:name="_Toc179632551"/>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47"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47"/>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52045535"/>
      <w:bookmarkStart w:id="57" w:name="_Toc247085694"/>
      <w:bookmarkStart w:id="58" w:name="_Toc152042311"/>
      <w:bookmarkStart w:id="59" w:name="_Toc246996923"/>
      <w:bookmarkStart w:id="60" w:name="_Toc296602425"/>
      <w:bookmarkStart w:id="61" w:name="_Toc246996180"/>
      <w:bookmarkStart w:id="62" w:name="_Toc179632552"/>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96602426"/>
      <w:bookmarkStart w:id="65" w:name="_Toc144974504"/>
      <w:bookmarkStart w:id="66" w:name="_Toc152042312"/>
      <w:bookmarkStart w:id="67" w:name="_Toc246996181"/>
      <w:bookmarkStart w:id="68" w:name="_Toc247085695"/>
      <w:bookmarkStart w:id="69" w:name="_Toc246996924"/>
      <w:bookmarkStart w:id="70" w:name="_Toc152045536"/>
      <w:bookmarkStart w:id="71" w:name="_Toc179632553"/>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96602427"/>
      <w:bookmarkStart w:id="74" w:name="_Toc152042313"/>
      <w:bookmarkStart w:id="75" w:name="_Toc246996182"/>
      <w:bookmarkStart w:id="76" w:name="_Toc246996925"/>
      <w:bookmarkStart w:id="77" w:name="_Toc179632554"/>
      <w:bookmarkStart w:id="78" w:name="_Toc247085696"/>
      <w:bookmarkStart w:id="79" w:name="_Toc152045537"/>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152042314"/>
      <w:bookmarkStart w:id="82" w:name="_Toc246996183"/>
      <w:bookmarkStart w:id="83" w:name="_Toc246996926"/>
      <w:bookmarkStart w:id="84" w:name="_Toc144974506"/>
      <w:bookmarkStart w:id="85" w:name="_Toc179632555"/>
      <w:bookmarkStart w:id="86" w:name="_Toc247085697"/>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9"/>
      <w:bookmarkStart w:id="89" w:name="_Toc152045539"/>
      <w:bookmarkStart w:id="90" w:name="_Toc247513962"/>
      <w:bookmarkStart w:id="91" w:name="_Toc247527563"/>
      <w:bookmarkStart w:id="92" w:name="_Toc144974507"/>
      <w:bookmarkStart w:id="93" w:name="_Toc247592876"/>
      <w:bookmarkStart w:id="94" w:name="_Toc152042315"/>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92877"/>
      <w:bookmarkStart w:id="96" w:name="_Toc152045540"/>
      <w:bookmarkStart w:id="97" w:name="_Toc144974508"/>
      <w:bookmarkStart w:id="98" w:name="_Toc296602430"/>
      <w:bookmarkStart w:id="99" w:name="_Toc152042316"/>
      <w:bookmarkStart w:id="100" w:name="_Toc247513963"/>
      <w:bookmarkStart w:id="101" w:name="_Toc247527564"/>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2318"/>
      <w:bookmarkStart w:id="104" w:name="_Toc152045542"/>
      <w:bookmarkStart w:id="105" w:name="_Toc246996187"/>
      <w:bookmarkStart w:id="106" w:name="_Toc296602432"/>
      <w:bookmarkStart w:id="107" w:name="_Toc179632560"/>
      <w:bookmarkStart w:id="108" w:name="_Toc144974510"/>
      <w:bookmarkStart w:id="109" w:name="_Toc247085701"/>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52045543"/>
      <w:bookmarkStart w:id="112" w:name="_Toc296602433"/>
      <w:bookmarkStart w:id="113" w:name="_Toc179632561"/>
      <w:bookmarkStart w:id="114" w:name="_Toc247085702"/>
      <w:bookmarkStart w:id="115" w:name="_Toc152042319"/>
      <w:bookmarkStart w:id="116" w:name="_Toc246996931"/>
      <w:bookmarkStart w:id="117" w:name="_Toc144974511"/>
      <w:bookmarkStart w:id="118" w:name="_Toc246996188"/>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20"/>
      <w:bookmarkStart w:id="120" w:name="_Toc144974512"/>
      <w:bookmarkStart w:id="121" w:name="_Toc247085703"/>
      <w:bookmarkStart w:id="122" w:name="_Toc296602434"/>
      <w:bookmarkStart w:id="123" w:name="_Toc246996189"/>
      <w:bookmarkStart w:id="124" w:name="_Toc179632562"/>
      <w:bookmarkStart w:id="125" w:name="_Toc152045544"/>
      <w:bookmarkStart w:id="126" w:name="_Toc246996932"/>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96602435"/>
      <w:bookmarkStart w:id="128" w:name="_Toc246996190"/>
      <w:bookmarkStart w:id="129" w:name="_Toc144974513"/>
      <w:bookmarkStart w:id="130" w:name="_Toc247085704"/>
      <w:bookmarkStart w:id="131" w:name="_Toc179632563"/>
      <w:bookmarkStart w:id="132" w:name="_Toc152045545"/>
      <w:bookmarkStart w:id="133" w:name="_Toc152042321"/>
      <w:bookmarkStart w:id="134" w:name="_Toc24699693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7085705"/>
      <w:bookmarkStart w:id="136" w:name="_Toc246996191"/>
      <w:bookmarkStart w:id="137" w:name="_Toc152045546"/>
      <w:bookmarkStart w:id="138" w:name="_Toc246996934"/>
      <w:bookmarkStart w:id="139" w:name="_Toc144974514"/>
      <w:bookmarkStart w:id="140" w:name="_Toc296602436"/>
      <w:bookmarkStart w:id="141" w:name="_Toc152042322"/>
      <w:bookmarkStart w:id="142" w:name="_Toc17963256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246996192"/>
      <w:bookmarkStart w:id="144" w:name="_Toc152045547"/>
      <w:bookmarkStart w:id="145" w:name="_Toc179632565"/>
      <w:bookmarkStart w:id="146" w:name="_Toc144974515"/>
      <w:bookmarkStart w:id="147" w:name="_Toc246996935"/>
      <w:bookmarkStart w:id="148" w:name="_Toc247085706"/>
      <w:bookmarkStart w:id="149" w:name="_Toc296602437"/>
      <w:bookmarkStart w:id="150" w:name="_Toc152042323"/>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val="en-US" w:eastAsia="zh-CN"/>
        </w:rPr>
        <w:t>专项</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246996193"/>
      <w:bookmarkStart w:id="152" w:name="_Toc247085707"/>
      <w:bookmarkStart w:id="153" w:name="_Toc144974516"/>
      <w:bookmarkStart w:id="154" w:name="_Toc152042324"/>
      <w:bookmarkStart w:id="155" w:name="_Toc246996936"/>
      <w:bookmarkStart w:id="156" w:name="_Toc296602438"/>
      <w:bookmarkStart w:id="157" w:name="_Toc179632566"/>
      <w:bookmarkStart w:id="158" w:name="_Toc152045548"/>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44974517"/>
      <w:bookmarkStart w:id="160" w:name="_Toc179632567"/>
      <w:bookmarkStart w:id="161" w:name="_Toc152045549"/>
      <w:bookmarkStart w:id="162" w:name="_Toc15204232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96602439"/>
      <w:bookmarkStart w:id="164" w:name="_Toc246996194"/>
      <w:bookmarkStart w:id="165" w:name="_Toc246996937"/>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144974518"/>
      <w:bookmarkStart w:id="168" w:name="_Toc247085709"/>
      <w:bookmarkStart w:id="169" w:name="_Toc152042326"/>
      <w:bookmarkStart w:id="170" w:name="_Toc179632568"/>
      <w:bookmarkStart w:id="171" w:name="_Toc296602440"/>
      <w:bookmarkStart w:id="172" w:name="_Toc246996938"/>
      <w:bookmarkStart w:id="173" w:name="_Toc246996195"/>
      <w:bookmarkStart w:id="174" w:name="_Toc152045550"/>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2328"/>
      <w:bookmarkStart w:id="176" w:name="_Toc296602441"/>
      <w:bookmarkStart w:id="177" w:name="_Toc152045552"/>
      <w:bookmarkStart w:id="178" w:name="_Toc144974520"/>
      <w:bookmarkStart w:id="179" w:name="_Toc247085710"/>
      <w:bookmarkStart w:id="180" w:name="_Toc246996196"/>
      <w:bookmarkStart w:id="181" w:name="_Toc179632570"/>
      <w:bookmarkStart w:id="182" w:name="_Toc246996939"/>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7085711"/>
      <w:bookmarkStart w:id="185" w:name="_Toc246996940"/>
      <w:bookmarkStart w:id="186" w:name="_Toc179632571"/>
      <w:bookmarkStart w:id="187" w:name="_Toc144974521"/>
      <w:bookmarkStart w:id="188" w:name="_Toc152042329"/>
      <w:bookmarkStart w:id="189" w:name="_Toc246996197"/>
      <w:bookmarkStart w:id="190" w:name="_Toc152045553"/>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w:t>
      </w:r>
      <w:r>
        <w:rPr>
          <w:rFonts w:hint="eastAsia"/>
          <w:lang w:eastAsia="zh-CN"/>
        </w:rPr>
        <w:t>，</w:t>
      </w:r>
      <w:r>
        <w:rPr>
          <w:rFonts w:hint="eastAsia"/>
        </w:rPr>
        <w:t xml:space="preserve">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247085713"/>
      <w:bookmarkStart w:id="192" w:name="_Toc144974523"/>
      <w:bookmarkStart w:id="193" w:name="_Toc179632573"/>
      <w:bookmarkStart w:id="194" w:name="_Toc246996199"/>
      <w:bookmarkStart w:id="195" w:name="_Toc152045555"/>
      <w:bookmarkStart w:id="196" w:name="_Toc152042331"/>
      <w:bookmarkStart w:id="197" w:name="_Toc246996942"/>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44974524"/>
      <w:bookmarkStart w:id="201" w:name="_Toc247085714"/>
      <w:bookmarkStart w:id="202" w:name="_Toc152042332"/>
      <w:bookmarkStart w:id="203" w:name="_Toc246996200"/>
      <w:bookmarkStart w:id="204" w:name="_Toc246996943"/>
      <w:bookmarkStart w:id="205" w:name="_Toc29660244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7085715"/>
      <w:bookmarkStart w:id="208" w:name="_Toc152045557"/>
      <w:bookmarkStart w:id="209" w:name="_Toc246996944"/>
      <w:bookmarkStart w:id="210" w:name="_Toc152042333"/>
      <w:bookmarkStart w:id="211" w:name="_Toc246996201"/>
      <w:bookmarkStart w:id="212" w:name="_Toc179632575"/>
      <w:bookmarkStart w:id="213" w:name="_Toc14497452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47085716"/>
      <w:bookmarkStart w:id="216" w:name="_Toc179632576"/>
      <w:bookmarkStart w:id="217" w:name="_Toc144974526"/>
      <w:bookmarkStart w:id="218" w:name="_Toc296602446"/>
      <w:bookmarkStart w:id="219" w:name="_Toc246996945"/>
      <w:bookmarkStart w:id="220" w:name="_Toc246996202"/>
      <w:bookmarkStart w:id="221" w:name="_Toc152042334"/>
      <w:bookmarkStart w:id="222" w:name="_Toc152045558"/>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152045559"/>
      <w:bookmarkStart w:id="225" w:name="_Toc246996946"/>
      <w:bookmarkStart w:id="226" w:name="_Toc247085717"/>
      <w:bookmarkStart w:id="227" w:name="_Toc179632577"/>
      <w:bookmarkStart w:id="228" w:name="_Toc144974527"/>
      <w:bookmarkStart w:id="229" w:name="_Toc152042335"/>
      <w:bookmarkStart w:id="230" w:name="_Toc29660244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7085718"/>
      <w:bookmarkStart w:id="232" w:name="_Toc152042336"/>
      <w:bookmarkStart w:id="233" w:name="_Toc144974528"/>
      <w:bookmarkStart w:id="234" w:name="_Toc152045560"/>
      <w:bookmarkStart w:id="235" w:name="_Toc246996204"/>
      <w:bookmarkStart w:id="236" w:name="_Toc179632578"/>
      <w:bookmarkStart w:id="237" w:name="_Toc296602448"/>
      <w:bookmarkStart w:id="238" w:name="_Toc246996947"/>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246996205"/>
      <w:bookmarkStart w:id="241" w:name="_Toc152042337"/>
      <w:bookmarkStart w:id="242" w:name="_Toc152045561"/>
      <w:bookmarkStart w:id="243" w:name="_Toc247085719"/>
      <w:bookmarkStart w:id="244" w:name="_Toc296602449"/>
      <w:bookmarkStart w:id="245" w:name="_Toc179632579"/>
      <w:bookmarkStart w:id="246" w:name="_Toc14497452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44974530"/>
      <w:bookmarkStart w:id="249" w:name="_Toc179632580"/>
      <w:bookmarkStart w:id="250" w:name="_Toc152042338"/>
      <w:bookmarkStart w:id="251" w:name="_Toc296602451"/>
      <w:bookmarkStart w:id="252" w:name="_Toc246996949"/>
      <w:bookmarkStart w:id="253" w:name="_Toc246996206"/>
      <w:bookmarkStart w:id="254" w:name="_Toc152045562"/>
      <w:bookmarkStart w:id="255" w:name="_Toc24708572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179632581"/>
      <w:bookmarkStart w:id="257" w:name="_Toc152045563"/>
      <w:bookmarkStart w:id="258" w:name="_Toc246996950"/>
      <w:bookmarkStart w:id="259" w:name="_Toc144974531"/>
      <w:bookmarkStart w:id="260" w:name="_Toc296602452"/>
      <w:bookmarkStart w:id="261" w:name="_Toc247085721"/>
      <w:bookmarkStart w:id="262" w:name="_Toc246996207"/>
      <w:bookmarkStart w:id="263" w:name="_Toc152042339"/>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79632582"/>
      <w:bookmarkStart w:id="265" w:name="_Toc152045564"/>
      <w:bookmarkStart w:id="266" w:name="_Toc296602453"/>
      <w:bookmarkStart w:id="267" w:name="_Toc152042340"/>
      <w:bookmarkStart w:id="268" w:name="_Toc246996208"/>
      <w:bookmarkStart w:id="269" w:name="_Toc247085722"/>
      <w:bookmarkStart w:id="270" w:name="_Toc144974532"/>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79632583"/>
      <w:bookmarkStart w:id="273" w:name="_Toc246996952"/>
      <w:bookmarkStart w:id="274" w:name="_Toc246996209"/>
      <w:bookmarkStart w:id="275" w:name="_Toc247085723"/>
      <w:bookmarkStart w:id="276" w:name="_Toc144974533"/>
      <w:bookmarkStart w:id="277" w:name="_Toc152045565"/>
      <w:bookmarkStart w:id="278" w:name="_Toc152042341"/>
      <w:bookmarkStart w:id="279" w:name="_Toc296602454"/>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246996953"/>
      <w:bookmarkStart w:id="282" w:name="_Toc152042342"/>
      <w:bookmarkStart w:id="283" w:name="_Toc247085724"/>
      <w:bookmarkStart w:id="284" w:name="_Toc179632584"/>
      <w:bookmarkStart w:id="285" w:name="_Toc152045566"/>
      <w:bookmarkStart w:id="286" w:name="_Toc296602455"/>
      <w:bookmarkStart w:id="287" w:name="_Toc144974534"/>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247085725"/>
      <w:bookmarkStart w:id="290" w:name="_Toc246996954"/>
      <w:bookmarkStart w:id="291" w:name="_Toc179632585"/>
      <w:bookmarkStart w:id="292" w:name="_Toc152045567"/>
      <w:bookmarkStart w:id="293" w:name="_Toc144974535"/>
      <w:bookmarkStart w:id="294" w:name="_Toc246996211"/>
      <w:bookmarkStart w:id="295" w:name="_Toc296602456"/>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152045568"/>
      <w:bookmarkStart w:id="299" w:name="_Toc296602458"/>
      <w:bookmarkStart w:id="300" w:name="_Toc246996212"/>
      <w:bookmarkStart w:id="301" w:name="_Toc152042344"/>
      <w:bookmarkStart w:id="302" w:name="_Toc179632586"/>
      <w:bookmarkStart w:id="303" w:name="_Toc247085726"/>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956"/>
      <w:bookmarkStart w:id="306" w:name="_Toc247085727"/>
      <w:bookmarkStart w:id="307" w:name="_Toc179632587"/>
      <w:bookmarkStart w:id="308" w:name="_Toc296602459"/>
      <w:bookmarkStart w:id="309" w:name="_Toc246996213"/>
      <w:bookmarkStart w:id="310" w:name="_Toc152042345"/>
      <w:bookmarkStart w:id="311" w:name="_Toc144974537"/>
      <w:bookmarkStart w:id="312" w:name="_Toc152045569"/>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152045570"/>
      <w:bookmarkStart w:id="314" w:name="_Toc247085728"/>
      <w:bookmarkStart w:id="315" w:name="_Toc246996214"/>
      <w:bookmarkStart w:id="316" w:name="_Toc152042346"/>
      <w:bookmarkStart w:id="317" w:name="_Toc144974538"/>
      <w:bookmarkStart w:id="318" w:name="_Toc246996957"/>
      <w:bookmarkStart w:id="319" w:name="_Toc296602460"/>
      <w:bookmarkStart w:id="320" w:name="_Toc179632588"/>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44974543"/>
      <w:bookmarkStart w:id="323" w:name="_Toc246996219"/>
      <w:bookmarkStart w:id="324" w:name="_Toc179632593"/>
      <w:bookmarkStart w:id="325" w:name="_Toc152042351"/>
      <w:bookmarkStart w:id="326" w:name="_Toc246996962"/>
      <w:bookmarkStart w:id="327" w:name="_Toc296602462"/>
      <w:bookmarkStart w:id="328" w:name="_Toc152045575"/>
      <w:bookmarkStart w:id="329" w:name="_Toc296590983"/>
      <w:bookmarkStart w:id="330" w:name="_Toc247085733"/>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w:t>
      </w:r>
      <w:r>
        <w:rPr>
          <w:rFonts w:hint="eastAsia"/>
          <w:lang w:eastAsia="zh-CN"/>
        </w:rPr>
        <w:t>泄露</w:t>
      </w:r>
      <w:r>
        <w:rPr>
          <w:rFonts w:hint="eastAsia"/>
        </w:rPr>
        <w:t>招标投标活动中应当保密的情况和资料，不得与投标人串通损害国家利益、社会公共利益或者他人合法权益。</w:t>
      </w:r>
    </w:p>
    <w:p>
      <w:pPr>
        <w:pStyle w:val="3"/>
        <w:bidi w:val="0"/>
        <w:rPr>
          <w:rFonts w:hint="eastAsia"/>
        </w:rPr>
      </w:pPr>
      <w:bookmarkStart w:id="331" w:name="_Toc246996220"/>
      <w:bookmarkStart w:id="332" w:name="_Toc247085734"/>
      <w:bookmarkStart w:id="333" w:name="_Toc152045576"/>
      <w:bookmarkStart w:id="334" w:name="_Toc144974544"/>
      <w:bookmarkStart w:id="335" w:name="_Toc296602463"/>
      <w:bookmarkStart w:id="336" w:name="_Toc179632594"/>
      <w:bookmarkStart w:id="337" w:name="_Toc152042352"/>
      <w:bookmarkStart w:id="338" w:name="_Toc246996963"/>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296602464"/>
      <w:bookmarkStart w:id="341" w:name="_Toc246996221"/>
      <w:bookmarkStart w:id="342" w:name="_Toc246996964"/>
      <w:bookmarkStart w:id="343" w:name="_Toc247085735"/>
      <w:bookmarkStart w:id="344" w:name="_Toc179632595"/>
      <w:bookmarkStart w:id="345" w:name="_Toc144974545"/>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52042354"/>
      <w:bookmarkStart w:id="348" w:name="_Toc246996222"/>
      <w:bookmarkStart w:id="349" w:name="_Toc152045578"/>
      <w:bookmarkStart w:id="350" w:name="_Toc246996965"/>
      <w:bookmarkStart w:id="351" w:name="_Toc179632596"/>
      <w:bookmarkStart w:id="352" w:name="_Toc296602465"/>
      <w:bookmarkStart w:id="353" w:name="_Toc24708573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5579"/>
      <w:bookmarkStart w:id="357" w:name="_Toc247085737"/>
      <w:bookmarkStart w:id="358" w:name="_Toc246996966"/>
      <w:bookmarkStart w:id="359" w:name="_Toc179632597"/>
      <w:bookmarkStart w:id="360" w:name="_Toc152042356"/>
      <w:bookmarkStart w:id="361" w:name="_Toc246996223"/>
      <w:bookmarkStart w:id="362" w:name="_Toc296602466"/>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152042357"/>
      <w:bookmarkStart w:id="364" w:name="_Toc246996224"/>
      <w:bookmarkStart w:id="365" w:name="_Toc246996967"/>
      <w:bookmarkStart w:id="366" w:name="_Toc247085738"/>
      <w:bookmarkStart w:id="367" w:name="_Toc296602467"/>
      <w:bookmarkStart w:id="368" w:name="_Toc152045580"/>
      <w:bookmarkStart w:id="369" w:name="_Toc179632598"/>
      <w:bookmarkStart w:id="370" w:name="_Toc144974547"/>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（综合评估法）</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与营业执照、资质证书</w:t>
            </w:r>
            <w:r>
              <w:rPr>
                <w:rFonts w:hint="eastAsia" w:ascii="Times New Roman" w:hAnsi="Times New Roman" w:cs="Times New Roman"/>
                <w:kern w:val="0"/>
                <w:sz w:val="24"/>
              </w:rPr>
              <w:t>、安全生产许可证</w:t>
            </w:r>
            <w:r>
              <w:rPr>
                <w:rFonts w:ascii="Times New Roman" w:hAnsi="Times New Roman" w:cs="Times New Roman"/>
                <w:kern w:val="0"/>
                <w:sz w:val="24"/>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投标函</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八</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850"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48" w:edGrp="everyone" w:colFirst="3" w:colLast="3"/>
            <w:r>
              <w:rPr>
                <w:rFonts w:hint="eastAsia" w:ascii="Times New Roman" w:hAnsi="Times New Roman" w:cs="Times New Roman"/>
                <w:kern w:val="0"/>
                <w:sz w:val="24"/>
              </w:rPr>
              <w:t>2.1.2</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4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安全生产许可证</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人员要求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r>
              <w:rPr>
                <w:rFonts w:hint="eastAsia" w:ascii="Times New Roman" w:hAnsi="Times New Roman" w:cs="Times New Roman"/>
                <w:kern w:val="0"/>
                <w:sz w:val="24"/>
              </w:rPr>
              <w:t>2.1.3</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6"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工程质量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9"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w:t>
            </w:r>
            <w:r>
              <w:rPr>
                <w:rFonts w:ascii="Times New Roman" w:hAnsi="Times New Roman" w:cs="Times New Roman"/>
                <w:kern w:val="0"/>
                <w:sz w:val="24"/>
              </w:rPr>
              <w:t>第</w:t>
            </w:r>
            <w:r>
              <w:rPr>
                <w:rFonts w:hint="eastAsia" w:ascii="Times New Roman" w:hAnsi="Times New Roman" w:cs="Times New Roman"/>
                <w:kern w:val="0"/>
                <w:sz w:val="24"/>
              </w:rPr>
              <w:t>四</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合同条款及格式</w:t>
            </w:r>
            <w:r>
              <w:rPr>
                <w:rFonts w:hint="eastAsia" w:ascii="Times New Roman" w:hAnsi="Times New Roman" w:cs="Times New Roman"/>
                <w:kern w:val="0"/>
                <w:sz w:val="24"/>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已标价工程量清单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符合第五章“工程量清单”给出的范围及数量</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技术标准和要求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符合第七章“技术标准和要求”规定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2" w:colLast="2"/>
            <w:r>
              <w:rPr>
                <w:rFonts w:hint="eastAsia" w:ascii="Times New Roman" w:hAnsi="Times New Roman" w:cs="Times New Roman"/>
                <w:kern w:val="0"/>
                <w:sz w:val="24"/>
              </w:rPr>
              <w:t>2.2.1</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分值构成</w:t>
            </w:r>
          </w:p>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（总分100分）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施工方案</w:t>
            </w:r>
            <w:r>
              <w:rPr>
                <w:rFonts w:ascii="Times New Roman" w:hAnsi="Times New Roman" w:cs="Times New Roman"/>
                <w:kern w:val="0"/>
                <w:sz w:val="24"/>
              </w:rPr>
              <w:t>：</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20</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企业荣誉：</w:t>
            </w:r>
            <w:r>
              <w:rPr>
                <w:rFonts w:hint="eastAsia" w:ascii="Times New Roman" w:hAnsi="Times New Roman" w:cs="Times New Roman"/>
                <w:kern w:val="0"/>
                <w:sz w:val="24"/>
                <w:u w:val="single"/>
                <w:lang w:val="en-US" w:eastAsia="zh-CN"/>
              </w:rPr>
              <w:t>10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投标报价：</w:t>
            </w:r>
            <w:r>
              <w:rPr>
                <w:rFonts w:hint="eastAsia" w:ascii="Times New Roman" w:hAnsi="Times New Roman" w:cs="Times New Roman"/>
                <w:kern w:val="0"/>
                <w:sz w:val="24"/>
                <w:u w:val="single"/>
                <w:lang w:val="en-US" w:eastAsia="zh-CN"/>
              </w:rPr>
              <w:t>70</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p>
            <w:pPr>
              <w:wordWrap w:val="0"/>
              <w:spacing w:line="440" w:lineRule="exact"/>
              <w:rPr>
                <w:rFonts w:ascii="Times New Roman" w:hAnsi="Times New Roman" w:cs="Times New Roman"/>
                <w:kern w:val="0"/>
                <w:sz w:val="24"/>
                <w:highlight w:val="yellow"/>
              </w:rPr>
            </w:pPr>
            <w:r>
              <w:rPr>
                <w:rFonts w:hint="eastAsia" w:ascii="Times New Roman" w:hAnsi="Times New Roman" w:cs="Times New Roman"/>
                <w:kern w:val="0"/>
                <w:sz w:val="24"/>
              </w:rPr>
              <w:t>其他评分因素：</w:t>
            </w:r>
            <w:r>
              <w:rPr>
                <w:rFonts w:hint="eastAsia" w:ascii="Times New Roman" w:hAnsi="Times New Roman" w:cs="Times New Roman"/>
                <w:kern w:val="0"/>
                <w:sz w:val="24"/>
                <w:u w:val="single"/>
              </w:rPr>
              <w:t xml:space="preserve"> </w:t>
            </w:r>
            <w:r>
              <w:rPr>
                <w:rFonts w:hint="eastAsia" w:ascii="Times New Roman" w:hAnsi="Times New Roman" w:cs="Times New Roman"/>
                <w:kern w:val="0"/>
                <w:sz w:val="24"/>
                <w:u w:val="single"/>
                <w:lang w:val="en-US" w:eastAsia="zh-CN"/>
              </w:rPr>
              <w:t>/</w:t>
            </w:r>
            <w:r>
              <w:rPr>
                <w:rFonts w:hint="eastAsia" w:ascii="Times New Roman" w:hAnsi="Times New Roman" w:cs="Times New Roman"/>
                <w:kern w:val="0"/>
                <w:sz w:val="24"/>
                <w:u w:val="single"/>
              </w:rPr>
              <w:t xml:space="preserve"> </w:t>
            </w:r>
            <w:r>
              <w:rPr>
                <w:rFonts w:ascii="Times New Roman" w:hAnsi="Times New Roman" w:cs="Times New Roman"/>
                <w:kern w:val="0"/>
                <w:sz w:val="24"/>
              </w:rPr>
              <w:t>分</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2" w:colLast="2"/>
            <w:r>
              <w:rPr>
                <w:rFonts w:hint="eastAsia" w:ascii="Times New Roman" w:hAnsi="Times New Roman" w:cs="Times New Roman"/>
                <w:kern w:val="0"/>
                <w:sz w:val="24"/>
              </w:rPr>
              <w:t>2.2.2</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评标基准价计算方法</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评标基准价为所有有效投标报价的算术平均数</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2.2.3</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投标报价的偏差率计算公式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permStart w:id="66" w:edGrp="everyone"/>
            <w:r>
              <w:rPr>
                <w:rFonts w:hint="eastAsia" w:ascii="Times New Roman" w:hAnsi="Times New Roman" w:cs="Times New Roman"/>
                <w:kern w:val="0"/>
                <w:sz w:val="24"/>
              </w:rPr>
              <w:t>偏差率=100%×（投标人报价</w:t>
            </w:r>
            <w:r>
              <w:rPr>
                <w:rFonts w:hint="eastAsia" w:ascii="宋体" w:hAnsi="宋体" w:eastAsia="宋体" w:cs="宋体"/>
                <w:kern w:val="0"/>
                <w:sz w:val="24"/>
              </w:rPr>
              <w:t>－</w:t>
            </w:r>
            <w:r>
              <w:rPr>
                <w:rFonts w:hint="eastAsia" w:ascii="Times New Roman" w:hAnsi="Times New Roman" w:cs="Times New Roman"/>
                <w:kern w:val="0"/>
                <w:sz w:val="24"/>
              </w:rPr>
              <w:t>评标基准价）/评标基准价</w:t>
            </w:r>
            <w:permEnd w:id="6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7" w:edGrp="everyone" w:colFirst="1" w:colLast="1"/>
            <w:permStart w:id="68" w:edGrp="everyone" w:colFirst="2" w:colLast="2"/>
            <w:permStart w:id="69"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850"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施工方案评分标准</w:t>
            </w:r>
          </w:p>
          <w:p>
            <w:pPr>
              <w:wordWrap w:val="0"/>
              <w:spacing w:line="440" w:lineRule="exact"/>
              <w:jc w:val="center"/>
              <w:rPr>
                <w:rFonts w:hint="eastAsia" w:ascii="Times New Roman" w:hAnsi="Times New Roman" w:cs="Times New Roman"/>
                <w:color w:val="FF0000"/>
                <w:kern w:val="0"/>
                <w:sz w:val="24"/>
                <w:highlight w:val="yellow"/>
                <w:u w:val="single"/>
                <w:lang w:val="en-US" w:eastAsia="zh-CN"/>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0 分）</w:t>
            </w:r>
          </w:p>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color w:val="FF0000"/>
                <w:kern w:val="0"/>
                <w:sz w:val="24"/>
                <w:highlight w:val="yellow"/>
              </w:rPr>
            </w:pPr>
            <w:r>
              <w:rPr>
                <w:rFonts w:hint="eastAsia" w:ascii="Times New Roman" w:hAnsi="Times New Roman" w:cs="Times New Roman"/>
                <w:color w:val="FF0000"/>
                <w:kern w:val="0"/>
                <w:sz w:val="24"/>
                <w:highlight w:val="yellow"/>
              </w:rPr>
              <w:t>内容完整性和编制水平</w:t>
            </w:r>
          </w:p>
          <w:p>
            <w:pPr>
              <w:wordWrap w:val="0"/>
              <w:spacing w:line="440" w:lineRule="exact"/>
              <w:jc w:val="center"/>
              <w:rPr>
                <w:rFonts w:ascii="Times New Roman" w:hAnsi="Times New Roman" w:cs="Times New Roman" w:eastAsiaTheme="minorEastAsia"/>
                <w:color w:val="FF0000"/>
                <w:kern w:val="0"/>
                <w:sz w:val="24"/>
                <w:szCs w:val="24"/>
                <w:highlight w:val="yellow"/>
                <w:lang w:val="en-US" w:eastAsia="zh-CN" w:bidi="ar-SA"/>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对工程整体有清晰认识、具有针对性、表述完整、措施先进，科学合理，符合规范要求。</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综合评定，按0-</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分酌情进行评分。</w:t>
            </w:r>
          </w:p>
        </w:tc>
      </w:tr>
      <w:permEnd w:id="67"/>
      <w:permEnd w:id="68"/>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0" w:edGrp="everyone" w:colFirst="1" w:colLast="1"/>
            <w:permStart w:id="71" w:edGrp="everyone" w:colFirst="2" w:colLast="2"/>
            <w:permStart w:id="72"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施工方案与技术措施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5</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r>
              <w:rPr>
                <w:rFonts w:hint="eastAsia" w:ascii="Times New Roman" w:hAnsi="Times New Roman" w:cs="Times New Roman"/>
                <w:kern w:val="0"/>
                <w:sz w:val="24"/>
              </w:rPr>
              <w:t xml:space="preserve"> </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综合评定，按0-</w:t>
            </w:r>
            <w:r>
              <w:rPr>
                <w:rFonts w:hint="eastAsia" w:ascii="Times New Roman" w:hAnsi="Times New Roman" w:cs="Times New Roman"/>
                <w:color w:val="FF0000"/>
                <w:kern w:val="0"/>
                <w:sz w:val="24"/>
                <w:highlight w:val="yellow"/>
                <w:u w:val="single"/>
                <w:lang w:val="en-US" w:eastAsia="zh-CN"/>
              </w:rPr>
              <w:t>5</w:t>
            </w:r>
            <w:r>
              <w:rPr>
                <w:rFonts w:hint="eastAsia" w:ascii="Times New Roman" w:hAnsi="Times New Roman" w:cs="Times New Roman"/>
                <w:color w:val="FF0000"/>
                <w:kern w:val="0"/>
                <w:sz w:val="24"/>
                <w:highlight w:val="yellow"/>
                <w:u w:val="single"/>
              </w:rPr>
              <w:t>分酌情进行评分。</w:t>
            </w:r>
          </w:p>
        </w:tc>
      </w:tr>
      <w:permEnd w:id="70"/>
      <w:permEnd w:id="71"/>
      <w:permEnd w:id="7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3" w:edGrp="everyone" w:colFirst="1" w:colLast="1"/>
            <w:permStart w:id="74" w:edGrp="everyone" w:colFirst="2" w:colLast="2"/>
            <w:permStart w:id="75"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质量</w:t>
            </w:r>
            <w:r>
              <w:rPr>
                <w:rFonts w:hint="eastAsia" w:ascii="Times New Roman" w:hAnsi="Times New Roman" w:cs="Times New Roman"/>
                <w:kern w:val="0"/>
                <w:sz w:val="24"/>
                <w:lang w:eastAsia="zh-CN"/>
              </w:rPr>
              <w:t>、</w:t>
            </w:r>
            <w:r>
              <w:rPr>
                <w:rFonts w:hint="eastAsia" w:ascii="Times New Roman" w:hAnsi="Times New Roman" w:cs="Times New Roman"/>
                <w:kern w:val="0"/>
                <w:sz w:val="24"/>
                <w:lang w:val="en-US" w:eastAsia="zh-CN"/>
              </w:rPr>
              <w:t>安全</w:t>
            </w:r>
            <w:r>
              <w:rPr>
                <w:rFonts w:hint="eastAsia" w:ascii="Times New Roman" w:hAnsi="Times New Roman" w:cs="Times New Roman"/>
                <w:kern w:val="0"/>
                <w:sz w:val="24"/>
              </w:rPr>
              <w:t>管理体系与措施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（5分）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施工项目质量技术管理制度健全，主要工序有质量技术保证措施和手段，自控体系完整，能有效保证技术质量，达到承诺的质量标准。施工项目应有专门的安全管理人员和制度，且人员配备合理，制度健全，各道工序安全技术措施符合要求，有安全保证承诺。现场防火、社会治安安全措施得力、有基本的安全管理体系与措施</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综合评定，按0-</w:t>
            </w:r>
            <w:r>
              <w:rPr>
                <w:rFonts w:hint="eastAsia" w:ascii="Times New Roman" w:hAnsi="Times New Roman" w:cs="Times New Roman"/>
                <w:color w:val="FF0000"/>
                <w:kern w:val="0"/>
                <w:sz w:val="24"/>
                <w:highlight w:val="yellow"/>
                <w:u w:val="single"/>
                <w:lang w:val="en-US" w:eastAsia="zh-CN"/>
              </w:rPr>
              <w:t>5</w:t>
            </w:r>
            <w:r>
              <w:rPr>
                <w:rFonts w:hint="eastAsia" w:ascii="Times New Roman" w:hAnsi="Times New Roman" w:cs="Times New Roman"/>
                <w:color w:val="FF0000"/>
                <w:kern w:val="0"/>
                <w:sz w:val="24"/>
                <w:highlight w:val="yellow"/>
                <w:u w:val="single"/>
              </w:rPr>
              <w:t>分酌情进行评分。</w:t>
            </w:r>
          </w:p>
        </w:tc>
      </w:tr>
      <w:permEnd w:id="73"/>
      <w:permEnd w:id="74"/>
      <w:permEnd w:id="7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6" w:edGrp="everyone" w:colFirst="1" w:colLast="1"/>
            <w:permStart w:id="77" w:edGrp="everyone" w:colFirst="2" w:colLast="2"/>
            <w:permStart w:id="78"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环境保护管理体系与措施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针对本工程项目特点，有具体的环境保护措施，各项措施周全、具体、有效。</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综合评定，按0-</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分酌情进行评分。</w:t>
            </w:r>
          </w:p>
        </w:tc>
      </w:tr>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工程进度计划与措施</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4</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在施工工艺、施工方法、材料选用、劳动力安排、技术等方面有保证工期的具体措施且措施得当，有控制工期的施工进度计划，编制完善、安排科学合理，符合本项目施工实际要求。</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综合评定，按0-4分酌情进行评分</w:t>
            </w:r>
            <w:r>
              <w:rPr>
                <w:rFonts w:ascii="Times New Roman" w:hAnsi="Times New Roman" w:cs="Times New Roman"/>
                <w:i/>
                <w:iCs/>
                <w:color w:val="FF0000"/>
                <w:kern w:val="0"/>
                <w:sz w:val="24"/>
                <w:u w:val="single"/>
              </w:rPr>
              <w:t>。</w:t>
            </w:r>
          </w:p>
        </w:tc>
      </w:tr>
      <w:permEnd w:id="79"/>
      <w:permEnd w:id="80"/>
      <w:permEnd w:id="8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2" w:edGrp="everyone" w:colFirst="1" w:colLast="1"/>
            <w:permStart w:id="83" w:edGrp="everyone" w:colFirst="2" w:colLast="2"/>
            <w:permStart w:id="84" w:edGrp="everyone" w:colFirst="3" w:colLast="3"/>
          </w:p>
        </w:tc>
        <w:tc>
          <w:tcPr>
            <w:tcW w:w="850"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资源配备计划</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劳动力、材料投入计划及其保证措施，满足施工需要，调配投入计划合理、准确。机械设备投入计划及检测设备，满足施工需要。</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综合评定，按0-</w:t>
            </w:r>
            <w:r>
              <w:rPr>
                <w:rFonts w:hint="eastAsia" w:ascii="Times New Roman" w:hAnsi="Times New Roman" w:cs="Times New Roman"/>
                <w:color w:val="FF0000"/>
                <w:kern w:val="0"/>
                <w:sz w:val="24"/>
                <w:highlight w:val="yellow"/>
                <w:u w:val="single"/>
                <w:lang w:val="en-US" w:eastAsia="zh-CN"/>
              </w:rPr>
              <w:t>2</w:t>
            </w:r>
            <w:r>
              <w:rPr>
                <w:rFonts w:hint="eastAsia" w:ascii="Times New Roman" w:hAnsi="Times New Roman" w:cs="Times New Roman"/>
                <w:color w:val="FF0000"/>
                <w:kern w:val="0"/>
                <w:sz w:val="24"/>
                <w:highlight w:val="yellow"/>
                <w:u w:val="single"/>
              </w:rPr>
              <w:t>分酌情进行评分。</w:t>
            </w:r>
          </w:p>
        </w:tc>
      </w:tr>
      <w:permEnd w:id="82"/>
      <w:permEnd w:id="83"/>
      <w:permEnd w:id="8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70" w:hRule="atLeast"/>
        </w:trPr>
        <w:tc>
          <w:tcPr>
            <w:tcW w:w="850" w:type="dxa"/>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5" w:edGrp="everyone" w:colFirst="1" w:colLast="1"/>
            <w:permStart w:id="86" w:edGrp="everyone" w:colFirst="2" w:colLast="2"/>
            <w:permStart w:id="87"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850" w:type="dxa"/>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企业荣誉评分标准</w:t>
            </w:r>
          </w:p>
          <w:p>
            <w:pPr>
              <w:wordWrap w:val="0"/>
              <w:spacing w:line="440" w:lineRule="exact"/>
              <w:jc w:val="center"/>
              <w:rPr>
                <w:rFonts w:hint="eastAsia" w:ascii="Times New Roman" w:hAnsi="Times New Roman" w:cs="Times New Roman"/>
                <w:color w:val="FF0000"/>
                <w:kern w:val="0"/>
                <w:sz w:val="24"/>
                <w:highlight w:val="yellow"/>
                <w:u w:val="single"/>
                <w:lang w:val="en-US" w:eastAsia="zh-CN"/>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10</w:t>
            </w:r>
            <w:r>
              <w:rPr>
                <w:rFonts w:hint="eastAsia" w:ascii="Times New Roman" w:hAnsi="Times New Roman" w:cs="Times New Roman"/>
                <w:color w:val="FF0000"/>
                <w:kern w:val="0"/>
                <w:sz w:val="24"/>
                <w:highlight w:val="yellow"/>
                <w:u w:val="single"/>
              </w:rPr>
              <w:t xml:space="preserve"> 分）</w:t>
            </w:r>
          </w:p>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企业类似业绩</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w:t>
            </w:r>
            <w:r>
              <w:rPr>
                <w:rFonts w:hint="eastAsia" w:ascii="Times New Roman" w:hAnsi="Times New Roman" w:cs="Times New Roman"/>
                <w:color w:val="FF0000"/>
                <w:kern w:val="0"/>
                <w:sz w:val="24"/>
                <w:highlight w:val="yellow"/>
                <w:u w:val="single"/>
                <w:lang w:val="en-US" w:eastAsia="zh-CN"/>
              </w:rPr>
              <w:t>10</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eastAsiaTheme="minorEastAsia"/>
                <w:kern w:val="0"/>
                <w:sz w:val="24"/>
                <w:szCs w:val="24"/>
                <w:lang w:val="en-US" w:eastAsia="zh-CN" w:bidi="ar-SA"/>
              </w:rPr>
              <w:t>除投标人资格要求业绩外，投标人每额外提供一项类似业绩的，得5分。满分10分。注：类似业绩证明资料与投标人资格要求一致。</w:t>
            </w:r>
          </w:p>
        </w:tc>
      </w:tr>
      <w:permEnd w:id="85"/>
      <w:permEnd w:id="86"/>
      <w:permEnd w:id="8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88" w:edGrp="everyone" w:colFirst="1" w:colLast="1"/>
            <w:permStart w:id="89" w:edGrp="everyone" w:colFirst="2" w:colLast="2"/>
            <w:permStart w:id="90"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投标报价评分标准</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w:t>
            </w:r>
            <w:r>
              <w:rPr>
                <w:rFonts w:hint="eastAsia" w:ascii="Times New Roman" w:hAnsi="Times New Roman" w:cs="Times New Roman"/>
                <w:color w:val="FF0000"/>
                <w:kern w:val="0"/>
                <w:sz w:val="24"/>
                <w:highlight w:val="yellow"/>
                <w:u w:val="single"/>
                <w:lang w:val="en-US" w:eastAsia="zh-CN"/>
              </w:rPr>
              <w:t>7</w:t>
            </w:r>
            <w:r>
              <w:rPr>
                <w:rFonts w:hint="eastAsia" w:ascii="Times New Roman" w:hAnsi="Times New Roman" w:cs="Times New Roman"/>
                <w:color w:val="FF0000"/>
                <w:kern w:val="0"/>
                <w:sz w:val="24"/>
                <w:highlight w:val="yellow"/>
                <w:u w:val="single"/>
              </w:rPr>
              <w:t>0  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 xml:space="preserve">（  </w:t>
            </w:r>
            <w:r>
              <w:rPr>
                <w:rFonts w:hint="eastAsia" w:ascii="Times New Roman" w:hAnsi="Times New Roman" w:cs="Times New Roman"/>
                <w:color w:val="FF0000"/>
                <w:kern w:val="0"/>
                <w:sz w:val="24"/>
                <w:highlight w:val="yellow"/>
                <w:u w:val="single"/>
                <w:lang w:val="en-US" w:eastAsia="zh-CN"/>
              </w:rPr>
              <w:t>70</w:t>
            </w:r>
            <w:r>
              <w:rPr>
                <w:rFonts w:hint="eastAsia" w:ascii="Times New Roman" w:hAnsi="Times New Roman" w:cs="Times New Roman"/>
                <w:color w:val="FF0000"/>
                <w:kern w:val="0"/>
                <w:sz w:val="24"/>
                <w:highlight w:val="yellow"/>
                <w:u w:val="single"/>
              </w:rPr>
              <w:t>分）</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eastAsiaTheme="minorEastAsia"/>
                <w:kern w:val="0"/>
                <w:sz w:val="24"/>
                <w:szCs w:val="24"/>
                <w:lang w:val="en-US" w:eastAsia="zh-CN" w:bidi="ar-SA"/>
              </w:rPr>
            </w:pPr>
            <w:r>
              <w:rPr>
                <w:rFonts w:hint="eastAsia" w:ascii="Times New Roman" w:hAnsi="Times New Roman" w:cs="Times New Roman" w:eastAsiaTheme="minorEastAsia"/>
                <w:kern w:val="0"/>
                <w:sz w:val="24"/>
                <w:szCs w:val="24"/>
                <w:lang w:val="en-US" w:eastAsia="zh-CN" w:bidi="ar-SA"/>
              </w:rPr>
              <w:t>取所有有效投标报价的算术平均值作为评标基准价（5家（不含）以上去掉一个最高价和最低价），各投标人的投标报价得分按以下公式计算：</w:t>
            </w:r>
          </w:p>
          <w:p>
            <w:pPr>
              <w:wordWrap w:val="0"/>
              <w:spacing w:line="440" w:lineRule="exact"/>
              <w:ind w:firstLine="480" w:firstLineChars="200"/>
              <w:rPr>
                <w:rFonts w:hint="eastAsia" w:ascii="Times New Roman" w:hAnsi="Times New Roman" w:cs="Times New Roman" w:eastAsiaTheme="minorEastAsia"/>
                <w:kern w:val="0"/>
                <w:sz w:val="24"/>
                <w:szCs w:val="24"/>
                <w:lang w:val="en-US" w:eastAsia="zh-CN" w:bidi="ar-SA"/>
              </w:rPr>
            </w:pPr>
            <w:r>
              <w:rPr>
                <w:rFonts w:hint="eastAsia" w:ascii="Times New Roman" w:hAnsi="Times New Roman" w:cs="Times New Roman" w:eastAsiaTheme="minorEastAsia"/>
                <w:kern w:val="0"/>
                <w:sz w:val="24"/>
                <w:szCs w:val="24"/>
                <w:lang w:val="en-US" w:eastAsia="zh-CN" w:bidi="ar-SA"/>
              </w:rPr>
              <w:t xml:space="preserve"> （1）投标人的投标报价等于评标基准价得</w:t>
            </w:r>
            <w:r>
              <w:rPr>
                <w:rFonts w:hint="eastAsia" w:ascii="Times New Roman" w:hAnsi="Times New Roman" w:cs="Times New Roman"/>
                <w:kern w:val="0"/>
                <w:sz w:val="24"/>
                <w:szCs w:val="24"/>
                <w:lang w:val="en-US" w:eastAsia="zh-CN" w:bidi="ar-SA"/>
              </w:rPr>
              <w:t>7</w:t>
            </w:r>
            <w:r>
              <w:rPr>
                <w:rFonts w:hint="eastAsia" w:ascii="Times New Roman" w:hAnsi="Times New Roman" w:cs="Times New Roman" w:eastAsiaTheme="minorEastAsia"/>
                <w:kern w:val="0"/>
                <w:sz w:val="24"/>
                <w:szCs w:val="24"/>
                <w:lang w:val="en-US" w:eastAsia="zh-CN" w:bidi="ar-SA"/>
              </w:rPr>
              <w:t xml:space="preserve">0分； </w:t>
            </w:r>
          </w:p>
          <w:p>
            <w:pPr>
              <w:wordWrap w:val="0"/>
              <w:spacing w:line="440" w:lineRule="exact"/>
              <w:ind w:firstLine="480" w:firstLineChars="200"/>
              <w:rPr>
                <w:rFonts w:hint="eastAsia" w:ascii="Times New Roman" w:hAnsi="Times New Roman" w:cs="Times New Roman" w:eastAsiaTheme="minorEastAsia"/>
                <w:kern w:val="0"/>
                <w:sz w:val="24"/>
                <w:szCs w:val="24"/>
                <w:lang w:val="en-US" w:eastAsia="zh-CN" w:bidi="ar-SA"/>
              </w:rPr>
            </w:pPr>
            <w:r>
              <w:rPr>
                <w:rFonts w:hint="eastAsia" w:ascii="Times New Roman" w:hAnsi="Times New Roman" w:cs="Times New Roman" w:eastAsiaTheme="minorEastAsia"/>
                <w:kern w:val="0"/>
                <w:sz w:val="24"/>
                <w:szCs w:val="24"/>
                <w:lang w:val="en-US" w:eastAsia="zh-CN" w:bidi="ar-SA"/>
              </w:rPr>
              <w:t>（2）投标人的投标报价高于评标基准价：</w:t>
            </w:r>
            <w:r>
              <w:rPr>
                <w:rFonts w:hint="eastAsia" w:ascii="Times New Roman" w:hAnsi="Times New Roman" w:cs="Times New Roman"/>
                <w:kern w:val="0"/>
                <w:sz w:val="24"/>
                <w:szCs w:val="24"/>
                <w:lang w:val="en-US" w:eastAsia="zh-CN" w:bidi="ar-SA"/>
              </w:rPr>
              <w:t>7</w:t>
            </w:r>
            <w:r>
              <w:rPr>
                <w:rFonts w:hint="eastAsia" w:ascii="Times New Roman" w:hAnsi="Times New Roman" w:cs="Times New Roman" w:eastAsiaTheme="minorEastAsia"/>
                <w:kern w:val="0"/>
                <w:sz w:val="24"/>
                <w:szCs w:val="24"/>
                <w:lang w:val="en-US" w:eastAsia="zh-CN" w:bidi="ar-SA"/>
              </w:rPr>
              <w:t xml:space="preserve">0-（投标人投标报价-评标基准价）/评标基准价*100*2； </w:t>
            </w:r>
          </w:p>
          <w:p>
            <w:pPr>
              <w:wordWrap w:val="0"/>
              <w:spacing w:line="440" w:lineRule="exact"/>
              <w:ind w:firstLine="480" w:firstLineChars="200"/>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eastAsiaTheme="minorEastAsia"/>
                <w:kern w:val="0"/>
                <w:sz w:val="24"/>
                <w:szCs w:val="24"/>
                <w:lang w:val="en-US" w:eastAsia="zh-CN" w:bidi="ar-SA"/>
              </w:rPr>
              <w:t>（3）投标人的投标报价低于评标基准价：</w:t>
            </w:r>
            <w:r>
              <w:rPr>
                <w:rFonts w:hint="eastAsia" w:ascii="Times New Roman" w:hAnsi="Times New Roman" w:cs="Times New Roman"/>
                <w:kern w:val="0"/>
                <w:sz w:val="24"/>
                <w:szCs w:val="24"/>
                <w:lang w:val="en-US" w:eastAsia="zh-CN" w:bidi="ar-SA"/>
              </w:rPr>
              <w:t>7</w:t>
            </w:r>
            <w:r>
              <w:rPr>
                <w:rFonts w:hint="eastAsia" w:ascii="Times New Roman" w:hAnsi="Times New Roman" w:cs="Times New Roman" w:eastAsiaTheme="minorEastAsia"/>
                <w:kern w:val="0"/>
                <w:sz w:val="24"/>
                <w:szCs w:val="24"/>
                <w:lang w:val="en-US" w:eastAsia="zh-CN" w:bidi="ar-SA"/>
              </w:rPr>
              <w:t>0+（投标人投标报价-评标基准价）/评标基准价*100*1。</w:t>
            </w:r>
          </w:p>
        </w:tc>
      </w:tr>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91" w:edGrp="everyone" w:colFirst="1" w:colLast="1"/>
            <w:permStart w:id="92" w:edGrp="everyone" w:colFirst="2" w:colLast="2"/>
            <w:permStart w:id="93" w:edGrp="everyone" w:colFirst="3" w:colLast="3"/>
            <w:r>
              <w:rPr>
                <w:rFonts w:hint="eastAsia" w:ascii="Times New Roman" w:hAnsi="Times New Roman" w:cs="Times New Roman"/>
                <w:kern w:val="0"/>
                <w:sz w:val="24"/>
              </w:rPr>
              <w:t>2.2.4</w:t>
            </w:r>
          </w:p>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850" w:type="dxa"/>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其他因素评分标准</w:t>
            </w:r>
          </w:p>
          <w:p>
            <w:pPr>
              <w:wordWrap w:val="0"/>
              <w:spacing w:line="440" w:lineRule="exact"/>
              <w:jc w:val="center"/>
              <w:rPr>
                <w:rFonts w:ascii="Times New Roman" w:hAnsi="Times New Roman" w:cs="Times New Roman" w:eastAsiaTheme="minorEastAsia"/>
                <w:kern w:val="0"/>
                <w:sz w:val="24"/>
                <w:szCs w:val="24"/>
                <w:lang w:val="en-US" w:eastAsia="zh-CN" w:bidi="ar-SA"/>
              </w:rPr>
            </w:pPr>
            <w:r>
              <w:rPr>
                <w:rFonts w:hint="eastAsia" w:ascii="Times New Roman" w:hAnsi="Times New Roman" w:cs="Times New Roman"/>
                <w:color w:val="FF0000"/>
                <w:kern w:val="0"/>
                <w:sz w:val="24"/>
                <w:highlight w:val="yellow"/>
                <w:u w:val="single"/>
              </w:rPr>
              <w:t>（</w:t>
            </w:r>
            <w:r>
              <w:rPr>
                <w:rFonts w:hint="eastAsia" w:ascii="Times New Roman" w:hAnsi="Times New Roman" w:cs="Times New Roman"/>
                <w:color w:val="FF0000"/>
                <w:kern w:val="0"/>
                <w:sz w:val="24"/>
                <w:highlight w:val="yellow"/>
                <w:u w:val="single"/>
                <w:lang w:val="en-US" w:eastAsia="zh-CN"/>
              </w:rPr>
              <w:t>/</w:t>
            </w:r>
            <w:r>
              <w:rPr>
                <w:rFonts w:hint="eastAsia" w:ascii="Times New Roman" w:hAnsi="Times New Roman" w:cs="Times New Roman"/>
                <w:color w:val="FF0000"/>
                <w:kern w:val="0"/>
                <w:sz w:val="24"/>
                <w:highlight w:val="yellow"/>
                <w:u w:val="single"/>
              </w:rPr>
              <w:t xml:space="preserve"> 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eastAsiaTheme="minorEastAsia"/>
                <w:kern w:val="0"/>
                <w:sz w:val="24"/>
                <w:szCs w:val="24"/>
                <w:lang w:val="en-US" w:eastAsia="zh-CN" w:bidi="ar-SA"/>
              </w:rPr>
            </w:pPr>
            <w:r>
              <w:rPr>
                <w:rFonts w:hint="eastAsia" w:ascii="Times New Roman" w:hAnsi="Times New Roman" w:cs="Times New Roman"/>
                <w:kern w:val="0"/>
                <w:sz w:val="24"/>
                <w:lang w:val="en-US" w:eastAsia="zh-CN"/>
              </w:rPr>
              <w:t xml:space="preserve"> /</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default" w:ascii="Times New Roman" w:hAnsi="Times New Roman" w:cs="Times New Roman" w:eastAsiaTheme="minorEastAsia"/>
                <w:kern w:val="0"/>
                <w:sz w:val="24"/>
                <w:szCs w:val="24"/>
                <w:lang w:val="en-US" w:eastAsia="zh-CN" w:bidi="ar-SA"/>
              </w:rPr>
            </w:pPr>
            <w:r>
              <w:rPr>
                <w:rFonts w:hint="eastAsia" w:ascii="Times New Roman" w:hAnsi="Times New Roman" w:cs="Times New Roman"/>
                <w:kern w:val="0"/>
                <w:sz w:val="24"/>
                <w:szCs w:val="24"/>
                <w:lang w:val="en-US" w:eastAsia="zh-CN" w:bidi="ar-SA"/>
              </w:rPr>
              <w:t>/</w:t>
            </w:r>
          </w:p>
        </w:tc>
      </w:tr>
      <w:permEnd w:id="91"/>
      <w:permEnd w:id="92"/>
      <w:permEnd w:id="93"/>
    </w:tbl>
    <w:p>
      <w:pPr>
        <w:wordWrap w:val="0"/>
        <w:spacing w:line="440" w:lineRule="exact"/>
        <w:rPr>
          <w:rFonts w:ascii="Times New Roman" w:hAnsi="Times New Roman" w:cs="Times New Roman"/>
          <w:b/>
          <w:bCs/>
          <w:kern w:val="0"/>
          <w:sz w:val="28"/>
          <w:szCs w:val="28"/>
        </w:rPr>
      </w:pPr>
      <w:r>
        <w:rPr>
          <w:rFonts w:ascii="Times New Roman" w:hAnsi="Times New Roman" w:eastAsia="黑体" w:cs="Times New Roman"/>
          <w:szCs w:val="21"/>
        </w:rPr>
        <w:t>说明</w:t>
      </w:r>
      <w:r>
        <w:rPr>
          <w:rFonts w:ascii="Times New Roman" w:hAnsi="Times New Roman" w:cs="Times New Roman"/>
          <w:szCs w:val="21"/>
        </w:rPr>
        <w:t>：评分区间一律按左闭右开计算</w:t>
      </w:r>
      <w:r>
        <w:rPr>
          <w:rFonts w:hint="eastAsia" w:ascii="Times New Roman" w:hAnsi="Times New Roman" w:cs="Times New Roman"/>
          <w:szCs w:val="21"/>
        </w:rPr>
        <w:t>，评分保留2位小数。</w:t>
      </w:r>
    </w:p>
    <w:p>
      <w:pPr>
        <w:wordWrap w:val="0"/>
        <w:spacing w:line="440" w:lineRule="exact"/>
        <w:rPr>
          <w:rFonts w:ascii="Times New Roman" w:hAnsi="Times New Roman" w:cs="Times New Roman"/>
          <w:b/>
          <w:bCs/>
          <w:kern w:val="0"/>
          <w:sz w:val="28"/>
          <w:szCs w:val="28"/>
        </w:rPr>
      </w:pPr>
    </w:p>
    <w:p>
      <w:pPr>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本次评标采用综合评估法。评标委员会</w:t>
      </w:r>
      <w:r>
        <w:rPr>
          <w:rFonts w:hint="eastAsia" w:ascii="Times New Roman" w:hAnsi="Times New Roman" w:cs="Times New Roman"/>
          <w:kern w:val="0"/>
          <w:sz w:val="24"/>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bookmarkStart w:id="372" w:name="_Toc144974557"/>
      <w:bookmarkStart w:id="373" w:name="_Toc152045590"/>
      <w:bookmarkStart w:id="374" w:name="_Toc247085748"/>
      <w:bookmarkStart w:id="375" w:name="_Toc296602478"/>
      <w:bookmarkStart w:id="376" w:name="_Toc179632608"/>
      <w:bookmarkStart w:id="377" w:name="_Toc152042367"/>
      <w:bookmarkStart w:id="378" w:name="_Toc246996233"/>
      <w:bookmarkStart w:id="379" w:name="_Toc246996976"/>
      <w:r>
        <w:rPr>
          <w:rFonts w:ascii="Times New Roman" w:hAnsi="Times New Roman" w:cs="Times New Roman"/>
          <w:b/>
          <w:bCs/>
          <w:kern w:val="0"/>
          <w:sz w:val="28"/>
          <w:szCs w:val="28"/>
        </w:rPr>
        <w:t>2. 评审标准</w:t>
      </w:r>
      <w:bookmarkEnd w:id="372"/>
      <w:bookmarkEnd w:id="373"/>
      <w:bookmarkEnd w:id="374"/>
      <w:bookmarkEnd w:id="375"/>
      <w:bookmarkEnd w:id="376"/>
      <w:bookmarkEnd w:id="377"/>
      <w:bookmarkEnd w:id="378"/>
      <w:bookmarkEnd w:id="379"/>
    </w:p>
    <w:p>
      <w:pPr>
        <w:wordWrap w:val="0"/>
        <w:spacing w:line="440" w:lineRule="exact"/>
        <w:rPr>
          <w:rFonts w:ascii="Times New Roman" w:hAnsi="Times New Roman" w:cs="Times New Roman"/>
          <w:b/>
          <w:bCs/>
          <w:kern w:val="0"/>
          <w:sz w:val="28"/>
          <w:szCs w:val="28"/>
        </w:rPr>
      </w:pPr>
      <w:bookmarkStart w:id="380" w:name="_Toc296602479"/>
      <w:bookmarkStart w:id="381" w:name="_Toc247085749"/>
      <w:bookmarkStart w:id="382" w:name="_Toc152042368"/>
      <w:bookmarkStart w:id="383" w:name="_Toc246996977"/>
      <w:bookmarkStart w:id="384" w:name="_Toc179632609"/>
      <w:bookmarkStart w:id="385" w:name="_Toc144974558"/>
      <w:bookmarkStart w:id="386" w:name="_Toc152045591"/>
      <w:bookmarkStart w:id="387" w:name="_Toc246996234"/>
      <w:r>
        <w:rPr>
          <w:rFonts w:ascii="Times New Roman" w:hAnsi="Times New Roman" w:cs="Times New Roman"/>
          <w:b/>
          <w:bCs/>
          <w:kern w:val="0"/>
          <w:sz w:val="28"/>
          <w:szCs w:val="28"/>
        </w:rPr>
        <w:t>2.1 初步评审标准</w:t>
      </w:r>
      <w:bookmarkEnd w:id="380"/>
      <w:bookmarkEnd w:id="381"/>
      <w:bookmarkEnd w:id="382"/>
      <w:bookmarkEnd w:id="383"/>
      <w:bookmarkEnd w:id="384"/>
      <w:bookmarkEnd w:id="385"/>
      <w:bookmarkEnd w:id="386"/>
      <w:bookmarkEnd w:id="387"/>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bookmarkStart w:id="388" w:name="_Toc246996979"/>
      <w:bookmarkStart w:id="389" w:name="_Toc152045593"/>
      <w:bookmarkStart w:id="390" w:name="_Toc246996236"/>
      <w:bookmarkStart w:id="391" w:name="_Toc144974560"/>
      <w:bookmarkStart w:id="392" w:name="_Toc296602481"/>
      <w:bookmarkStart w:id="393" w:name="_Toc247085751"/>
      <w:bookmarkStart w:id="394" w:name="_Toc152042370"/>
      <w:bookmarkStart w:id="395" w:name="_Toc179632611"/>
      <w:r>
        <w:rPr>
          <w:rFonts w:ascii="Times New Roman" w:hAnsi="Times New Roman" w:cs="Times New Roman"/>
          <w:b/>
          <w:bCs/>
          <w:kern w:val="0"/>
          <w:sz w:val="28"/>
          <w:szCs w:val="28"/>
        </w:rPr>
        <w:t>2.2 分值构成与评分标准</w:t>
      </w:r>
    </w:p>
    <w:p>
      <w:pPr>
        <w:wordWrap w:val="0"/>
        <w:spacing w:line="420" w:lineRule="exact"/>
        <w:ind w:firstLine="480" w:firstLineChars="200"/>
        <w:rPr>
          <w:rFonts w:ascii="Times New Roman" w:hAnsi="Times New Roman" w:cs="Times New Roman"/>
          <w:kern w:val="0"/>
          <w:sz w:val="24"/>
          <w:highlight w:val="yellow"/>
        </w:rPr>
      </w:pPr>
      <w:r>
        <w:rPr>
          <w:rFonts w:ascii="Times New Roman" w:hAnsi="Times New Roman" w:cs="Times New Roman"/>
          <w:kern w:val="0"/>
          <w:sz w:val="24"/>
        </w:rPr>
        <w:t>2.2.1 分值构成</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permStart w:id="94" w:edGrp="everyone"/>
      <w:r>
        <w:rPr>
          <w:rFonts w:hint="eastAsia" w:ascii="Times New Roman" w:hAnsi="Times New Roman" w:cs="Times New Roman"/>
          <w:kern w:val="0"/>
          <w:sz w:val="24"/>
        </w:rPr>
        <w:t>施工方案</w:t>
      </w:r>
      <w:permEnd w:id="94"/>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w:t>
      </w:r>
      <w:permStart w:id="95" w:edGrp="everyone"/>
      <w:r>
        <w:rPr>
          <w:rFonts w:hint="eastAsia" w:ascii="Times New Roman" w:hAnsi="Times New Roman" w:cs="Times New Roman"/>
          <w:kern w:val="0"/>
          <w:sz w:val="24"/>
        </w:rPr>
        <w:t>企业荣誉</w:t>
      </w:r>
      <w:permEnd w:id="95"/>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w:t>
      </w:r>
      <w:permStart w:id="96" w:edGrp="everyone"/>
      <w:r>
        <w:rPr>
          <w:rFonts w:hint="eastAsia" w:ascii="Times New Roman" w:hAnsi="Times New Roman" w:cs="Times New Roman"/>
          <w:kern w:val="0"/>
          <w:sz w:val="24"/>
        </w:rPr>
        <w:t>投标报价</w:t>
      </w:r>
      <w:permEnd w:id="96"/>
      <w:r>
        <w:rPr>
          <w:rFonts w:ascii="Times New Roman" w:hAnsi="Times New Roman" w:cs="Times New Roman"/>
          <w:kern w:val="0"/>
          <w:sz w:val="24"/>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kern w:val="0"/>
          <w:sz w:val="24"/>
        </w:rPr>
        <w:t>（4）</w:t>
      </w:r>
      <w:permStart w:id="97" w:edGrp="everyone"/>
      <w:r>
        <w:rPr>
          <w:rFonts w:hint="eastAsia" w:ascii="Times New Roman" w:hAnsi="Times New Roman" w:cs="Times New Roman"/>
          <w:kern w:val="0"/>
          <w:sz w:val="24"/>
        </w:rPr>
        <w:t>其他评分因素</w:t>
      </w:r>
      <w:permEnd w:id="97"/>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2.2.2 评标基准价计算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评标基准价计算方法：见评标办法前附表。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2.2.3 投标报价的偏差率计算</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投标报价的偏差率计算公式：见评标办法前附表。</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2.2.4 评分标准</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（1）</w:t>
      </w:r>
      <w:permStart w:id="98" w:edGrp="everyone"/>
      <w:r>
        <w:rPr>
          <w:rFonts w:hint="eastAsia" w:ascii="Times New Roman" w:hAnsi="Times New Roman" w:cs="Times New Roman"/>
          <w:color w:val="000000" w:themeColor="text1"/>
          <w:kern w:val="0"/>
          <w:sz w:val="24"/>
          <w14:textFill>
            <w14:solidFill>
              <w14:schemeClr w14:val="tx1"/>
            </w14:solidFill>
          </w14:textFill>
        </w:rPr>
        <w:t>施工方案评分标准</w:t>
      </w:r>
      <w:permEnd w:id="98"/>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（2）</w:t>
      </w:r>
      <w:permStart w:id="99" w:edGrp="everyone"/>
      <w:r>
        <w:rPr>
          <w:rFonts w:hint="eastAsia" w:ascii="Times New Roman" w:hAnsi="Times New Roman" w:cs="Times New Roman"/>
          <w:color w:val="000000" w:themeColor="text1"/>
          <w:kern w:val="0"/>
          <w:sz w:val="24"/>
          <w14:textFill>
            <w14:solidFill>
              <w14:schemeClr w14:val="tx1"/>
            </w14:solidFill>
          </w14:textFill>
        </w:rPr>
        <w:t>企业荣誉评分标准</w:t>
      </w:r>
      <w:permEnd w:id="99"/>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w:t>
      </w:r>
      <w:permStart w:id="100" w:edGrp="everyone"/>
      <w:r>
        <w:rPr>
          <w:rFonts w:hint="eastAsia" w:ascii="Times New Roman" w:hAnsi="Times New Roman" w:cs="Times New Roman"/>
          <w:color w:val="000000" w:themeColor="text1"/>
          <w:kern w:val="0"/>
          <w:sz w:val="24"/>
          <w14:textFill>
            <w14:solidFill>
              <w14:schemeClr w14:val="tx1"/>
            </w14:solidFill>
          </w14:textFill>
        </w:rPr>
        <w:t>投标报价评分标准</w:t>
      </w:r>
      <w:permEnd w:id="100"/>
      <w:r>
        <w:rPr>
          <w:rFonts w:ascii="Times New Roman" w:hAnsi="Times New Roman" w:cs="Times New Roman"/>
          <w:color w:val="000000" w:themeColor="text1"/>
          <w:kern w:val="0"/>
          <w:sz w:val="24"/>
          <w14:textFill>
            <w14:solidFill>
              <w14:schemeClr w14:val="tx1"/>
            </w14:solidFill>
          </w14:textFill>
        </w:rPr>
        <w:t>：见评标办法前附表；</w:t>
      </w:r>
    </w:p>
    <w:p>
      <w:pPr>
        <w:wordWrap w:val="0"/>
        <w:spacing w:line="420" w:lineRule="exact"/>
        <w:ind w:firstLine="480" w:firstLineChars="200"/>
        <w:rPr>
          <w:rFonts w:ascii="Times New Roman" w:hAnsi="Times New Roman" w:cs="Times New Roman"/>
          <w:kern w:val="0"/>
          <w:sz w:val="24"/>
          <w:highlight w:val="yellow"/>
        </w:rPr>
      </w:pPr>
      <w:r>
        <w:rPr>
          <w:rFonts w:hint="eastAsia" w:ascii="Times New Roman" w:hAnsi="Times New Roman" w:cs="Times New Roman"/>
          <w:color w:val="000000" w:themeColor="text1"/>
          <w:kern w:val="0"/>
          <w:sz w:val="24"/>
          <w14:textFill>
            <w14:solidFill>
              <w14:schemeClr w14:val="tx1"/>
            </w14:solidFill>
          </w14:textFill>
        </w:rPr>
        <w:t>（4）</w:t>
      </w:r>
      <w:permStart w:id="101" w:edGrp="everyone"/>
      <w:r>
        <w:rPr>
          <w:rFonts w:hint="eastAsia" w:ascii="Times New Roman" w:hAnsi="Times New Roman" w:cs="Times New Roman"/>
          <w:color w:val="000000" w:themeColor="text1"/>
          <w:kern w:val="0"/>
          <w:sz w:val="24"/>
          <w14:textFill>
            <w14:solidFill>
              <w14:schemeClr w14:val="tx1"/>
            </w14:solidFill>
          </w14:textFill>
        </w:rPr>
        <w:t>其他因素评分标准</w:t>
      </w:r>
      <w:permEnd w:id="101"/>
      <w:r>
        <w:rPr>
          <w:rFonts w:ascii="Times New Roman" w:hAnsi="Times New Roman" w:cs="Times New Roman"/>
          <w:kern w:val="0"/>
          <w:sz w:val="24"/>
        </w:rPr>
        <w:t>：见评标办法前附表</w:t>
      </w:r>
      <w:r>
        <w:rPr>
          <w:rFonts w:hint="eastAsia" w:ascii="Times New Roman" w:hAnsi="Times New Roman" w:cs="Times New Roman"/>
          <w:kern w:val="0"/>
          <w:sz w:val="24"/>
        </w:rPr>
        <w:t>。</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bookmarkEnd w:id="388"/>
      <w:bookmarkEnd w:id="389"/>
      <w:bookmarkEnd w:id="390"/>
      <w:bookmarkEnd w:id="391"/>
      <w:bookmarkEnd w:id="392"/>
      <w:bookmarkEnd w:id="393"/>
      <w:bookmarkEnd w:id="394"/>
      <w:bookmarkEnd w:id="395"/>
    </w:p>
    <w:p>
      <w:pPr>
        <w:wordWrap w:val="0"/>
        <w:spacing w:line="440" w:lineRule="exact"/>
        <w:rPr>
          <w:rFonts w:ascii="Times New Roman" w:hAnsi="Times New Roman" w:cs="Times New Roman"/>
          <w:b/>
          <w:bCs/>
          <w:kern w:val="0"/>
          <w:sz w:val="28"/>
          <w:szCs w:val="28"/>
        </w:rPr>
      </w:pPr>
      <w:bookmarkStart w:id="396" w:name="_Toc152045594"/>
      <w:bookmarkStart w:id="397" w:name="_Toc246996980"/>
      <w:bookmarkStart w:id="398" w:name="_Toc179632612"/>
      <w:bookmarkStart w:id="399" w:name="_Toc296602482"/>
      <w:bookmarkStart w:id="400" w:name="_Toc152042371"/>
      <w:bookmarkStart w:id="401" w:name="_Toc144974561"/>
      <w:bookmarkStart w:id="402" w:name="_Toc246996237"/>
      <w:bookmarkStart w:id="403" w:name="_Toc247085752"/>
      <w:r>
        <w:rPr>
          <w:rFonts w:ascii="Times New Roman" w:hAnsi="Times New Roman" w:cs="Times New Roman"/>
          <w:b/>
          <w:bCs/>
          <w:kern w:val="0"/>
          <w:sz w:val="28"/>
          <w:szCs w:val="28"/>
        </w:rPr>
        <w:t>3.1 初步评审</w:t>
      </w:r>
      <w:bookmarkEnd w:id="396"/>
      <w:bookmarkEnd w:id="397"/>
      <w:bookmarkEnd w:id="398"/>
      <w:bookmarkEnd w:id="399"/>
      <w:bookmarkEnd w:id="400"/>
      <w:bookmarkEnd w:id="401"/>
      <w:bookmarkEnd w:id="402"/>
      <w:bookmarkEnd w:id="403"/>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w:t>
      </w:r>
      <w:r>
        <w:rPr>
          <w:rFonts w:ascii="Times New Roman" w:hAnsi="Times New Roman" w:cs="Times New Roman"/>
          <w:kern w:val="0"/>
          <w:sz w:val="24"/>
        </w:rPr>
        <w:t>有关证明和证件的原件，以便核验。评标委员会依据本章</w:t>
      </w:r>
      <w:r>
        <w:rPr>
          <w:rFonts w:hint="eastAsia" w:ascii="Times New Roman" w:hAnsi="Times New Roman" w:cs="Times New Roman"/>
          <w:kern w:val="0"/>
          <w:sz w:val="24"/>
        </w:rPr>
        <w:t>第2.1款</w:t>
      </w:r>
      <w:r>
        <w:rPr>
          <w:rFonts w:ascii="Times New Roman" w:hAnsi="Times New Roman" w:cs="Times New Roman"/>
          <w:kern w:val="0"/>
          <w:sz w:val="24"/>
        </w:rPr>
        <w:t>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w:t>
      </w:r>
      <w:r>
        <w:rPr>
          <w:rFonts w:hint="eastAsia" w:ascii="Times New Roman" w:hAnsi="Times New Roman" w:cs="Times New Roman"/>
          <w:kern w:val="0"/>
          <w:sz w:val="24"/>
        </w:rPr>
        <w:t>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w:t>
      </w:r>
      <w:r>
        <w:rPr>
          <w:rFonts w:hint="eastAsia" w:ascii="Times New Roman" w:hAnsi="Times New Roman" w:cs="Times New Roman"/>
          <w:kern w:val="0"/>
          <w:sz w:val="24"/>
        </w:rPr>
        <w:t>3</w:t>
      </w:r>
      <w:r>
        <w:rPr>
          <w:rFonts w:ascii="Times New Roman" w:hAnsi="Times New Roman" w:cs="Times New Roman"/>
          <w:kern w:val="0"/>
          <w:sz w:val="24"/>
        </w:rPr>
        <w:t>）不按评标委员会要求澄清、说明或补正的。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3.1.3投标报价有算术错误的，评标委员会按以下原则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bookmarkStart w:id="404" w:name="_Toc246996981"/>
      <w:bookmarkStart w:id="405" w:name="_Toc247085753"/>
      <w:bookmarkStart w:id="406" w:name="_Toc246996238"/>
      <w:bookmarkStart w:id="407" w:name="_Toc144974562"/>
      <w:bookmarkStart w:id="408" w:name="_Toc296602483"/>
      <w:bookmarkStart w:id="409" w:name="_Toc179632613"/>
      <w:bookmarkStart w:id="410" w:name="_Toc152045595"/>
      <w:bookmarkStart w:id="411" w:name="_Toc152042372"/>
      <w:r>
        <w:rPr>
          <w:rFonts w:ascii="Times New Roman" w:hAnsi="Times New Roman" w:cs="Times New Roman"/>
          <w:b/>
          <w:bCs/>
          <w:kern w:val="0"/>
          <w:sz w:val="28"/>
          <w:szCs w:val="28"/>
        </w:rPr>
        <w:t>3.2 详细评审</w:t>
      </w:r>
      <w:bookmarkEnd w:id="404"/>
      <w:bookmarkEnd w:id="405"/>
      <w:bookmarkEnd w:id="406"/>
      <w:bookmarkEnd w:id="407"/>
      <w:bookmarkEnd w:id="408"/>
      <w:bookmarkEnd w:id="409"/>
      <w:bookmarkEnd w:id="410"/>
      <w:bookmarkEnd w:id="411"/>
    </w:p>
    <w:p>
      <w:pPr>
        <w:wordWrap w:val="0"/>
        <w:spacing w:line="420" w:lineRule="exact"/>
        <w:ind w:firstLine="480" w:firstLineChars="200"/>
        <w:rPr>
          <w:rFonts w:ascii="Times New Roman" w:hAnsi="Times New Roman" w:cs="Times New Roman"/>
          <w:kern w:val="0"/>
          <w:sz w:val="24"/>
        </w:rPr>
      </w:pPr>
      <w:bookmarkStart w:id="412" w:name="_Toc144974563"/>
      <w:bookmarkStart w:id="413" w:name="_Toc152045596"/>
      <w:bookmarkStart w:id="414" w:name="_Toc179632614"/>
      <w:bookmarkStart w:id="415" w:name="_Toc152042373"/>
      <w:bookmarkStart w:id="416" w:name="_Toc246996982"/>
      <w:bookmarkStart w:id="417" w:name="_Toc247085754"/>
      <w:bookmarkStart w:id="418" w:name="_Toc296602484"/>
      <w:bookmarkStart w:id="419" w:name="_Toc246996239"/>
      <w:r>
        <w:rPr>
          <w:rFonts w:ascii="Times New Roman" w:hAnsi="Times New Roman" w:cs="Times New Roman"/>
          <w:kern w:val="0"/>
          <w:sz w:val="24"/>
        </w:rPr>
        <w:t>3.2.1 评标委员会按本章</w:t>
      </w:r>
      <w:r>
        <w:rPr>
          <w:rFonts w:hint="eastAsia" w:ascii="Times New Roman" w:hAnsi="Times New Roman" w:cs="Times New Roman"/>
          <w:kern w:val="0"/>
          <w:sz w:val="24"/>
        </w:rPr>
        <w:t>第2.2款规定的</w:t>
      </w:r>
      <w:r>
        <w:rPr>
          <w:rFonts w:ascii="Times New Roman" w:hAnsi="Times New Roman" w:cs="Times New Roman"/>
          <w:kern w:val="0"/>
          <w:sz w:val="24"/>
        </w:rPr>
        <w:t>量化因素和分值进行打分，并计算出综合评估得分。</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（1）按本章</w:t>
      </w:r>
      <w:r>
        <w:rPr>
          <w:rFonts w:hint="eastAsia" w:ascii="Times New Roman" w:hAnsi="Times New Roman" w:cs="Times New Roman"/>
          <w:kern w:val="0"/>
          <w:sz w:val="24"/>
        </w:rPr>
        <w:t>第2.2.4（1）目规定的评审因素和分值对</w:t>
      </w:r>
      <w:permStart w:id="102" w:edGrp="everyone"/>
      <w:r>
        <w:rPr>
          <w:rFonts w:hint="eastAsia" w:ascii="Times New Roman" w:hAnsi="Times New Roman" w:cs="Times New Roman"/>
          <w:color w:val="000000" w:themeColor="text1"/>
          <w:kern w:val="0"/>
          <w:sz w:val="24"/>
          <w14:textFill>
            <w14:solidFill>
              <w14:schemeClr w14:val="tx1"/>
            </w14:solidFill>
          </w14:textFill>
        </w:rPr>
        <w:t>施工方案</w:t>
      </w:r>
      <w:permEnd w:id="102"/>
      <w:r>
        <w:rPr>
          <w:rFonts w:hint="eastAsia" w:ascii="Times New Roman" w:hAnsi="Times New Roman" w:cs="Times New Roman"/>
          <w:kern w:val="0"/>
          <w:sz w:val="24"/>
        </w:rPr>
        <w:t>计算出得分A；</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kern w:val="0"/>
          <w:sz w:val="24"/>
        </w:rPr>
        <w:t>（</w:t>
      </w:r>
      <w:r>
        <w:rPr>
          <w:rFonts w:hint="eastAsia" w:ascii="Times New Roman" w:hAnsi="Times New Roman" w:cs="Times New Roman"/>
          <w:kern w:val="0"/>
          <w:sz w:val="24"/>
        </w:rPr>
        <w:t>2</w:t>
      </w:r>
      <w:r>
        <w:rPr>
          <w:rFonts w:ascii="Times New Roman" w:hAnsi="Times New Roman" w:cs="Times New Roman"/>
          <w:kern w:val="0"/>
          <w:sz w:val="24"/>
        </w:rPr>
        <w:t>）按本章</w:t>
      </w:r>
      <w:r>
        <w:rPr>
          <w:rFonts w:hint="eastAsia" w:ascii="Times New Roman" w:hAnsi="Times New Roman" w:cs="Times New Roman"/>
          <w:kern w:val="0"/>
          <w:sz w:val="24"/>
        </w:rPr>
        <w:t>第2.2.4（2）目规定的评审因素和分值对</w:t>
      </w:r>
      <w:permStart w:id="103" w:edGrp="everyone"/>
      <w:r>
        <w:rPr>
          <w:rFonts w:hint="eastAsia" w:ascii="Times New Roman" w:hAnsi="Times New Roman" w:cs="Times New Roman"/>
          <w:color w:val="000000" w:themeColor="text1"/>
          <w:kern w:val="0"/>
          <w:sz w:val="24"/>
          <w14:textFill>
            <w14:solidFill>
              <w14:schemeClr w14:val="tx1"/>
            </w14:solidFill>
          </w14:textFill>
        </w:rPr>
        <w:t>企业荣誉</w:t>
      </w:r>
      <w:permEnd w:id="103"/>
      <w:r>
        <w:rPr>
          <w:rFonts w:hint="eastAsia" w:ascii="Times New Roman" w:hAnsi="Times New Roman" w:cs="Times New Roman"/>
          <w:color w:val="000000" w:themeColor="text1"/>
          <w:kern w:val="0"/>
          <w:sz w:val="24"/>
          <w14:textFill>
            <w14:solidFill>
              <w14:schemeClr w14:val="tx1"/>
            </w14:solidFill>
          </w14:textFill>
        </w:rPr>
        <w:t>计算出得分B；</w:t>
      </w:r>
    </w:p>
    <w:p>
      <w:pPr>
        <w:wordWrap w:val="0"/>
        <w:spacing w:line="420" w:lineRule="exact"/>
        <w:ind w:firstLine="480" w:firstLineChars="200"/>
        <w:rPr>
          <w:rFonts w:ascii="Times New Roman" w:hAnsi="Times New Roman" w:cs="Times New Roman"/>
          <w:color w:val="000000" w:themeColor="text1"/>
          <w:kern w:val="0"/>
          <w:sz w:val="24"/>
          <w14:textFill>
            <w14:solidFill>
              <w14:schemeClr w14:val="tx1"/>
            </w14:solidFill>
          </w14:textFill>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3</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第2.2.4（3）目规定的评审因素和分值对</w:t>
      </w:r>
      <w:permStart w:id="104" w:edGrp="everyone"/>
      <w:r>
        <w:rPr>
          <w:rFonts w:hint="eastAsia" w:ascii="Times New Roman" w:hAnsi="Times New Roman" w:cs="Times New Roman"/>
          <w:color w:val="000000" w:themeColor="text1"/>
          <w:kern w:val="0"/>
          <w:sz w:val="24"/>
          <w14:textFill>
            <w14:solidFill>
              <w14:schemeClr w14:val="tx1"/>
            </w14:solidFill>
          </w14:textFill>
        </w:rPr>
        <w:t>投标报价</w:t>
      </w:r>
      <w:permEnd w:id="104"/>
      <w:r>
        <w:rPr>
          <w:rFonts w:hint="eastAsia" w:ascii="Times New Roman" w:hAnsi="Times New Roman" w:cs="Times New Roman"/>
          <w:color w:val="000000" w:themeColor="text1"/>
          <w:kern w:val="0"/>
          <w:sz w:val="24"/>
          <w14:textFill>
            <w14:solidFill>
              <w14:schemeClr w14:val="tx1"/>
            </w14:solidFill>
          </w14:textFill>
        </w:rPr>
        <w:t>计算出得分C；</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color w:val="000000" w:themeColor="text1"/>
          <w:kern w:val="0"/>
          <w:sz w:val="24"/>
          <w14:textFill>
            <w14:solidFill>
              <w14:schemeClr w14:val="tx1"/>
            </w14:solidFill>
          </w14:textFill>
        </w:rPr>
        <w:t>（</w:t>
      </w:r>
      <w:r>
        <w:rPr>
          <w:rFonts w:hint="eastAsia" w:ascii="Times New Roman" w:hAnsi="Times New Roman" w:cs="Times New Roman"/>
          <w:color w:val="000000" w:themeColor="text1"/>
          <w:kern w:val="0"/>
          <w:sz w:val="24"/>
          <w14:textFill>
            <w14:solidFill>
              <w14:schemeClr w14:val="tx1"/>
            </w14:solidFill>
          </w14:textFill>
        </w:rPr>
        <w:t>4</w:t>
      </w:r>
      <w:r>
        <w:rPr>
          <w:rFonts w:ascii="Times New Roman" w:hAnsi="Times New Roman" w:cs="Times New Roman"/>
          <w:color w:val="000000" w:themeColor="text1"/>
          <w:kern w:val="0"/>
          <w:sz w:val="24"/>
          <w14:textFill>
            <w14:solidFill>
              <w14:schemeClr w14:val="tx1"/>
            </w14:solidFill>
          </w14:textFill>
        </w:rPr>
        <w:t>）按本章</w:t>
      </w:r>
      <w:r>
        <w:rPr>
          <w:rFonts w:hint="eastAsia" w:ascii="Times New Roman" w:hAnsi="Times New Roman" w:cs="Times New Roman"/>
          <w:color w:val="000000" w:themeColor="text1"/>
          <w:kern w:val="0"/>
          <w:sz w:val="24"/>
          <w14:textFill>
            <w14:solidFill>
              <w14:schemeClr w14:val="tx1"/>
            </w14:solidFill>
          </w14:textFill>
        </w:rPr>
        <w:t>第2.2.4（4）目规定的评审因素和分值对</w:t>
      </w:r>
      <w:permStart w:id="105" w:edGrp="everyone"/>
      <w:r>
        <w:rPr>
          <w:rFonts w:hint="eastAsia" w:ascii="Times New Roman" w:hAnsi="Times New Roman" w:cs="Times New Roman"/>
          <w:color w:val="000000" w:themeColor="text1"/>
          <w:kern w:val="0"/>
          <w:sz w:val="24"/>
          <w14:textFill>
            <w14:solidFill>
              <w14:schemeClr w14:val="tx1"/>
            </w14:solidFill>
          </w14:textFill>
        </w:rPr>
        <w:t>其他部分</w:t>
      </w:r>
      <w:permEnd w:id="105"/>
      <w:r>
        <w:rPr>
          <w:rFonts w:hint="eastAsia" w:ascii="Times New Roman" w:hAnsi="Times New Roman" w:cs="Times New Roman"/>
          <w:kern w:val="0"/>
          <w:sz w:val="24"/>
        </w:rPr>
        <w:t>计算出得分D。</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3.2.2 评分分值计算保留小数点后两位，小数点后第三位</w:t>
      </w:r>
      <w:r>
        <w:rPr>
          <w:rFonts w:hint="eastAsia" w:ascii="Times New Roman" w:hAnsi="Times New Roman" w:cs="Times New Roman"/>
          <w:kern w:val="0"/>
          <w:sz w:val="24"/>
        </w:rPr>
        <w:t>“</w:t>
      </w:r>
      <w:r>
        <w:rPr>
          <w:rFonts w:ascii="Times New Roman" w:hAnsi="Times New Roman" w:cs="Times New Roman"/>
          <w:kern w:val="0"/>
          <w:sz w:val="24"/>
        </w:rPr>
        <w:t>四舍五入</w:t>
      </w:r>
      <w:r>
        <w:rPr>
          <w:rFonts w:hint="eastAsia" w:ascii="Times New Roman" w:hAnsi="Times New Roman" w:cs="Times New Roman"/>
          <w:kern w:val="0"/>
          <w:sz w:val="24"/>
        </w:rPr>
        <w:t>”</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3.2.3 投标人得分=A+B+</w:t>
      </w:r>
      <w:r>
        <w:rPr>
          <w:rFonts w:hint="eastAsia" w:ascii="Times New Roman" w:hAnsi="Times New Roman" w:cs="Times New Roman"/>
          <w:kern w:val="0"/>
          <w:sz w:val="24"/>
        </w:rPr>
        <w:t>C</w:t>
      </w:r>
      <w:r>
        <w:rPr>
          <w:rFonts w:ascii="Times New Roman" w:hAnsi="Times New Roman" w:cs="Times New Roman"/>
          <w:kern w:val="0"/>
          <w:sz w:val="24"/>
        </w:rPr>
        <w:t>+</w:t>
      </w:r>
      <w:r>
        <w:rPr>
          <w:rFonts w:hint="eastAsia" w:ascii="Times New Roman" w:hAnsi="Times New Roman" w:cs="Times New Roman"/>
          <w:kern w:val="0"/>
          <w:sz w:val="24"/>
        </w:rPr>
        <w:t>D</w:t>
      </w:r>
      <w:r>
        <w:rPr>
          <w:rFonts w:ascii="Times New Roman" w:hAnsi="Times New Roman" w:cs="Times New Roman"/>
          <w:kern w:val="0"/>
          <w:sz w:val="24"/>
        </w:rPr>
        <w:t>。</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3.2.4 评标委员会发现投标人的报价明显低于其他投标报价，</w:t>
      </w:r>
      <w:r>
        <w:rPr>
          <w:rFonts w:hint="eastAsia" w:ascii="Times New Roman" w:hAnsi="Times New Roman" w:cs="Times New Roman"/>
          <w:kern w:val="0"/>
          <w:sz w:val="24"/>
        </w:rPr>
        <w:t>或者在设有标底时明显低于标底，使得其投标报价可能低于其个别成本的，应当要求投标人作出书面说明并提供相应的证明材料。投标人</w:t>
      </w:r>
      <w:r>
        <w:rPr>
          <w:rFonts w:ascii="Times New Roman" w:hAnsi="Times New Roman" w:cs="Times New Roman"/>
          <w:kern w:val="0"/>
          <w:sz w:val="24"/>
        </w:rPr>
        <w:t>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w:t>
      </w:r>
      <w:bookmarkEnd w:id="412"/>
      <w:r>
        <w:rPr>
          <w:rFonts w:ascii="Times New Roman" w:hAnsi="Times New Roman" w:cs="Times New Roman"/>
          <w:b/>
          <w:bCs/>
          <w:kern w:val="0"/>
          <w:sz w:val="28"/>
          <w:szCs w:val="28"/>
        </w:rPr>
        <w:t>和补正</w:t>
      </w:r>
      <w:bookmarkEnd w:id="413"/>
      <w:bookmarkEnd w:id="414"/>
      <w:bookmarkEnd w:id="415"/>
      <w:bookmarkEnd w:id="416"/>
      <w:bookmarkEnd w:id="417"/>
      <w:bookmarkEnd w:id="418"/>
      <w:bookmarkEnd w:id="419"/>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3.5.2 评标委员会完成评标后，应当向招标人提交书面评标报告。</w:t>
      </w: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bookmarkStart w:id="420" w:name="_Toc246996975"/>
      <w:bookmarkStart w:id="421" w:name="_Toc152045589"/>
      <w:bookmarkStart w:id="422" w:name="_Toc296602477"/>
      <w:bookmarkStart w:id="423" w:name="_Toc247085747"/>
      <w:bookmarkStart w:id="424" w:name="_Toc179632607"/>
      <w:bookmarkStart w:id="425" w:name="_Toc152042366"/>
      <w:bookmarkStart w:id="426" w:name="_Toc144974556"/>
      <w:bookmarkStart w:id="427" w:name="_Toc246996232"/>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1</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付款人</w:t>
            </w:r>
          </w:p>
        </w:tc>
        <w:tc>
          <w:tcPr>
            <w:tcW w:w="6253" w:type="dxa"/>
            <w:vAlign w:val="center"/>
          </w:tcPr>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permStart w:id="106" w:edGrp="everyone"/>
            <w:r>
              <w:rPr>
                <w:rFonts w:hint="eastAsia" w:ascii="Times New Roman" w:hAnsi="Times New Roman" w:cs="Times New Roman"/>
                <w:kern w:val="0"/>
                <w:sz w:val="24"/>
              </w:rPr>
              <w:t xml:space="preserve">  安徽通康建设工程有限公司   </w:t>
            </w:r>
            <w:perm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2</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hint="default" w:ascii="Times New Roman" w:hAnsi="Times New Roman" w:cs="Times New Roman" w:eastAsiaTheme="minorEastAsia"/>
                <w:i/>
                <w:iCs/>
                <w:color w:val="0070C0"/>
                <w:kern w:val="0"/>
                <w:sz w:val="24"/>
                <w:u w:val="single"/>
                <w:lang w:val="en-US" w:eastAsia="zh-CN"/>
              </w:rPr>
            </w:pPr>
            <w:permStart w:id="107" w:edGrp="everyone"/>
            <w:r>
              <w:rPr>
                <w:rFonts w:ascii="Times New Roman" w:hAnsi="Times New Roman" w:cs="Times New Roman"/>
                <w:kern w:val="0"/>
                <w:sz w:val="24"/>
              </w:rPr>
              <w:t>主体结构正负零完成，支付当期已完工合格工程量价款的80%；第10层结构顶板完成，支付当期已完工合格工程量价款的80%；第20层结构顶板完成，支付当期已完工合格工程量价款的80%；完成主体结构封顶，按月进度支付当期完成合格工程量价款的80%；竣工验收合格后，支付至合同价款的85%；</w:t>
            </w:r>
            <w:r>
              <w:rPr>
                <w:rFonts w:hint="eastAsia" w:ascii="Times New Roman" w:hAnsi="Times New Roman" w:cs="Times New Roman"/>
                <w:kern w:val="0"/>
                <w:sz w:val="24"/>
                <w:lang w:val="en-US" w:eastAsia="zh-CN"/>
              </w:rPr>
              <w:t>工程结算审计完成后付至审定价款的97%；余款的3%作为质保金，待两年质保期满后无质量问题或质量问题已处理合格，无息退还。结算金额以第三方竣工结算审计成果为准。</w:t>
            </w:r>
            <w:permEnd w:id="107"/>
          </w:p>
          <w:p>
            <w:pPr>
              <w:wordWrap w:val="0"/>
              <w:spacing w:line="440" w:lineRule="exact"/>
              <w:ind w:firstLine="480" w:firstLineChars="200"/>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permStart w:id="108" w:edGrp="everyone"/>
            <w:r>
              <w:rPr>
                <w:rFonts w:hint="eastAsia" w:ascii="Times New Roman" w:hAnsi="Times New Roman" w:cs="Times New Roman"/>
                <w:kern w:val="0"/>
                <w:sz w:val="24"/>
              </w:rPr>
              <w:t>工程质量缺陷责任期</w:t>
            </w:r>
            <w:permEnd w:id="108"/>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109" w:edGrp="everyone"/>
            <w:r>
              <w:rPr>
                <w:rFonts w:hint="eastAsia" w:ascii="Times New Roman" w:hAnsi="Times New Roman" w:cs="Times New Roman"/>
                <w:kern w:val="0"/>
                <w:sz w:val="24"/>
              </w:rPr>
              <w:t>自</w:t>
            </w:r>
            <w:r>
              <w:rPr>
                <w:rFonts w:hint="eastAsia" w:ascii="Times New Roman" w:hAnsi="Times New Roman" w:cs="Times New Roman"/>
                <w:kern w:val="0"/>
                <w:sz w:val="24"/>
                <w:lang w:val="en-US" w:eastAsia="zh-CN"/>
              </w:rPr>
              <w:t>竣工验收合格</w:t>
            </w:r>
            <w:r>
              <w:rPr>
                <w:rFonts w:hint="eastAsia" w:ascii="Times New Roman" w:hAnsi="Times New Roman" w:cs="Times New Roman"/>
                <w:kern w:val="0"/>
                <w:sz w:val="24"/>
              </w:rPr>
              <w:t>之日起2 年。</w:t>
            </w:r>
            <w:perm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rPr>
              <w:t>其他</w:t>
            </w:r>
          </w:p>
        </w:tc>
        <w:tc>
          <w:tcPr>
            <w:tcW w:w="6253" w:type="dxa"/>
            <w:vAlign w:val="center"/>
          </w:tcPr>
          <w:p>
            <w:pPr>
              <w:wordWrap w:val="0"/>
              <w:spacing w:line="440" w:lineRule="exact"/>
              <w:rPr>
                <w:rFonts w:hint="default" w:ascii="Times New Roman" w:hAnsi="Times New Roman" w:cs="Times New Roman"/>
                <w:kern w:val="0"/>
                <w:sz w:val="24"/>
                <w:szCs w:val="24"/>
                <w:highlight w:val="none"/>
                <w:shd w:val="clear" w:color="auto" w:fill="auto"/>
                <w:vertAlign w:val="baseline"/>
                <w:lang w:val="en-US" w:eastAsia="zh-CN"/>
              </w:rPr>
            </w:pPr>
            <w:permStart w:id="110" w:edGrp="everyone"/>
            <w:r>
              <w:rPr>
                <w:rFonts w:hint="eastAsia" w:ascii="Times New Roman" w:hAnsi="Times New Roman" w:cs="Times New Roman"/>
                <w:kern w:val="0"/>
                <w:sz w:val="24"/>
              </w:rPr>
              <w:t xml:space="preserve"> </w:t>
            </w:r>
            <w:r>
              <w:rPr>
                <w:rFonts w:hint="eastAsia" w:ascii="Times New Roman" w:hAnsi="Times New Roman" w:cs="Times New Roman"/>
                <w:kern w:val="0"/>
                <w:sz w:val="24"/>
                <w:lang w:val="en-US" w:eastAsia="zh-CN"/>
              </w:rPr>
              <w:t xml:space="preserve">/   </w:t>
            </w:r>
            <w:permEnd w:id="11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111" w:edGrp="everyone"/>
      <w:r>
        <w:rPr>
          <w:rFonts w:hint="eastAsia" w:ascii="Times New Roman" w:hAnsi="Times New Roman" w:cs="Times New Roman"/>
          <w:kern w:val="0"/>
          <w:sz w:val="24"/>
          <w:szCs w:val="24"/>
          <w:highlight w:val="none"/>
          <w:u w:val="single"/>
          <w:lang w:val="en-US" w:eastAsia="zh-CN"/>
        </w:rPr>
        <w:t xml:space="preserve">     /      </w:t>
      </w:r>
      <w:permEnd w:id="111"/>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420"/>
      <w:bookmarkEnd w:id="421"/>
      <w:bookmarkEnd w:id="422"/>
      <w:bookmarkEnd w:id="423"/>
      <w:bookmarkEnd w:id="424"/>
      <w:bookmarkEnd w:id="425"/>
      <w:bookmarkEnd w:id="426"/>
      <w:bookmarkEnd w:id="427"/>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112" w:edGrp="everyone"/>
      <w:r>
        <w:rPr>
          <w:rFonts w:hint="eastAsia" w:ascii="Times New Roman" w:hAnsi="Times New Roman" w:cs="Times New Roman"/>
          <w:kern w:val="0"/>
          <w:sz w:val="24"/>
          <w:szCs w:val="24"/>
          <w:highlight w:val="none"/>
          <w:u w:val="single"/>
          <w:lang w:val="en-US" w:eastAsia="zh-CN"/>
        </w:rPr>
        <w:t xml:space="preserve">    /       </w:t>
      </w:r>
      <w:permEnd w:id="112"/>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113" w:edGrp="everyone"/>
      <w:r>
        <w:rPr>
          <w:rFonts w:hint="eastAsia" w:ascii="Times New Roman" w:hAnsi="Times New Roman" w:cs="Times New Roman"/>
          <w:kern w:val="0"/>
          <w:sz w:val="24"/>
          <w:szCs w:val="24"/>
          <w:highlight w:val="none"/>
          <w:lang w:val="en-US" w:eastAsia="zh-CN"/>
        </w:rPr>
        <w:t xml:space="preserve">    /       </w:t>
      </w:r>
      <w:permEnd w:id="113"/>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114" w:edGrp="everyone"/>
      <w:r>
        <w:rPr>
          <w:rFonts w:hint="eastAsia" w:ascii="Times New Roman" w:hAnsi="Times New Roman" w:cs="Times New Roman"/>
          <w:kern w:val="0"/>
          <w:sz w:val="24"/>
          <w:szCs w:val="24"/>
          <w:highlight w:val="none"/>
          <w:lang w:val="en-US" w:eastAsia="zh-CN"/>
        </w:rPr>
        <w:t>详见附件。</w:t>
      </w:r>
    </w:p>
    <w:permEnd w:id="114"/>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15" w:edGrp="everyone" w:colFirst="0" w:colLast="0"/>
            <w:permStart w:id="116"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15"/>
      <w:permEnd w:id="1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17" w:edGrp="everyone"/>
      <w:r>
        <w:rPr>
          <w:rFonts w:hint="eastAsia" w:ascii="Times New Roman" w:hAnsi="Times New Roman" w:cs="Times New Roman"/>
          <w:kern w:val="0"/>
          <w:sz w:val="24"/>
          <w:szCs w:val="24"/>
          <w:highlight w:val="none"/>
          <w:lang w:val="en-US" w:eastAsia="zh-CN"/>
        </w:rPr>
        <w:t>详见附件。</w:t>
      </w:r>
    </w:p>
    <w:permEnd w:id="117"/>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一、工作内容：</w:t>
      </w:r>
    </w:p>
    <w:p>
      <w:pPr>
        <w:spacing w:line="520" w:lineRule="exact"/>
        <w:ind w:firstLine="560" w:firstLineChars="200"/>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lang w:val="en-US" w:eastAsia="zh-CN"/>
        </w:rPr>
        <w:t>1、专业分包机械设备范围：招标人提供塔吊、人货电梯、物料提升机。其他小型机械设备均由专业分包人负责，其费用综合考虑纳入报价。</w:t>
      </w:r>
    </w:p>
    <w:p>
      <w:pPr>
        <w:spacing w:line="520" w:lineRule="exact"/>
        <w:ind w:firstLine="560" w:firstLineChars="200"/>
        <w:rPr>
          <w:rFonts w:hint="eastAsia"/>
          <w:lang w:val="en-US" w:eastAsia="zh-CN"/>
        </w:rPr>
      </w:pPr>
      <w:r>
        <w:rPr>
          <w:rFonts w:hint="eastAsia" w:asciiTheme="minorEastAsia" w:hAnsiTheme="minorEastAsia" w:cstheme="minorEastAsia"/>
          <w:sz w:val="28"/>
          <w:szCs w:val="28"/>
          <w:lang w:val="en-US" w:eastAsia="zh-CN"/>
        </w:rPr>
        <w:t>2、专业分包安全文明施工范围：招标人提供施工场区大门、围挡、冲洗设备、实名制通道及设备、扬尘监测仪、变压器、一级配电柜、变压器至一级配电柜电缆；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村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wordWrap w:val="0"/>
        <w:spacing w:line="440" w:lineRule="exact"/>
        <w:ind w:firstLine="560" w:firstLineChars="200"/>
        <w:rPr>
          <w:rFonts w:hint="default" w:asciiTheme="minorEastAsia" w:hAnsiTheme="minorEastAsia" w:eastAsiaTheme="minorEastAsia" w:cstheme="minorEastAsia"/>
          <w:color w:val="FF0000"/>
          <w:sz w:val="28"/>
          <w:szCs w:val="28"/>
          <w:lang w:val="en-US" w:eastAsia="zh-CN"/>
        </w:rPr>
      </w:pPr>
      <w:r>
        <w:rPr>
          <w:rFonts w:hint="eastAsia" w:asciiTheme="minorEastAsia" w:hAnsiTheme="minorEastAsia" w:cstheme="minorEastAsia"/>
          <w:color w:val="FF0000"/>
          <w:sz w:val="28"/>
          <w:szCs w:val="28"/>
          <w:lang w:val="en-US" w:eastAsia="zh-CN"/>
        </w:rPr>
        <w:t>二、其他要求</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1、水电工程分包含施工、全部材料、施工机械等施工服务。</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2、中标人负责编制临时用水、用电施工方案。负责所有楼栋屋面排气管的制作及安装（包管材、无纺布包管）；负责临舍水电安装工作（如临舍已施工完成，则承担相关临舍水电安装人工费用）</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rPr>
        <w:t>施工现场的所有临时用电、用水施工，招标人仅提供总配电房及总配电箱。三级配电分班组自行提供。二级配电箱、电缆及其余材料全部由中标人提供并施工，纳入综合报价中。现场临水、临电所需设备材料必须达到创省级标化工地要求。</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3、中标人配合招标人做好水电施工全过程管理工作，配合完成与主管单位的沟通、协调及对接。</w:t>
      </w:r>
      <w:r>
        <w:rPr>
          <w:rFonts w:hint="eastAsia" w:asciiTheme="minorEastAsia" w:hAnsiTheme="minorEastAsia" w:cstheme="minorEastAsia"/>
          <w:sz w:val="28"/>
          <w:szCs w:val="28"/>
        </w:rPr>
        <w:t>配合创建安徽省级建筑工程安全文明标化工地、安徽省级建设工程质量标化工地，争创黄山杯。</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4、临时用电安排专业全职电工负责（24小时驻场</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服从项目部管理</w:t>
      </w:r>
      <w:r>
        <w:rPr>
          <w:rFonts w:hint="eastAsia" w:asciiTheme="minorEastAsia" w:hAnsiTheme="minorEastAsia" w:cstheme="minorEastAsia"/>
          <w:color w:val="FF0000"/>
          <w:sz w:val="28"/>
          <w:szCs w:val="28"/>
        </w:rPr>
        <w:t>），电工须持证上岗。施工过程中临时用电如无专人负责，招标人将安排人员，发生费用由中标人承担。</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rPr>
        <w:t xml:space="preserve">5、负责承包范围内材料码放、垃圾日常清理等工作。确保通过招标人、建设单位、监理及政府主管部门的安全、质量、文明、环保等相关验收。  </w:t>
      </w:r>
    </w:p>
    <w:p>
      <w:pPr>
        <w:wordWrap w:val="0"/>
        <w:spacing w:line="440" w:lineRule="exact"/>
        <w:ind w:firstLine="560" w:firstLineChars="200"/>
        <w:rPr>
          <w:rFonts w:hint="eastAsia" w:asciiTheme="minorEastAsia" w:hAnsiTheme="minorEastAsia" w:cstheme="minorEastAsia"/>
          <w:color w:val="FF0000"/>
          <w:sz w:val="28"/>
          <w:szCs w:val="28"/>
          <w:lang w:val="en-US" w:eastAsia="zh-CN"/>
        </w:rPr>
      </w:pPr>
      <w:r>
        <w:rPr>
          <w:rFonts w:hint="eastAsia" w:asciiTheme="minorEastAsia" w:hAnsiTheme="minorEastAsia" w:cstheme="minorEastAsia"/>
          <w:color w:val="FF0000"/>
          <w:sz w:val="28"/>
          <w:szCs w:val="28"/>
        </w:rPr>
        <w:t>6、</w:t>
      </w:r>
      <w:r>
        <w:rPr>
          <w:rFonts w:hint="eastAsia" w:asciiTheme="minorEastAsia" w:hAnsiTheme="minorEastAsia" w:cstheme="minorEastAsia"/>
          <w:color w:val="FF0000"/>
          <w:sz w:val="28"/>
          <w:szCs w:val="28"/>
          <w:lang w:val="en-US" w:eastAsia="zh-CN"/>
        </w:rPr>
        <w:t>负责</w:t>
      </w:r>
      <w:r>
        <w:rPr>
          <w:rFonts w:hint="eastAsia" w:asciiTheme="minorEastAsia" w:hAnsiTheme="minorEastAsia" w:cstheme="minorEastAsia"/>
          <w:color w:val="FF0000"/>
          <w:sz w:val="28"/>
          <w:szCs w:val="28"/>
        </w:rPr>
        <w:t>场地临时喷淋设施施工</w:t>
      </w:r>
      <w:r>
        <w:rPr>
          <w:rFonts w:hint="eastAsia" w:asciiTheme="minorEastAsia" w:hAnsiTheme="minorEastAsia" w:cstheme="minorEastAsia"/>
          <w:color w:val="FF0000"/>
          <w:sz w:val="28"/>
          <w:szCs w:val="28"/>
          <w:lang w:eastAsia="zh-CN"/>
        </w:rPr>
        <w:t>，</w:t>
      </w:r>
      <w:r>
        <w:rPr>
          <w:rFonts w:hint="eastAsia" w:asciiTheme="minorEastAsia" w:hAnsiTheme="minorEastAsia" w:cstheme="minorEastAsia"/>
          <w:color w:val="FF0000"/>
          <w:sz w:val="28"/>
          <w:szCs w:val="28"/>
          <w:lang w:val="en-US" w:eastAsia="zh-CN"/>
        </w:rPr>
        <w:t>满足环保及创标要求。</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7、专人负责现场降水管理、维护并提供降水设备</w:t>
      </w:r>
      <w:r>
        <w:rPr>
          <w:rFonts w:hint="eastAsia" w:asciiTheme="minorEastAsia" w:hAnsiTheme="minorEastAsia" w:cstheme="minorEastAsia"/>
          <w:color w:val="FF0000"/>
          <w:sz w:val="28"/>
          <w:szCs w:val="28"/>
        </w:rPr>
        <w:t>。</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8</w:t>
      </w:r>
      <w:r>
        <w:rPr>
          <w:rFonts w:hint="eastAsia" w:asciiTheme="minorEastAsia" w:hAnsiTheme="minorEastAsia" w:cstheme="minorEastAsia"/>
          <w:color w:val="FF0000"/>
          <w:sz w:val="28"/>
          <w:szCs w:val="28"/>
        </w:rPr>
        <w:t>、材料品牌：见下表，具体以承包方与建设单位合同约定为准，若建设单位更换品牌，分包单位必须执行。</w:t>
      </w:r>
    </w:p>
    <w:tbl>
      <w:tblPr>
        <w:tblStyle w:val="18"/>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38"/>
        <w:gridCol w:w="1383"/>
        <w:gridCol w:w="4202"/>
        <w:gridCol w:w="22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材料名称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推荐品牌要求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 xml:space="preserve">备注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长江（马钢控股）、马钢、山东钢铁（含济钢和莱钢）、江苏永钢南京钢铁、沙钢、安钢信阳、闽源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一个标段最多两种钢材品牌；每件钢材需配有原厂出厂合格证标牌和出厂检测报告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墙、地砖</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诺贝尔、马可波罗、东鹏、斯米克、法恩莎、蒙娜丽莎 、箭牌</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优等品，按物料表样品送样，经招标人确定后方可使用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9"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门窗工程</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铝合金：“亚铝”、“坚美”“实德”“南山”“安徽海螺”；（2）塑钢：“安徽海螺”“中财”“华之杰”“雄峰”“国风”；（3）玻璃原片：“耀皮”“南玻”“信义”；（4）五金：“春光”“立兴”“国强”；（5）毛条：“佳得利”“合和”“瑞得”“新安东”；（6）密封胶：“安泰”“硅宝”“白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所选产品施工前必须提供三个及以上样板，建设方根据质量选择品牌；所选品牌必须有厂家的授权委托书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入户门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步阳、王力、盼盼、美心</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（必须提供厂家授权证）且该标段所有入户门统一品牌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木质防火门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符合设计要求及行业标准，安全耐用，绿色环保，质地 坚硬，使用寿命长。</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木质门品质及颜色应经招标人看样选用确定后方可使用。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钢制防火门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安徽通晓、合肥警盾、合肥祈明、长春铸诚、群升、浙江千秋、中建五洲</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必须是在公安消防主管部门官网备案的产品，确保通过消防验收。采用在工厂涂刷 UV 漆。成品门。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内墙乳胶漆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多乐士（内墙 1000 型）、三棵树（SJI001 系列）、立邦（美得丽）、华润（S86000）、富思特（G200）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三个及以上样板，建设方根据质量选择品牌；所选品牌必须有厂家的授权委托书，且经招标人认可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外墙真石漆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三棵树、亚士、立邦、科创美、万博、本雅明、好思家、美涂士</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所选产品施工前必须提供三个及以上样板，建设方根据质量选择品牌；所选品牌必须有厂家的授权委托书所选产品施工前必须提供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cs="宋体"/>
                <w:b/>
                <w:bCs/>
                <w:i w:val="0"/>
                <w:iCs w:val="0"/>
                <w:color w:val="auto"/>
                <w:kern w:val="0"/>
                <w:sz w:val="21"/>
                <w:szCs w:val="21"/>
                <w:highlight w:val="none"/>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防水材料</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三棵树、东方雨虹、禹王、 宏源、科顺、卓 宝、华丰、江西思科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（必须提供厂家授权证）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电线、电缆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伟光、远东、中超、江南、江淮、中特华星、绿宝 、天龙伟业</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商品混凝土 /预拌砂浆</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必须是当地建管局备案的供应商（商品混凝土及预拌砂浆所用水泥必须为海螺、东关、巢湖品牌之一）（海螺、铸字、巢东 ）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镀锌无缝钢管/消防热浸镀锌钢管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浙江金州、天津钢管、上海劳钢、南京东升、河北华岐 、天津友发</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符合设计要求及行业标准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焊接钢管、JDG 管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武汉恒久远、河北鹏凌、廊坊盛宝、河北成龙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国标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UPVC、PPR、PVC、PC等</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浙江中财、浙江光华、浙江伟星、河北康乐、鸿雁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A 型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灯具</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欧普、TCL、三雄极光、浙江阳光、飞利浦、郎士</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所选产品施工前必须提供三个及以上样板，满足设计施工要求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开关、插座、空白面板</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鸿雁、正泰、TCL</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符合设计要求及行业标准，按物料表样品送样，经招标人确定后方可使用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金属桥架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镇江通力电气，安徽长龙电气，合肥鑫立泰电器，安徽振中电气</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配电箱</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德力西、西门子、正泰、ABB（备注栏：包含元器件）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管阀及配件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安徽白湖、上海沪航、上阀五厂、天津耐莱斯、渤海阀门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排污泵及控制箱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上海东方、上海凯泉、上海连成、南方泵业、白云泵业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配套原厂液位浮球、线缆长度 6.5 米。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消防及报警系统</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1、向阳、南方、天广（消防箱及辅材）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2、上海金盾、天广消防、四川川消、成都捷晟、浙江快达（水喷淋系统（含水流指示器、自动喷淋喷头、湿示报警阀、信号蝶阀等）</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符合国标，保证消防验收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风机、风阀、风口</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上海英飞、合肥南方、上海科禄格、德州亚泰</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23</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自动报警设备、主机、探头、模块、手报、声光报警器、联动闭门器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 xml:space="preserve"> </w:t>
            </w:r>
            <w:r>
              <w:rPr>
                <w:rStyle w:val="32"/>
                <w:rFonts w:hint="eastAsia" w:ascii="宋体" w:hAnsi="宋体" w:eastAsia="宋体" w:cs="宋体"/>
                <w:color w:val="auto"/>
                <w:sz w:val="21"/>
                <w:szCs w:val="21"/>
                <w:highlight w:val="none"/>
                <w:lang w:val="en-US" w:eastAsia="zh-CN" w:bidi="ar"/>
              </w:rPr>
              <w:t>北京利达、秦皇岛海湾、亳州依爱、上海松江、北大青鸟、深圳中电</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24</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消防铸铁管、管件、配件及胶圈</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新兴铸管、圣戈班穆松桥、国铭、徐州光大</w:t>
            </w:r>
            <w:r>
              <w:rPr>
                <w:rStyle w:val="33"/>
                <w:rFonts w:hint="eastAsia" w:ascii="宋体" w:hAnsi="宋体" w:eastAsia="宋体" w:cs="宋体"/>
                <w:color w:val="auto"/>
                <w:sz w:val="21"/>
                <w:szCs w:val="21"/>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镀锌钢管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浙江金州、天津友发、上海劳钢</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26</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水泵接合器</w:t>
            </w:r>
            <w:r>
              <w:rPr>
                <w:rStyle w:val="34"/>
                <w:rFonts w:hint="eastAsia" w:ascii="宋体" w:hAnsi="宋体" w:eastAsia="宋体" w:cs="宋体"/>
                <w:color w:val="auto"/>
                <w:sz w:val="21"/>
                <w:szCs w:val="21"/>
                <w:highlight w:val="none"/>
                <w:lang w:val="en-US" w:eastAsia="zh-CN" w:bidi="ar"/>
              </w:rPr>
              <w:t>（国标，具有</w:t>
            </w:r>
            <w:r>
              <w:rPr>
                <w:rStyle w:val="29"/>
                <w:rFonts w:hint="eastAsia" w:ascii="宋体" w:hAnsi="宋体" w:eastAsia="宋体" w:cs="宋体"/>
                <w:color w:val="auto"/>
                <w:sz w:val="21"/>
                <w:szCs w:val="21"/>
                <w:highlight w:val="none"/>
                <w:lang w:val="en-US" w:eastAsia="zh-CN" w:bidi="ar"/>
              </w:rPr>
              <w:t xml:space="preserve"> CCCF </w:t>
            </w:r>
            <w:r>
              <w:rPr>
                <w:rStyle w:val="34"/>
                <w:rFonts w:hint="eastAsia" w:ascii="宋体" w:hAnsi="宋体" w:eastAsia="宋体" w:cs="宋体"/>
                <w:color w:val="auto"/>
                <w:sz w:val="21"/>
                <w:szCs w:val="21"/>
                <w:highlight w:val="none"/>
                <w:lang w:val="en-US" w:eastAsia="zh-CN" w:bidi="ar"/>
              </w:rPr>
              <w:t>认证）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 xml:space="preserve"> </w:t>
            </w:r>
            <w:r>
              <w:rPr>
                <w:rStyle w:val="32"/>
                <w:rFonts w:hint="eastAsia" w:ascii="宋体" w:hAnsi="宋体" w:eastAsia="宋体" w:cs="宋体"/>
                <w:color w:val="auto"/>
                <w:sz w:val="21"/>
                <w:szCs w:val="21"/>
                <w:highlight w:val="none"/>
                <w:lang w:val="en-US" w:eastAsia="zh-CN" w:bidi="ar"/>
              </w:rPr>
              <w:t>天广消防、南京国泰、四川川消</w:t>
            </w:r>
            <w:r>
              <w:rPr>
                <w:rStyle w:val="33"/>
                <w:rFonts w:hint="eastAsia" w:ascii="宋体" w:hAnsi="宋体" w:eastAsia="宋体" w:cs="宋体"/>
                <w:color w:val="auto"/>
                <w:sz w:val="21"/>
                <w:szCs w:val="21"/>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27</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管阀及配件</w:t>
            </w:r>
            <w:r>
              <w:rPr>
                <w:rStyle w:val="34"/>
                <w:rFonts w:hint="eastAsia" w:ascii="宋体" w:hAnsi="宋体" w:eastAsia="宋体" w:cs="宋体"/>
                <w:color w:val="auto"/>
                <w:sz w:val="21"/>
                <w:szCs w:val="21"/>
                <w:highlight w:val="none"/>
                <w:lang w:val="en-US" w:eastAsia="zh-CN" w:bidi="ar"/>
              </w:rPr>
              <w:t>（国标，具有</w:t>
            </w:r>
            <w:r>
              <w:rPr>
                <w:rStyle w:val="29"/>
                <w:rFonts w:hint="eastAsia" w:ascii="宋体" w:hAnsi="宋体" w:eastAsia="宋体" w:cs="宋体"/>
                <w:color w:val="auto"/>
                <w:sz w:val="21"/>
                <w:szCs w:val="21"/>
                <w:highlight w:val="none"/>
                <w:lang w:val="en-US" w:eastAsia="zh-CN" w:bidi="ar"/>
              </w:rPr>
              <w:t xml:space="preserve"> CCCF </w:t>
            </w:r>
            <w:r>
              <w:rPr>
                <w:rStyle w:val="34"/>
                <w:rFonts w:hint="eastAsia" w:ascii="宋体" w:hAnsi="宋体" w:eastAsia="宋体" w:cs="宋体"/>
                <w:color w:val="auto"/>
                <w:sz w:val="21"/>
                <w:szCs w:val="21"/>
                <w:highlight w:val="none"/>
                <w:lang w:val="en-US" w:eastAsia="zh-CN" w:bidi="ar"/>
              </w:rPr>
              <w:t>认证）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安徽白湖、上海沪航、上阀五厂、天津耐莱斯、渤海阀门</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 xml:space="preserve">阀门：阀芯、阀杆按图纸设计要求；具有 CCCF 认证。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1"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28</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卡箍及配件</w:t>
            </w:r>
            <w:r>
              <w:rPr>
                <w:rStyle w:val="34"/>
                <w:rFonts w:hint="eastAsia" w:ascii="宋体" w:hAnsi="宋体" w:eastAsia="宋体" w:cs="宋体"/>
                <w:color w:val="auto"/>
                <w:sz w:val="21"/>
                <w:szCs w:val="21"/>
                <w:highlight w:val="none"/>
                <w:lang w:val="en-US" w:eastAsia="zh-CN" w:bidi="ar"/>
              </w:rPr>
              <w:t>（国标，具有</w:t>
            </w:r>
            <w:r>
              <w:rPr>
                <w:rStyle w:val="29"/>
                <w:rFonts w:hint="eastAsia" w:ascii="宋体" w:hAnsi="宋体" w:eastAsia="宋体" w:cs="宋体"/>
                <w:color w:val="auto"/>
                <w:sz w:val="21"/>
                <w:szCs w:val="21"/>
                <w:highlight w:val="none"/>
                <w:lang w:val="en-US" w:eastAsia="zh-CN" w:bidi="ar"/>
              </w:rPr>
              <w:t xml:space="preserve"> CCCF </w:t>
            </w:r>
            <w:r>
              <w:rPr>
                <w:rStyle w:val="34"/>
                <w:rFonts w:hint="eastAsia" w:ascii="宋体" w:hAnsi="宋体" w:eastAsia="宋体" w:cs="宋体"/>
                <w:color w:val="auto"/>
                <w:sz w:val="21"/>
                <w:szCs w:val="21"/>
                <w:highlight w:val="none"/>
                <w:lang w:val="en-US" w:eastAsia="zh-CN" w:bidi="ar"/>
              </w:rPr>
              <w:t>认证）</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 xml:space="preserve"> </w:t>
            </w:r>
            <w:r>
              <w:rPr>
                <w:rStyle w:val="32"/>
                <w:rFonts w:hint="eastAsia" w:ascii="宋体" w:hAnsi="宋体" w:eastAsia="宋体" w:cs="宋体"/>
                <w:color w:val="auto"/>
                <w:sz w:val="21"/>
                <w:szCs w:val="21"/>
                <w:highlight w:val="none"/>
                <w:lang w:val="en-US" w:eastAsia="zh-CN" w:bidi="ar"/>
              </w:rPr>
              <w:t>潍坊金通、上海沪航、上海瑞孚、亳州禹王</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符合设计要求及行业标准； 具有 CCCF 认证；符合GB5135.11 标准；高强度螺栓、螺母；密封圈为优质橡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胶。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5"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29</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电气配管</w:t>
            </w:r>
            <w:r>
              <w:rPr>
                <w:rStyle w:val="34"/>
                <w:rFonts w:hint="eastAsia" w:ascii="宋体" w:hAnsi="宋体" w:eastAsia="宋体" w:cs="宋体"/>
                <w:color w:val="auto"/>
                <w:sz w:val="21"/>
                <w:szCs w:val="21"/>
                <w:highlight w:val="none"/>
                <w:lang w:val="en-US" w:eastAsia="zh-CN" w:bidi="ar"/>
              </w:rPr>
              <w:t>（含</w:t>
            </w:r>
            <w:r>
              <w:rPr>
                <w:rStyle w:val="29"/>
                <w:rFonts w:hint="eastAsia" w:ascii="宋体" w:hAnsi="宋体" w:eastAsia="宋体" w:cs="宋体"/>
                <w:color w:val="auto"/>
                <w:sz w:val="21"/>
                <w:szCs w:val="21"/>
                <w:highlight w:val="none"/>
                <w:lang w:val="en-US" w:eastAsia="zh-CN" w:bidi="ar"/>
              </w:rPr>
              <w:t xml:space="preserve"> PE</w:t>
            </w:r>
            <w:r>
              <w:rPr>
                <w:rStyle w:val="34"/>
                <w:rFonts w:hint="eastAsia" w:ascii="宋体" w:hAnsi="宋体" w:eastAsia="宋体" w:cs="宋体"/>
                <w:color w:val="auto"/>
                <w:sz w:val="21"/>
                <w:szCs w:val="21"/>
                <w:highlight w:val="none"/>
                <w:lang w:val="en-US" w:eastAsia="zh-CN" w:bidi="ar"/>
              </w:rPr>
              <w:t>、梅花管）</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中财、光华、联塑、河北康乐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rPr>
            </w:pPr>
            <w:r>
              <w:rPr>
                <w:rFonts w:hint="eastAsia" w:ascii="宋体" w:hAnsi="宋体" w:cs="宋体"/>
                <w:b/>
                <w:bCs/>
                <w:i w:val="0"/>
                <w:iCs w:val="0"/>
                <w:color w:val="auto"/>
                <w:kern w:val="0"/>
                <w:sz w:val="21"/>
                <w:szCs w:val="21"/>
                <w:highlight w:val="none"/>
                <w:u w:val="none"/>
                <w:lang w:val="en-US" w:eastAsia="zh-CN" w:bidi="ar"/>
              </w:rPr>
              <w:t>30</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电气配管</w:t>
            </w:r>
            <w:r>
              <w:rPr>
                <w:rStyle w:val="34"/>
                <w:rFonts w:hint="eastAsia" w:ascii="宋体" w:hAnsi="宋体" w:eastAsia="宋体" w:cs="宋体"/>
                <w:color w:val="auto"/>
                <w:sz w:val="21"/>
                <w:szCs w:val="21"/>
                <w:highlight w:val="none"/>
                <w:lang w:val="en-US" w:eastAsia="zh-CN" w:bidi="ar"/>
              </w:rPr>
              <w:t>（含</w:t>
            </w:r>
            <w:r>
              <w:rPr>
                <w:rStyle w:val="29"/>
                <w:rFonts w:hint="eastAsia" w:ascii="宋体" w:hAnsi="宋体" w:eastAsia="宋体" w:cs="宋体"/>
                <w:color w:val="auto"/>
                <w:sz w:val="21"/>
                <w:szCs w:val="21"/>
                <w:highlight w:val="none"/>
                <w:lang w:val="en-US" w:eastAsia="zh-CN" w:bidi="ar"/>
              </w:rPr>
              <w:t xml:space="preserve"> JDG</w:t>
            </w:r>
            <w:r>
              <w:rPr>
                <w:rStyle w:val="34"/>
                <w:rFonts w:hint="eastAsia" w:ascii="宋体" w:hAnsi="宋体" w:eastAsia="宋体" w:cs="宋体"/>
                <w:color w:val="auto"/>
                <w:sz w:val="21"/>
                <w:szCs w:val="21"/>
                <w:highlight w:val="none"/>
                <w:lang w:val="en-US" w:eastAsia="zh-CN" w:bidi="ar"/>
              </w:rPr>
              <w:t>，</w:t>
            </w:r>
            <w:r>
              <w:rPr>
                <w:rStyle w:val="29"/>
                <w:rFonts w:hint="eastAsia" w:ascii="宋体" w:hAnsi="宋体" w:eastAsia="宋体" w:cs="宋体"/>
                <w:color w:val="auto"/>
                <w:sz w:val="21"/>
                <w:szCs w:val="21"/>
                <w:highlight w:val="none"/>
                <w:lang w:val="en-US" w:eastAsia="zh-CN" w:bidi="ar"/>
              </w:rPr>
              <w:t xml:space="preserve">KBG </w:t>
            </w:r>
            <w:r>
              <w:rPr>
                <w:rStyle w:val="34"/>
                <w:rFonts w:hint="eastAsia" w:ascii="宋体" w:hAnsi="宋体" w:eastAsia="宋体" w:cs="宋体"/>
                <w:color w:val="auto"/>
                <w:sz w:val="21"/>
                <w:szCs w:val="21"/>
                <w:highlight w:val="none"/>
                <w:lang w:val="en-US" w:eastAsia="zh-CN" w:bidi="ar"/>
              </w:rPr>
              <w:t>等）</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满足国标要求</w:t>
            </w:r>
            <w:r>
              <w:rPr>
                <w:rStyle w:val="33"/>
                <w:rFonts w:hint="eastAsia" w:ascii="宋体" w:hAnsi="宋体" w:eastAsia="宋体" w:cs="宋体"/>
                <w:color w:val="auto"/>
                <w:sz w:val="21"/>
                <w:szCs w:val="21"/>
                <w:highlight w:val="none"/>
                <w:lang w:val="en-US" w:eastAsia="zh-CN" w:bidi="ar"/>
              </w:rPr>
              <w:t xml:space="preserve"> </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宋体" w:hAnsi="宋体" w:eastAsia="宋体" w:cs="宋体"/>
                <w:b/>
                <w:bCs/>
                <w:i w:val="0"/>
                <w:iCs w:val="0"/>
                <w:color w:val="auto"/>
                <w:sz w:val="21"/>
                <w:szCs w:val="21"/>
                <w:highlight w:val="none"/>
                <w:u w:val="none"/>
                <w:lang w:val="en-US" w:eastAsia="zh-CN"/>
              </w:rPr>
            </w:pPr>
            <w:r>
              <w:rPr>
                <w:rFonts w:hint="eastAsia" w:ascii="宋体" w:hAnsi="宋体" w:cs="宋体"/>
                <w:b/>
                <w:bCs/>
                <w:i w:val="0"/>
                <w:iCs w:val="0"/>
                <w:color w:val="auto"/>
                <w:sz w:val="21"/>
                <w:szCs w:val="21"/>
                <w:highlight w:val="none"/>
                <w:u w:val="none"/>
                <w:lang w:val="en-US" w:eastAsia="zh-CN"/>
              </w:rPr>
              <w:t>31</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Style w:val="26"/>
                <w:rFonts w:hint="eastAsia" w:ascii="宋体" w:hAnsi="宋体" w:eastAsia="宋体" w:cs="宋体"/>
                <w:color w:val="auto"/>
                <w:sz w:val="21"/>
                <w:szCs w:val="21"/>
                <w:highlight w:val="none"/>
                <w:lang w:val="en-US" w:eastAsia="zh-CN" w:bidi="ar"/>
              </w:rPr>
              <w:t>消防泵及配套配电柜、巡检柜等相关配件</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上海东方、上海凯泉、上海熊猫、上海连成</w:t>
            </w:r>
          </w:p>
        </w:tc>
        <w:tc>
          <w:tcPr>
            <w:tcW w:w="0" w:type="auto"/>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1"/>
                <w:szCs w:val="21"/>
                <w:highlight w:val="none"/>
                <w:u w:val="none"/>
              </w:rPr>
            </w:pPr>
          </w:p>
        </w:tc>
      </w:tr>
    </w:tbl>
    <w:p>
      <w:pPr>
        <w:pStyle w:val="17"/>
        <w:ind w:left="0" w:leftChars="0"/>
        <w:rPr>
          <w:rFonts w:hint="eastAsia"/>
        </w:rPr>
      </w:pP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9</w:t>
      </w:r>
      <w:r>
        <w:rPr>
          <w:rFonts w:hint="eastAsia" w:asciiTheme="minorEastAsia" w:hAnsiTheme="minorEastAsia" w:cstheme="minorEastAsia"/>
          <w:color w:val="FF0000"/>
          <w:sz w:val="28"/>
          <w:szCs w:val="28"/>
        </w:rPr>
        <w:t>、非实体临水、临电等配套施工费用均包含在投标报价内，结算时不再单独计取。</w:t>
      </w:r>
    </w:p>
    <w:p>
      <w:pPr>
        <w:wordWrap w:val="0"/>
        <w:spacing w:line="440" w:lineRule="exact"/>
        <w:ind w:firstLine="560" w:firstLineChars="200"/>
        <w:rPr>
          <w:rFonts w:hint="eastAsia" w:asciiTheme="minorEastAsia" w:hAnsiTheme="minorEastAsia" w:cstheme="minorEastAsia"/>
          <w:color w:val="FF0000"/>
          <w:sz w:val="28"/>
          <w:szCs w:val="28"/>
        </w:rPr>
      </w:pPr>
      <w:r>
        <w:rPr>
          <w:rFonts w:hint="eastAsia" w:asciiTheme="minorEastAsia" w:hAnsiTheme="minorEastAsia" w:cstheme="minorEastAsia"/>
          <w:color w:val="FF0000"/>
          <w:sz w:val="28"/>
          <w:szCs w:val="28"/>
          <w:lang w:val="en-US" w:eastAsia="zh-CN"/>
        </w:rPr>
        <w:t>10</w:t>
      </w:r>
      <w:r>
        <w:rPr>
          <w:rFonts w:hint="eastAsia" w:asciiTheme="minorEastAsia" w:hAnsiTheme="minorEastAsia" w:cstheme="minorEastAsia"/>
          <w:color w:val="FF0000"/>
          <w:sz w:val="28"/>
          <w:szCs w:val="28"/>
        </w:rPr>
        <w:t>、中标人进场后需配备满足项目施工需求的管理团队，团队成员需持有相关证件。</w:t>
      </w:r>
    </w:p>
    <w:p>
      <w:pPr>
        <w:wordWrap w:val="0"/>
        <w:spacing w:line="440" w:lineRule="exact"/>
        <w:ind w:firstLine="560" w:firstLineChars="200"/>
        <w:rPr>
          <w:rFonts w:hint="eastAsia" w:asciiTheme="minorEastAsia" w:hAnsiTheme="minorEastAsia" w:eastAsiaTheme="minorEastAsia" w:cstheme="minorEastAsia"/>
          <w:color w:val="FF0000"/>
          <w:sz w:val="28"/>
          <w:szCs w:val="28"/>
          <w:lang w:eastAsia="zh-CN"/>
        </w:rPr>
      </w:pPr>
      <w:r>
        <w:rPr>
          <w:rFonts w:hint="eastAsia" w:asciiTheme="minorEastAsia" w:hAnsiTheme="minorEastAsia" w:cstheme="minorEastAsia"/>
          <w:color w:val="FF0000"/>
          <w:sz w:val="28"/>
          <w:szCs w:val="28"/>
          <w:lang w:val="en-US" w:eastAsia="zh-CN"/>
        </w:rPr>
        <w:t>11、</w:t>
      </w:r>
      <w:r>
        <w:rPr>
          <w:rFonts w:hint="eastAsia" w:asciiTheme="minorEastAsia" w:hAnsiTheme="minorEastAsia" w:cstheme="minorEastAsia"/>
          <w:color w:val="FF0000"/>
          <w:sz w:val="28"/>
          <w:szCs w:val="28"/>
        </w:rPr>
        <w:t>因工期紧迫，前期施工现场</w:t>
      </w:r>
      <w:r>
        <w:rPr>
          <w:rFonts w:hint="eastAsia" w:asciiTheme="minorEastAsia" w:hAnsiTheme="minorEastAsia" w:cstheme="minorEastAsia"/>
          <w:color w:val="FF0000"/>
          <w:sz w:val="28"/>
          <w:szCs w:val="28"/>
          <w:lang w:val="en-US" w:eastAsia="zh-CN"/>
        </w:rPr>
        <w:t>已发生临水、临电</w:t>
      </w:r>
      <w:r>
        <w:rPr>
          <w:rFonts w:hint="eastAsia" w:asciiTheme="minorEastAsia" w:hAnsiTheme="minorEastAsia" w:cstheme="minorEastAsia"/>
          <w:color w:val="FF0000"/>
          <w:sz w:val="28"/>
          <w:szCs w:val="28"/>
        </w:rPr>
        <w:t>和中标人范围内的工作所产生的费用，</w:t>
      </w:r>
      <w:r>
        <w:rPr>
          <w:rFonts w:hint="eastAsia" w:asciiTheme="minorEastAsia" w:hAnsiTheme="minorEastAsia" w:cstheme="minorEastAsia"/>
          <w:color w:val="FF0000"/>
          <w:sz w:val="28"/>
          <w:szCs w:val="28"/>
          <w:lang w:val="en-US" w:eastAsia="zh-CN"/>
        </w:rPr>
        <w:t>费用约为十万元，</w:t>
      </w:r>
      <w:r>
        <w:rPr>
          <w:rFonts w:hint="eastAsia" w:asciiTheme="minorEastAsia" w:hAnsiTheme="minorEastAsia" w:cstheme="minorEastAsia"/>
          <w:color w:val="FF0000"/>
          <w:sz w:val="28"/>
          <w:szCs w:val="28"/>
        </w:rPr>
        <w:t>中标人一旦中标，从中标人总价予以扣除（具体结算参照市场价格协定）</w:t>
      </w:r>
      <w:r>
        <w:rPr>
          <w:rFonts w:hint="eastAsia" w:asciiTheme="minorEastAsia" w:hAnsiTheme="minorEastAsia" w:cstheme="minorEastAsia"/>
          <w:color w:val="FF0000"/>
          <w:sz w:val="28"/>
          <w:szCs w:val="28"/>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color w:val="FF0000"/>
          <w:sz w:val="28"/>
          <w:szCs w:val="28"/>
        </w:rPr>
        <w:t>1</w:t>
      </w:r>
      <w:r>
        <w:rPr>
          <w:rFonts w:hint="eastAsia" w:asciiTheme="minorEastAsia" w:hAnsiTheme="minorEastAsia" w:cstheme="minorEastAsia"/>
          <w:color w:val="FF0000"/>
          <w:sz w:val="28"/>
          <w:szCs w:val="28"/>
          <w:lang w:val="en-US" w:eastAsia="zh-CN"/>
        </w:rPr>
        <w:t>2</w:t>
      </w:r>
      <w:r>
        <w:rPr>
          <w:rFonts w:hint="eastAsia" w:asciiTheme="minorEastAsia" w:hAnsiTheme="minorEastAsia" w:cstheme="minorEastAsia"/>
          <w:color w:val="FF0000"/>
          <w:sz w:val="28"/>
          <w:szCs w:val="28"/>
        </w:rPr>
        <w:t>、附件图纸为报价参考图纸，最终以审查合格的图纸为准。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wordWrap w:val="0"/>
        <w:jc w:val="center"/>
        <w:rPr>
          <w:rFonts w:hint="eastAsia" w:ascii="Times New Roman" w:hAnsi="Times New Roman" w:eastAsia="黑体" w:cs="Times New Roman"/>
          <w:kern w:val="0"/>
          <w:sz w:val="32"/>
          <w:szCs w:val="32"/>
        </w:rPr>
      </w:pPr>
      <w:permStart w:id="118" w:edGrp="everyone"/>
      <w:r>
        <w:rPr>
          <w:rFonts w:hint="eastAsia" w:ascii="Times New Roman" w:hAnsi="Times New Roman" w:eastAsia="黑体" w:cs="Times New Roman"/>
          <w:kern w:val="0"/>
          <w:sz w:val="32"/>
          <w:szCs w:val="32"/>
        </w:rPr>
        <w:t>水安凤栖上院34号地块工程项目</w:t>
      </w:r>
      <w:r>
        <w:rPr>
          <w:rFonts w:hint="eastAsia" w:ascii="Times New Roman" w:hAnsi="Times New Roman" w:eastAsia="黑体" w:cs="Times New Roman"/>
          <w:kern w:val="0"/>
          <w:sz w:val="32"/>
          <w:szCs w:val="32"/>
          <w:lang w:val="en-US" w:eastAsia="zh-CN"/>
        </w:rPr>
        <w:t>水电工程专业</w:t>
      </w:r>
      <w:r>
        <w:rPr>
          <w:rFonts w:hint="eastAsia" w:ascii="Times New Roman" w:hAnsi="Times New Roman" w:eastAsia="黑体" w:cs="Times New Roman"/>
          <w:kern w:val="0"/>
          <w:sz w:val="32"/>
          <w:szCs w:val="32"/>
        </w:rPr>
        <w:t>分包</w:t>
      </w:r>
    </w:p>
    <w:permEnd w:id="118"/>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施工招标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eastAsia" w:ascii="Times New Roman" w:hAnsi="Times New Roman" w:eastAsia="楷体" w:cs="Times New Roman"/>
          <w:kern w:val="0"/>
          <w:sz w:val="28"/>
          <w:szCs w:val="28"/>
          <w:highlight w:val="none"/>
          <w:lang w:val="en-US" w:eastAsia="zh-CN"/>
        </w:rPr>
        <w:t>BZJK-2024-005号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247527827"/>
      <w:bookmarkStart w:id="429" w:name="_Toc152045787"/>
      <w:bookmarkStart w:id="430" w:name="_Toc144974856"/>
      <w:bookmarkStart w:id="431" w:name="_Toc247514246"/>
      <w:bookmarkStart w:id="432" w:name="_Toc152042576"/>
      <w:bookmarkStart w:id="433" w:name="_Toc300835209"/>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五、专项施工方案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152042577"/>
      <w:bookmarkStart w:id="435" w:name="_Toc247514247"/>
      <w:bookmarkStart w:id="436" w:name="_Toc152045788"/>
      <w:bookmarkStart w:id="437" w:name="_Toc247527828"/>
      <w:bookmarkStart w:id="438" w:name="_Toc300835210"/>
      <w:bookmarkStart w:id="439" w:name="_Toc144974857"/>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52042578"/>
      <w:bookmarkStart w:id="441" w:name="_Toc247527829"/>
      <w:bookmarkStart w:id="442" w:name="_Toc144974858"/>
      <w:bookmarkStart w:id="443" w:name="_Toc247514248"/>
      <w:bookmarkStart w:id="444" w:name="_Toc152045789"/>
      <w:bookmarkStart w:id="445" w:name="_Toc300835211"/>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ascii="Times New Roman" w:hAnsi="Times New Roman" w:cs="Times New Roman"/>
          <w:szCs w:val="21"/>
        </w:rPr>
      </w:pPr>
      <w:r>
        <w:rPr>
          <w:rFonts w:hint="eastAsia" w:ascii="Times New Roman" w:hAnsi="Times New Roman" w:cs="Times New Roman"/>
          <w:szCs w:val="21"/>
          <w:u w:val="single"/>
          <w:lang w:eastAsia="zh-CN"/>
        </w:rPr>
        <w:t>安徽通康建设工程有限公司</w:t>
      </w:r>
      <w:r>
        <w:rPr>
          <w:rFonts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ascii="Times New Roman" w:hAnsi="Times New Roman" w:cs="Times New Roman"/>
          <w:szCs w:val="21"/>
        </w:rPr>
        <w:t>1．我方已仔细研究了</w:t>
      </w:r>
      <w:r>
        <w:rPr>
          <w:rFonts w:hint="eastAsia" w:ascii="Times New Roman" w:hAnsi="Times New Roman" w:cs="Times New Roman"/>
          <w:color w:val="000000" w:themeColor="text1"/>
          <w:szCs w:val="21"/>
          <w:u w:val="single"/>
          <w14:textFill>
            <w14:solidFill>
              <w14:schemeClr w14:val="tx1"/>
            </w14:solidFill>
          </w14:textFill>
        </w:rPr>
        <w:t>水安凤栖上院34号地块工程项目</w:t>
      </w:r>
      <w:r>
        <w:rPr>
          <w:rFonts w:hint="eastAsia" w:ascii="Times New Roman" w:hAnsi="Times New Roman" w:cs="Times New Roman"/>
          <w:color w:val="000000" w:themeColor="text1"/>
          <w:szCs w:val="21"/>
          <w:u w:val="single"/>
          <w:lang w:val="en-US" w:eastAsia="zh-CN"/>
          <w14:textFill>
            <w14:solidFill>
              <w14:schemeClr w14:val="tx1"/>
            </w14:solidFill>
          </w14:textFill>
        </w:rPr>
        <w:t>水电工程专业</w:t>
      </w:r>
      <w:r>
        <w:rPr>
          <w:rFonts w:hint="eastAsia" w:ascii="Times New Roman" w:hAnsi="Times New Roman" w:cs="Times New Roman"/>
          <w:color w:val="000000" w:themeColor="text1"/>
          <w:szCs w:val="21"/>
          <w:u w:val="single"/>
          <w14:textFill>
            <w14:solidFill>
              <w14:schemeClr w14:val="tx1"/>
            </w14:solidFill>
          </w14:textFill>
        </w:rPr>
        <w:t>分包</w:t>
      </w:r>
      <w:r>
        <w:rPr>
          <w:rFonts w:ascii="Times New Roman" w:hAnsi="Times New Roman" w:cs="Times New Roman"/>
          <w:szCs w:val="21"/>
        </w:rPr>
        <w:t>招标文件的全部内容，愿意以</w:t>
      </w:r>
      <w:permStart w:id="119" w:edGrp="everyone"/>
      <w:r>
        <w:rPr>
          <w:rFonts w:hint="eastAsia" w:ascii="Times New Roman" w:hAnsi="Times New Roman" w:cs="Times New Roman"/>
          <w:szCs w:val="21"/>
          <w:lang w:val="en-US" w:eastAsia="zh-CN"/>
        </w:rPr>
        <w:t>费率：</w:t>
      </w:r>
      <w:r>
        <w:rPr>
          <w:rFonts w:ascii="Times New Roman" w:hAnsi="Times New Roman" w:cs="Times New Roman"/>
          <w:szCs w:val="21"/>
          <w:u w:val="single"/>
        </w:rPr>
        <w:t xml:space="preserve">        </w:t>
      </w:r>
      <w:r>
        <w:rPr>
          <w:rFonts w:hint="eastAsia" w:ascii="Times New Roman" w:hAnsi="Times New Roman" w:cs="Times New Roman"/>
          <w:szCs w:val="21"/>
        </w:rPr>
        <w:t>的投标总报价（其中增值税税率</w:t>
      </w:r>
      <w:r>
        <w:rPr>
          <w:rFonts w:hint="eastAsia" w:ascii="Times New Roman" w:hAnsi="Times New Roman" w:cs="Times New Roman"/>
          <w:szCs w:val="21"/>
          <w:lang w:val="en-US" w:eastAsia="zh-CN"/>
        </w:rPr>
        <w:t>9%，以建设单位提供的清单控制价（水电工程部分）为基数</w:t>
      </w:r>
      <w:r>
        <w:rPr>
          <w:rFonts w:hint="eastAsia" w:ascii="Times New Roman" w:hAnsi="Times New Roman" w:cs="Times New Roman"/>
          <w:szCs w:val="21"/>
        </w:rPr>
        <w:t>）</w:t>
      </w:r>
      <w:permEnd w:id="119"/>
      <w:r>
        <w:rPr>
          <w:rFonts w:hint="eastAsia" w:ascii="Times New Roman" w:hAnsi="Times New Roman" w:cs="Times New Roman"/>
          <w:szCs w:val="21"/>
        </w:rPr>
        <w:t>，</w:t>
      </w:r>
      <w:r>
        <w:rPr>
          <w:rFonts w:hint="eastAsia" w:ascii="Times New Roman" w:hAnsi="Times New Roman" w:cs="Times New Roman" w:eastAsiaTheme="minorEastAsia"/>
          <w:sz w:val="21"/>
          <w:szCs w:val="21"/>
          <w:lang w:val="en-US" w:eastAsia="zh-CN"/>
        </w:rPr>
        <w:t>自合同签订之日起</w:t>
      </w:r>
      <w:r>
        <w:rPr>
          <w:rFonts w:hint="eastAsia" w:ascii="Times New Roman" w:hAnsi="Times New Roman" w:cs="Times New Roman" w:eastAsiaTheme="minorEastAsia"/>
          <w:sz w:val="21"/>
          <w:szCs w:val="21"/>
          <w:u w:val="single"/>
          <w:lang w:val="en-US" w:eastAsia="zh-CN"/>
        </w:rPr>
        <w:t xml:space="preserve"> </w:t>
      </w:r>
      <w:r>
        <w:rPr>
          <w:rFonts w:hint="eastAsia" w:ascii="Times New Roman" w:hAnsi="Times New Roman" w:cs="Times New Roman"/>
          <w:sz w:val="21"/>
          <w:szCs w:val="21"/>
          <w:u w:val="single"/>
          <w:lang w:val="en-US" w:eastAsia="zh-CN"/>
        </w:rPr>
        <w:t>650</w:t>
      </w:r>
      <w:r>
        <w:rPr>
          <w:rFonts w:hint="eastAsia" w:ascii="Times New Roman" w:hAnsi="Times New Roman" w:cs="Times New Roman" w:eastAsiaTheme="minorEastAsia"/>
          <w:sz w:val="21"/>
          <w:szCs w:val="21"/>
          <w:u w:val="single"/>
          <w:lang w:val="en-US" w:eastAsia="zh-CN"/>
        </w:rPr>
        <w:t xml:space="preserve"> </w:t>
      </w:r>
      <w:r>
        <w:rPr>
          <w:rFonts w:hint="eastAsia" w:ascii="Times New Roman" w:hAnsi="Times New Roman" w:cs="Times New Roman" w:eastAsiaTheme="minorEastAsia"/>
          <w:sz w:val="21"/>
          <w:szCs w:val="21"/>
          <w:lang w:val="en-US" w:eastAsia="zh-CN"/>
        </w:rPr>
        <w:t>日历天</w:t>
      </w:r>
      <w:r>
        <w:rPr>
          <w:rFonts w:hint="eastAsia" w:ascii="Times New Roman" w:hAnsi="Times New Roman" w:cs="Times New Roman"/>
          <w:szCs w:val="21"/>
        </w:rPr>
        <w:t>，按合同约定实施和完成承包工程，修补工程中的任何缺陷，工程质量达到</w:t>
      </w:r>
      <w:r>
        <w:rPr>
          <w:rFonts w:ascii="Times New Roman" w:hAnsi="Times New Roman" w:cs="Times New Roman"/>
          <w:szCs w:val="21"/>
          <w:u w:val="single"/>
        </w:rPr>
        <w:t xml:space="preserve">       </w:t>
      </w:r>
      <w:r>
        <w:rPr>
          <w:rFonts w:hint="eastAsia" w:ascii="Times New Roman" w:hAnsi="Times New Roman" w:cs="Times New Roman"/>
          <w:szCs w:val="21"/>
        </w:rPr>
        <w:t xml:space="preserve">。   </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152045790"/>
      <w:bookmarkStart w:id="447" w:name="_Toc247514249"/>
      <w:bookmarkStart w:id="448" w:name="_Toc152042579"/>
      <w:bookmarkStart w:id="449" w:name="_Toc300835212"/>
      <w:bookmarkStart w:id="450" w:name="_Toc247527830"/>
      <w:bookmarkStart w:id="451" w:name="_Toc14497485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1701"/>
        <w:gridCol w:w="2835"/>
        <w:gridCol w:w="1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szCs w:val="21"/>
                <w:lang w:val="en-US" w:eastAsia="zh-CN"/>
              </w:rPr>
            </w:pPr>
            <w:r>
              <w:rPr>
                <w:rFonts w:hint="eastAsia" w:ascii="Times New Roman" w:hAnsi="Times New Roman" w:cs="Times New Roman"/>
                <w:b/>
                <w:bCs/>
                <w:szCs w:val="21"/>
                <w:lang w:val="en-US" w:eastAsia="zh-CN"/>
              </w:rPr>
              <w:t>合同条款号</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lang w:val="en-US" w:eastAsia="zh-CN"/>
              </w:rPr>
            </w:pP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2835"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144974860"/>
      <w:bookmarkStart w:id="453" w:name="_Toc152045791"/>
      <w:bookmarkStart w:id="454" w:name="_Toc247527831"/>
      <w:bookmarkStart w:id="455" w:name="_Toc152042580"/>
      <w:bookmarkStart w:id="456" w:name="_Toc300835213"/>
      <w:bookmarkStart w:id="457" w:name="_Toc247514283"/>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14284"/>
      <w:bookmarkStart w:id="459" w:name="_Toc152045792"/>
      <w:bookmarkStart w:id="460" w:name="_Toc247527832"/>
      <w:bookmarkStart w:id="461" w:name="_Toc300835214"/>
      <w:bookmarkStart w:id="462" w:name="_Toc144974861"/>
      <w:bookmarkStart w:id="463" w:name="_Toc152042581"/>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r>
        <w:rPr>
          <w:rFonts w:hint="eastAsia" w:ascii="Times New Roman" w:hAnsi="Times New Roman" w:cs="Times New Roman"/>
          <w:szCs w:val="21"/>
          <w:lang w:eastAsia="zh-CN"/>
        </w:rPr>
        <w:t>2023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300835216"/>
      <w:bookmarkStart w:id="465" w:name="_Toc247527834"/>
      <w:bookmarkStart w:id="466" w:name="_Toc144974862"/>
      <w:bookmarkStart w:id="467" w:name="_Toc152045794"/>
      <w:bookmarkStart w:id="468" w:name="_Toc152042583"/>
      <w:bookmarkStart w:id="469" w:name="_Toc247514286"/>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152045795"/>
      <w:bookmarkStart w:id="472" w:name="_Toc144974863"/>
      <w:bookmarkStart w:id="473" w:name="_Toc300835218"/>
      <w:bookmarkStart w:id="474" w:name="_Toc247527835"/>
      <w:bookmarkStart w:id="475" w:name="_Toc152042584"/>
      <w:bookmarkStart w:id="476" w:name="_Toc247514287"/>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44974864"/>
      <w:bookmarkStart w:id="478" w:name="_Toc247514288"/>
      <w:bookmarkStart w:id="479" w:name="_Toc152042585"/>
      <w:bookmarkStart w:id="480" w:name="_Toc247527836"/>
      <w:bookmarkStart w:id="481" w:name="_Toc300835221"/>
      <w:bookmarkStart w:id="482" w:name="_Toc152045796"/>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477"/>
    <w:bookmarkEnd w:id="478"/>
    <w:bookmarkEnd w:id="479"/>
    <w:bookmarkEnd w:id="480"/>
    <w:bookmarkEnd w:id="481"/>
    <w:bookmarkEnd w:id="482"/>
    <w:p>
      <w:pPr>
        <w:pStyle w:val="3"/>
        <w:jc w:val="center"/>
        <w:rPr>
          <w:rFonts w:ascii="Times New Roman" w:hAnsi="Times New Roman" w:cs="Times New Roman"/>
        </w:rPr>
      </w:pPr>
      <w:bookmarkStart w:id="483" w:name="_Toc300835223"/>
      <w:r>
        <w:rPr>
          <w:rFonts w:hint="eastAsia" w:ascii="Times New Roman" w:hAnsi="Times New Roman" w:cs="Times New Roman"/>
        </w:rPr>
        <w:t>五</w:t>
      </w:r>
      <w:r>
        <w:rPr>
          <w:rFonts w:ascii="Times New Roman" w:hAnsi="Times New Roman" w:cs="Times New Roman"/>
        </w:rPr>
        <w:t>、</w:t>
      </w:r>
      <w:r>
        <w:rPr>
          <w:rFonts w:hint="eastAsia" w:ascii="Times New Roman" w:hAnsi="Times New Roman" w:cs="Times New Roman"/>
          <w:lang w:val="en-US" w:eastAsia="zh-CN"/>
        </w:rPr>
        <w:t>专项</w:t>
      </w:r>
      <w:r>
        <w:rPr>
          <w:rFonts w:hint="eastAsia" w:ascii="Times New Roman" w:hAnsi="Times New Roman" w:cs="Times New Roman"/>
        </w:rPr>
        <w:t>施工方案</w:t>
      </w:r>
    </w:p>
    <w:p>
      <w:pPr>
        <w:spacing w:line="440" w:lineRule="exact"/>
        <w:rPr>
          <w:rFonts w:ascii="Times New Roman" w:hAnsi="Times New Roman" w:eastAsia="黑体" w:cs="Times New Roman"/>
          <w:szCs w:val="21"/>
          <w:highlight w:val="green"/>
        </w:rPr>
      </w:pP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 xml:space="preserve">1. </w:t>
      </w:r>
      <w:r>
        <w:rPr>
          <w:rFonts w:ascii="Times New Roman" w:hAnsi="Times New Roman" w:cs="Times New Roman"/>
          <w:szCs w:val="21"/>
        </w:rPr>
        <w:tab/>
      </w:r>
      <w:r>
        <w:rPr>
          <w:rFonts w:ascii="Times New Roman" w:hAnsi="Times New Roman" w:cs="Times New Roman"/>
          <w:szCs w:val="21"/>
        </w:rPr>
        <w:t>投标人编制</w:t>
      </w:r>
      <w:r>
        <w:rPr>
          <w:rFonts w:hint="eastAsia" w:ascii="Times New Roman" w:hAnsi="Times New Roman" w:cs="Times New Roman"/>
          <w:szCs w:val="21"/>
          <w:lang w:val="en-US" w:eastAsia="zh-CN"/>
        </w:rPr>
        <w:t>专项</w:t>
      </w:r>
      <w:r>
        <w:rPr>
          <w:rFonts w:hint="eastAsia" w:ascii="Times New Roman" w:hAnsi="Times New Roman" w:cs="Times New Roman"/>
          <w:szCs w:val="21"/>
        </w:rPr>
        <w:t>施工方案</w:t>
      </w:r>
      <w:r>
        <w:rPr>
          <w:rFonts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ascii="Times New Roman" w:hAnsi="Times New Roman" w:cs="Times New Roman"/>
          <w:szCs w:val="21"/>
        </w:rPr>
      </w:pPr>
      <w:r>
        <w:rPr>
          <w:rFonts w:ascii="Times New Roman" w:hAnsi="Times New Roman" w:cs="Times New Roman"/>
          <w:szCs w:val="21"/>
        </w:rPr>
        <w:t>2. 图表及格式要求：</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附表一  拟投入的主要施工设备表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附表二  劳动力计划表</w:t>
      </w:r>
    </w:p>
    <w:p>
      <w:pPr>
        <w:tabs>
          <w:tab w:val="left" w:pos="720"/>
        </w:tabs>
        <w:spacing w:line="440" w:lineRule="exact"/>
        <w:ind w:firstLine="756" w:firstLineChars="360"/>
        <w:rPr>
          <w:rFonts w:ascii="Times New Roman" w:hAnsi="Times New Roman" w:cs="Times New Roman"/>
          <w:szCs w:val="21"/>
        </w:rPr>
      </w:pPr>
      <w:r>
        <w:rPr>
          <w:rFonts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246997108"/>
      <w:bookmarkStart w:id="485" w:name="_Toc246996365"/>
      <w:bookmarkStart w:id="486" w:name="_Toc152042586"/>
      <w:bookmarkStart w:id="487" w:name="_Toc152045797"/>
      <w:bookmarkStart w:id="488" w:name="_Toc247085883"/>
      <w:bookmarkStart w:id="489" w:name="_Toc144974865"/>
      <w:bookmarkStart w:id="490" w:name="_Toc179632817"/>
      <w:bookmarkStart w:id="491" w:name="_Toc296602610"/>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247085884"/>
      <w:bookmarkStart w:id="493" w:name="_Toc179632819"/>
      <w:bookmarkStart w:id="494" w:name="_Toc144974867"/>
      <w:bookmarkStart w:id="495" w:name="_Toc246997109"/>
      <w:bookmarkStart w:id="496" w:name="_Toc152045799"/>
      <w:bookmarkStart w:id="497" w:name="_Toc246996366"/>
      <w:bookmarkStart w:id="498" w:name="_Toc152042588"/>
      <w:bookmarkStart w:id="499" w:name="_Toc296602611"/>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11"/>
        <w:rPr>
          <w:rFonts w:hint="default" w:ascii="Times New Roman" w:hAnsi="Times New Roman" w:cs="Times New Roman"/>
        </w:rPr>
      </w:pPr>
      <w:bookmarkStart w:id="500" w:name="_Toc152042589"/>
      <w:bookmarkStart w:id="501" w:name="_Toc152045800"/>
      <w:bookmarkStart w:id="502" w:name="_Toc144974868"/>
      <w:bookmarkStart w:id="503" w:name="_Toc246996367"/>
      <w:bookmarkStart w:id="504" w:name="_Toc179632820"/>
      <w:bookmarkStart w:id="505" w:name="_Toc246997110"/>
    </w:p>
    <w:p>
      <w:pPr>
        <w:pStyle w:val="11"/>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246997112"/>
      <w:bookmarkStart w:id="509" w:name="_Toc152042592"/>
      <w:bookmarkStart w:id="510" w:name="_Toc152045803"/>
      <w:bookmarkStart w:id="511" w:name="_Toc246996369"/>
      <w:bookmarkStart w:id="512" w:name="_Toc144974871"/>
      <w:bookmarkStart w:id="513" w:name="_Toc247085887"/>
      <w:bookmarkStart w:id="514" w:name="_Toc296602614"/>
      <w:bookmarkStart w:id="515" w:name="_Toc179632823"/>
      <w:bookmarkStart w:id="516" w:name="_Toc247514300"/>
      <w:bookmarkStart w:id="517" w:name="_Toc247527848"/>
      <w:bookmarkStart w:id="518" w:name="_Toc144974876"/>
      <w:bookmarkStart w:id="519" w:name="_Toc300835224"/>
      <w:bookmarkStart w:id="520" w:name="_Toc152045808"/>
      <w:bookmarkStart w:id="521" w:name="_Toc152042597"/>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6997113"/>
      <w:bookmarkStart w:id="523" w:name="_Toc247085888"/>
      <w:bookmarkStart w:id="524" w:name="_Toc246996370"/>
      <w:bookmarkStart w:id="525" w:name="_Toc296602615"/>
      <w:r>
        <w:t>（一）项目管理机构组成表</w:t>
      </w:r>
      <w:bookmarkEnd w:id="522"/>
      <w:bookmarkEnd w:id="523"/>
      <w:bookmarkEnd w:id="524"/>
      <w:bookmarkEnd w:id="525"/>
    </w:p>
    <w:p>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6997114"/>
      <w:bookmarkStart w:id="527" w:name="_Toc246996371"/>
      <w:bookmarkStart w:id="528" w:name="_Toc247085889"/>
      <w:bookmarkStart w:id="529" w:name="_Toc296602616"/>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rPr>
        <w:t>应附注册建造师执业资格证书、身份证、职称证</w:t>
      </w:r>
      <w:r>
        <w:rPr>
          <w:rFonts w:hint="eastAsia"/>
          <w:lang w:eastAsia="zh-CN"/>
        </w:rPr>
        <w:t>（</w:t>
      </w:r>
      <w:r>
        <w:rPr>
          <w:rFonts w:hint="eastAsia"/>
          <w:lang w:val="en-US" w:eastAsia="zh-CN"/>
        </w:rPr>
        <w:t>如有</w:t>
      </w:r>
      <w:r>
        <w:rPr>
          <w:rFonts w:hint="eastAsia"/>
          <w:lang w:eastAsia="zh-CN"/>
        </w:rPr>
        <w:t>）</w:t>
      </w:r>
      <w:r>
        <w:rPr>
          <w:rFonts w:hint="eastAsia"/>
        </w:rPr>
        <w:t>、学历证、养老保险复印件，管理过的项目业绩须附合同协议书复印件。</w:t>
      </w:r>
    </w:p>
    <w:p>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152042596"/>
      <w:bookmarkStart w:id="531" w:name="_Toc179632827"/>
      <w:bookmarkStart w:id="532" w:name="_Toc246996372"/>
      <w:bookmarkStart w:id="533" w:name="_Toc246997115"/>
      <w:bookmarkStart w:id="534" w:name="_Toc152045807"/>
      <w:bookmarkStart w:id="535" w:name="_Toc144974875"/>
      <w:bookmarkStart w:id="536" w:name="_Toc247085890"/>
      <w:bookmarkStart w:id="537" w:name="_Toc296602617"/>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96602618"/>
      <w:bookmarkStart w:id="539" w:name="_Toc246997116"/>
      <w:bookmarkStart w:id="540" w:name="_Toc179632828"/>
      <w:bookmarkStart w:id="541" w:name="_Toc247085891"/>
      <w:bookmarkStart w:id="542" w:name="_Toc246996373"/>
      <w:r>
        <w:t>（一）投标人基本情况表</w:t>
      </w:r>
      <w:bookmarkEnd w:id="538"/>
      <w:bookmarkEnd w:id="539"/>
      <w:bookmarkEnd w:id="540"/>
      <w:bookmarkEnd w:id="541"/>
      <w:bookmarkEnd w:id="542"/>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247527849"/>
      <w:bookmarkStart w:id="544" w:name="_Toc247514301"/>
      <w:bookmarkStart w:id="545" w:name="_Toc152045809"/>
      <w:bookmarkStart w:id="546" w:name="_Toc152042598"/>
      <w:bookmarkStart w:id="547" w:name="_Toc144974877"/>
      <w:bookmarkStart w:id="548" w:name="_Toc300835225"/>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247527850"/>
      <w:bookmarkStart w:id="550" w:name="_Toc300835226"/>
      <w:bookmarkStart w:id="551" w:name="_Toc144974878"/>
      <w:bookmarkStart w:id="552" w:name="_Toc152042599"/>
      <w:bookmarkStart w:id="553" w:name="_Toc152045810"/>
      <w:bookmarkStart w:id="554" w:name="_Toc247514302"/>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247527851"/>
      <w:bookmarkStart w:id="556" w:name="_Toc152045811"/>
      <w:bookmarkStart w:id="557" w:name="_Toc152042600"/>
      <w:bookmarkStart w:id="558" w:name="_Toc247514303"/>
      <w:bookmarkStart w:id="559" w:name="_Toc144974879"/>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14304"/>
      <w:bookmarkStart w:id="562" w:name="_Toc144974880"/>
      <w:bookmarkStart w:id="563" w:name="_Toc152042601"/>
      <w:bookmarkStart w:id="564" w:name="_Toc247527852"/>
      <w:bookmarkStart w:id="565" w:name="_Toc152045812"/>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20" w:edGrp="everyone"/>
      <w:r>
        <w:rPr>
          <w:rFonts w:ascii="Times New Roman" w:hAnsi="Times New Roman"/>
        </w:rPr>
        <w:t>注：</w:t>
      </w:r>
      <w:r>
        <w:rPr>
          <w:rFonts w:hint="eastAsia" w:ascii="Times New Roman" w:hAnsi="Times New Roman"/>
          <w:lang w:val="en-US" w:eastAsia="zh-CN"/>
        </w:rPr>
        <w:t>如有，按招标文件要求提供。</w:t>
      </w:r>
    </w:p>
    <w:permEnd w:id="120"/>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144974881"/>
      <w:bookmarkStart w:id="567" w:name="_Toc247530162"/>
      <w:bookmarkStart w:id="568" w:name="_Toc152042602"/>
      <w:bookmarkStart w:id="569" w:name="_Toc247514305"/>
      <w:bookmarkStart w:id="570" w:name="_Toc247527853"/>
      <w:bookmarkStart w:id="571" w:name="_Toc152045813"/>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300835233"/>
      <w:bookmarkStart w:id="573" w:name="_Toc271821942"/>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21"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21"/>
    <w:p>
      <w:pPr>
        <w:spacing w:line="400" w:lineRule="exact"/>
        <w:rPr>
          <w:rFonts w:hint="default" w:ascii="Times New Roman" w:hAnsi="Times New Roman" w:cs="Times New Roman"/>
        </w:rPr>
      </w:pPr>
    </w:p>
    <w:p>
      <w:pPr>
        <w:pStyle w:val="6"/>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27942378-3B59-424E-A01F-C480D34B587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EC8B4E37-4D4C-4160-B38E-A820F3252E5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3" w:fontKey="{075EF416-EAE9-45E4-83DB-998F273E4911}"/>
  </w:font>
  <w:font w:name="方正小标宋简体">
    <w:panose1 w:val="03000509000000000000"/>
    <w:charset w:val="86"/>
    <w:family w:val="auto"/>
    <w:pitch w:val="default"/>
    <w:sig w:usb0="00000001" w:usb1="080E0000" w:usb2="00000000" w:usb3="00000000" w:csb0="00040000" w:csb1="00000000"/>
    <w:embedRegular r:id="rId4" w:fontKey="{CDDC9DC7-B594-4C84-8521-88211DF97907}"/>
  </w:font>
  <w:font w:name="楷体">
    <w:panose1 w:val="02010609060101010101"/>
    <w:charset w:val="86"/>
    <w:family w:val="auto"/>
    <w:pitch w:val="default"/>
    <w:sig w:usb0="800002BF" w:usb1="38CF7CFA" w:usb2="00000016" w:usb3="00000000" w:csb0="00040001" w:csb1="00000000"/>
    <w:embedRegular r:id="rId5" w:fontKey="{83C35111-1AD0-4419-A814-7CB9F234E773}"/>
  </w:font>
  <w:font w:name="Wingdings 2">
    <w:panose1 w:val="05020102010507070707"/>
    <w:charset w:val="00"/>
    <w:family w:val="auto"/>
    <w:pitch w:val="default"/>
    <w:sig w:usb0="00000000" w:usb1="00000000" w:usb2="00000000" w:usb3="00000000" w:csb0="80000000" w:csb1="00000000"/>
    <w:embedRegular r:id="rId6" w:fontKey="{CE819CA9-95AC-4DA4-8058-1560116F870A}"/>
  </w:font>
  <w:font w:name="_x000B__x000C_">
    <w:altName w:val="Times New Roman"/>
    <w:panose1 w:val="00000000000000000000"/>
    <w:charset w:val="00"/>
    <w:family w:val="roman"/>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embedRegular r:id="rId7" w:fontKey="{2961E286-678F-4EC8-9C39-BB83A0E492E9}"/>
  </w:font>
  <w:font w:name="楷体_GB2312">
    <w:panose1 w:val="02010609030101010101"/>
    <w:charset w:val="86"/>
    <w:family w:val="modern"/>
    <w:pitch w:val="default"/>
    <w:sig w:usb0="00000001" w:usb1="080E0000" w:usb2="00000000" w:usb3="00000000" w:csb0="00040000" w:csb1="00000000"/>
    <w:embedRegular r:id="rId8" w:fontKey="{0C412F53-A8EC-45DF-A3B7-CFBA590A22A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A850CE"/>
    <w:rsid w:val="00B00F2F"/>
    <w:rsid w:val="00F4022E"/>
    <w:rsid w:val="00FF308E"/>
    <w:rsid w:val="011E6004"/>
    <w:rsid w:val="0145105E"/>
    <w:rsid w:val="01581C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AE41F2"/>
    <w:rsid w:val="03C10800"/>
    <w:rsid w:val="03C8709D"/>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61F0438"/>
    <w:rsid w:val="06225487"/>
    <w:rsid w:val="06292F58"/>
    <w:rsid w:val="063F4D83"/>
    <w:rsid w:val="064B59D4"/>
    <w:rsid w:val="06501BB5"/>
    <w:rsid w:val="065D00E9"/>
    <w:rsid w:val="06624967"/>
    <w:rsid w:val="06626753"/>
    <w:rsid w:val="06714440"/>
    <w:rsid w:val="067240CC"/>
    <w:rsid w:val="06866D3C"/>
    <w:rsid w:val="06972E4E"/>
    <w:rsid w:val="069B7776"/>
    <w:rsid w:val="06A31B6E"/>
    <w:rsid w:val="06A848F7"/>
    <w:rsid w:val="06B86823"/>
    <w:rsid w:val="06BF2153"/>
    <w:rsid w:val="06D375E0"/>
    <w:rsid w:val="06D9502E"/>
    <w:rsid w:val="06E329B2"/>
    <w:rsid w:val="06EB4F76"/>
    <w:rsid w:val="06ED1728"/>
    <w:rsid w:val="06F81D74"/>
    <w:rsid w:val="074267A8"/>
    <w:rsid w:val="074A7C93"/>
    <w:rsid w:val="075F4568"/>
    <w:rsid w:val="07666E00"/>
    <w:rsid w:val="07723470"/>
    <w:rsid w:val="077965A7"/>
    <w:rsid w:val="07832BA1"/>
    <w:rsid w:val="07972327"/>
    <w:rsid w:val="07A85930"/>
    <w:rsid w:val="07DD5340"/>
    <w:rsid w:val="07EE56D8"/>
    <w:rsid w:val="08075C8C"/>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195A3E"/>
    <w:rsid w:val="0A1E12A6"/>
    <w:rsid w:val="0A3B332D"/>
    <w:rsid w:val="0A500304"/>
    <w:rsid w:val="0A5234C1"/>
    <w:rsid w:val="0A704DEE"/>
    <w:rsid w:val="0A8B5261"/>
    <w:rsid w:val="0A8E5075"/>
    <w:rsid w:val="0AA20E8B"/>
    <w:rsid w:val="0AA913FB"/>
    <w:rsid w:val="0AAE6B76"/>
    <w:rsid w:val="0AB37F43"/>
    <w:rsid w:val="0AB930A2"/>
    <w:rsid w:val="0ADD0DF0"/>
    <w:rsid w:val="0AEB40E8"/>
    <w:rsid w:val="0AFD0EBC"/>
    <w:rsid w:val="0B416906"/>
    <w:rsid w:val="0B5D1C2A"/>
    <w:rsid w:val="0B685C3C"/>
    <w:rsid w:val="0B7202E7"/>
    <w:rsid w:val="0B991D46"/>
    <w:rsid w:val="0B9F686D"/>
    <w:rsid w:val="0BDE31B0"/>
    <w:rsid w:val="0C110CA2"/>
    <w:rsid w:val="0C2E5244"/>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DF370D3"/>
    <w:rsid w:val="0DFB7EEE"/>
    <w:rsid w:val="0E093A81"/>
    <w:rsid w:val="0E1201C4"/>
    <w:rsid w:val="0E3B2427"/>
    <w:rsid w:val="0E3C08A3"/>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8A2D10"/>
    <w:rsid w:val="0FA819A2"/>
    <w:rsid w:val="0FCA08C0"/>
    <w:rsid w:val="0FCA14B6"/>
    <w:rsid w:val="0FE42DE8"/>
    <w:rsid w:val="0FFA6EBC"/>
    <w:rsid w:val="101038A7"/>
    <w:rsid w:val="101E2D38"/>
    <w:rsid w:val="10446D2F"/>
    <w:rsid w:val="104957CA"/>
    <w:rsid w:val="104D6EF3"/>
    <w:rsid w:val="105C0433"/>
    <w:rsid w:val="1069417C"/>
    <w:rsid w:val="106C1E4B"/>
    <w:rsid w:val="108A23D3"/>
    <w:rsid w:val="1095135B"/>
    <w:rsid w:val="10C85AC8"/>
    <w:rsid w:val="10D35E97"/>
    <w:rsid w:val="11043C0D"/>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320C8"/>
    <w:rsid w:val="12BF2922"/>
    <w:rsid w:val="12C942C8"/>
    <w:rsid w:val="12DC5F5E"/>
    <w:rsid w:val="12DC7F8C"/>
    <w:rsid w:val="12E82A0B"/>
    <w:rsid w:val="131873D2"/>
    <w:rsid w:val="13274F9C"/>
    <w:rsid w:val="13417410"/>
    <w:rsid w:val="134A448A"/>
    <w:rsid w:val="134F7EA7"/>
    <w:rsid w:val="135107A8"/>
    <w:rsid w:val="136066CF"/>
    <w:rsid w:val="13657E31"/>
    <w:rsid w:val="136C3340"/>
    <w:rsid w:val="1387094F"/>
    <w:rsid w:val="139C08EB"/>
    <w:rsid w:val="13B679AD"/>
    <w:rsid w:val="13C34689"/>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906BE"/>
    <w:rsid w:val="150A21BA"/>
    <w:rsid w:val="151779D1"/>
    <w:rsid w:val="1522437E"/>
    <w:rsid w:val="15283931"/>
    <w:rsid w:val="15382F40"/>
    <w:rsid w:val="158374C1"/>
    <w:rsid w:val="15A62ECC"/>
    <w:rsid w:val="15B14179"/>
    <w:rsid w:val="15C516BD"/>
    <w:rsid w:val="15CD7A4B"/>
    <w:rsid w:val="166266B1"/>
    <w:rsid w:val="16C724D4"/>
    <w:rsid w:val="16D411E7"/>
    <w:rsid w:val="16ED0036"/>
    <w:rsid w:val="170756D4"/>
    <w:rsid w:val="170F4587"/>
    <w:rsid w:val="172F4AF3"/>
    <w:rsid w:val="176115DC"/>
    <w:rsid w:val="176D7525"/>
    <w:rsid w:val="17824660"/>
    <w:rsid w:val="178F2FF8"/>
    <w:rsid w:val="179121FE"/>
    <w:rsid w:val="17915931"/>
    <w:rsid w:val="17C41ABF"/>
    <w:rsid w:val="17F760BC"/>
    <w:rsid w:val="18175D56"/>
    <w:rsid w:val="18276B10"/>
    <w:rsid w:val="189B5F22"/>
    <w:rsid w:val="18A70256"/>
    <w:rsid w:val="18A944F8"/>
    <w:rsid w:val="18B73074"/>
    <w:rsid w:val="18DA76F1"/>
    <w:rsid w:val="19034C2D"/>
    <w:rsid w:val="1916127C"/>
    <w:rsid w:val="191B532F"/>
    <w:rsid w:val="19366330"/>
    <w:rsid w:val="193D465D"/>
    <w:rsid w:val="193D4E12"/>
    <w:rsid w:val="196C6238"/>
    <w:rsid w:val="198A59D6"/>
    <w:rsid w:val="199D7E14"/>
    <w:rsid w:val="19A73D74"/>
    <w:rsid w:val="19AA5416"/>
    <w:rsid w:val="19CE7FF6"/>
    <w:rsid w:val="19D70C6D"/>
    <w:rsid w:val="19E2271F"/>
    <w:rsid w:val="1A075570"/>
    <w:rsid w:val="1A1C623A"/>
    <w:rsid w:val="1A270D5F"/>
    <w:rsid w:val="1A4D4CED"/>
    <w:rsid w:val="1A797469"/>
    <w:rsid w:val="1A7A1340"/>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B07DF9"/>
    <w:rsid w:val="1CC3681B"/>
    <w:rsid w:val="1CF251D3"/>
    <w:rsid w:val="1CFF3217"/>
    <w:rsid w:val="1D0C3E62"/>
    <w:rsid w:val="1D1D0D81"/>
    <w:rsid w:val="1D4565F3"/>
    <w:rsid w:val="1D5835F0"/>
    <w:rsid w:val="1D60106B"/>
    <w:rsid w:val="1D8C5045"/>
    <w:rsid w:val="1D9244F8"/>
    <w:rsid w:val="1D931CEA"/>
    <w:rsid w:val="1DC177D9"/>
    <w:rsid w:val="1DFA5AEB"/>
    <w:rsid w:val="1E1A236E"/>
    <w:rsid w:val="1E225BB3"/>
    <w:rsid w:val="1E2A6113"/>
    <w:rsid w:val="1E2D212B"/>
    <w:rsid w:val="1E2E6E13"/>
    <w:rsid w:val="1E32182A"/>
    <w:rsid w:val="1E5A61EE"/>
    <w:rsid w:val="1E713E2F"/>
    <w:rsid w:val="1E997889"/>
    <w:rsid w:val="1EA573D8"/>
    <w:rsid w:val="1EB0513B"/>
    <w:rsid w:val="1EB56ABF"/>
    <w:rsid w:val="1EB72F76"/>
    <w:rsid w:val="1EE36B2C"/>
    <w:rsid w:val="1EF342CB"/>
    <w:rsid w:val="1F020A44"/>
    <w:rsid w:val="1F041BC7"/>
    <w:rsid w:val="1F127B09"/>
    <w:rsid w:val="1F2354C8"/>
    <w:rsid w:val="1F36160E"/>
    <w:rsid w:val="1F3F33F9"/>
    <w:rsid w:val="1F5D00BF"/>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113B"/>
    <w:rsid w:val="21C13A32"/>
    <w:rsid w:val="22266257"/>
    <w:rsid w:val="22270787"/>
    <w:rsid w:val="224D73DD"/>
    <w:rsid w:val="22592601"/>
    <w:rsid w:val="22603DB2"/>
    <w:rsid w:val="226D7B83"/>
    <w:rsid w:val="228622C2"/>
    <w:rsid w:val="2293123C"/>
    <w:rsid w:val="22A570EC"/>
    <w:rsid w:val="22B660C8"/>
    <w:rsid w:val="232E56FD"/>
    <w:rsid w:val="233F5F96"/>
    <w:rsid w:val="235F4D23"/>
    <w:rsid w:val="236D4028"/>
    <w:rsid w:val="238A4DFC"/>
    <w:rsid w:val="23971A56"/>
    <w:rsid w:val="2418740D"/>
    <w:rsid w:val="24226CC5"/>
    <w:rsid w:val="24312A4A"/>
    <w:rsid w:val="244A5E9A"/>
    <w:rsid w:val="244C4BB8"/>
    <w:rsid w:val="24635DDC"/>
    <w:rsid w:val="24691193"/>
    <w:rsid w:val="246C3A46"/>
    <w:rsid w:val="247152E7"/>
    <w:rsid w:val="24C7636B"/>
    <w:rsid w:val="24DA1CDC"/>
    <w:rsid w:val="24FF7718"/>
    <w:rsid w:val="251A7612"/>
    <w:rsid w:val="25237A22"/>
    <w:rsid w:val="252C329A"/>
    <w:rsid w:val="252E0774"/>
    <w:rsid w:val="25481BCE"/>
    <w:rsid w:val="256221F5"/>
    <w:rsid w:val="256E1E26"/>
    <w:rsid w:val="257C3C98"/>
    <w:rsid w:val="25812F8D"/>
    <w:rsid w:val="25814DB7"/>
    <w:rsid w:val="25824959"/>
    <w:rsid w:val="25826736"/>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301EDB"/>
    <w:rsid w:val="27453115"/>
    <w:rsid w:val="274B3033"/>
    <w:rsid w:val="276C029F"/>
    <w:rsid w:val="27867E0A"/>
    <w:rsid w:val="27982DD4"/>
    <w:rsid w:val="27DD09CE"/>
    <w:rsid w:val="27EC553C"/>
    <w:rsid w:val="280C4BFC"/>
    <w:rsid w:val="2813394B"/>
    <w:rsid w:val="281C1F63"/>
    <w:rsid w:val="281C54D8"/>
    <w:rsid w:val="283610D5"/>
    <w:rsid w:val="285223EF"/>
    <w:rsid w:val="285F5293"/>
    <w:rsid w:val="28622D71"/>
    <w:rsid w:val="286E69FD"/>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12EF9"/>
    <w:rsid w:val="2B3E0375"/>
    <w:rsid w:val="2B406E77"/>
    <w:rsid w:val="2B492499"/>
    <w:rsid w:val="2B652A8D"/>
    <w:rsid w:val="2B6C55DB"/>
    <w:rsid w:val="2B8D5640"/>
    <w:rsid w:val="2BF4029C"/>
    <w:rsid w:val="2C1C6937"/>
    <w:rsid w:val="2C202757"/>
    <w:rsid w:val="2C270D43"/>
    <w:rsid w:val="2C6436A6"/>
    <w:rsid w:val="2C78619D"/>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A39"/>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B1448A"/>
    <w:rsid w:val="2FC802AE"/>
    <w:rsid w:val="30126A29"/>
    <w:rsid w:val="301C41BF"/>
    <w:rsid w:val="302369A0"/>
    <w:rsid w:val="303474C0"/>
    <w:rsid w:val="305C41A9"/>
    <w:rsid w:val="30820205"/>
    <w:rsid w:val="308E41B5"/>
    <w:rsid w:val="30952C59"/>
    <w:rsid w:val="30D836AE"/>
    <w:rsid w:val="30FF4D69"/>
    <w:rsid w:val="3113559B"/>
    <w:rsid w:val="311978DB"/>
    <w:rsid w:val="312421F6"/>
    <w:rsid w:val="3127420C"/>
    <w:rsid w:val="31477BEB"/>
    <w:rsid w:val="315523B1"/>
    <w:rsid w:val="3198056E"/>
    <w:rsid w:val="31CD31BF"/>
    <w:rsid w:val="31E10F55"/>
    <w:rsid w:val="31F462C5"/>
    <w:rsid w:val="320B7F80"/>
    <w:rsid w:val="3219008D"/>
    <w:rsid w:val="32215B79"/>
    <w:rsid w:val="322241F2"/>
    <w:rsid w:val="3229379D"/>
    <w:rsid w:val="32294133"/>
    <w:rsid w:val="322D5AFA"/>
    <w:rsid w:val="32514C44"/>
    <w:rsid w:val="328916BE"/>
    <w:rsid w:val="32974C7A"/>
    <w:rsid w:val="32BB4ABE"/>
    <w:rsid w:val="32C8549C"/>
    <w:rsid w:val="32CA16D9"/>
    <w:rsid w:val="32CB34CA"/>
    <w:rsid w:val="32E83928"/>
    <w:rsid w:val="32F45590"/>
    <w:rsid w:val="331C19F3"/>
    <w:rsid w:val="33380434"/>
    <w:rsid w:val="33773188"/>
    <w:rsid w:val="337E77C9"/>
    <w:rsid w:val="338F53C2"/>
    <w:rsid w:val="33925662"/>
    <w:rsid w:val="339B7AA1"/>
    <w:rsid w:val="33A35479"/>
    <w:rsid w:val="33B7637D"/>
    <w:rsid w:val="33D4661F"/>
    <w:rsid w:val="33ED39C2"/>
    <w:rsid w:val="340F56DE"/>
    <w:rsid w:val="3425597D"/>
    <w:rsid w:val="342A5DF5"/>
    <w:rsid w:val="344851FD"/>
    <w:rsid w:val="349B5E0E"/>
    <w:rsid w:val="34A432B6"/>
    <w:rsid w:val="34AA020B"/>
    <w:rsid w:val="34BB748D"/>
    <w:rsid w:val="34BC17DA"/>
    <w:rsid w:val="34D015E3"/>
    <w:rsid w:val="34F85DA8"/>
    <w:rsid w:val="3509398E"/>
    <w:rsid w:val="3547266B"/>
    <w:rsid w:val="35505F08"/>
    <w:rsid w:val="3554479E"/>
    <w:rsid w:val="357D63E5"/>
    <w:rsid w:val="357F00D0"/>
    <w:rsid w:val="35894506"/>
    <w:rsid w:val="35A377DB"/>
    <w:rsid w:val="35AE5EB4"/>
    <w:rsid w:val="35E7387F"/>
    <w:rsid w:val="35E81F7A"/>
    <w:rsid w:val="35F52BF3"/>
    <w:rsid w:val="360530D8"/>
    <w:rsid w:val="3605698A"/>
    <w:rsid w:val="36162F1C"/>
    <w:rsid w:val="363277D2"/>
    <w:rsid w:val="366244D5"/>
    <w:rsid w:val="36A82C1D"/>
    <w:rsid w:val="36B34449"/>
    <w:rsid w:val="36C342D9"/>
    <w:rsid w:val="370F2E93"/>
    <w:rsid w:val="370F32ED"/>
    <w:rsid w:val="374E35E0"/>
    <w:rsid w:val="37560CC6"/>
    <w:rsid w:val="378D0CEB"/>
    <w:rsid w:val="379A026D"/>
    <w:rsid w:val="379D2F5B"/>
    <w:rsid w:val="37A2207E"/>
    <w:rsid w:val="37A2434F"/>
    <w:rsid w:val="37ED6D6E"/>
    <w:rsid w:val="37FB3C92"/>
    <w:rsid w:val="380C3B20"/>
    <w:rsid w:val="381039F4"/>
    <w:rsid w:val="38422CE2"/>
    <w:rsid w:val="38464281"/>
    <w:rsid w:val="386E21B0"/>
    <w:rsid w:val="38AE496C"/>
    <w:rsid w:val="38B54D45"/>
    <w:rsid w:val="38D242CD"/>
    <w:rsid w:val="38DC4910"/>
    <w:rsid w:val="393E0C7A"/>
    <w:rsid w:val="39470BCD"/>
    <w:rsid w:val="39821F75"/>
    <w:rsid w:val="398B5520"/>
    <w:rsid w:val="398C3DB7"/>
    <w:rsid w:val="39AB6275"/>
    <w:rsid w:val="39E17621"/>
    <w:rsid w:val="39F227B1"/>
    <w:rsid w:val="3A151290"/>
    <w:rsid w:val="3A201663"/>
    <w:rsid w:val="3A257964"/>
    <w:rsid w:val="3A292038"/>
    <w:rsid w:val="3A4A1178"/>
    <w:rsid w:val="3A4A33B1"/>
    <w:rsid w:val="3A524E6B"/>
    <w:rsid w:val="3A762A49"/>
    <w:rsid w:val="3A826354"/>
    <w:rsid w:val="3A9D28F5"/>
    <w:rsid w:val="3ACD43C9"/>
    <w:rsid w:val="3AFF2C64"/>
    <w:rsid w:val="3B2F69DB"/>
    <w:rsid w:val="3B79226F"/>
    <w:rsid w:val="3B904834"/>
    <w:rsid w:val="3B932344"/>
    <w:rsid w:val="3B9D20F5"/>
    <w:rsid w:val="3BA0301A"/>
    <w:rsid w:val="3BB33F88"/>
    <w:rsid w:val="3BD93153"/>
    <w:rsid w:val="3BDA6996"/>
    <w:rsid w:val="3C0A3047"/>
    <w:rsid w:val="3C2E50FB"/>
    <w:rsid w:val="3C37637A"/>
    <w:rsid w:val="3C4A12AD"/>
    <w:rsid w:val="3C5125FC"/>
    <w:rsid w:val="3C690ECB"/>
    <w:rsid w:val="3C860AC6"/>
    <w:rsid w:val="3C960BC8"/>
    <w:rsid w:val="3C9848A1"/>
    <w:rsid w:val="3CA509B7"/>
    <w:rsid w:val="3CA509D1"/>
    <w:rsid w:val="3CD537E6"/>
    <w:rsid w:val="3CD93879"/>
    <w:rsid w:val="3D02592B"/>
    <w:rsid w:val="3D2571D3"/>
    <w:rsid w:val="3D7A2818"/>
    <w:rsid w:val="3D8106EA"/>
    <w:rsid w:val="3D834DF8"/>
    <w:rsid w:val="3DA352B1"/>
    <w:rsid w:val="3DBA61E7"/>
    <w:rsid w:val="3DD55956"/>
    <w:rsid w:val="3E0778AE"/>
    <w:rsid w:val="3E100FFC"/>
    <w:rsid w:val="3E201534"/>
    <w:rsid w:val="3E492913"/>
    <w:rsid w:val="3E651EE9"/>
    <w:rsid w:val="3E784A78"/>
    <w:rsid w:val="3E8554F5"/>
    <w:rsid w:val="3EB65E71"/>
    <w:rsid w:val="3EC33032"/>
    <w:rsid w:val="3EC61DB3"/>
    <w:rsid w:val="3EF62661"/>
    <w:rsid w:val="3F3C595E"/>
    <w:rsid w:val="3F59346C"/>
    <w:rsid w:val="3F657308"/>
    <w:rsid w:val="3F7856B5"/>
    <w:rsid w:val="3F7970EE"/>
    <w:rsid w:val="3F8003ED"/>
    <w:rsid w:val="3FC519F7"/>
    <w:rsid w:val="3FD0326B"/>
    <w:rsid w:val="3FD34D1A"/>
    <w:rsid w:val="3FED63B1"/>
    <w:rsid w:val="40031733"/>
    <w:rsid w:val="40076D3D"/>
    <w:rsid w:val="401F65F0"/>
    <w:rsid w:val="402D56FF"/>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65B29"/>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010C9"/>
    <w:rsid w:val="443F7EE3"/>
    <w:rsid w:val="44477A7A"/>
    <w:rsid w:val="445A5900"/>
    <w:rsid w:val="44831552"/>
    <w:rsid w:val="44A72CB4"/>
    <w:rsid w:val="44DC0CFE"/>
    <w:rsid w:val="44DC4FCA"/>
    <w:rsid w:val="44FD1C6D"/>
    <w:rsid w:val="45197B79"/>
    <w:rsid w:val="453F207E"/>
    <w:rsid w:val="454276A8"/>
    <w:rsid w:val="45465AD9"/>
    <w:rsid w:val="4577525A"/>
    <w:rsid w:val="457C4AF8"/>
    <w:rsid w:val="45A100BA"/>
    <w:rsid w:val="45A31600"/>
    <w:rsid w:val="45E526C2"/>
    <w:rsid w:val="45EF5694"/>
    <w:rsid w:val="45F32D75"/>
    <w:rsid w:val="45FE4441"/>
    <w:rsid w:val="460934CE"/>
    <w:rsid w:val="461F685B"/>
    <w:rsid w:val="463A35BA"/>
    <w:rsid w:val="464478D6"/>
    <w:rsid w:val="46594972"/>
    <w:rsid w:val="46763AFA"/>
    <w:rsid w:val="46A86AC5"/>
    <w:rsid w:val="46AF0ACC"/>
    <w:rsid w:val="46B1257F"/>
    <w:rsid w:val="46CD2EA3"/>
    <w:rsid w:val="46E33C2A"/>
    <w:rsid w:val="46EB5C2E"/>
    <w:rsid w:val="47191F43"/>
    <w:rsid w:val="471B210D"/>
    <w:rsid w:val="47330BB1"/>
    <w:rsid w:val="474340E1"/>
    <w:rsid w:val="4754737E"/>
    <w:rsid w:val="47613FA5"/>
    <w:rsid w:val="476E5DEA"/>
    <w:rsid w:val="47914A33"/>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76A74"/>
    <w:rsid w:val="48B971DC"/>
    <w:rsid w:val="48F556EA"/>
    <w:rsid w:val="491946D3"/>
    <w:rsid w:val="4924047E"/>
    <w:rsid w:val="49276380"/>
    <w:rsid w:val="4948117F"/>
    <w:rsid w:val="494B0B0D"/>
    <w:rsid w:val="497E20AD"/>
    <w:rsid w:val="49820EB7"/>
    <w:rsid w:val="499416E9"/>
    <w:rsid w:val="49A63EAD"/>
    <w:rsid w:val="49B4166E"/>
    <w:rsid w:val="49BA2C9E"/>
    <w:rsid w:val="49F72310"/>
    <w:rsid w:val="49FD2EE4"/>
    <w:rsid w:val="4A0B4FDE"/>
    <w:rsid w:val="4A1D0657"/>
    <w:rsid w:val="4A343D11"/>
    <w:rsid w:val="4A374C1E"/>
    <w:rsid w:val="4A497D35"/>
    <w:rsid w:val="4A8A37D8"/>
    <w:rsid w:val="4A8B4AB2"/>
    <w:rsid w:val="4AD9595B"/>
    <w:rsid w:val="4AF93EAE"/>
    <w:rsid w:val="4B0E551F"/>
    <w:rsid w:val="4B311212"/>
    <w:rsid w:val="4B3E6720"/>
    <w:rsid w:val="4B3E79B5"/>
    <w:rsid w:val="4B43535A"/>
    <w:rsid w:val="4B476348"/>
    <w:rsid w:val="4B625BF7"/>
    <w:rsid w:val="4BB21AF4"/>
    <w:rsid w:val="4BB54107"/>
    <w:rsid w:val="4BB67EEE"/>
    <w:rsid w:val="4BD17814"/>
    <w:rsid w:val="4BDC5109"/>
    <w:rsid w:val="4BE84FA7"/>
    <w:rsid w:val="4BF70C92"/>
    <w:rsid w:val="4BFD0513"/>
    <w:rsid w:val="4C005E77"/>
    <w:rsid w:val="4C1A02C6"/>
    <w:rsid w:val="4C2B76C1"/>
    <w:rsid w:val="4C2D26A8"/>
    <w:rsid w:val="4C5419A1"/>
    <w:rsid w:val="4C5429A3"/>
    <w:rsid w:val="4C645A11"/>
    <w:rsid w:val="4C87254B"/>
    <w:rsid w:val="4CDE4416"/>
    <w:rsid w:val="4D1C2C8C"/>
    <w:rsid w:val="4D1E77BE"/>
    <w:rsid w:val="4D245FC5"/>
    <w:rsid w:val="4D2B3B2C"/>
    <w:rsid w:val="4DA943B0"/>
    <w:rsid w:val="4DC515BB"/>
    <w:rsid w:val="4DCB5984"/>
    <w:rsid w:val="4DD64458"/>
    <w:rsid w:val="4E135BFA"/>
    <w:rsid w:val="4E1B2DDB"/>
    <w:rsid w:val="4E250E8C"/>
    <w:rsid w:val="4E355E12"/>
    <w:rsid w:val="4E407F99"/>
    <w:rsid w:val="4E5D7C3A"/>
    <w:rsid w:val="4E8D762E"/>
    <w:rsid w:val="4E9B1112"/>
    <w:rsid w:val="4EA06365"/>
    <w:rsid w:val="4EBD3915"/>
    <w:rsid w:val="4ECD54B1"/>
    <w:rsid w:val="4ED4046B"/>
    <w:rsid w:val="4EDF4B15"/>
    <w:rsid w:val="4EF43B16"/>
    <w:rsid w:val="4F0E1E8F"/>
    <w:rsid w:val="4F2B6C13"/>
    <w:rsid w:val="4F3153D3"/>
    <w:rsid w:val="4F3A5808"/>
    <w:rsid w:val="4F5F3ED1"/>
    <w:rsid w:val="4F804E7C"/>
    <w:rsid w:val="4F85516A"/>
    <w:rsid w:val="4F944D8F"/>
    <w:rsid w:val="4FCA5221"/>
    <w:rsid w:val="4FED0FB9"/>
    <w:rsid w:val="507410D2"/>
    <w:rsid w:val="50A4392E"/>
    <w:rsid w:val="50A97681"/>
    <w:rsid w:val="50AE3B94"/>
    <w:rsid w:val="50AF7418"/>
    <w:rsid w:val="50E93575"/>
    <w:rsid w:val="50F04D4E"/>
    <w:rsid w:val="50F57385"/>
    <w:rsid w:val="50F6016F"/>
    <w:rsid w:val="50FB1FB9"/>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D4104F"/>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C2C1B"/>
    <w:rsid w:val="52ED3633"/>
    <w:rsid w:val="52FA69A5"/>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F960E1"/>
    <w:rsid w:val="540540F5"/>
    <w:rsid w:val="542913B3"/>
    <w:rsid w:val="543F18BA"/>
    <w:rsid w:val="54883400"/>
    <w:rsid w:val="54932F58"/>
    <w:rsid w:val="54A81CB5"/>
    <w:rsid w:val="54C41B11"/>
    <w:rsid w:val="550E49C6"/>
    <w:rsid w:val="55A47D96"/>
    <w:rsid w:val="55C94049"/>
    <w:rsid w:val="55DA287E"/>
    <w:rsid w:val="55DD1819"/>
    <w:rsid w:val="55EE6DAD"/>
    <w:rsid w:val="56073162"/>
    <w:rsid w:val="5609127C"/>
    <w:rsid w:val="56243B92"/>
    <w:rsid w:val="563D619D"/>
    <w:rsid w:val="56413F2B"/>
    <w:rsid w:val="56537C47"/>
    <w:rsid w:val="566A7763"/>
    <w:rsid w:val="56A010C0"/>
    <w:rsid w:val="56B96B8E"/>
    <w:rsid w:val="56C747B5"/>
    <w:rsid w:val="56D42684"/>
    <w:rsid w:val="56DD2471"/>
    <w:rsid w:val="57210A6D"/>
    <w:rsid w:val="57362D58"/>
    <w:rsid w:val="5744214A"/>
    <w:rsid w:val="574B480A"/>
    <w:rsid w:val="57543081"/>
    <w:rsid w:val="5789649C"/>
    <w:rsid w:val="57A373F0"/>
    <w:rsid w:val="57C071FE"/>
    <w:rsid w:val="57C83C57"/>
    <w:rsid w:val="57FB2FB4"/>
    <w:rsid w:val="580C3D4A"/>
    <w:rsid w:val="582028C2"/>
    <w:rsid w:val="582908A2"/>
    <w:rsid w:val="583D07DD"/>
    <w:rsid w:val="585F1862"/>
    <w:rsid w:val="58620D26"/>
    <w:rsid w:val="58706FB1"/>
    <w:rsid w:val="587C5983"/>
    <w:rsid w:val="58E8415E"/>
    <w:rsid w:val="58FF1A45"/>
    <w:rsid w:val="59182567"/>
    <w:rsid w:val="591C580B"/>
    <w:rsid w:val="5926497A"/>
    <w:rsid w:val="592A1893"/>
    <w:rsid w:val="595D3E12"/>
    <w:rsid w:val="59961EFB"/>
    <w:rsid w:val="59A11353"/>
    <w:rsid w:val="59B40569"/>
    <w:rsid w:val="5A0336C4"/>
    <w:rsid w:val="5A1D0D82"/>
    <w:rsid w:val="5A20315B"/>
    <w:rsid w:val="5A4C2893"/>
    <w:rsid w:val="5A5827FE"/>
    <w:rsid w:val="5A70211C"/>
    <w:rsid w:val="5AAB2A29"/>
    <w:rsid w:val="5AAB3211"/>
    <w:rsid w:val="5AAC7307"/>
    <w:rsid w:val="5AB86388"/>
    <w:rsid w:val="5ABF41C0"/>
    <w:rsid w:val="5AD07CB2"/>
    <w:rsid w:val="5AE37CAA"/>
    <w:rsid w:val="5AEF1DC1"/>
    <w:rsid w:val="5B3A7E78"/>
    <w:rsid w:val="5B3D442E"/>
    <w:rsid w:val="5B412C22"/>
    <w:rsid w:val="5B4B2EB1"/>
    <w:rsid w:val="5B570332"/>
    <w:rsid w:val="5B583D6C"/>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202057"/>
    <w:rsid w:val="5D2578B0"/>
    <w:rsid w:val="5D4700C2"/>
    <w:rsid w:val="5D6C4615"/>
    <w:rsid w:val="5D6D48D7"/>
    <w:rsid w:val="5D786312"/>
    <w:rsid w:val="5D7C5A81"/>
    <w:rsid w:val="5DD31E8F"/>
    <w:rsid w:val="5DDF2196"/>
    <w:rsid w:val="5DF704AE"/>
    <w:rsid w:val="5DF954B7"/>
    <w:rsid w:val="5DFF05CD"/>
    <w:rsid w:val="5E1672C2"/>
    <w:rsid w:val="5E1B6033"/>
    <w:rsid w:val="5E2612F9"/>
    <w:rsid w:val="5E534129"/>
    <w:rsid w:val="5E6E3C24"/>
    <w:rsid w:val="5E7255BD"/>
    <w:rsid w:val="5E7D74BF"/>
    <w:rsid w:val="5E937CCC"/>
    <w:rsid w:val="5EF83794"/>
    <w:rsid w:val="5F0173CC"/>
    <w:rsid w:val="5F1A1A93"/>
    <w:rsid w:val="5F1A4D0E"/>
    <w:rsid w:val="5F287F7E"/>
    <w:rsid w:val="5F475677"/>
    <w:rsid w:val="5F484198"/>
    <w:rsid w:val="5F567498"/>
    <w:rsid w:val="5F7D71F9"/>
    <w:rsid w:val="5F8420E2"/>
    <w:rsid w:val="5F887220"/>
    <w:rsid w:val="5F9022AB"/>
    <w:rsid w:val="5F943824"/>
    <w:rsid w:val="5FB81E56"/>
    <w:rsid w:val="5FD85FDC"/>
    <w:rsid w:val="5FEB78D3"/>
    <w:rsid w:val="5FEC00EE"/>
    <w:rsid w:val="600951D4"/>
    <w:rsid w:val="6010358A"/>
    <w:rsid w:val="601A25EF"/>
    <w:rsid w:val="60250EC1"/>
    <w:rsid w:val="603E7832"/>
    <w:rsid w:val="6044067F"/>
    <w:rsid w:val="60793AF7"/>
    <w:rsid w:val="6099592B"/>
    <w:rsid w:val="60A13AB9"/>
    <w:rsid w:val="60A7744C"/>
    <w:rsid w:val="60CF04AB"/>
    <w:rsid w:val="60DB5486"/>
    <w:rsid w:val="60E82C1A"/>
    <w:rsid w:val="60EC0541"/>
    <w:rsid w:val="60F65BD0"/>
    <w:rsid w:val="60FD245E"/>
    <w:rsid w:val="60FD6695"/>
    <w:rsid w:val="61033EA8"/>
    <w:rsid w:val="610A1613"/>
    <w:rsid w:val="61251167"/>
    <w:rsid w:val="61432D9E"/>
    <w:rsid w:val="61683AEB"/>
    <w:rsid w:val="618A70BC"/>
    <w:rsid w:val="61963F6D"/>
    <w:rsid w:val="61BD1F9D"/>
    <w:rsid w:val="61EA093B"/>
    <w:rsid w:val="62024DB4"/>
    <w:rsid w:val="62117D72"/>
    <w:rsid w:val="62140656"/>
    <w:rsid w:val="62210A89"/>
    <w:rsid w:val="62285DB7"/>
    <w:rsid w:val="62410803"/>
    <w:rsid w:val="626857C6"/>
    <w:rsid w:val="628538C3"/>
    <w:rsid w:val="62923991"/>
    <w:rsid w:val="62966DA1"/>
    <w:rsid w:val="62F20D03"/>
    <w:rsid w:val="62F26EC0"/>
    <w:rsid w:val="62F75B83"/>
    <w:rsid w:val="63095375"/>
    <w:rsid w:val="6312135F"/>
    <w:rsid w:val="632A3D0D"/>
    <w:rsid w:val="633443AB"/>
    <w:rsid w:val="638857E1"/>
    <w:rsid w:val="63AB78F4"/>
    <w:rsid w:val="63C642C7"/>
    <w:rsid w:val="63C85688"/>
    <w:rsid w:val="63CD5666"/>
    <w:rsid w:val="63D01EF3"/>
    <w:rsid w:val="63D2038C"/>
    <w:rsid w:val="63E631E1"/>
    <w:rsid w:val="63F66CE6"/>
    <w:rsid w:val="640E7E19"/>
    <w:rsid w:val="647527CB"/>
    <w:rsid w:val="648A0F84"/>
    <w:rsid w:val="648E4974"/>
    <w:rsid w:val="648F4377"/>
    <w:rsid w:val="649E65A7"/>
    <w:rsid w:val="64B70C4D"/>
    <w:rsid w:val="64D14920"/>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42669A"/>
    <w:rsid w:val="666717B3"/>
    <w:rsid w:val="6668032B"/>
    <w:rsid w:val="667C4290"/>
    <w:rsid w:val="66C95898"/>
    <w:rsid w:val="66F8201A"/>
    <w:rsid w:val="671C5A04"/>
    <w:rsid w:val="673F01D2"/>
    <w:rsid w:val="676777C3"/>
    <w:rsid w:val="677D4B8A"/>
    <w:rsid w:val="67802ACE"/>
    <w:rsid w:val="67804B33"/>
    <w:rsid w:val="67C40A09"/>
    <w:rsid w:val="67D020A7"/>
    <w:rsid w:val="67D600B8"/>
    <w:rsid w:val="67DC1DB1"/>
    <w:rsid w:val="67E4087E"/>
    <w:rsid w:val="6821192D"/>
    <w:rsid w:val="68337E89"/>
    <w:rsid w:val="68337EE8"/>
    <w:rsid w:val="683A6C76"/>
    <w:rsid w:val="685C5B46"/>
    <w:rsid w:val="688C0656"/>
    <w:rsid w:val="68AE1735"/>
    <w:rsid w:val="68B72950"/>
    <w:rsid w:val="68D60630"/>
    <w:rsid w:val="68F00432"/>
    <w:rsid w:val="68F8555D"/>
    <w:rsid w:val="691D712E"/>
    <w:rsid w:val="697E7396"/>
    <w:rsid w:val="69A009FE"/>
    <w:rsid w:val="69A729C5"/>
    <w:rsid w:val="69BF206E"/>
    <w:rsid w:val="69CA348C"/>
    <w:rsid w:val="69E46DF1"/>
    <w:rsid w:val="69E8174D"/>
    <w:rsid w:val="69EB7655"/>
    <w:rsid w:val="69F66247"/>
    <w:rsid w:val="69F820EF"/>
    <w:rsid w:val="69F86AAF"/>
    <w:rsid w:val="6A1F6154"/>
    <w:rsid w:val="6A2746CC"/>
    <w:rsid w:val="6A4F7CF0"/>
    <w:rsid w:val="6A5517EC"/>
    <w:rsid w:val="6A694BA1"/>
    <w:rsid w:val="6A734205"/>
    <w:rsid w:val="6AB40C27"/>
    <w:rsid w:val="6ABC3292"/>
    <w:rsid w:val="6AC04F0B"/>
    <w:rsid w:val="6AD34458"/>
    <w:rsid w:val="6ADC4801"/>
    <w:rsid w:val="6ADF25FC"/>
    <w:rsid w:val="6B020CD0"/>
    <w:rsid w:val="6B1148AC"/>
    <w:rsid w:val="6B3E0351"/>
    <w:rsid w:val="6B42449D"/>
    <w:rsid w:val="6B4A5562"/>
    <w:rsid w:val="6B565807"/>
    <w:rsid w:val="6B633598"/>
    <w:rsid w:val="6B7A369F"/>
    <w:rsid w:val="6BAC2823"/>
    <w:rsid w:val="6BB25BC3"/>
    <w:rsid w:val="6BBD5024"/>
    <w:rsid w:val="6BF37DF1"/>
    <w:rsid w:val="6C630CE9"/>
    <w:rsid w:val="6C914CAA"/>
    <w:rsid w:val="6CB57E24"/>
    <w:rsid w:val="6CEC0F34"/>
    <w:rsid w:val="6CF73CA4"/>
    <w:rsid w:val="6CFD2B6A"/>
    <w:rsid w:val="6D005FF7"/>
    <w:rsid w:val="6D05105B"/>
    <w:rsid w:val="6D207FCD"/>
    <w:rsid w:val="6D280C36"/>
    <w:rsid w:val="6D286C4C"/>
    <w:rsid w:val="6D2B5B01"/>
    <w:rsid w:val="6D381497"/>
    <w:rsid w:val="6D6A2DB3"/>
    <w:rsid w:val="6D6A69AA"/>
    <w:rsid w:val="6D79127B"/>
    <w:rsid w:val="6D832281"/>
    <w:rsid w:val="6DC237AE"/>
    <w:rsid w:val="6DF91502"/>
    <w:rsid w:val="6E01482E"/>
    <w:rsid w:val="6E0D1941"/>
    <w:rsid w:val="6E18292B"/>
    <w:rsid w:val="6E402C35"/>
    <w:rsid w:val="6E403BCF"/>
    <w:rsid w:val="6E424CF7"/>
    <w:rsid w:val="6E7C4C28"/>
    <w:rsid w:val="6E96703D"/>
    <w:rsid w:val="6E984122"/>
    <w:rsid w:val="6EC4761A"/>
    <w:rsid w:val="6ED26905"/>
    <w:rsid w:val="6ED924EF"/>
    <w:rsid w:val="6EE20566"/>
    <w:rsid w:val="6EEB6DD8"/>
    <w:rsid w:val="6EF513F6"/>
    <w:rsid w:val="6F1F0771"/>
    <w:rsid w:val="6F3669E2"/>
    <w:rsid w:val="6F3A0437"/>
    <w:rsid w:val="6F452492"/>
    <w:rsid w:val="6F4E1ABB"/>
    <w:rsid w:val="6F546A3B"/>
    <w:rsid w:val="6F65489B"/>
    <w:rsid w:val="6F86274A"/>
    <w:rsid w:val="6F8A6B50"/>
    <w:rsid w:val="6F9E4E98"/>
    <w:rsid w:val="6FB536E7"/>
    <w:rsid w:val="6FC169C6"/>
    <w:rsid w:val="6FD20CED"/>
    <w:rsid w:val="700148B1"/>
    <w:rsid w:val="700708F2"/>
    <w:rsid w:val="700C2E32"/>
    <w:rsid w:val="70262445"/>
    <w:rsid w:val="70796EB7"/>
    <w:rsid w:val="70846EFD"/>
    <w:rsid w:val="70891E2B"/>
    <w:rsid w:val="709304FC"/>
    <w:rsid w:val="70B21D55"/>
    <w:rsid w:val="70BA4068"/>
    <w:rsid w:val="70F06D61"/>
    <w:rsid w:val="70F36F46"/>
    <w:rsid w:val="71231B23"/>
    <w:rsid w:val="713B214A"/>
    <w:rsid w:val="714633CE"/>
    <w:rsid w:val="718621EE"/>
    <w:rsid w:val="71894FD2"/>
    <w:rsid w:val="71A3311F"/>
    <w:rsid w:val="71AA4E1C"/>
    <w:rsid w:val="71DD0526"/>
    <w:rsid w:val="72005730"/>
    <w:rsid w:val="72280301"/>
    <w:rsid w:val="7231753D"/>
    <w:rsid w:val="72386C6E"/>
    <w:rsid w:val="723A3057"/>
    <w:rsid w:val="72400885"/>
    <w:rsid w:val="724B6026"/>
    <w:rsid w:val="725273EA"/>
    <w:rsid w:val="725B1897"/>
    <w:rsid w:val="72603689"/>
    <w:rsid w:val="726C47BC"/>
    <w:rsid w:val="72CD2240"/>
    <w:rsid w:val="72DC19E2"/>
    <w:rsid w:val="72E9747C"/>
    <w:rsid w:val="72EC4E12"/>
    <w:rsid w:val="73373DED"/>
    <w:rsid w:val="73391B68"/>
    <w:rsid w:val="733F7A24"/>
    <w:rsid w:val="735C44F0"/>
    <w:rsid w:val="736A01CD"/>
    <w:rsid w:val="736B4D35"/>
    <w:rsid w:val="73741988"/>
    <w:rsid w:val="73814929"/>
    <w:rsid w:val="738F631E"/>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6464A"/>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5C257E"/>
    <w:rsid w:val="78731F0E"/>
    <w:rsid w:val="78754CBA"/>
    <w:rsid w:val="787D7DBA"/>
    <w:rsid w:val="78962FA5"/>
    <w:rsid w:val="789950B8"/>
    <w:rsid w:val="78C148AC"/>
    <w:rsid w:val="78CA1FEE"/>
    <w:rsid w:val="78CB3FEB"/>
    <w:rsid w:val="793B5CE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4109A6"/>
    <w:rsid w:val="7B6F1BD0"/>
    <w:rsid w:val="7B732126"/>
    <w:rsid w:val="7B755C15"/>
    <w:rsid w:val="7B7B20CE"/>
    <w:rsid w:val="7B8E1216"/>
    <w:rsid w:val="7B9A1345"/>
    <w:rsid w:val="7BCA6C86"/>
    <w:rsid w:val="7C044DA1"/>
    <w:rsid w:val="7C365DE1"/>
    <w:rsid w:val="7C5D7DFC"/>
    <w:rsid w:val="7C80617B"/>
    <w:rsid w:val="7CA33449"/>
    <w:rsid w:val="7D0A0BA4"/>
    <w:rsid w:val="7D107AF3"/>
    <w:rsid w:val="7D4253C7"/>
    <w:rsid w:val="7D4C5341"/>
    <w:rsid w:val="7D4E5EE6"/>
    <w:rsid w:val="7D8901AD"/>
    <w:rsid w:val="7D8E577D"/>
    <w:rsid w:val="7D9A426A"/>
    <w:rsid w:val="7E006F08"/>
    <w:rsid w:val="7E1370A0"/>
    <w:rsid w:val="7E333E03"/>
    <w:rsid w:val="7E391FE6"/>
    <w:rsid w:val="7E916762"/>
    <w:rsid w:val="7EA916FD"/>
    <w:rsid w:val="7EAB552B"/>
    <w:rsid w:val="7EE53C64"/>
    <w:rsid w:val="7F541580"/>
    <w:rsid w:val="7F590594"/>
    <w:rsid w:val="7F667225"/>
    <w:rsid w:val="7F844A6E"/>
    <w:rsid w:val="7F956BE0"/>
    <w:rsid w:val="7FA40A1F"/>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toc 7"/>
    <w:basedOn w:val="1"/>
    <w:next w:val="1"/>
    <w:autoRedefine/>
    <w:qFormat/>
    <w:uiPriority w:val="0"/>
    <w:pPr>
      <w:widowControl/>
      <w:spacing w:line="460" w:lineRule="exact"/>
      <w:ind w:left="1200" w:firstLine="200" w:firstLineChars="200"/>
      <w:jc w:val="left"/>
    </w:pPr>
    <w:rPr>
      <w:rFonts w:ascii="Times New Roman" w:hAnsi="Times New Roman" w:eastAsia="宋体" w:cs="Times New Roman"/>
      <w:kern w:val="0"/>
      <w:sz w:val="24"/>
      <w:szCs w:val="20"/>
    </w:r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next w:val="10"/>
    <w:autoRedefine/>
    <w:qFormat/>
    <w:uiPriority w:val="0"/>
    <w:pPr>
      <w:spacing w:after="120" w:afterLines="0"/>
      <w:ind w:left="420" w:leftChars="200"/>
    </w:pPr>
  </w:style>
  <w:style w:type="paragraph" w:styleId="10">
    <w:name w:val="envelope return"/>
    <w:basedOn w:val="1"/>
    <w:autoRedefine/>
    <w:qFormat/>
    <w:uiPriority w:val="0"/>
    <w:pPr>
      <w:snapToGrid w:val="0"/>
    </w:pPr>
    <w:rPr>
      <w:rFonts w:ascii="Arial" w:hAnsi="Arial"/>
    </w:r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autoRedefine/>
    <w:qFormat/>
    <w:uiPriority w:val="0"/>
    <w:pPr>
      <w:ind w:firstLine="420" w:firstLineChars="100"/>
    </w:pPr>
  </w:style>
  <w:style w:type="paragraph" w:styleId="17">
    <w:name w:val="Body Text First Indent 2"/>
    <w:basedOn w:val="9"/>
    <w:next w:val="16"/>
    <w:autoRedefine/>
    <w:qFormat/>
    <w:uiPriority w:val="0"/>
    <w:pPr>
      <w:ind w:firstLine="420" w:firstLineChars="20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paragraph" w:customStyle="1" w:styleId="31">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lang w:val="en-US" w:eastAsia="zh-CN" w:bidi="ar-SA"/>
    </w:rPr>
  </w:style>
  <w:style w:type="character" w:customStyle="1" w:styleId="32">
    <w:name w:val="font41"/>
    <w:basedOn w:val="20"/>
    <w:autoRedefine/>
    <w:qFormat/>
    <w:uiPriority w:val="0"/>
    <w:rPr>
      <w:rFonts w:hint="eastAsia" w:ascii="宋体" w:hAnsi="宋体" w:eastAsia="宋体" w:cs="宋体"/>
      <w:color w:val="000000"/>
      <w:sz w:val="21"/>
      <w:szCs w:val="21"/>
      <w:u w:val="none"/>
    </w:rPr>
  </w:style>
  <w:style w:type="character" w:customStyle="1" w:styleId="33">
    <w:name w:val="font51"/>
    <w:basedOn w:val="20"/>
    <w:autoRedefine/>
    <w:qFormat/>
    <w:uiPriority w:val="0"/>
    <w:rPr>
      <w:rFonts w:hint="default" w:ascii="Times New Roman" w:hAnsi="Times New Roman" w:cs="Times New Roman"/>
      <w:color w:val="000000"/>
      <w:sz w:val="21"/>
      <w:szCs w:val="21"/>
      <w:u w:val="none"/>
    </w:rPr>
  </w:style>
  <w:style w:type="character" w:customStyle="1" w:styleId="34">
    <w:name w:val="font61"/>
    <w:basedOn w:val="20"/>
    <w:autoRedefine/>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10788</Words>
  <Characters>12113</Characters>
  <Lines>0</Lines>
  <Paragraphs>0</Paragraphs>
  <TotalTime>5</TotalTime>
  <ScaleCrop>false</ScaleCrop>
  <LinksUpToDate>false</LinksUpToDate>
  <CharactersWithSpaces>13701</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2023-12-15T02:18:00Z</cp:lastPrinted>
  <dcterms:modified xsi:type="dcterms:W3CDTF">2024-01-16T00:32:06Z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B025B1B69809472AA10CCD2947880001_13</vt:lpwstr>
  </property>
</Properties>
</file>