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bookmarkStart w:id="0" w:name="_GoBack"/>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spacing w:line="52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（一）中标</w:t>
      </w:r>
      <w:r>
        <w:rPr>
          <w:rFonts w:ascii="仿宋_GB2312" w:hAnsi="Times New Roman" w:eastAsia="仿宋_GB2312"/>
          <w:sz w:val="32"/>
          <w:szCs w:val="32"/>
        </w:rPr>
        <w:t>单位</w:t>
      </w:r>
      <w:r>
        <w:rPr>
          <w:rFonts w:hint="eastAsia" w:ascii="仿宋_GB2312" w:hAnsi="Times New Roman" w:eastAsia="仿宋_GB2312"/>
          <w:sz w:val="32"/>
          <w:szCs w:val="32"/>
          <w:lang w:val="en-US" w:eastAsia="zh-CN"/>
        </w:rPr>
        <w:t>须</w:t>
      </w:r>
      <w:r>
        <w:rPr>
          <w:rFonts w:hint="eastAsia" w:ascii="仿宋_GB2312" w:hAnsi="Times New Roman" w:eastAsia="仿宋_GB2312"/>
          <w:sz w:val="32"/>
          <w:szCs w:val="32"/>
        </w:rPr>
        <w:t>提供生产标线涂料成品</w:t>
      </w:r>
      <w:r>
        <w:rPr>
          <w:rFonts w:ascii="仿宋_GB2312" w:hAnsi="Times New Roman" w:eastAsia="仿宋_GB2312"/>
          <w:sz w:val="32"/>
          <w:szCs w:val="32"/>
        </w:rPr>
        <w:t>的</w:t>
      </w:r>
      <w:r>
        <w:rPr>
          <w:rFonts w:hint="eastAsia" w:ascii="仿宋_GB2312" w:hAnsi="Times New Roman" w:eastAsia="仿宋_GB2312"/>
          <w:sz w:val="32"/>
          <w:szCs w:val="32"/>
        </w:rPr>
        <w:t>材料</w:t>
      </w:r>
      <w:r>
        <w:rPr>
          <w:rFonts w:ascii="仿宋_GB2312" w:hAnsi="Times New Roman" w:eastAsia="仿宋_GB2312"/>
          <w:sz w:val="32"/>
          <w:szCs w:val="32"/>
        </w:rPr>
        <w:t>配方，</w:t>
      </w:r>
      <w:r>
        <w:rPr>
          <w:rFonts w:hint="eastAsia" w:ascii="仿宋_GB2312" w:hAnsi="Times New Roman" w:eastAsia="仿宋_GB2312"/>
          <w:sz w:val="32"/>
          <w:szCs w:val="32"/>
        </w:rPr>
        <w:t>并保证提供的生产配方质量及所供应的原材料，应符合《路面标线涂料》（JT/T 280-2022）、《路面标线用玻璃珠》（GB/T 24722-2020）、《路面标线材料有害物质限量》（JT</w:t>
      </w:r>
      <w:r>
        <w:rPr>
          <w:rFonts w:hint="eastAsia" w:ascii="微软雅黑" w:hAnsi="微软雅黑" w:eastAsia="微软雅黑" w:cs="微软雅黑"/>
          <w:sz w:val="32"/>
          <w:szCs w:val="32"/>
        </w:rPr>
        <w:t>∕</w:t>
      </w:r>
      <w:r>
        <w:rPr>
          <w:rFonts w:hint="eastAsia" w:ascii="仿宋_GB2312" w:hAnsi="Times New Roman" w:eastAsia="仿宋_GB2312"/>
          <w:sz w:val="32"/>
          <w:szCs w:val="32"/>
        </w:rPr>
        <w:t>T 1326-2020）等相关规定（详见附件1、</w:t>
      </w:r>
      <w:r>
        <w:rPr>
          <w:rFonts w:ascii="仿宋_GB2312" w:hAnsi="Times New Roman" w:eastAsia="仿宋_GB2312"/>
          <w:sz w:val="32"/>
          <w:szCs w:val="32"/>
        </w:rPr>
        <w:t>附件</w:t>
      </w:r>
      <w:r>
        <w:rPr>
          <w:rFonts w:hint="eastAsia" w:ascii="仿宋_GB2312" w:hAnsi="Times New Roman" w:eastAsia="仿宋_GB2312"/>
          <w:sz w:val="32"/>
          <w:szCs w:val="32"/>
        </w:rPr>
        <w:t>2、</w:t>
      </w:r>
      <w:r>
        <w:rPr>
          <w:rFonts w:ascii="仿宋_GB2312" w:hAnsi="Times New Roman" w:eastAsia="仿宋_GB2312"/>
          <w:sz w:val="32"/>
          <w:szCs w:val="32"/>
        </w:rPr>
        <w:t>附件</w:t>
      </w:r>
      <w:r>
        <w:rPr>
          <w:rFonts w:hint="eastAsia" w:ascii="仿宋_GB2312" w:hAnsi="Times New Roman" w:eastAsia="仿宋_GB2312"/>
          <w:sz w:val="32"/>
          <w:szCs w:val="32"/>
        </w:rPr>
        <w:t>3）。若中标单位所提供的生产配方质量及所供应的原材料不符合采购方要求，采购方有权解除合同。</w:t>
      </w:r>
    </w:p>
    <w:p>
      <w:pPr>
        <w:spacing w:line="52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（二）中标单位与采购方签订的</w:t>
      </w:r>
      <w:r>
        <w:rPr>
          <w:rFonts w:ascii="仿宋_GB2312" w:hAnsi="Times New Roman" w:eastAsia="仿宋_GB2312"/>
          <w:sz w:val="32"/>
          <w:szCs w:val="32"/>
        </w:rPr>
        <w:t>合同为</w:t>
      </w:r>
      <w:r>
        <w:rPr>
          <w:rFonts w:hint="eastAsia" w:ascii="仿宋_GB2312" w:hAnsi="Times New Roman" w:eastAsia="仿宋_GB2312"/>
          <w:sz w:val="32"/>
          <w:szCs w:val="32"/>
        </w:rPr>
        <w:t>固定单价合同，</w:t>
      </w:r>
      <w:r>
        <w:rPr>
          <w:rFonts w:ascii="仿宋_GB2312" w:hAnsi="Times New Roman" w:eastAsia="仿宋_GB2312"/>
          <w:sz w:val="32"/>
          <w:szCs w:val="32"/>
        </w:rPr>
        <w:t>采购数量为暂定数量，具体数量以实际使用为准，</w:t>
      </w:r>
      <w:r>
        <w:rPr>
          <w:rFonts w:hint="eastAsia" w:ascii="仿宋_GB2312" w:hAnsi="Times New Roman" w:eastAsia="仿宋_GB2312"/>
          <w:sz w:val="32"/>
          <w:szCs w:val="32"/>
        </w:rPr>
        <w:t>合同期间内按照采购方需求</w:t>
      </w:r>
      <w:r>
        <w:rPr>
          <w:rFonts w:ascii="仿宋_GB2312" w:hAnsi="Times New Roman" w:eastAsia="仿宋_GB2312"/>
          <w:sz w:val="32"/>
          <w:szCs w:val="32"/>
        </w:rPr>
        <w:t>分批次进行发货。</w:t>
      </w:r>
    </w:p>
    <w:p>
      <w:pPr>
        <w:keepNext w:val="0"/>
        <w:keepLines w:val="0"/>
        <w:pageBreakBefore w:val="0"/>
        <w:widowControl w:val="0"/>
        <w:kinsoku/>
        <w:wordWrap w:val="0"/>
        <w:overflowPunct/>
        <w:topLinePunct w:val="0"/>
        <w:autoSpaceDE/>
        <w:autoSpaceDN/>
        <w:bidi w:val="0"/>
        <w:adjustRightInd/>
        <w:snapToGrid/>
        <w:spacing w:line="430" w:lineRule="exact"/>
        <w:ind w:firstLine="640" w:firstLineChars="200"/>
        <w:textAlignment w:val="auto"/>
        <w:rPr>
          <w:rFonts w:hint="eastAsia" w:ascii="仿宋_GB2312" w:hAnsi="Times New Roman" w:eastAsia="仿宋_GB2312"/>
          <w:sz w:val="32"/>
          <w:szCs w:val="32"/>
        </w:rPr>
      </w:pPr>
      <w:r>
        <w:rPr>
          <w:rFonts w:hint="eastAsia" w:ascii="仿宋_GB2312" w:hAnsi="Times New Roman" w:eastAsia="仿宋_GB2312"/>
          <w:sz w:val="32"/>
          <w:szCs w:val="32"/>
        </w:rPr>
        <w:t>（三）中标单位负责热熔标线涂料生产过程中的配方指导技术服务，赴采购方现场指导调试并实施生产（不少于2次，合计不低于3天），期间发生的一切</w:t>
      </w:r>
      <w:r>
        <w:rPr>
          <w:rFonts w:hint="eastAsia" w:ascii="仿宋_GB2312" w:hAnsi="Times New Roman" w:eastAsia="仿宋_GB2312"/>
          <w:sz w:val="32"/>
          <w:szCs w:val="32"/>
        </w:rPr>
        <w:t>费用均</w:t>
      </w:r>
      <w:r>
        <w:rPr>
          <w:rFonts w:hint="eastAsia" w:ascii="仿宋_GB2312" w:hAnsi="Times New Roman" w:eastAsia="仿宋_GB2312"/>
          <w:sz w:val="32"/>
          <w:szCs w:val="32"/>
        </w:rPr>
        <w:t>中标方承担。</w:t>
      </w:r>
    </w:p>
    <w:p>
      <w:pPr>
        <w:rPr>
          <w:rFonts w:hint="eastAsia" w:ascii="仿宋_GB2312" w:hAnsi="Times New Roman" w:eastAsia="仿宋_GB2312"/>
          <w:sz w:val="32"/>
          <w:szCs w:val="32"/>
        </w:rPr>
      </w:pPr>
      <w:r>
        <w:rPr>
          <w:rFonts w:hint="eastAsia" w:ascii="仿宋_GB2312" w:hAnsi="Times New Roman" w:eastAsia="仿宋_GB2312"/>
          <w:sz w:val="32"/>
          <w:szCs w:val="32"/>
        </w:rPr>
        <w:br w:type="page"/>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仿宋_GB2312" w:hAnsi="Times New Roman" w:eastAsia="仿宋_GB2312"/>
          <w:sz w:val="32"/>
          <w:szCs w:val="32"/>
          <w:lang w:val="en-US" w:eastAsia="zh-CN"/>
        </w:rPr>
      </w:pPr>
      <w:r>
        <w:rPr>
          <w:rFonts w:hint="eastAsia" w:ascii="仿宋_GB2312" w:hAnsi="Times New Roman" w:eastAsia="仿宋_GB2312"/>
          <w:sz w:val="32"/>
          <w:szCs w:val="32"/>
          <w:lang w:val="en-US" w:eastAsia="zh-CN"/>
        </w:rPr>
        <w:t>材料清单表：</w:t>
      </w:r>
    </w:p>
    <w:tbl>
      <w:tblPr>
        <w:tblStyle w:val="10"/>
        <w:tblW w:w="8930" w:type="dxa"/>
        <w:tblInd w:w="137" w:type="dxa"/>
        <w:tblLayout w:type="fixed"/>
        <w:tblCellMar>
          <w:top w:w="0" w:type="dxa"/>
          <w:left w:w="108" w:type="dxa"/>
          <w:bottom w:w="0" w:type="dxa"/>
          <w:right w:w="108" w:type="dxa"/>
        </w:tblCellMar>
      </w:tblPr>
      <w:tblGrid>
        <w:gridCol w:w="709"/>
        <w:gridCol w:w="1657"/>
        <w:gridCol w:w="2028"/>
        <w:gridCol w:w="1188"/>
        <w:gridCol w:w="1248"/>
        <w:gridCol w:w="1108"/>
        <w:gridCol w:w="992"/>
      </w:tblGrid>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序号</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名称</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规格要求</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暂定采购数量（吨）</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lang w:bidi="ar"/>
              </w:rPr>
            </w:pPr>
            <w:r>
              <w:rPr>
                <w:rFonts w:hint="eastAsia" w:ascii="宋体" w:hAnsi="宋体" w:cs="宋体"/>
                <w:sz w:val="24"/>
                <w:lang w:eastAsia="zh-CN" w:bidi="ar"/>
              </w:rPr>
              <w:t>单</w:t>
            </w:r>
            <w:r>
              <w:rPr>
                <w:rFonts w:hint="eastAsia" w:ascii="宋体" w:hAnsi="宋体" w:cs="宋体"/>
                <w:sz w:val="24"/>
                <w:lang w:bidi="ar"/>
              </w:rPr>
              <w:t>价</w:t>
            </w:r>
          </w:p>
          <w:p>
            <w:pPr>
              <w:widowControl/>
              <w:jc w:val="center"/>
              <w:textAlignment w:val="center"/>
              <w:rPr>
                <w:rFonts w:ascii="宋体" w:hAnsi="宋体" w:cs="宋体"/>
                <w:color w:val="000000"/>
                <w:sz w:val="24"/>
              </w:rPr>
            </w:pPr>
            <w:r>
              <w:rPr>
                <w:rFonts w:hint="eastAsia" w:ascii="宋体" w:hAnsi="宋体" w:cs="宋体"/>
                <w:sz w:val="24"/>
                <w:lang w:bidi="ar"/>
              </w:rPr>
              <w:t>（元/吨）</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lang w:eastAsia="zh-CN" w:bidi="ar"/>
              </w:rPr>
            </w:pPr>
            <w:r>
              <w:rPr>
                <w:rFonts w:hint="eastAsia" w:ascii="宋体" w:hAnsi="宋体" w:cs="宋体"/>
                <w:color w:val="000000"/>
                <w:sz w:val="24"/>
                <w:lang w:eastAsia="zh-CN" w:bidi="ar"/>
              </w:rPr>
              <w:t>总价</w:t>
            </w:r>
          </w:p>
          <w:p>
            <w:pPr>
              <w:widowControl/>
              <w:jc w:val="center"/>
              <w:textAlignment w:val="center"/>
              <w:rPr>
                <w:rFonts w:ascii="宋体" w:hAnsi="宋体" w:cs="宋体"/>
                <w:color w:val="000000"/>
                <w:sz w:val="24"/>
              </w:rPr>
            </w:pPr>
            <w:r>
              <w:rPr>
                <w:rFonts w:hint="eastAsia" w:ascii="宋体" w:hAnsi="宋体" w:cs="宋体"/>
                <w:color w:val="000000"/>
                <w:sz w:val="24"/>
                <w:lang w:bidi="ar"/>
              </w:rPr>
              <w:t>（元）</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备注</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1</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等线" w:hAnsi="等线" w:eastAsia="等线"/>
                <w:color w:val="000000"/>
                <w:kern w:val="0"/>
                <w:sz w:val="22"/>
                <w:szCs w:val="22"/>
              </w:rPr>
            </w:pPr>
            <w:r>
              <w:rPr>
                <w:rFonts w:hint="eastAsia" w:ascii="宋体" w:hAnsi="宋体" w:cs="宋体"/>
                <w:color w:val="000000"/>
                <w:sz w:val="24"/>
                <w:lang w:bidi="ar"/>
              </w:rPr>
              <w:t>C5石油树脂</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1*25</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60</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widowControl/>
              <w:ind w:firstLine="220" w:firstLineChars="100"/>
              <w:rPr>
                <w:rFonts w:ascii="等线" w:hAnsi="等线" w:eastAsia="等线"/>
                <w:color w:val="000000"/>
                <w:sz w:val="22"/>
              </w:rPr>
            </w:pPr>
            <w:r>
              <w:rPr>
                <w:rFonts w:hint="eastAsia" w:ascii="等线" w:hAnsi="等线" w:eastAsia="等线"/>
                <w:color w:val="000000"/>
                <w:sz w:val="22"/>
              </w:rPr>
              <w:t>10000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widowControl/>
              <w:rPr>
                <w:rFonts w:ascii="等线" w:hAnsi="等线" w:eastAsia="等线"/>
                <w:color w:val="000000"/>
                <w:sz w:val="22"/>
              </w:rPr>
            </w:pPr>
            <w:r>
              <w:rPr>
                <w:rFonts w:hint="eastAsia" w:ascii="等线" w:hAnsi="等线" w:eastAsia="等线"/>
                <w:color w:val="000000"/>
                <w:sz w:val="22"/>
              </w:rPr>
              <w:t>600000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2</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钛白粉</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1*25，吨包装</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6</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17000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102000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3</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增塑剂</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1*850</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7</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9500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66500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4</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聚乙烯蜡</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1*25</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6</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8700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52200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5</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流平剂</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1*25</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2</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9000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18000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6</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增白剂</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1*25</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2</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19000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38000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7</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振荡助剂</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1*20</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2</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32000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64000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8</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中铬黄</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1*25</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2</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25000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50000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rPr>
            </w:pPr>
            <w:r>
              <w:rPr>
                <w:rFonts w:hint="eastAsia" w:ascii="宋体" w:hAnsi="宋体" w:cs="宋体"/>
                <w:color w:val="000000"/>
                <w:sz w:val="24"/>
                <w:lang w:bidi="ar"/>
              </w:rPr>
              <w:t>9</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下涂剂（底胶）</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桶装（25kg</w:t>
            </w:r>
            <w:r>
              <w:rPr>
                <w:rFonts w:ascii="宋体" w:hAnsi="宋体" w:cs="宋体"/>
                <w:color w:val="000000"/>
                <w:sz w:val="24"/>
                <w:lang w:bidi="ar"/>
              </w:rPr>
              <w:t>/</w:t>
            </w:r>
            <w:r>
              <w:rPr>
                <w:rFonts w:hint="eastAsia" w:ascii="宋体" w:hAnsi="宋体" w:cs="宋体"/>
                <w:color w:val="000000"/>
                <w:sz w:val="24"/>
                <w:lang w:bidi="ar"/>
              </w:rPr>
              <w:t>桶）</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20</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7500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150000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10</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预混玻璃珠</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20-80</w:t>
            </w:r>
            <w:r>
              <w:rPr>
                <w:rFonts w:hint="eastAsia" w:ascii="宋体" w:hAnsi="宋体" w:cs="宋体"/>
                <w:color w:val="000000"/>
                <w:sz w:val="24"/>
                <w:lang w:bidi="ar"/>
              </w:rPr>
              <w:t>，1*25，吨包装</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40</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2500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100000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11</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面撒玻璃珠</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16-50</w:t>
            </w:r>
            <w:r>
              <w:rPr>
                <w:rFonts w:hint="eastAsia" w:ascii="宋体" w:hAnsi="宋体" w:cs="宋体"/>
                <w:color w:val="000000"/>
                <w:sz w:val="24"/>
                <w:lang w:bidi="ar"/>
              </w:rPr>
              <w:t>，1*25，吨包装</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30</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2900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87000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12</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钙粉</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按采购方规格要求，吨包装</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180</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450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81000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13</w:t>
            </w:r>
          </w:p>
        </w:tc>
        <w:tc>
          <w:tcPr>
            <w:tcW w:w="165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lang w:bidi="ar"/>
              </w:rPr>
            </w:pPr>
            <w:r>
              <w:rPr>
                <w:rFonts w:hint="eastAsia" w:ascii="宋体" w:hAnsi="宋体" w:cs="宋体"/>
                <w:color w:val="000000"/>
                <w:sz w:val="24"/>
                <w:lang w:bidi="ar"/>
              </w:rPr>
              <w:t>混合砂</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按采购方规格要求，吨包装</w:t>
            </w:r>
          </w:p>
        </w:tc>
        <w:tc>
          <w:tcPr>
            <w:tcW w:w="11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210</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ind w:firstLine="216" w:firstLineChars="90"/>
              <w:rPr>
                <w:rFonts w:ascii="宋体" w:hAnsi="宋体" w:cs="宋体"/>
                <w:color w:val="000000"/>
                <w:sz w:val="24"/>
                <w:lang w:bidi="ar"/>
              </w:rPr>
            </w:pPr>
            <w:r>
              <w:rPr>
                <w:rFonts w:hint="eastAsia" w:ascii="宋体" w:hAnsi="宋体" w:cs="宋体"/>
                <w:color w:val="000000"/>
                <w:sz w:val="24"/>
                <w:lang w:bidi="ar"/>
              </w:rPr>
              <w:t>450</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color w:val="000000"/>
                <w:sz w:val="24"/>
                <w:lang w:bidi="ar"/>
              </w:rPr>
            </w:pPr>
            <w:r>
              <w:rPr>
                <w:rFonts w:hint="eastAsia" w:ascii="宋体" w:hAnsi="宋体" w:cs="宋体"/>
                <w:color w:val="000000"/>
                <w:sz w:val="24"/>
                <w:lang w:bidi="ar"/>
              </w:rPr>
              <w:t>94500</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ascii="宋体" w:hAnsi="宋体" w:cs="宋体"/>
                <w:color w:val="000000"/>
                <w:sz w:val="24"/>
              </w:rPr>
            </w:pPr>
            <w:r>
              <w:rPr>
                <w:rFonts w:ascii="宋体" w:hAnsi="宋体" w:cs="宋体"/>
                <w:color w:val="000000"/>
                <w:sz w:val="24"/>
              </w:rPr>
              <w:t>含</w:t>
            </w:r>
            <w:r>
              <w:rPr>
                <w:rFonts w:hint="eastAsia" w:ascii="宋体" w:hAnsi="宋体" w:cs="宋体"/>
                <w:color w:val="000000"/>
                <w:sz w:val="24"/>
              </w:rPr>
              <w:t>1</w:t>
            </w:r>
            <w:r>
              <w:rPr>
                <w:rFonts w:ascii="宋体" w:hAnsi="宋体" w:cs="宋体"/>
                <w:color w:val="000000"/>
                <w:sz w:val="24"/>
              </w:rPr>
              <w:t>3%增值税</w:t>
            </w:r>
          </w:p>
        </w:tc>
      </w:tr>
      <w:tr>
        <w:tblPrEx>
          <w:tblCellMar>
            <w:top w:w="0" w:type="dxa"/>
            <w:left w:w="108" w:type="dxa"/>
            <w:bottom w:w="0" w:type="dxa"/>
            <w:right w:w="108" w:type="dxa"/>
          </w:tblCellMar>
        </w:tblPrEx>
        <w:trPr>
          <w:trHeight w:val="660" w:hRule="atLeast"/>
        </w:trPr>
        <w:tc>
          <w:tcPr>
            <w:tcW w:w="6830"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hint="eastAsia" w:ascii="宋体" w:hAnsi="宋体" w:cs="宋体"/>
                <w:color w:val="000000"/>
                <w:sz w:val="24"/>
                <w:lang w:bidi="ar"/>
              </w:rPr>
              <w:t>合计人民币</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r>
              <w:rPr>
                <w:rFonts w:ascii="宋体" w:hAnsi="宋体" w:cs="宋体"/>
                <w:color w:val="000000"/>
                <w:sz w:val="24"/>
                <w:lang w:bidi="ar"/>
              </w:rPr>
              <w:t>1503200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lang w:bidi="ar"/>
              </w:rPr>
            </w:pPr>
          </w:p>
        </w:tc>
      </w:tr>
    </w:tbl>
    <w:p>
      <w:pPr>
        <w:rPr>
          <w:rFonts w:hint="eastAsia" w:ascii="黑体" w:hAnsi="黑体" w:eastAsia="黑体"/>
          <w:sz w:val="28"/>
          <w:szCs w:val="32"/>
          <w:lang w:bidi="ar"/>
        </w:rPr>
      </w:pPr>
      <w:r>
        <w:rPr>
          <w:rFonts w:hint="eastAsia" w:ascii="黑体" w:hAnsi="黑体" w:eastAsia="黑体"/>
          <w:sz w:val="28"/>
          <w:szCs w:val="32"/>
          <w:lang w:bidi="ar"/>
        </w:rPr>
        <w:br w:type="page"/>
      </w:r>
    </w:p>
    <w:p>
      <w:pPr>
        <w:adjustRightInd w:val="0"/>
        <w:snapToGrid w:val="0"/>
        <w:spacing w:line="600" w:lineRule="exact"/>
        <w:ind w:firstLine="173" w:firstLineChars="62"/>
        <w:rPr>
          <w:rFonts w:ascii="黑体" w:hAnsi="黑体" w:eastAsia="黑体"/>
          <w:sz w:val="28"/>
          <w:szCs w:val="32"/>
          <w:lang w:bidi="ar"/>
        </w:rPr>
      </w:pPr>
      <w:r>
        <w:rPr>
          <w:rFonts w:hint="eastAsia" w:ascii="黑体" w:hAnsi="黑体" w:eastAsia="黑体"/>
          <w:sz w:val="28"/>
          <w:szCs w:val="32"/>
          <w:lang w:bidi="ar"/>
        </w:rPr>
        <w:t>1：热熔标线涂料性能要求</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1056"/>
        <w:gridCol w:w="1542"/>
        <w:gridCol w:w="2635"/>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Merge w:val="restart"/>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序号</w:t>
            </w:r>
          </w:p>
        </w:tc>
        <w:tc>
          <w:tcPr>
            <w:tcW w:w="2598" w:type="dxa"/>
            <w:gridSpan w:val="2"/>
            <w:vMerge w:val="restart"/>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项目</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Merge w:val="continue"/>
            <w:noWrap w:val="0"/>
            <w:vAlign w:val="center"/>
          </w:tcPr>
          <w:p>
            <w:pPr>
              <w:adjustRightInd w:val="0"/>
              <w:snapToGrid w:val="0"/>
              <w:ind w:firstLine="480"/>
              <w:jc w:val="center"/>
              <w:rPr>
                <w:rFonts w:ascii="宋体" w:hAnsi="宋体" w:cs="宋体"/>
                <w:sz w:val="24"/>
                <w:lang w:bidi="ar"/>
              </w:rPr>
            </w:pPr>
          </w:p>
        </w:tc>
        <w:tc>
          <w:tcPr>
            <w:tcW w:w="2598" w:type="dxa"/>
            <w:gridSpan w:val="2"/>
            <w:vMerge w:val="continue"/>
            <w:noWrap w:val="0"/>
            <w:vAlign w:val="center"/>
          </w:tcPr>
          <w:p>
            <w:pPr>
              <w:adjustRightInd w:val="0"/>
              <w:snapToGrid w:val="0"/>
              <w:ind w:firstLine="480"/>
              <w:jc w:val="center"/>
              <w:rPr>
                <w:rFonts w:ascii="宋体" w:hAnsi="宋体" w:cs="宋体"/>
                <w:sz w:val="24"/>
                <w:lang w:bidi="ar"/>
              </w:rPr>
            </w:pPr>
          </w:p>
        </w:tc>
        <w:tc>
          <w:tcPr>
            <w:tcW w:w="2635"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反光型</w:t>
            </w:r>
          </w:p>
        </w:tc>
        <w:tc>
          <w:tcPr>
            <w:tcW w:w="2460"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突起型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Merge w:val="restart"/>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w:t>
            </w:r>
          </w:p>
        </w:tc>
        <w:tc>
          <w:tcPr>
            <w:tcW w:w="1056" w:type="dxa"/>
            <w:vMerge w:val="restart"/>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原材料</w:t>
            </w:r>
          </w:p>
        </w:tc>
        <w:tc>
          <w:tcPr>
            <w:tcW w:w="1542"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预混玻璃珠</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应符合GB/T 24722-2020有关规定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Merge w:val="continue"/>
            <w:noWrap w:val="0"/>
            <w:vAlign w:val="center"/>
          </w:tcPr>
          <w:p>
            <w:pPr>
              <w:adjustRightInd w:val="0"/>
              <w:snapToGrid w:val="0"/>
              <w:ind w:firstLine="480"/>
              <w:jc w:val="center"/>
              <w:rPr>
                <w:rFonts w:ascii="宋体" w:hAnsi="宋体" w:cs="宋体"/>
                <w:sz w:val="24"/>
                <w:lang w:bidi="ar"/>
              </w:rPr>
            </w:pPr>
          </w:p>
        </w:tc>
        <w:tc>
          <w:tcPr>
            <w:tcW w:w="1056" w:type="dxa"/>
            <w:vMerge w:val="continue"/>
            <w:noWrap w:val="0"/>
            <w:vAlign w:val="center"/>
          </w:tcPr>
          <w:p>
            <w:pPr>
              <w:adjustRightInd w:val="0"/>
              <w:snapToGrid w:val="0"/>
              <w:ind w:firstLine="480"/>
              <w:jc w:val="center"/>
              <w:rPr>
                <w:rFonts w:ascii="宋体" w:hAnsi="宋体" w:cs="宋体"/>
                <w:sz w:val="24"/>
                <w:lang w:bidi="ar"/>
              </w:rPr>
            </w:pPr>
          </w:p>
        </w:tc>
        <w:tc>
          <w:tcPr>
            <w:tcW w:w="1542"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C5石油树脂</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见附件2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Merge w:val="continue"/>
            <w:noWrap w:val="0"/>
            <w:vAlign w:val="center"/>
          </w:tcPr>
          <w:p>
            <w:pPr>
              <w:adjustRightInd w:val="0"/>
              <w:snapToGrid w:val="0"/>
              <w:ind w:firstLine="480"/>
              <w:jc w:val="center"/>
              <w:rPr>
                <w:rFonts w:ascii="宋体" w:hAnsi="宋体" w:cs="宋体"/>
                <w:sz w:val="24"/>
                <w:lang w:bidi="ar"/>
              </w:rPr>
            </w:pPr>
          </w:p>
        </w:tc>
        <w:tc>
          <w:tcPr>
            <w:tcW w:w="1056" w:type="dxa"/>
            <w:vMerge w:val="continue"/>
            <w:noWrap w:val="0"/>
            <w:vAlign w:val="center"/>
          </w:tcPr>
          <w:p>
            <w:pPr>
              <w:adjustRightInd w:val="0"/>
              <w:snapToGrid w:val="0"/>
              <w:ind w:firstLine="480"/>
              <w:jc w:val="center"/>
              <w:rPr>
                <w:rFonts w:ascii="宋体" w:hAnsi="宋体" w:cs="宋体"/>
                <w:sz w:val="24"/>
                <w:lang w:bidi="ar"/>
              </w:rPr>
            </w:pPr>
          </w:p>
        </w:tc>
        <w:tc>
          <w:tcPr>
            <w:tcW w:w="1542"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聚乙烯蜡</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见附件3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Merge w:val="continue"/>
            <w:noWrap w:val="0"/>
            <w:vAlign w:val="center"/>
          </w:tcPr>
          <w:p>
            <w:pPr>
              <w:adjustRightInd w:val="0"/>
              <w:snapToGrid w:val="0"/>
              <w:ind w:firstLine="480"/>
              <w:jc w:val="center"/>
              <w:rPr>
                <w:rFonts w:ascii="宋体" w:hAnsi="宋体" w:cs="宋体"/>
                <w:sz w:val="24"/>
                <w:lang w:bidi="ar"/>
              </w:rPr>
            </w:pPr>
          </w:p>
        </w:tc>
        <w:tc>
          <w:tcPr>
            <w:tcW w:w="1056" w:type="dxa"/>
            <w:vMerge w:val="continue"/>
            <w:noWrap w:val="0"/>
            <w:vAlign w:val="center"/>
          </w:tcPr>
          <w:p>
            <w:pPr>
              <w:adjustRightInd w:val="0"/>
              <w:snapToGrid w:val="0"/>
              <w:ind w:firstLine="480"/>
              <w:jc w:val="center"/>
              <w:rPr>
                <w:rFonts w:ascii="宋体" w:hAnsi="宋体" w:cs="宋体"/>
                <w:sz w:val="24"/>
                <w:lang w:bidi="ar"/>
              </w:rPr>
            </w:pPr>
          </w:p>
        </w:tc>
        <w:tc>
          <w:tcPr>
            <w:tcW w:w="1542"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其他</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符合国家及行业相关质量标准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2</w:t>
            </w:r>
          </w:p>
        </w:tc>
        <w:tc>
          <w:tcPr>
            <w:tcW w:w="2598"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有害物质含量</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应符合JT∕T 1326-2020有关规定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trPr>
        <w:tc>
          <w:tcPr>
            <w:tcW w:w="82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3</w:t>
            </w:r>
          </w:p>
        </w:tc>
        <w:tc>
          <w:tcPr>
            <w:tcW w:w="2598"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产品涂层性能</w:t>
            </w:r>
          </w:p>
        </w:tc>
        <w:tc>
          <w:tcPr>
            <w:tcW w:w="5095" w:type="dxa"/>
            <w:gridSpan w:val="2"/>
            <w:noWrap w:val="0"/>
            <w:vAlign w:val="center"/>
          </w:tcPr>
          <w:p>
            <w:pPr>
              <w:adjustRightInd w:val="0"/>
              <w:snapToGrid w:val="0"/>
              <w:rPr>
                <w:rFonts w:ascii="宋体" w:hAnsi="宋体" w:cs="宋体"/>
                <w:sz w:val="24"/>
                <w:lang w:bidi="ar"/>
              </w:rPr>
            </w:pPr>
            <w:r>
              <w:rPr>
                <w:rFonts w:hint="eastAsia" w:ascii="宋体" w:hAnsi="宋体" w:cs="宋体"/>
                <w:sz w:val="24"/>
                <w:lang w:bidi="ar"/>
              </w:rPr>
              <w:t>调配的涂料，其涂层色品坐标和亮度因数应符合GB2893和GB/T8416有关规定。干燥后，涂层外观应无皱纹、斑点、起泡、裂纹、脱落、粘胎等现象，颜色均匀一致。耐水性：在水中浸泡24h应无变色、起皱、起泡、开裂等现象。耐碱性：在氢氧化钙饱和溶液中浸泡24h应无变色、起皱、起泡、开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4</w:t>
            </w:r>
          </w:p>
        </w:tc>
        <w:tc>
          <w:tcPr>
            <w:tcW w:w="2598"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密度 D（g/cm³）</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1.8≤D≤2.3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5</w:t>
            </w:r>
          </w:p>
        </w:tc>
        <w:tc>
          <w:tcPr>
            <w:tcW w:w="2598"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软化点 ST（℃）</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100≤ST≤140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6</w:t>
            </w:r>
          </w:p>
        </w:tc>
        <w:tc>
          <w:tcPr>
            <w:tcW w:w="2598"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不粘胎干燥时间（min）</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7</w:t>
            </w:r>
          </w:p>
        </w:tc>
        <w:tc>
          <w:tcPr>
            <w:tcW w:w="1056" w:type="dxa"/>
            <w:vMerge w:val="restart"/>
            <w:noWrap w:val="0"/>
            <w:vAlign w:val="center"/>
          </w:tcPr>
          <w:p>
            <w:pPr>
              <w:adjustRightInd w:val="0"/>
              <w:snapToGrid w:val="0"/>
              <w:rPr>
                <w:rFonts w:ascii="宋体" w:hAnsi="宋体" w:cs="宋体"/>
                <w:sz w:val="24"/>
                <w:lang w:bidi="ar"/>
              </w:rPr>
            </w:pPr>
            <w:r>
              <w:rPr>
                <w:rFonts w:hint="eastAsia" w:ascii="宋体" w:hAnsi="宋体" w:cs="宋体"/>
                <w:sz w:val="24"/>
                <w:lang w:bidi="ar"/>
              </w:rPr>
              <w:t>抗压强度（MPa）</w:t>
            </w:r>
          </w:p>
        </w:tc>
        <w:tc>
          <w:tcPr>
            <w:tcW w:w="1542"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（23±1）℃</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8</w:t>
            </w:r>
          </w:p>
        </w:tc>
        <w:tc>
          <w:tcPr>
            <w:tcW w:w="1056" w:type="dxa"/>
            <w:vMerge w:val="continue"/>
            <w:noWrap w:val="0"/>
            <w:vAlign w:val="center"/>
          </w:tcPr>
          <w:p>
            <w:pPr>
              <w:adjustRightInd w:val="0"/>
              <w:snapToGrid w:val="0"/>
              <w:ind w:firstLine="480"/>
              <w:jc w:val="center"/>
              <w:rPr>
                <w:rFonts w:ascii="宋体" w:hAnsi="宋体" w:cs="宋体"/>
                <w:sz w:val="24"/>
                <w:lang w:bidi="ar"/>
              </w:rPr>
            </w:pPr>
          </w:p>
        </w:tc>
        <w:tc>
          <w:tcPr>
            <w:tcW w:w="1542"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（60±2）℃</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9</w:t>
            </w:r>
          </w:p>
        </w:tc>
        <w:tc>
          <w:tcPr>
            <w:tcW w:w="2598"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耐磨性（mg）</w:t>
            </w:r>
          </w:p>
        </w:tc>
        <w:tc>
          <w:tcPr>
            <w:tcW w:w="2635"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≤80</w:t>
            </w:r>
          </w:p>
        </w:tc>
        <w:tc>
          <w:tcPr>
            <w:tcW w:w="2460"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10</w:t>
            </w:r>
          </w:p>
        </w:tc>
        <w:tc>
          <w:tcPr>
            <w:tcW w:w="2598"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涂层低温抗裂性</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-10℃保持4 h，室温放置4 h为一个循环周期，连续做3个循环周期后应无裂纹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82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11</w:t>
            </w:r>
          </w:p>
        </w:tc>
        <w:tc>
          <w:tcPr>
            <w:tcW w:w="2598"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加热稳定性</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在（200±10）℃条件下持续保温4 h，无明显泛黄、焦化、结块等现象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12</w:t>
            </w:r>
          </w:p>
        </w:tc>
        <w:tc>
          <w:tcPr>
            <w:tcW w:w="2598"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流动度（mm²/g）</w:t>
            </w:r>
          </w:p>
        </w:tc>
        <w:tc>
          <w:tcPr>
            <w:tcW w:w="2635"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90±5</w:t>
            </w:r>
          </w:p>
        </w:tc>
        <w:tc>
          <w:tcPr>
            <w:tcW w:w="2460"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13</w:t>
            </w:r>
          </w:p>
        </w:tc>
        <w:tc>
          <w:tcPr>
            <w:tcW w:w="2598"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耐热变形性（%）[（60±2）℃，50 KPa，1 h]</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14</w:t>
            </w:r>
          </w:p>
        </w:tc>
        <w:tc>
          <w:tcPr>
            <w:tcW w:w="2598"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总有机物含量（%）</w:t>
            </w:r>
          </w:p>
        </w:tc>
        <w:tc>
          <w:tcPr>
            <w:tcW w:w="5095" w:type="dxa"/>
            <w:gridSpan w:val="2"/>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≥19.0</w:t>
            </w:r>
          </w:p>
        </w:tc>
      </w:tr>
    </w:tbl>
    <w:p>
      <w:pPr>
        <w:rPr>
          <w:rFonts w:hint="eastAsia" w:ascii="黑体" w:hAnsi="黑体" w:eastAsia="黑体"/>
          <w:sz w:val="28"/>
          <w:szCs w:val="32"/>
          <w:lang w:bidi="ar"/>
        </w:rPr>
      </w:pPr>
      <w:r>
        <w:rPr>
          <w:rFonts w:hint="eastAsia" w:ascii="黑体" w:hAnsi="黑体" w:eastAsia="黑体"/>
          <w:sz w:val="28"/>
          <w:szCs w:val="32"/>
          <w:lang w:bidi="ar"/>
        </w:rPr>
        <w:br w:type="page"/>
      </w:r>
    </w:p>
    <w:p>
      <w:pPr>
        <w:adjustRightInd w:val="0"/>
        <w:snapToGrid w:val="0"/>
        <w:spacing w:line="600" w:lineRule="exact"/>
        <w:ind w:firstLine="173" w:firstLineChars="62"/>
        <w:rPr>
          <w:rFonts w:ascii="黑体" w:hAnsi="黑体" w:eastAsia="黑体"/>
          <w:sz w:val="28"/>
          <w:szCs w:val="32"/>
          <w:lang w:bidi="ar"/>
        </w:rPr>
      </w:pPr>
      <w:r>
        <w:rPr>
          <w:rFonts w:hint="eastAsia" w:ascii="黑体" w:hAnsi="黑体" w:eastAsia="黑体"/>
          <w:sz w:val="28"/>
          <w:szCs w:val="32"/>
          <w:lang w:bidi="ar"/>
        </w:rPr>
        <w:t>2：热熔标线涂料用树脂性能要求</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3240"/>
        <w:gridCol w:w="4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pPr>
              <w:adjustRightInd w:val="0"/>
              <w:snapToGrid w:val="0"/>
              <w:jc w:val="center"/>
              <w:rPr>
                <w:rFonts w:ascii="宋体" w:hAnsi="宋体" w:cs="宋体"/>
                <w:sz w:val="24"/>
              </w:rPr>
            </w:pPr>
            <w:r>
              <w:rPr>
                <w:rFonts w:hint="eastAsia" w:ascii="宋体" w:hAnsi="宋体" w:cs="宋体"/>
                <w:sz w:val="24"/>
              </w:rPr>
              <w:t>序号</w:t>
            </w:r>
          </w:p>
        </w:tc>
        <w:tc>
          <w:tcPr>
            <w:tcW w:w="3240" w:type="dxa"/>
            <w:noWrap w:val="0"/>
            <w:vAlign w:val="center"/>
          </w:tcPr>
          <w:p>
            <w:pPr>
              <w:adjustRightInd w:val="0"/>
              <w:snapToGrid w:val="0"/>
              <w:jc w:val="center"/>
              <w:rPr>
                <w:rFonts w:ascii="宋体" w:hAnsi="宋体" w:cs="宋体"/>
                <w:sz w:val="24"/>
              </w:rPr>
            </w:pPr>
            <w:r>
              <w:rPr>
                <w:rFonts w:hint="eastAsia" w:ascii="宋体" w:hAnsi="宋体" w:cs="宋体"/>
                <w:sz w:val="24"/>
              </w:rPr>
              <w:t>项目</w:t>
            </w:r>
          </w:p>
        </w:tc>
        <w:tc>
          <w:tcPr>
            <w:tcW w:w="4471" w:type="dxa"/>
            <w:noWrap w:val="0"/>
            <w:vAlign w:val="center"/>
          </w:tcPr>
          <w:p>
            <w:pPr>
              <w:adjustRightInd w:val="0"/>
              <w:snapToGrid w:val="0"/>
              <w:jc w:val="center"/>
              <w:rPr>
                <w:rFonts w:ascii="宋体" w:hAnsi="宋体" w:cs="宋体"/>
                <w:sz w:val="24"/>
              </w:rPr>
            </w:pPr>
            <w:r>
              <w:rPr>
                <w:rFonts w:hint="eastAsia" w:ascii="宋体" w:hAnsi="宋体" w:cs="宋体"/>
                <w:sz w:val="24"/>
              </w:rPr>
              <w:t>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pPr>
              <w:adjustRightInd w:val="0"/>
              <w:snapToGrid w:val="0"/>
              <w:jc w:val="center"/>
              <w:rPr>
                <w:rFonts w:ascii="宋体" w:hAnsi="宋体" w:cs="宋体"/>
                <w:sz w:val="24"/>
              </w:rPr>
            </w:pPr>
            <w:r>
              <w:rPr>
                <w:rFonts w:hint="eastAsia" w:ascii="宋体" w:hAnsi="宋体" w:cs="宋体"/>
                <w:sz w:val="24"/>
              </w:rPr>
              <w:t>1</w:t>
            </w:r>
          </w:p>
        </w:tc>
        <w:tc>
          <w:tcPr>
            <w:tcW w:w="3240" w:type="dxa"/>
            <w:noWrap w:val="0"/>
            <w:vAlign w:val="center"/>
          </w:tcPr>
          <w:p>
            <w:pPr>
              <w:adjustRightInd w:val="0"/>
              <w:snapToGrid w:val="0"/>
              <w:jc w:val="center"/>
              <w:rPr>
                <w:rFonts w:ascii="宋体" w:hAnsi="宋体" w:cs="宋体"/>
                <w:sz w:val="24"/>
              </w:rPr>
            </w:pPr>
            <w:r>
              <w:rPr>
                <w:rFonts w:hint="eastAsia" w:ascii="宋体" w:hAnsi="宋体" w:cs="宋体"/>
                <w:sz w:val="24"/>
              </w:rPr>
              <w:t>状态</w:t>
            </w:r>
          </w:p>
        </w:tc>
        <w:tc>
          <w:tcPr>
            <w:tcW w:w="4471" w:type="dxa"/>
            <w:noWrap w:val="0"/>
            <w:vAlign w:val="center"/>
          </w:tcPr>
          <w:p>
            <w:pPr>
              <w:adjustRightInd w:val="0"/>
              <w:snapToGrid w:val="0"/>
              <w:jc w:val="center"/>
              <w:rPr>
                <w:rFonts w:ascii="宋体" w:hAnsi="宋体" w:cs="宋体"/>
                <w:sz w:val="24"/>
              </w:rPr>
            </w:pPr>
            <w:r>
              <w:rPr>
                <w:rFonts w:hint="eastAsia" w:ascii="宋体" w:hAnsi="宋体" w:cs="宋体"/>
                <w:sz w:val="24"/>
              </w:rPr>
              <w:t>打开包装，树脂应干燥、无结块、无杂质，呈透明、半透明乳白色至浅黄色、色泽均匀一致的粒状或片状固体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pPr>
              <w:adjustRightInd w:val="0"/>
              <w:snapToGrid w:val="0"/>
              <w:jc w:val="center"/>
              <w:rPr>
                <w:rFonts w:ascii="宋体" w:hAnsi="宋体" w:cs="宋体"/>
                <w:sz w:val="24"/>
              </w:rPr>
            </w:pPr>
            <w:r>
              <w:rPr>
                <w:rFonts w:hint="eastAsia" w:ascii="宋体" w:hAnsi="宋体" w:cs="宋体"/>
                <w:sz w:val="24"/>
              </w:rPr>
              <w:t>2</w:t>
            </w:r>
          </w:p>
        </w:tc>
        <w:tc>
          <w:tcPr>
            <w:tcW w:w="3240" w:type="dxa"/>
            <w:noWrap w:val="0"/>
            <w:vAlign w:val="center"/>
          </w:tcPr>
          <w:p>
            <w:pPr>
              <w:adjustRightInd w:val="0"/>
              <w:snapToGrid w:val="0"/>
              <w:jc w:val="center"/>
              <w:rPr>
                <w:rFonts w:ascii="宋体" w:hAnsi="宋体" w:cs="宋体"/>
                <w:sz w:val="24"/>
              </w:rPr>
            </w:pPr>
            <w:r>
              <w:rPr>
                <w:rFonts w:hint="eastAsia" w:ascii="宋体" w:hAnsi="宋体" w:cs="宋体"/>
                <w:sz w:val="24"/>
              </w:rPr>
              <w:t>有害物质含量</w:t>
            </w:r>
          </w:p>
        </w:tc>
        <w:tc>
          <w:tcPr>
            <w:tcW w:w="4471" w:type="dxa"/>
            <w:noWrap w:val="0"/>
            <w:vAlign w:val="center"/>
          </w:tcPr>
          <w:p>
            <w:pPr>
              <w:adjustRightInd w:val="0"/>
              <w:snapToGrid w:val="0"/>
              <w:jc w:val="center"/>
              <w:rPr>
                <w:rFonts w:ascii="宋体" w:hAnsi="宋体" w:cs="宋体"/>
                <w:sz w:val="24"/>
              </w:rPr>
            </w:pPr>
            <w:r>
              <w:rPr>
                <w:rFonts w:hint="eastAsia" w:ascii="宋体" w:hAnsi="宋体" w:cs="宋体"/>
                <w:sz w:val="24"/>
              </w:rPr>
              <w:t>应符合JT∕T 1326-2020有关规定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pPr>
              <w:adjustRightInd w:val="0"/>
              <w:snapToGrid w:val="0"/>
              <w:jc w:val="center"/>
              <w:rPr>
                <w:rFonts w:ascii="宋体" w:hAnsi="宋体" w:cs="宋体"/>
                <w:sz w:val="24"/>
              </w:rPr>
            </w:pPr>
            <w:r>
              <w:rPr>
                <w:rFonts w:hint="eastAsia" w:ascii="宋体" w:hAnsi="宋体" w:cs="宋体"/>
                <w:sz w:val="24"/>
              </w:rPr>
              <w:t>3</w:t>
            </w:r>
          </w:p>
        </w:tc>
        <w:tc>
          <w:tcPr>
            <w:tcW w:w="3240" w:type="dxa"/>
            <w:noWrap w:val="0"/>
            <w:vAlign w:val="center"/>
          </w:tcPr>
          <w:p>
            <w:pPr>
              <w:adjustRightInd w:val="0"/>
              <w:snapToGrid w:val="0"/>
              <w:jc w:val="center"/>
              <w:rPr>
                <w:rFonts w:ascii="宋体" w:hAnsi="宋体" w:cs="宋体"/>
                <w:sz w:val="24"/>
              </w:rPr>
            </w:pPr>
            <w:r>
              <w:rPr>
                <w:rFonts w:hint="eastAsia" w:ascii="宋体" w:hAnsi="宋体" w:cs="宋体"/>
                <w:sz w:val="24"/>
              </w:rPr>
              <w:t>软化点</w:t>
            </w:r>
            <w:r>
              <w:rPr>
                <w:rFonts w:hint="eastAsia" w:ascii="宋体" w:hAnsi="宋体" w:cs="宋体"/>
                <w:sz w:val="24"/>
                <w:lang w:bidi="ar"/>
              </w:rPr>
              <w:t>（℃）</w:t>
            </w:r>
          </w:p>
        </w:tc>
        <w:tc>
          <w:tcPr>
            <w:tcW w:w="4471" w:type="dxa"/>
            <w:noWrap w:val="0"/>
            <w:vAlign w:val="center"/>
          </w:tcPr>
          <w:p>
            <w:pPr>
              <w:adjustRightInd w:val="0"/>
              <w:snapToGrid w:val="0"/>
              <w:jc w:val="center"/>
              <w:rPr>
                <w:rFonts w:ascii="宋体" w:hAnsi="宋体" w:cs="宋体"/>
                <w:sz w:val="24"/>
              </w:rPr>
            </w:pPr>
            <w:r>
              <w:rPr>
                <w:rFonts w:hint="eastAsia" w:ascii="宋体" w:hAnsi="宋体" w:cs="宋体"/>
                <w:sz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pPr>
              <w:adjustRightInd w:val="0"/>
              <w:snapToGrid w:val="0"/>
              <w:jc w:val="center"/>
              <w:rPr>
                <w:rFonts w:ascii="宋体" w:hAnsi="宋体" w:cs="宋体"/>
                <w:sz w:val="24"/>
              </w:rPr>
            </w:pPr>
            <w:r>
              <w:rPr>
                <w:rFonts w:hint="eastAsia" w:ascii="宋体" w:hAnsi="宋体" w:cs="宋体"/>
                <w:sz w:val="24"/>
              </w:rPr>
              <w:t>4</w:t>
            </w:r>
          </w:p>
        </w:tc>
        <w:tc>
          <w:tcPr>
            <w:tcW w:w="3240" w:type="dxa"/>
            <w:noWrap w:val="0"/>
            <w:vAlign w:val="center"/>
          </w:tcPr>
          <w:p>
            <w:pPr>
              <w:adjustRightInd w:val="0"/>
              <w:snapToGrid w:val="0"/>
              <w:jc w:val="center"/>
              <w:rPr>
                <w:rFonts w:ascii="宋体" w:hAnsi="宋体" w:cs="宋体"/>
                <w:sz w:val="24"/>
              </w:rPr>
            </w:pPr>
            <w:r>
              <w:rPr>
                <w:rFonts w:hint="eastAsia" w:ascii="宋体" w:hAnsi="宋体" w:cs="宋体"/>
                <w:sz w:val="24"/>
              </w:rPr>
              <w:t>颜色，加德纳色号</w:t>
            </w:r>
          </w:p>
          <w:p>
            <w:pPr>
              <w:adjustRightInd w:val="0"/>
              <w:snapToGrid w:val="0"/>
              <w:jc w:val="center"/>
              <w:rPr>
                <w:rFonts w:ascii="宋体" w:hAnsi="宋体" w:cs="宋体"/>
                <w:sz w:val="24"/>
              </w:rPr>
            </w:pPr>
            <w:r>
              <w:rPr>
                <w:rFonts w:hint="eastAsia" w:ascii="宋体" w:hAnsi="宋体" w:cs="宋体"/>
                <w:sz w:val="24"/>
              </w:rPr>
              <w:t>（试样﹕甲苯=1﹕1）</w:t>
            </w:r>
          </w:p>
        </w:tc>
        <w:tc>
          <w:tcPr>
            <w:tcW w:w="4471" w:type="dxa"/>
            <w:noWrap w:val="0"/>
            <w:vAlign w:val="center"/>
          </w:tcPr>
          <w:p>
            <w:pPr>
              <w:adjustRightInd w:val="0"/>
              <w:snapToGrid w:val="0"/>
              <w:jc w:val="center"/>
              <w:rPr>
                <w:rFonts w:ascii="宋体" w:hAnsi="宋体" w:cs="宋体"/>
                <w:sz w:val="24"/>
              </w:rPr>
            </w:pPr>
            <w:r>
              <w:rPr>
                <w:rFonts w:hint="eastAsia" w:ascii="宋体" w:hAnsi="宋体" w:cs="宋体"/>
                <w:sz w:val="24"/>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trPr>
        <w:tc>
          <w:tcPr>
            <w:tcW w:w="811" w:type="dxa"/>
            <w:noWrap w:val="0"/>
            <w:vAlign w:val="center"/>
          </w:tcPr>
          <w:p>
            <w:pPr>
              <w:adjustRightInd w:val="0"/>
              <w:snapToGrid w:val="0"/>
              <w:jc w:val="center"/>
              <w:rPr>
                <w:rFonts w:ascii="宋体" w:hAnsi="宋体" w:cs="宋体"/>
                <w:sz w:val="24"/>
              </w:rPr>
            </w:pPr>
            <w:r>
              <w:rPr>
                <w:rFonts w:hint="eastAsia" w:ascii="宋体" w:hAnsi="宋体" w:cs="宋体"/>
                <w:sz w:val="24"/>
              </w:rPr>
              <w:t>5</w:t>
            </w:r>
          </w:p>
        </w:tc>
        <w:tc>
          <w:tcPr>
            <w:tcW w:w="3240" w:type="dxa"/>
            <w:noWrap w:val="0"/>
            <w:vAlign w:val="center"/>
          </w:tcPr>
          <w:p>
            <w:pPr>
              <w:adjustRightInd w:val="0"/>
              <w:snapToGrid w:val="0"/>
              <w:jc w:val="center"/>
              <w:rPr>
                <w:rFonts w:ascii="宋体" w:hAnsi="宋体" w:cs="宋体"/>
                <w:sz w:val="24"/>
              </w:rPr>
            </w:pPr>
            <w:r>
              <w:rPr>
                <w:rFonts w:hint="eastAsia" w:ascii="宋体" w:hAnsi="宋体" w:cs="宋体"/>
                <w:sz w:val="24"/>
              </w:rPr>
              <w:t>加热稳定性</w:t>
            </w:r>
          </w:p>
        </w:tc>
        <w:tc>
          <w:tcPr>
            <w:tcW w:w="4471" w:type="dxa"/>
            <w:noWrap w:val="0"/>
            <w:vAlign w:val="center"/>
          </w:tcPr>
          <w:p>
            <w:pPr>
              <w:adjustRightInd w:val="0"/>
              <w:snapToGrid w:val="0"/>
              <w:rPr>
                <w:rFonts w:ascii="宋体" w:hAnsi="宋体" w:cs="宋体"/>
                <w:sz w:val="24"/>
              </w:rPr>
            </w:pPr>
            <w:r>
              <w:rPr>
                <w:rFonts w:hint="eastAsia" w:ascii="宋体" w:hAnsi="宋体" w:cs="宋体"/>
                <w:sz w:val="24"/>
              </w:rPr>
              <w:t>1.在（200±10）℃条件下持续保温4h，此过程中树脂应无明显颜色转黑、焦化、结块等现象；</w:t>
            </w:r>
          </w:p>
          <w:p>
            <w:pPr>
              <w:pStyle w:val="9"/>
              <w:adjustRightInd w:val="0"/>
              <w:snapToGrid w:val="0"/>
              <w:ind w:left="0" w:leftChars="0" w:firstLine="0" w:firstLineChars="0"/>
              <w:rPr>
                <w:rFonts w:ascii="宋体" w:hAnsi="宋体" w:cs="宋体"/>
              </w:rPr>
            </w:pPr>
            <w:r>
              <w:rPr>
                <w:rFonts w:hint="eastAsia" w:ascii="宋体" w:hAnsi="宋体" w:cs="宋体"/>
              </w:rPr>
              <w:t>2.加热4h后，树脂加德纳色号不大于7.0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pPr>
              <w:adjustRightInd w:val="0"/>
              <w:snapToGrid w:val="0"/>
              <w:jc w:val="center"/>
              <w:rPr>
                <w:rFonts w:ascii="宋体" w:hAnsi="宋体" w:cs="宋体"/>
                <w:sz w:val="24"/>
              </w:rPr>
            </w:pPr>
            <w:r>
              <w:rPr>
                <w:rFonts w:hint="eastAsia" w:ascii="宋体" w:hAnsi="宋体" w:cs="宋体"/>
                <w:sz w:val="24"/>
              </w:rPr>
              <w:t>6</w:t>
            </w:r>
          </w:p>
        </w:tc>
        <w:tc>
          <w:tcPr>
            <w:tcW w:w="3240" w:type="dxa"/>
            <w:noWrap w:val="0"/>
            <w:vAlign w:val="center"/>
          </w:tcPr>
          <w:p>
            <w:pPr>
              <w:adjustRightInd w:val="0"/>
              <w:snapToGrid w:val="0"/>
              <w:jc w:val="center"/>
              <w:rPr>
                <w:rFonts w:ascii="宋体" w:hAnsi="宋体" w:cs="宋体"/>
                <w:sz w:val="24"/>
              </w:rPr>
            </w:pPr>
            <w:r>
              <w:rPr>
                <w:rFonts w:hint="eastAsia" w:ascii="宋体" w:hAnsi="宋体" w:cs="宋体"/>
                <w:sz w:val="24"/>
              </w:rPr>
              <w:t>酸值x（以氢氧化钾计）（mg/g）</w:t>
            </w:r>
          </w:p>
        </w:tc>
        <w:tc>
          <w:tcPr>
            <w:tcW w:w="4471" w:type="dxa"/>
            <w:noWrap w:val="0"/>
            <w:vAlign w:val="center"/>
          </w:tcPr>
          <w:p>
            <w:pPr>
              <w:adjustRightInd w:val="0"/>
              <w:snapToGrid w:val="0"/>
              <w:jc w:val="center"/>
              <w:rPr>
                <w:rFonts w:ascii="宋体" w:hAnsi="宋体" w:cs="宋体"/>
                <w:sz w:val="24"/>
              </w:rPr>
            </w:pPr>
            <w:r>
              <w:rPr>
                <w:rFonts w:hint="eastAsia" w:ascii="宋体" w:hAnsi="宋体" w:cs="宋体"/>
                <w:sz w:val="24"/>
                <w:lang w:bidi="ar"/>
              </w:rPr>
              <w:t>0.4≤</w:t>
            </w:r>
            <w:r>
              <w:rPr>
                <w:rFonts w:hint="eastAsia" w:ascii="宋体" w:hAnsi="宋体" w:cs="宋体"/>
                <w:sz w:val="24"/>
              </w:rPr>
              <w:t>x</w:t>
            </w:r>
            <w:r>
              <w:rPr>
                <w:rFonts w:hint="eastAsia" w:ascii="宋体" w:hAnsi="宋体" w:cs="宋体"/>
                <w:sz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pPr>
              <w:adjustRightInd w:val="0"/>
              <w:snapToGrid w:val="0"/>
              <w:jc w:val="center"/>
              <w:rPr>
                <w:rFonts w:ascii="宋体" w:hAnsi="宋体" w:cs="宋体"/>
                <w:sz w:val="24"/>
              </w:rPr>
            </w:pPr>
            <w:r>
              <w:rPr>
                <w:rFonts w:hint="eastAsia" w:ascii="宋体" w:hAnsi="宋体" w:cs="宋体"/>
                <w:sz w:val="24"/>
              </w:rPr>
              <w:t>7</w:t>
            </w:r>
          </w:p>
        </w:tc>
        <w:tc>
          <w:tcPr>
            <w:tcW w:w="3240" w:type="dxa"/>
            <w:noWrap w:val="0"/>
            <w:vAlign w:val="center"/>
          </w:tcPr>
          <w:p>
            <w:pPr>
              <w:adjustRightInd w:val="0"/>
              <w:snapToGrid w:val="0"/>
              <w:jc w:val="center"/>
              <w:rPr>
                <w:rFonts w:ascii="宋体" w:hAnsi="宋体" w:cs="宋体"/>
                <w:sz w:val="24"/>
              </w:rPr>
            </w:pPr>
            <w:r>
              <w:rPr>
                <w:rFonts w:hint="eastAsia" w:ascii="宋体" w:hAnsi="宋体" w:cs="宋体"/>
                <w:sz w:val="24"/>
              </w:rPr>
              <w:t>熔融黏度（200</w:t>
            </w:r>
            <w:r>
              <w:rPr>
                <w:rFonts w:hint="eastAsia" w:ascii="宋体" w:hAnsi="宋体" w:cs="宋体"/>
                <w:sz w:val="24"/>
                <w:lang w:bidi="ar"/>
              </w:rPr>
              <w:t>℃</w:t>
            </w:r>
            <w:r>
              <w:rPr>
                <w:rFonts w:hint="eastAsia" w:ascii="宋体" w:hAnsi="宋体" w:cs="宋体"/>
                <w:sz w:val="24"/>
              </w:rPr>
              <w:t>）（mPa·s）</w:t>
            </w:r>
          </w:p>
        </w:tc>
        <w:tc>
          <w:tcPr>
            <w:tcW w:w="4471" w:type="dxa"/>
            <w:noWrap w:val="0"/>
            <w:vAlign w:val="center"/>
          </w:tcPr>
          <w:p>
            <w:pPr>
              <w:adjustRightInd w:val="0"/>
              <w:snapToGrid w:val="0"/>
              <w:jc w:val="center"/>
              <w:rPr>
                <w:rFonts w:ascii="宋体" w:hAnsi="宋体" w:cs="宋体"/>
                <w:sz w:val="24"/>
              </w:rPr>
            </w:pPr>
            <w:r>
              <w:rPr>
                <w:rFonts w:hint="eastAsia" w:ascii="宋体" w:hAnsi="宋体" w:cs="宋体"/>
                <w:sz w:val="24"/>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pPr>
              <w:adjustRightInd w:val="0"/>
              <w:snapToGrid w:val="0"/>
              <w:jc w:val="center"/>
              <w:rPr>
                <w:rFonts w:ascii="宋体" w:hAnsi="宋体" w:cs="宋体"/>
                <w:sz w:val="24"/>
              </w:rPr>
            </w:pPr>
            <w:r>
              <w:rPr>
                <w:rFonts w:hint="eastAsia" w:ascii="宋体" w:hAnsi="宋体" w:cs="宋体"/>
                <w:sz w:val="24"/>
              </w:rPr>
              <w:t>8</w:t>
            </w:r>
          </w:p>
        </w:tc>
        <w:tc>
          <w:tcPr>
            <w:tcW w:w="3240" w:type="dxa"/>
            <w:noWrap w:val="0"/>
            <w:vAlign w:val="center"/>
          </w:tcPr>
          <w:p>
            <w:pPr>
              <w:adjustRightInd w:val="0"/>
              <w:snapToGrid w:val="0"/>
              <w:jc w:val="center"/>
              <w:rPr>
                <w:rFonts w:ascii="宋体" w:hAnsi="宋体" w:cs="宋体"/>
                <w:sz w:val="24"/>
              </w:rPr>
            </w:pPr>
            <w:r>
              <w:rPr>
                <w:rFonts w:hint="eastAsia" w:ascii="宋体" w:hAnsi="宋体" w:cs="宋体"/>
                <w:sz w:val="24"/>
              </w:rPr>
              <w:t>灰分（%）</w:t>
            </w:r>
          </w:p>
        </w:tc>
        <w:tc>
          <w:tcPr>
            <w:tcW w:w="4471" w:type="dxa"/>
            <w:noWrap w:val="0"/>
            <w:vAlign w:val="center"/>
          </w:tcPr>
          <w:p>
            <w:pPr>
              <w:adjustRightInd w:val="0"/>
              <w:snapToGrid w:val="0"/>
              <w:jc w:val="center"/>
              <w:rPr>
                <w:rFonts w:ascii="宋体" w:hAnsi="宋体" w:cs="宋体"/>
                <w:sz w:val="24"/>
              </w:rPr>
            </w:pPr>
            <w:r>
              <w:rPr>
                <w:rFonts w:hint="eastAsia" w:ascii="宋体" w:hAnsi="宋体" w:cs="宋体"/>
                <w:sz w:val="24"/>
                <w:lang w:bidi="ar"/>
              </w:rPr>
              <w:t>≤0.1</w:t>
            </w:r>
          </w:p>
        </w:tc>
      </w:tr>
    </w:tbl>
    <w:p>
      <w:pPr>
        <w:rPr>
          <w:rFonts w:hint="eastAsia" w:ascii="黑体" w:hAnsi="黑体" w:eastAsia="黑体"/>
          <w:sz w:val="28"/>
          <w:szCs w:val="32"/>
          <w:lang w:bidi="ar"/>
        </w:rPr>
      </w:pPr>
      <w:r>
        <w:rPr>
          <w:rFonts w:hint="eastAsia" w:ascii="黑体" w:hAnsi="黑体" w:eastAsia="黑体"/>
          <w:sz w:val="28"/>
          <w:szCs w:val="32"/>
          <w:lang w:bidi="ar"/>
        </w:rPr>
        <w:br w:type="page"/>
      </w:r>
    </w:p>
    <w:p>
      <w:pPr>
        <w:adjustRightInd w:val="0"/>
        <w:snapToGrid w:val="0"/>
        <w:spacing w:line="600" w:lineRule="exact"/>
        <w:ind w:firstLine="173" w:firstLineChars="62"/>
        <w:rPr>
          <w:rFonts w:ascii="黑体" w:hAnsi="黑体" w:eastAsia="黑体"/>
          <w:sz w:val="28"/>
          <w:szCs w:val="32"/>
          <w:lang w:bidi="ar"/>
        </w:rPr>
      </w:pPr>
      <w:r>
        <w:rPr>
          <w:rFonts w:hint="eastAsia" w:ascii="黑体" w:hAnsi="黑体" w:eastAsia="黑体"/>
          <w:sz w:val="28"/>
          <w:szCs w:val="32"/>
          <w:lang w:bidi="ar"/>
        </w:rPr>
        <w:t>3：热熔标线涂料用聚乙烯蜡性能要求</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3264"/>
        <w:gridCol w:w="4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序号</w:t>
            </w:r>
          </w:p>
        </w:tc>
        <w:tc>
          <w:tcPr>
            <w:tcW w:w="3264"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项目</w:t>
            </w:r>
          </w:p>
        </w:tc>
        <w:tc>
          <w:tcPr>
            <w:tcW w:w="445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w:t>
            </w:r>
          </w:p>
        </w:tc>
        <w:tc>
          <w:tcPr>
            <w:tcW w:w="3264"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状态</w:t>
            </w:r>
          </w:p>
        </w:tc>
        <w:tc>
          <w:tcPr>
            <w:tcW w:w="445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打开包装，聚乙烯蜡应干燥、无结块、无杂质，呈透明、半透明乳白色至浅黄色、色泽均匀一致的粒状或片状固体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2</w:t>
            </w:r>
          </w:p>
        </w:tc>
        <w:tc>
          <w:tcPr>
            <w:tcW w:w="3264"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有害物质含量</w:t>
            </w:r>
          </w:p>
        </w:tc>
        <w:tc>
          <w:tcPr>
            <w:tcW w:w="445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应符合JT∕T 1326-2020有关规定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3</w:t>
            </w:r>
          </w:p>
        </w:tc>
        <w:tc>
          <w:tcPr>
            <w:tcW w:w="3264"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软化点（℃）</w:t>
            </w:r>
          </w:p>
        </w:tc>
        <w:tc>
          <w:tcPr>
            <w:tcW w:w="445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4</w:t>
            </w:r>
          </w:p>
        </w:tc>
        <w:tc>
          <w:tcPr>
            <w:tcW w:w="3264"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颜色，加德纳色号</w:t>
            </w:r>
          </w:p>
        </w:tc>
        <w:tc>
          <w:tcPr>
            <w:tcW w:w="445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8" w:hRule="atLeast"/>
        </w:trPr>
        <w:tc>
          <w:tcPr>
            <w:tcW w:w="79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5</w:t>
            </w:r>
          </w:p>
        </w:tc>
        <w:tc>
          <w:tcPr>
            <w:tcW w:w="3264"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加热稳定性</w:t>
            </w:r>
          </w:p>
        </w:tc>
        <w:tc>
          <w:tcPr>
            <w:tcW w:w="4459" w:type="dxa"/>
            <w:noWrap w:val="0"/>
            <w:vAlign w:val="center"/>
          </w:tcPr>
          <w:p>
            <w:pPr>
              <w:adjustRightInd w:val="0"/>
              <w:snapToGrid w:val="0"/>
              <w:rPr>
                <w:rFonts w:ascii="宋体" w:hAnsi="宋体" w:cs="宋体"/>
                <w:sz w:val="24"/>
                <w:lang w:bidi="ar"/>
              </w:rPr>
            </w:pPr>
            <w:r>
              <w:rPr>
                <w:rFonts w:hint="eastAsia" w:ascii="宋体" w:hAnsi="宋体" w:cs="宋体"/>
                <w:sz w:val="24"/>
                <w:lang w:bidi="ar"/>
              </w:rPr>
              <w:t>1.在（200±10）℃条件下持续保温4h，此过程中聚乙烯蜡应无明显颜色转黑、焦化、结块等现象；</w:t>
            </w:r>
          </w:p>
          <w:p>
            <w:pPr>
              <w:adjustRightInd w:val="0"/>
              <w:snapToGrid w:val="0"/>
              <w:rPr>
                <w:rFonts w:ascii="宋体" w:hAnsi="宋体" w:cs="宋体"/>
                <w:sz w:val="24"/>
                <w:lang w:bidi="ar"/>
              </w:rPr>
            </w:pPr>
            <w:r>
              <w:rPr>
                <w:rFonts w:hint="eastAsia" w:ascii="宋体" w:hAnsi="宋体" w:cs="宋体"/>
                <w:sz w:val="24"/>
                <w:lang w:bidi="ar"/>
              </w:rPr>
              <w:t>2.持续保温4h后，聚乙烯蜡加德纳色号不大于7.0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6</w:t>
            </w:r>
          </w:p>
        </w:tc>
        <w:tc>
          <w:tcPr>
            <w:tcW w:w="3264"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熔融黏度（150℃）（mPa·s）</w:t>
            </w:r>
          </w:p>
        </w:tc>
        <w:tc>
          <w:tcPr>
            <w:tcW w:w="445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7</w:t>
            </w:r>
          </w:p>
        </w:tc>
        <w:tc>
          <w:tcPr>
            <w:tcW w:w="3264"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灰分（%）</w:t>
            </w:r>
          </w:p>
        </w:tc>
        <w:tc>
          <w:tcPr>
            <w:tcW w:w="445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8</w:t>
            </w:r>
          </w:p>
        </w:tc>
        <w:tc>
          <w:tcPr>
            <w:tcW w:w="3264"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针入度（25℃，100g）（1/10mm）</w:t>
            </w:r>
          </w:p>
        </w:tc>
        <w:tc>
          <w:tcPr>
            <w:tcW w:w="4459" w:type="dxa"/>
            <w:noWrap w:val="0"/>
            <w:vAlign w:val="center"/>
          </w:tcPr>
          <w:p>
            <w:pPr>
              <w:adjustRightInd w:val="0"/>
              <w:snapToGrid w:val="0"/>
              <w:jc w:val="center"/>
              <w:rPr>
                <w:rFonts w:ascii="宋体" w:hAnsi="宋体" w:cs="宋体"/>
                <w:sz w:val="24"/>
                <w:lang w:bidi="ar"/>
              </w:rPr>
            </w:pPr>
            <w:r>
              <w:rPr>
                <w:rFonts w:hint="eastAsia" w:ascii="宋体" w:hAnsi="宋体" w:cs="宋体"/>
                <w:sz w:val="24"/>
                <w:lang w:bidi="ar"/>
              </w:rPr>
              <w:t>≤10</w:t>
            </w:r>
          </w:p>
        </w:tc>
      </w:tr>
    </w:tbl>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仿宋_GB2312" w:hAnsi="Times New Roman" w:eastAsia="仿宋_GB2312"/>
          <w:sz w:val="32"/>
          <w:szCs w:val="3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hNTU3M2ZhM2FhNmQzODBlMGYwNDdiYzRlMTI3NGI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6026953"/>
    <w:rsid w:val="56A936C4"/>
    <w:rsid w:val="56FE3F90"/>
    <w:rsid w:val="58044C05"/>
    <w:rsid w:val="58052219"/>
    <w:rsid w:val="58600F69"/>
    <w:rsid w:val="591B0458"/>
    <w:rsid w:val="59590F26"/>
    <w:rsid w:val="5A1A187F"/>
    <w:rsid w:val="5BFE59D4"/>
    <w:rsid w:val="5D662547"/>
    <w:rsid w:val="5FDC6467"/>
    <w:rsid w:val="604653D4"/>
    <w:rsid w:val="60CD01D3"/>
    <w:rsid w:val="60D3511D"/>
    <w:rsid w:val="60EB2945"/>
    <w:rsid w:val="627831CA"/>
    <w:rsid w:val="642E19FC"/>
    <w:rsid w:val="65695331"/>
    <w:rsid w:val="65FE5602"/>
    <w:rsid w:val="660C2B22"/>
    <w:rsid w:val="66833198"/>
    <w:rsid w:val="67063D8B"/>
    <w:rsid w:val="672E75A8"/>
    <w:rsid w:val="6783033A"/>
    <w:rsid w:val="679715F1"/>
    <w:rsid w:val="68135F6B"/>
    <w:rsid w:val="682269E1"/>
    <w:rsid w:val="687E455F"/>
    <w:rsid w:val="69766FE4"/>
    <w:rsid w:val="69A02DFB"/>
    <w:rsid w:val="6A162110"/>
    <w:rsid w:val="6A7603B2"/>
    <w:rsid w:val="6B827EC3"/>
    <w:rsid w:val="6BBC75A6"/>
    <w:rsid w:val="6BC730D8"/>
    <w:rsid w:val="6BDD159D"/>
    <w:rsid w:val="6BF568E6"/>
    <w:rsid w:val="6C8D2FC3"/>
    <w:rsid w:val="7279151A"/>
    <w:rsid w:val="72802C82"/>
    <w:rsid w:val="731E270E"/>
    <w:rsid w:val="73C61A83"/>
    <w:rsid w:val="75BD0595"/>
    <w:rsid w:val="7608705F"/>
    <w:rsid w:val="76984A3E"/>
    <w:rsid w:val="77471FC0"/>
    <w:rsid w:val="777FA5D6"/>
    <w:rsid w:val="77B42785"/>
    <w:rsid w:val="787E1A12"/>
    <w:rsid w:val="78A5543C"/>
    <w:rsid w:val="78D45AD6"/>
    <w:rsid w:val="79317671"/>
    <w:rsid w:val="79D83AC2"/>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1"/>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autoRedefine/>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5">
    <w:name w:val="Body Text"/>
    <w:basedOn w:val="1"/>
    <w:autoRedefine/>
    <w:qFormat/>
    <w:uiPriority w:val="99"/>
    <w:pPr>
      <w:tabs>
        <w:tab w:val="left" w:pos="420"/>
      </w:tabs>
      <w:ind w:firstLine="480"/>
    </w:pPr>
    <w:rPr>
      <w:rFonts w:ascii="等线" w:hAnsi="等线" w:eastAsia="等线" w:cs="等线"/>
      <w:lang w:val="zh-CN" w:bidi="zh-CN"/>
    </w:rPr>
  </w:style>
  <w:style w:type="paragraph" w:styleId="6">
    <w:name w:val="Body Text Indent"/>
    <w:basedOn w:val="1"/>
    <w:autoRedefine/>
    <w:qFormat/>
    <w:uiPriority w:val="0"/>
    <w:pPr>
      <w:spacing w:after="120" w:afterLines="0"/>
      <w:ind w:left="420" w:leftChars="200"/>
    </w:pPr>
  </w:style>
  <w:style w:type="paragraph" w:styleId="7">
    <w:name w:val="Plain Text"/>
    <w:autoRedefine/>
    <w:qFormat/>
    <w:uiPriority w:val="0"/>
    <w:pPr>
      <w:widowControl w:val="0"/>
      <w:jc w:val="both"/>
    </w:pPr>
    <w:rPr>
      <w:rFonts w:ascii="宋体" w:hAnsi="Courier New" w:eastAsiaTheme="minorEastAsia" w:cstheme="minorBidi"/>
      <w:kern w:val="2"/>
      <w:sz w:val="21"/>
      <w:szCs w:val="20"/>
      <w:lang w:val="en-US" w:eastAsia="zh-CN" w:bidi="ar-SA"/>
    </w:rPr>
  </w:style>
  <w:style w:type="paragraph" w:styleId="8">
    <w:name w:val="envelope return"/>
    <w:basedOn w:val="1"/>
    <w:autoRedefine/>
    <w:qFormat/>
    <w:uiPriority w:val="0"/>
    <w:pPr>
      <w:snapToGrid w:val="0"/>
    </w:pPr>
    <w:rPr>
      <w:rFonts w:ascii="Arial" w:hAnsi="Arial"/>
      <w:szCs w:val="20"/>
    </w:rPr>
  </w:style>
  <w:style w:type="paragraph" w:styleId="9">
    <w:name w:val="Body Text First Indent 2"/>
    <w:basedOn w:val="6"/>
    <w:autoRedefine/>
    <w:unhideWhenUsed/>
    <w:qFormat/>
    <w:uiPriority w:val="0"/>
    <w:pPr>
      <w:ind w:firstLine="42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72</Words>
  <Characters>72</Characters>
  <Lines>22</Lines>
  <Paragraphs>6</Paragraphs>
  <TotalTime>1</TotalTime>
  <ScaleCrop>false</ScaleCrop>
  <LinksUpToDate>false</LinksUpToDate>
  <CharactersWithSpaces>72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未定义</cp:lastModifiedBy>
  <cp:lastPrinted>2024-01-16T02:37:35Z</cp:lastPrinted>
  <dcterms:modified xsi:type="dcterms:W3CDTF">2024-01-16T02:43:21Z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ECC8566045A84053B9B6B5C8CA024709</vt:lpwstr>
  </property>
</Properties>
</file>