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亳州逸合府项目施工总承包项目土方工程专业分包</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003</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38</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亳州逸合府项目施工总承包项目土方工程专业分包</w:t>
      </w:r>
      <w:permEnd w:id="5"/>
      <w:r>
        <w:rPr>
          <w:rFonts w:hint="eastAsia" w:ascii="Times New Roman" w:hAnsi="Times New Roman" w:eastAsia="黑体" w:cs="Times New Roman"/>
          <w:sz w:val="28"/>
          <w:szCs w:val="28"/>
          <w:highlight w:val="none"/>
          <w:lang w:val="en-US" w:eastAsia="zh-CN"/>
        </w:rPr>
        <w:t>招标公告</w:t>
      </w:r>
      <w:bookmarkStart w:id="0" w:name="_Toc152045519"/>
      <w:bookmarkStart w:id="1" w:name="_Toc152042295"/>
      <w:bookmarkStart w:id="2" w:name="_Toc246996166"/>
      <w:bookmarkStart w:id="3" w:name="_Toc144974487"/>
      <w:bookmarkStart w:id="4" w:name="_Toc247085680"/>
      <w:bookmarkStart w:id="5" w:name="_Toc179632536"/>
      <w:bookmarkStart w:id="6" w:name="_Toc296602410"/>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179632537"/>
      <w:bookmarkStart w:id="9" w:name="_Toc247085681"/>
      <w:bookmarkStart w:id="10" w:name="_Toc152045520"/>
      <w:bookmarkStart w:id="11" w:name="_Toc152042296"/>
      <w:bookmarkStart w:id="12" w:name="_Toc246996910"/>
      <w:bookmarkStart w:id="13" w:name="_Toc144974488"/>
      <w:bookmarkStart w:id="14" w:name="_Toc296602411"/>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亳州逸合府项目施工总承包项目土方工程专业分包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cstheme="minorEastAsia"/>
          <w:color w:val="auto"/>
          <w:sz w:val="28"/>
          <w:szCs w:val="28"/>
          <w:highlight w:val="none"/>
          <w:lang w:val="en-US" w:eastAsia="zh-CN"/>
        </w:rPr>
        <w:t>BZJK-2024-003号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permStart w:id="8" w:edGrp="everyone"/>
      <w:r>
        <w:rPr>
          <w:rFonts w:hint="eastAsia" w:asciiTheme="minorEastAsia" w:hAnsiTheme="minorEastAsia" w:eastAsiaTheme="minorEastAsia" w:cstheme="minorEastAsia"/>
          <w:color w:val="auto"/>
          <w:sz w:val="28"/>
          <w:szCs w:val="28"/>
          <w:highlight w:val="none"/>
          <w:lang w:val="en-US" w:eastAsia="zh-CN"/>
        </w:rPr>
        <w:t>企业自有资金</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permStart w:id="9" w:edGrp="everyone"/>
      <w:r>
        <w:rPr>
          <w:rFonts w:hint="eastAsia" w:asciiTheme="minorEastAsia" w:hAnsiTheme="minorEastAsia" w:eastAsiaTheme="minorEastAsia" w:cstheme="minorEastAsia"/>
          <w:color w:val="auto"/>
          <w:sz w:val="28"/>
          <w:szCs w:val="28"/>
          <w:highlight w:val="none"/>
          <w:lang w:val="en-US" w:eastAsia="zh-CN"/>
        </w:rPr>
        <w:t>安徽通康建设工程有限公司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color w:val="auto"/>
          <w:sz w:val="28"/>
          <w:szCs w:val="28"/>
          <w:highlight w:val="none"/>
          <w:lang w:val="en-US" w:eastAsia="zh-CN"/>
        </w:rPr>
        <w:t>项目位于亳州市谯城经济技术产业开发区华佗大道与利辛路交叉口，本次招标内容为逸合府项目一期土方工程专业分包，项目占地约75296平方米。</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color w:val="auto"/>
          <w:sz w:val="28"/>
          <w:szCs w:val="28"/>
          <w:highlight w:val="none"/>
          <w:lang w:val="en-US" w:eastAsia="zh-CN"/>
        </w:rPr>
        <w:t>逸合府项目一期土方工程，包含场地清表平整、挖土外运、土方回填等及招标工程量清单、设计变更、招标人要求增加、业主及甲方要求增加、工程联系单等要求的土方工程工作内容。</w:t>
      </w:r>
      <w:r>
        <w:rPr>
          <w:rFonts w:hint="eastAsia" w:asciiTheme="minorEastAsia" w:hAnsiTheme="minorEastAsia" w:cstheme="minorEastAsia"/>
          <w:color w:val="auto"/>
          <w:sz w:val="28"/>
          <w:szCs w:val="28"/>
          <w:highlight w:val="none"/>
          <w:lang w:val="en-US" w:eastAsia="zh-CN"/>
        </w:rPr>
        <w:t>具体工作内容详见招标文件第七章技术标准和要求。</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符合国家、地方、行业现行相关规范合格标准，工程包验收通过。工程质量缺陷责任期自竣（交）工验收合格之日起2年。</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自招标人下达开工令之日起</w:t>
      </w:r>
      <w:r>
        <w:rPr>
          <w:rFonts w:hint="eastAsia" w:asciiTheme="minorEastAsia" w:hAnsiTheme="minorEastAsia" w:cstheme="minorEastAsia"/>
          <w:sz w:val="28"/>
          <w:szCs w:val="28"/>
          <w:highlight w:val="none"/>
          <w:u w:val="single"/>
          <w:lang w:val="en-US" w:eastAsia="zh-CN"/>
        </w:rPr>
        <w:t>3年</w:t>
      </w:r>
      <w:permEnd w:id="1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（含税9 %）</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lang w:val="en-US" w:eastAsia="zh-CN"/>
        </w:rPr>
        <w:t>总价最高限价</w:t>
      </w:r>
      <w:r>
        <w:rPr>
          <w:rFonts w:hint="eastAsia" w:asciiTheme="minorEastAsia" w:hAnsiTheme="minorEastAsia" w:cstheme="minorEastAsia"/>
          <w:color w:val="auto"/>
          <w:sz w:val="28"/>
          <w:szCs w:val="28"/>
          <w:highlight w:val="none"/>
          <w:u w:val="single"/>
          <w:lang w:val="en-US" w:eastAsia="zh-CN"/>
        </w:rPr>
        <w:t>1799000.00元</w:t>
      </w:r>
      <w:permEnd w:id="15"/>
      <w:r>
        <w:rPr>
          <w:rFonts w:hint="eastAsia" w:asciiTheme="minorEastAsia" w:hAnsiTheme="minorEastAsia" w:cstheme="minorEastAsia"/>
          <w:sz w:val="28"/>
          <w:szCs w:val="28"/>
          <w:highlight w:val="none"/>
          <w:lang w:val="en-US" w:eastAsia="zh-CN"/>
        </w:rPr>
        <w:t>，单价报价不得高于招标文件第五章工程量清单规定的单价最高投标限价。投标人参照招标文件第五章工程量清单，</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FF0000"/>
          <w:sz w:val="28"/>
          <w:szCs w:val="28"/>
          <w:highlight w:val="none"/>
          <w:u w:val="single"/>
          <w:lang w:val="en-US" w:eastAsia="zh-CN"/>
        </w:rPr>
        <w:t>固定单价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具有有效的道路运输经营许可证或城市建筑垃圾运输处置核准证。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eastAsiaTheme="minorEastAsia" w:cstheme="minorEastAsia"/>
          <w:sz w:val="28"/>
          <w:szCs w:val="28"/>
          <w:highlight w:val="none"/>
          <w:lang w:val="en-US" w:eastAsia="zh-CN"/>
        </w:rPr>
        <w:t>常驻现场且唯一担任本工程项目的现场管理人员，未在其他项目上任职，或虽然在其他项目上任职，但承诺本项目中标通知书发放后，10个工作日内，且在合同签订前能够从其他项目变更至本项目并全面履约。</w:t>
      </w:r>
    </w:p>
    <w:permEnd w:id="1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2021</w:t>
      </w:r>
      <w:permEnd w:id="19"/>
      <w:r>
        <w:rPr>
          <w:rFonts w:hint="eastAsia" w:asciiTheme="minorEastAsia" w:hAnsiTheme="minorEastAsia" w:cstheme="minorEastAsia"/>
          <w:sz w:val="28"/>
          <w:szCs w:val="28"/>
          <w:highlight w:val="none"/>
          <w:u w:val="none"/>
          <w:lang w:val="en-US" w:eastAsia="zh-CN"/>
        </w:rPr>
        <w:t>年1月</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eastAsiaTheme="minorEastAsia" w:cstheme="minorEastAsia"/>
          <w:sz w:val="28"/>
          <w:szCs w:val="28"/>
          <w:highlight w:val="none"/>
          <w:lang w:val="en-US" w:eastAsia="zh-CN"/>
        </w:rPr>
        <w:t>竣工验收时间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单项合同金额</w:t>
      </w:r>
      <w:r>
        <w:rPr>
          <w:rFonts w:hint="eastAsia" w:asciiTheme="minorEastAsia" w:hAnsiTheme="minorEastAsia" w:cstheme="minorEastAsia"/>
          <w:sz w:val="28"/>
          <w:szCs w:val="28"/>
          <w:highlight w:val="none"/>
          <w:lang w:val="en-US" w:eastAsia="zh-CN"/>
        </w:rPr>
        <w:t>200</w:t>
      </w:r>
      <w:r>
        <w:rPr>
          <w:rFonts w:hint="eastAsia" w:asciiTheme="minorEastAsia" w:hAnsiTheme="minorEastAsia" w:eastAsiaTheme="minorEastAsia" w:cstheme="minorEastAsia"/>
          <w:sz w:val="28"/>
          <w:szCs w:val="28"/>
          <w:highlight w:val="none"/>
          <w:lang w:val="en-US" w:eastAsia="zh-CN"/>
        </w:rPr>
        <w:t>万元及以上</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土方工程业绩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eastAsia" w:asciiTheme="minorEastAsia" w:hAnsiTheme="minorEastAsia" w:eastAsiaTheme="minorEastAsia" w:cstheme="minorEastAsia"/>
          <w:sz w:val="28"/>
          <w:szCs w:val="28"/>
          <w:highlight w:val="none"/>
          <w:lang w:val="en-US" w:eastAsia="zh-CN"/>
        </w:rPr>
        <w:t>提供业绩合同和合同任意节点税务发票等复印件或扫描件装订入投标文件中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tabs>
          <w:tab w:val="right" w:pos="7746"/>
        </w:tabs>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19</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35000元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u w:val="none"/>
          <w:lang w:val="en-US" w:eastAsia="zh-CN"/>
        </w:rPr>
        <w:t>安徽通康建设工程有限公司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default" w:asciiTheme="minorEastAsia" w:hAnsiTheme="minorEastAsia" w:cstheme="minorEastAsia"/>
          <w:sz w:val="28"/>
          <w:szCs w:val="28"/>
          <w:highlight w:val="none"/>
          <w:u w:val="none"/>
          <w:lang w:val="en-US" w:eastAsia="zh-CN"/>
        </w:rPr>
        <w:t>地</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址：</w:t>
      </w:r>
      <w:permStart w:id="31" w:edGrp="everyone"/>
      <w:r>
        <w:rPr>
          <w:rFonts w:hint="eastAsia" w:asciiTheme="minorEastAsia" w:hAnsiTheme="minorEastAsia" w:cstheme="minorEastAsia"/>
          <w:sz w:val="28"/>
          <w:szCs w:val="28"/>
          <w:highlight w:val="none"/>
          <w:u w:val="none"/>
          <w:lang w:val="en-US" w:eastAsia="zh-CN"/>
        </w:rPr>
        <w:t>安徽省亳州市谯城区大杨镇省道309线亳州收费站</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default" w:asciiTheme="minorEastAsia" w:hAnsiTheme="minorEastAsia" w:cstheme="minorEastAsia"/>
          <w:sz w:val="28"/>
          <w:szCs w:val="28"/>
          <w:highlight w:val="none"/>
          <w:u w:val="none"/>
          <w:lang w:val="en-US" w:eastAsia="zh-CN"/>
        </w:rPr>
        <w:t>联</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系</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人：</w:t>
      </w:r>
      <w:permStart w:id="32" w:edGrp="everyone"/>
      <w:r>
        <w:rPr>
          <w:rFonts w:hint="eastAsia" w:asciiTheme="minorEastAsia" w:hAnsiTheme="minorEastAsia" w:cstheme="minorEastAsia"/>
          <w:sz w:val="28"/>
          <w:szCs w:val="28"/>
          <w:highlight w:val="none"/>
          <w:u w:val="none"/>
          <w:lang w:val="en-US" w:eastAsia="zh-CN"/>
        </w:rPr>
        <w:t>李工、王工</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eastAsia" w:asciiTheme="minorEastAsia" w:hAnsiTheme="minorEastAsia" w:cstheme="minorEastAsia"/>
          <w:sz w:val="28"/>
          <w:szCs w:val="28"/>
          <w:highlight w:val="none"/>
          <w:u w:val="none"/>
          <w:lang w:val="en-US" w:eastAsia="zh-CN"/>
        </w:rPr>
        <w:t>电    话</w:t>
      </w:r>
      <w:r>
        <w:rPr>
          <w:rFonts w:hint="default" w:asciiTheme="minorEastAsia" w:hAnsiTheme="minorEastAsia" w:cstheme="minorEastAsia"/>
          <w:sz w:val="28"/>
          <w:szCs w:val="28"/>
          <w:highlight w:val="none"/>
          <w:u w:val="none"/>
          <w:lang w:val="en-US" w:eastAsia="zh-CN"/>
        </w:rPr>
        <w:t>：</w:t>
      </w:r>
      <w:permStart w:id="33" w:edGrp="everyone"/>
      <w:r>
        <w:rPr>
          <w:rFonts w:hint="eastAsia" w:asciiTheme="minorEastAsia" w:hAnsiTheme="minorEastAsia" w:cstheme="minorEastAsia"/>
          <w:sz w:val="28"/>
          <w:szCs w:val="28"/>
          <w:highlight w:val="none"/>
          <w:u w:val="none"/>
          <w:lang w:val="en-US" w:eastAsia="zh-CN"/>
        </w:rPr>
        <w:t>18906343943‬、13955875951</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2024年1月12日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jc w:val="left"/>
              <w:rPr>
                <w:rFonts w:hint="eastAsia" w:hAnsi="宋体"/>
                <w:color w:val="FF0000"/>
                <w:szCs w:val="21"/>
              </w:rPr>
            </w:pPr>
            <w:r>
              <w:rPr>
                <w:rFonts w:hint="eastAsia" w:hAnsi="宋体"/>
                <w:color w:val="FF0000"/>
                <w:szCs w:val="21"/>
              </w:rPr>
              <w:t>不需要</w:t>
            </w:r>
            <w:r>
              <w:rPr>
                <w:rFonts w:hint="eastAsia" w:ascii="MS Gothic" w:hAnsi="MS Gothic" w:eastAsia="宋体" w:cs="MS Gothic"/>
                <w:lang w:eastAsia="zh-CN"/>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spacing w:line="440" w:lineRule="exact"/>
              <w:ind w:firstLine="415" w:firstLineChars="198"/>
              <w:rPr>
                <w:rFonts w:hint="eastAsia" w:ascii="Times New Roman" w:hAnsi="Times New Roman" w:cs="Times New Roman" w:eastAsiaTheme="minorEastAsia"/>
                <w:szCs w:val="21"/>
                <w:highlight w:val="none"/>
                <w:lang w:eastAsia="zh-CN"/>
              </w:rPr>
            </w:pPr>
            <w:permStart w:id="36" w:edGrp="everyone"/>
            <w:r>
              <w:rPr>
                <w:rFonts w:hint="eastAsia"/>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hAnsi="宋体"/>
                <w:color w:val="FF0000"/>
                <w:szCs w:val="21"/>
              </w:rPr>
            </w:pPr>
            <w:permStart w:id="39"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0" w:firstLineChars="0"/>
              <w:jc w:val="left"/>
              <w:rPr>
                <w:rFonts w:hint="default" w:ascii="Times New Roman" w:hAnsi="Times New Roman" w:cs="Times New Roman"/>
                <w:color w:val="FF0000"/>
                <w:szCs w:val="21"/>
                <w:highlight w:val="none"/>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rPr>
              <w:sym w:font="Wingdings 2" w:char="0052"/>
            </w:r>
          </w:p>
          <w:permEnd w:id="3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FF0000"/>
                <w:szCs w:val="21"/>
                <w:highlight w:val="none"/>
                <w:lang w:eastAsia="zh-CN"/>
              </w:rPr>
              <w:t>：</w:t>
            </w:r>
            <w:permStart w:id="40" w:edGrp="everyone"/>
            <w:r>
              <w:rPr>
                <w:rFonts w:hint="eastAsia" w:ascii="Times New Roman" w:hAnsi="Times New Roman" w:cs="Times New Roman"/>
                <w:color w:val="auto"/>
                <w:szCs w:val="21"/>
                <w:highlight w:val="none"/>
                <w:u w:val="single"/>
                <w:lang w:val="en-US" w:eastAsia="zh-CN"/>
              </w:rPr>
              <w:t>35000元</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BZJK-2024-003号保证金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bookmarkStart w:id="498" w:name="_GoBack"/>
            <w:bookmarkEnd w:id="498"/>
            <w:permStart w:id="42" w:edGrp="everyone"/>
            <w:permEnd w:id="4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ind w:firstLine="420" w:firstLineChars="200"/>
              <w:jc w:val="left"/>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r>
              <w:rPr>
                <w:rFonts w:hint="eastAsia" w:ascii="Times New Roman" w:hAnsi="Times New Roman" w:cs="Times New Roman"/>
                <w:color w:val="FF0000"/>
                <w:szCs w:val="21"/>
                <w:highlight w:val="none"/>
                <w:lang w:val="en-US" w:eastAsia="zh-CN"/>
              </w:rPr>
              <w:t>）</w:t>
            </w:r>
          </w:p>
          <w:p>
            <w:pPr>
              <w:ind w:firstLine="420" w:firstLineChars="200"/>
              <w:jc w:val="left"/>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u w:val="single"/>
                <w:lang w:val="en-US" w:eastAsia="zh-CN"/>
              </w:rPr>
              <w:t>安徽通康建设工程有限公司</w:t>
            </w:r>
          </w:p>
          <w:p>
            <w:pPr>
              <w:ind w:firstLine="420" w:firstLineChars="200"/>
              <w:jc w:val="lef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亳州逸合府项目施工总承包项目土方工程专业分包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yellow"/>
                <w:u w:val="single"/>
                <w:lang w:val="en-US" w:eastAsia="zh-CN"/>
              </w:rPr>
              <w:t>2024</w:t>
            </w:r>
            <w:r>
              <w:rPr>
                <w:rFonts w:hint="eastAsia" w:ascii="Times New Roman" w:hAnsi="Times New Roman" w:cs="Times New Roman"/>
                <w:color w:val="FF0000"/>
                <w:szCs w:val="21"/>
                <w:highlight w:val="yellow"/>
                <w:u w:val="none"/>
                <w:lang w:val="en-US" w:eastAsia="zh-CN"/>
              </w:rPr>
              <w:t>年</w:t>
            </w:r>
            <w:r>
              <w:rPr>
                <w:rFonts w:hint="eastAsia" w:ascii="Times New Roman" w:hAnsi="Times New Roman" w:cs="Times New Roman"/>
                <w:color w:val="FF0000"/>
                <w:szCs w:val="21"/>
                <w:highlight w:val="yellow"/>
                <w:u w:val="single"/>
                <w:lang w:val="en-US" w:eastAsia="zh-CN"/>
              </w:rPr>
              <w:t>1</w:t>
            </w:r>
            <w:r>
              <w:rPr>
                <w:rFonts w:hint="eastAsia" w:ascii="Times New Roman" w:hAnsi="Times New Roman" w:cs="Times New Roman"/>
                <w:color w:val="FF0000"/>
                <w:szCs w:val="21"/>
                <w:highlight w:val="yellow"/>
                <w:u w:val="none"/>
                <w:lang w:val="en-US" w:eastAsia="zh-CN"/>
              </w:rPr>
              <w:t>月</w:t>
            </w:r>
            <w:r>
              <w:rPr>
                <w:rFonts w:hint="eastAsia" w:ascii="Times New Roman" w:hAnsi="Times New Roman" w:cs="Times New Roman"/>
                <w:color w:val="FF0000"/>
                <w:szCs w:val="21"/>
                <w:highlight w:val="yellow"/>
                <w:u w:val="single"/>
                <w:lang w:val="en-US" w:eastAsia="zh-CN"/>
              </w:rPr>
              <w:t>19</w:t>
            </w:r>
            <w:r>
              <w:rPr>
                <w:rFonts w:hint="eastAsia" w:ascii="Times New Roman" w:hAnsi="Times New Roman" w:cs="Times New Roman"/>
                <w:color w:val="FF0000"/>
                <w:szCs w:val="21"/>
                <w:highlight w:val="yellow"/>
                <w:u w:val="none"/>
                <w:lang w:val="en-US" w:eastAsia="zh-CN"/>
              </w:rPr>
              <w:t>日</w:t>
            </w:r>
            <w:r>
              <w:rPr>
                <w:rFonts w:hint="eastAsia" w:ascii="Times New Roman" w:hAnsi="Times New Roman" w:cs="Times New Roman"/>
                <w:color w:val="FF0000"/>
                <w:szCs w:val="21"/>
                <w:highlight w:val="yellow"/>
                <w:u w:val="single"/>
                <w:lang w:val="en-US" w:eastAsia="zh-CN"/>
              </w:rPr>
              <w:t>9</w:t>
            </w:r>
            <w:r>
              <w:rPr>
                <w:rFonts w:hint="eastAsia" w:ascii="Times New Roman" w:hAnsi="Times New Roman" w:cs="Times New Roman"/>
                <w:color w:val="FF0000"/>
                <w:szCs w:val="21"/>
                <w:highlight w:val="yellow"/>
                <w:u w:val="none"/>
                <w:lang w:val="en-US" w:eastAsia="zh-CN"/>
              </w:rPr>
              <w:t>时</w:t>
            </w:r>
            <w:r>
              <w:rPr>
                <w:rFonts w:hint="eastAsia" w:ascii="Times New Roman" w:hAnsi="Times New Roman" w:cs="Times New Roman"/>
                <w:color w:val="FF0000"/>
                <w:szCs w:val="21"/>
                <w:highlight w:val="yellow"/>
                <w:u w:val="single"/>
                <w:lang w:val="en-US" w:eastAsia="zh-CN"/>
              </w:rPr>
              <w:t>00</w:t>
            </w:r>
            <w:r>
              <w:rPr>
                <w:rFonts w:hint="eastAsia" w:ascii="Times New Roman" w:hAnsi="Times New Roman" w:cs="Times New Roman"/>
                <w:color w:val="FF0000"/>
                <w:szCs w:val="21"/>
                <w:highlight w:val="yellow"/>
                <w:u w:val="none"/>
                <w:lang w:val="en-US" w:eastAsia="zh-CN"/>
              </w:rPr>
              <w:t>分</w:t>
            </w:r>
            <w:r>
              <w:rPr>
                <w:rFonts w:hint="eastAsia" w:ascii="Times New Roman" w:hAnsi="Times New Roman" w:cs="Times New Roman"/>
                <w:color w:val="FF0000"/>
                <w:szCs w:val="21"/>
                <w:highlight w:val="none"/>
                <w:lang w:val="en-US" w:eastAsia="zh-CN"/>
              </w:rPr>
              <w:t>前不得开启</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中标价款的10%</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bl>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6" w:name="_Toc246996918"/>
      <w:bookmarkStart w:id="17" w:name="_Toc152042305"/>
      <w:bookmarkStart w:id="18" w:name="_Toc247085689"/>
      <w:bookmarkStart w:id="19" w:name="_Toc296602420"/>
      <w:bookmarkStart w:id="20" w:name="_Toc144974497"/>
      <w:bookmarkStart w:id="21" w:name="_Toc246996175"/>
      <w:bookmarkStart w:id="22" w:name="_Toc152045529"/>
      <w:bookmarkStart w:id="23" w:name="_Toc179632546"/>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4" w:name="_Toc247085690"/>
      <w:bookmarkStart w:id="25" w:name="_Toc179632547"/>
      <w:bookmarkStart w:id="26" w:name="_Toc152045530"/>
      <w:bookmarkStart w:id="27" w:name="_Toc144974498"/>
      <w:bookmarkStart w:id="28" w:name="_Toc152042306"/>
      <w:bookmarkStart w:id="29" w:name="_Toc246996919"/>
      <w:bookmarkStart w:id="30" w:name="_Toc296602421"/>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2" w:name="_Toc152042307"/>
      <w:bookmarkStart w:id="33" w:name="_Toc247085691"/>
      <w:bookmarkStart w:id="34" w:name="_Toc144974499"/>
      <w:bookmarkStart w:id="35" w:name="_Toc246996920"/>
      <w:bookmarkStart w:id="36" w:name="_Toc179632548"/>
      <w:bookmarkStart w:id="37" w:name="_Toc246996177"/>
      <w:bookmarkStart w:id="38" w:name="_Toc296602422"/>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40" w:name="_Toc152045532"/>
      <w:bookmarkStart w:id="41" w:name="_Toc179632549"/>
      <w:bookmarkStart w:id="42" w:name="_Toc296602423"/>
      <w:bookmarkStart w:id="43" w:name="_Toc246996178"/>
      <w:bookmarkStart w:id="44" w:name="_Toc152042308"/>
      <w:bookmarkStart w:id="45" w:name="_Toc144974500"/>
      <w:bookmarkStart w:id="46" w:name="_Toc247085692"/>
      <w:bookmarkStart w:id="47" w:name="_Toc246996921"/>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48" w:name="_Toc246996179"/>
      <w:bookmarkStart w:id="49" w:name="_Toc296602424"/>
      <w:bookmarkStart w:id="50" w:name="_Toc246996922"/>
      <w:bookmarkStart w:id="51" w:name="_Toc152045534"/>
      <w:bookmarkStart w:id="52" w:name="_Toc152042310"/>
      <w:bookmarkStart w:id="53" w:name="_Toc247085693"/>
      <w:bookmarkStart w:id="54" w:name="_Toc144974502"/>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permStart w:id="48"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（13）  / 。</w:t>
      </w:r>
      <w:permEnd w:id="48"/>
      <w:r>
        <w:rPr>
          <w:rFonts w:hint="eastAsia"/>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56" w:name="_Toc179632552"/>
      <w:bookmarkStart w:id="57" w:name="_Toc246996923"/>
      <w:bookmarkStart w:id="58" w:name="_Toc247085694"/>
      <w:bookmarkStart w:id="59" w:name="_Toc296602425"/>
      <w:bookmarkStart w:id="60" w:name="_Toc152045535"/>
      <w:bookmarkStart w:id="61" w:name="_Toc246996180"/>
      <w:bookmarkStart w:id="62" w:name="_Toc144974503"/>
      <w:bookmarkStart w:id="63" w:name="_Toc152042311"/>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64" w:name="_Toc296602426"/>
      <w:bookmarkStart w:id="65" w:name="_Toc247085695"/>
      <w:bookmarkStart w:id="66" w:name="_Toc144974504"/>
      <w:bookmarkStart w:id="67" w:name="_Toc179632553"/>
      <w:bookmarkStart w:id="68" w:name="_Toc246996924"/>
      <w:bookmarkStart w:id="69" w:name="_Toc246996181"/>
      <w:bookmarkStart w:id="70" w:name="_Toc152042312"/>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72" w:name="_Toc144974505"/>
      <w:bookmarkStart w:id="73" w:name="_Toc296602427"/>
      <w:bookmarkStart w:id="74" w:name="_Toc246996925"/>
      <w:bookmarkStart w:id="75" w:name="_Toc246996182"/>
      <w:bookmarkStart w:id="76" w:name="_Toc152042313"/>
      <w:bookmarkStart w:id="77" w:name="_Toc179632554"/>
      <w:bookmarkStart w:id="78" w:name="_Toc247085696"/>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480" w:lineRule="exact"/>
        <w:ind w:firstLine="420" w:firstLineChars="200"/>
        <w:textAlignment w:val="auto"/>
      </w:pPr>
      <w:bookmarkStart w:id="80" w:name="_Toc179632555"/>
      <w:bookmarkStart w:id="81" w:name="_Toc246996926"/>
      <w:bookmarkStart w:id="82" w:name="_Toc152045538"/>
      <w:bookmarkStart w:id="83" w:name="_Toc144974506"/>
      <w:bookmarkStart w:id="84" w:name="_Toc246996183"/>
      <w:bookmarkStart w:id="85" w:name="_Toc247085697"/>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88" w:name="_Toc247513962"/>
      <w:bookmarkStart w:id="89" w:name="_Toc296602429"/>
      <w:bookmarkStart w:id="90" w:name="_Toc247527563"/>
      <w:bookmarkStart w:id="91" w:name="_Toc152045539"/>
      <w:bookmarkStart w:id="92" w:name="_Toc144974507"/>
      <w:bookmarkStart w:id="93" w:name="_Toc152042315"/>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95" w:name="_Toc296602430"/>
      <w:bookmarkStart w:id="96" w:name="_Toc247592877"/>
      <w:bookmarkStart w:id="97" w:name="_Toc144974508"/>
      <w:bookmarkStart w:id="98" w:name="_Toc247513963"/>
      <w:bookmarkStart w:id="99" w:name="_Toc152045540"/>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03" w:name="_Toc247085701"/>
      <w:bookmarkStart w:id="104" w:name="_Toc152045542"/>
      <w:bookmarkStart w:id="105" w:name="_Toc246996930"/>
      <w:bookmarkStart w:id="106" w:name="_Toc179632560"/>
      <w:bookmarkStart w:id="107" w:name="_Toc246996187"/>
      <w:bookmarkStart w:id="108" w:name="_Toc296602432"/>
      <w:bookmarkStart w:id="109" w:name="_Toc14497451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11" w:name="_Toc246996931"/>
      <w:bookmarkStart w:id="112" w:name="_Toc152045543"/>
      <w:bookmarkStart w:id="113" w:name="_Toc179632561"/>
      <w:bookmarkStart w:id="114" w:name="_Toc144974511"/>
      <w:bookmarkStart w:id="115" w:name="_Toc296602433"/>
      <w:bookmarkStart w:id="116" w:name="_Toc247085702"/>
      <w:bookmarkStart w:id="117" w:name="_Toc152042319"/>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480" w:lineRule="exact"/>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19" w:name="_Toc152042320"/>
      <w:bookmarkStart w:id="120" w:name="_Toc179632562"/>
      <w:bookmarkStart w:id="121" w:name="_Toc296602434"/>
      <w:bookmarkStart w:id="122" w:name="_Toc247085703"/>
      <w:bookmarkStart w:id="123" w:name="_Toc144974512"/>
      <w:bookmarkStart w:id="124" w:name="_Toc152045544"/>
      <w:bookmarkStart w:id="125" w:name="_Toc246996189"/>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27" w:name="_Toc152042321"/>
      <w:bookmarkStart w:id="128" w:name="_Toc247085704"/>
      <w:bookmarkStart w:id="129" w:name="_Toc144974513"/>
      <w:bookmarkStart w:id="130" w:name="_Toc296602435"/>
      <w:bookmarkStart w:id="131" w:name="_Toc246996190"/>
      <w:bookmarkStart w:id="132" w:name="_Toc179632563"/>
      <w:bookmarkStart w:id="133" w:name="_Toc246996933"/>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35" w:name="_Toc152042322"/>
      <w:bookmarkStart w:id="136" w:name="_Toc152045546"/>
      <w:bookmarkStart w:id="137" w:name="_Toc296602436"/>
      <w:bookmarkStart w:id="138" w:name="_Toc247085705"/>
      <w:bookmarkStart w:id="139" w:name="_Toc144974514"/>
      <w:bookmarkStart w:id="140" w:name="_Toc179632564"/>
      <w:bookmarkStart w:id="141" w:name="_Toc246996934"/>
      <w:bookmarkStart w:id="142" w:name="_Toc246996191"/>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43" w:name="_Toc246996192"/>
      <w:bookmarkStart w:id="144" w:name="_Toc247085706"/>
      <w:bookmarkStart w:id="145" w:name="_Toc246996935"/>
      <w:bookmarkStart w:id="146" w:name="_Toc179632565"/>
      <w:bookmarkStart w:id="147" w:name="_Toc152045547"/>
      <w:bookmarkStart w:id="148" w:name="_Toc152042323"/>
      <w:bookmarkStart w:id="149" w:name="_Toc296602437"/>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480" w:lineRule="exact"/>
        <w:textAlignment w:val="auto"/>
        <w:rPr>
          <w:rFonts w:hint="eastAsia" w:ascii="宋体" w:hAnsi="宋体"/>
          <w:sz w:val="21"/>
          <w:szCs w:val="21"/>
        </w:rPr>
      </w:pPr>
      <w:bookmarkStart w:id="151" w:name="_Toc296602438"/>
      <w:bookmarkStart w:id="152" w:name="_Toc246996936"/>
      <w:bookmarkStart w:id="153" w:name="_Toc246996193"/>
      <w:bookmarkStart w:id="154" w:name="_Toc247085707"/>
      <w:bookmarkStart w:id="155" w:name="_Toc152045548"/>
      <w:bookmarkStart w:id="156" w:name="_Toc144974516"/>
      <w:bookmarkStart w:id="157" w:name="_Toc179632566"/>
      <w:bookmarkStart w:id="158" w:name="_Toc152042324"/>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44974517"/>
      <w:bookmarkStart w:id="161" w:name="_Toc152042325"/>
      <w:bookmarkStart w:id="162" w:name="_Toc15204554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67" w:name="_Toc246996195"/>
      <w:bookmarkStart w:id="168" w:name="_Toc247085709"/>
      <w:bookmarkStart w:id="169" w:name="_Toc296602440"/>
      <w:bookmarkStart w:id="170" w:name="_Toc246996938"/>
      <w:bookmarkStart w:id="171" w:name="_Toc152042326"/>
      <w:bookmarkStart w:id="172" w:name="_Toc144974518"/>
      <w:bookmarkStart w:id="173" w:name="_Toc179632568"/>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75" w:name="_Toc152042328"/>
      <w:bookmarkStart w:id="176" w:name="_Toc296602441"/>
      <w:bookmarkStart w:id="177" w:name="_Toc246996196"/>
      <w:bookmarkStart w:id="178" w:name="_Toc179632570"/>
      <w:bookmarkStart w:id="179" w:name="_Toc247085710"/>
      <w:bookmarkStart w:id="180" w:name="_Toc144974520"/>
      <w:bookmarkStart w:id="181" w:name="_Toc152045552"/>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83" w:name="_Toc296602442"/>
      <w:bookmarkStart w:id="184" w:name="_Toc247085711"/>
      <w:bookmarkStart w:id="185" w:name="_Toc246996197"/>
      <w:bookmarkStart w:id="186" w:name="_Toc152042329"/>
      <w:bookmarkStart w:id="187" w:name="_Toc246996940"/>
      <w:bookmarkStart w:id="188" w:name="_Toc179632571"/>
      <w:bookmarkStart w:id="189" w:name="_Toc152045553"/>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52045555"/>
      <w:bookmarkStart w:id="193" w:name="_Toc246996199"/>
      <w:bookmarkStart w:id="194" w:name="_Toc152042331"/>
      <w:bookmarkStart w:id="195" w:name="_Toc144974523"/>
      <w:bookmarkStart w:id="196" w:name="_Toc247085713"/>
      <w:bookmarkStart w:id="197" w:name="_Toc179632573"/>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199" w:name="_Toc144974524"/>
      <w:bookmarkStart w:id="200" w:name="_Toc246996200"/>
      <w:bookmarkStart w:id="201" w:name="_Toc296602444"/>
      <w:bookmarkStart w:id="202" w:name="_Toc152045556"/>
      <w:bookmarkStart w:id="203" w:name="_Toc247085714"/>
      <w:bookmarkStart w:id="204" w:name="_Toc152042332"/>
      <w:bookmarkStart w:id="205" w:name="_Toc246996943"/>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480" w:lineRule="exact"/>
        <w:ind w:firstLine="420" w:firstLineChars="200"/>
        <w:textAlignment w:val="auto"/>
      </w:pPr>
      <w:bookmarkStart w:id="207" w:name="_Toc144974525"/>
      <w:bookmarkStart w:id="208" w:name="_Toc247085715"/>
      <w:bookmarkStart w:id="209" w:name="_Toc179632575"/>
      <w:bookmarkStart w:id="210" w:name="_Toc246996944"/>
      <w:bookmarkStart w:id="211" w:name="_Toc152042333"/>
      <w:bookmarkStart w:id="212" w:name="_Toc246996201"/>
      <w:bookmarkStart w:id="213" w:name="_Toc152045557"/>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480" w:lineRule="exact"/>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15" w:name="_Toc152045558"/>
      <w:bookmarkStart w:id="216" w:name="_Toc144974526"/>
      <w:bookmarkStart w:id="217" w:name="_Toc246996202"/>
      <w:bookmarkStart w:id="218" w:name="_Toc179632576"/>
      <w:bookmarkStart w:id="219" w:name="_Toc247085716"/>
      <w:bookmarkStart w:id="220" w:name="_Toc246996945"/>
      <w:bookmarkStart w:id="221" w:name="_Toc296602446"/>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223" w:name="_Toc152045559"/>
      <w:bookmarkStart w:id="224" w:name="_Toc179632577"/>
      <w:bookmarkStart w:id="225" w:name="_Toc296602447"/>
      <w:bookmarkStart w:id="226" w:name="_Toc246996203"/>
      <w:bookmarkStart w:id="227" w:name="_Toc152042335"/>
      <w:bookmarkStart w:id="228" w:name="_Toc246996946"/>
      <w:bookmarkStart w:id="229" w:name="_Toc247085717"/>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31" w:name="_Toc152045560"/>
      <w:bookmarkStart w:id="232" w:name="_Toc246996947"/>
      <w:bookmarkStart w:id="233" w:name="_Toc152042336"/>
      <w:bookmarkStart w:id="234" w:name="_Toc247085718"/>
      <w:bookmarkStart w:id="235" w:name="_Toc179632578"/>
      <w:bookmarkStart w:id="236" w:name="_Toc144974528"/>
      <w:bookmarkStart w:id="237" w:name="_Toc246996204"/>
      <w:bookmarkStart w:id="238" w:name="_Toc29660244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39" w:name="_Toc152045561"/>
      <w:bookmarkStart w:id="240" w:name="_Toc247085719"/>
      <w:bookmarkStart w:id="241" w:name="_Toc246996948"/>
      <w:bookmarkStart w:id="242" w:name="_Toc144974529"/>
      <w:bookmarkStart w:id="243" w:name="_Toc179632579"/>
      <w:bookmarkStart w:id="244" w:name="_Toc152042337"/>
      <w:bookmarkStart w:id="245" w:name="_Toc246996205"/>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248" w:name="_Toc144974530"/>
      <w:bookmarkStart w:id="249" w:name="_Toc179632580"/>
      <w:bookmarkStart w:id="250" w:name="_Toc246996949"/>
      <w:bookmarkStart w:id="251" w:name="_Toc247085720"/>
      <w:bookmarkStart w:id="252" w:name="_Toc246996206"/>
      <w:bookmarkStart w:id="253" w:name="_Toc152042338"/>
      <w:bookmarkStart w:id="254" w:name="_Toc152045562"/>
      <w:bookmarkStart w:id="255" w:name="_Toc296602451"/>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56" w:name="_Toc246996207"/>
      <w:bookmarkStart w:id="257" w:name="_Toc144974531"/>
      <w:bookmarkStart w:id="258" w:name="_Toc179632581"/>
      <w:bookmarkStart w:id="259" w:name="_Toc296602452"/>
      <w:bookmarkStart w:id="260" w:name="_Toc152042339"/>
      <w:bookmarkStart w:id="261" w:name="_Toc246996950"/>
      <w:bookmarkStart w:id="262" w:name="_Toc247085721"/>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64" w:name="_Toc152042340"/>
      <w:bookmarkStart w:id="265" w:name="_Toc246996208"/>
      <w:bookmarkStart w:id="266" w:name="_Toc247085722"/>
      <w:bookmarkStart w:id="267" w:name="_Toc152045564"/>
      <w:bookmarkStart w:id="268" w:name="_Toc246996951"/>
      <w:bookmarkStart w:id="269" w:name="_Toc296602453"/>
      <w:bookmarkStart w:id="270" w:name="_Toc144974532"/>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72" w:name="_Toc296602454"/>
      <w:bookmarkStart w:id="273" w:name="_Toc152042341"/>
      <w:bookmarkStart w:id="274" w:name="_Toc144974533"/>
      <w:bookmarkStart w:id="275" w:name="_Toc152045565"/>
      <w:bookmarkStart w:id="276" w:name="_Toc246996209"/>
      <w:bookmarkStart w:id="277" w:name="_Toc179632583"/>
      <w:bookmarkStart w:id="278" w:name="_Toc246996952"/>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280" w:name="_Toc179632584"/>
      <w:bookmarkStart w:id="281" w:name="_Toc247085724"/>
      <w:bookmarkStart w:id="282" w:name="_Toc296602455"/>
      <w:bookmarkStart w:id="283" w:name="_Toc246996953"/>
      <w:bookmarkStart w:id="284" w:name="_Toc152045566"/>
      <w:bookmarkStart w:id="285" w:name="_Toc246996210"/>
      <w:bookmarkStart w:id="286" w:name="_Toc144974534"/>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88" w:name="_Toc247085725"/>
      <w:bookmarkStart w:id="289" w:name="_Toc296602456"/>
      <w:bookmarkStart w:id="290" w:name="_Toc144974535"/>
      <w:bookmarkStart w:id="291" w:name="_Toc152042343"/>
      <w:bookmarkStart w:id="292" w:name="_Toc179632585"/>
      <w:bookmarkStart w:id="293" w:name="_Toc246996211"/>
      <w:bookmarkStart w:id="294" w:name="_Toc152045567"/>
      <w:bookmarkStart w:id="295" w:name="_Toc246996954"/>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297" w:name="_Toc144974536"/>
      <w:bookmarkStart w:id="298" w:name="_Toc246996212"/>
      <w:bookmarkStart w:id="299" w:name="_Toc152045568"/>
      <w:bookmarkStart w:id="300" w:name="_Toc179632586"/>
      <w:bookmarkStart w:id="301" w:name="_Toc152042344"/>
      <w:bookmarkStart w:id="302" w:name="_Toc246996955"/>
      <w:bookmarkStart w:id="303" w:name="_Toc296602458"/>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05" w:name="_Toc152042345"/>
      <w:bookmarkStart w:id="306" w:name="_Toc296602459"/>
      <w:bookmarkStart w:id="307" w:name="_Toc152045569"/>
      <w:bookmarkStart w:id="308" w:name="_Toc246996956"/>
      <w:bookmarkStart w:id="309" w:name="_Toc179632587"/>
      <w:bookmarkStart w:id="310" w:name="_Toc247085727"/>
      <w:bookmarkStart w:id="311" w:name="_Toc246996213"/>
      <w:bookmarkStart w:id="312" w:name="_Toc14497453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13" w:name="_Toc296602460"/>
      <w:bookmarkStart w:id="314" w:name="_Toc246996957"/>
      <w:bookmarkStart w:id="315" w:name="_Toc144974538"/>
      <w:bookmarkStart w:id="316" w:name="_Toc247085728"/>
      <w:bookmarkStart w:id="317" w:name="_Toc246996214"/>
      <w:bookmarkStart w:id="318" w:name="_Toc152045570"/>
      <w:bookmarkStart w:id="319" w:name="_Toc179632588"/>
      <w:bookmarkStart w:id="320" w:name="_Toc152042346"/>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22" w:name="_Toc179632593"/>
      <w:bookmarkStart w:id="323" w:name="_Toc247085733"/>
      <w:bookmarkStart w:id="324" w:name="_Toc296590983"/>
      <w:bookmarkStart w:id="325" w:name="_Toc246996219"/>
      <w:bookmarkStart w:id="326" w:name="_Toc246996962"/>
      <w:bookmarkStart w:id="327" w:name="_Toc296602462"/>
      <w:bookmarkStart w:id="328" w:name="_Toc152042351"/>
      <w:bookmarkStart w:id="329" w:name="_Toc152045575"/>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pageBreakBefore w:val="0"/>
        <w:widowControl w:val="0"/>
        <w:kinsoku/>
        <w:overflowPunct/>
        <w:topLinePunct w:val="0"/>
        <w:autoSpaceDE/>
        <w:autoSpaceDN/>
        <w:bidi w:val="0"/>
        <w:adjustRightInd/>
        <w:snapToGrid/>
        <w:spacing w:line="480" w:lineRule="exact"/>
        <w:textAlignment w:val="auto"/>
        <w:rPr>
          <w:rFonts w:hint="eastAsia"/>
        </w:rPr>
      </w:pPr>
      <w:bookmarkStart w:id="331" w:name="_Toc247085734"/>
      <w:bookmarkStart w:id="332" w:name="_Toc296602463"/>
      <w:bookmarkStart w:id="333" w:name="_Toc152042352"/>
      <w:bookmarkStart w:id="334" w:name="_Toc179632594"/>
      <w:bookmarkStart w:id="335" w:name="_Toc246996963"/>
      <w:bookmarkStart w:id="336" w:name="_Toc152045576"/>
      <w:bookmarkStart w:id="337" w:name="_Toc144974544"/>
      <w:bookmarkStart w:id="338" w:name="_Toc246996220"/>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39" w:name="_Toc246996221"/>
      <w:bookmarkStart w:id="340" w:name="_Toc247085735"/>
      <w:bookmarkStart w:id="341" w:name="_Toc144974545"/>
      <w:bookmarkStart w:id="342" w:name="_Toc179632595"/>
      <w:bookmarkStart w:id="343" w:name="_Toc152045577"/>
      <w:bookmarkStart w:id="344" w:name="_Toc152042353"/>
      <w:bookmarkStart w:id="345" w:name="_Toc296602464"/>
      <w:bookmarkStart w:id="346" w:name="_Toc2469969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47" w:name="_Toc247085736"/>
      <w:bookmarkStart w:id="348" w:name="_Toc246996965"/>
      <w:bookmarkStart w:id="349" w:name="_Toc152042354"/>
      <w:bookmarkStart w:id="350" w:name="_Toc296602465"/>
      <w:bookmarkStart w:id="351" w:name="_Toc179632596"/>
      <w:bookmarkStart w:id="352" w:name="_Toc152045578"/>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480" w:lineRule="exact"/>
        <w:textAlignment w:val="auto"/>
        <w:rPr>
          <w:rFonts w:hint="eastAsia"/>
        </w:rPr>
      </w:pPr>
      <w:bookmarkStart w:id="356" w:name="_Toc296602466"/>
      <w:bookmarkStart w:id="357" w:name="_Toc246996223"/>
      <w:bookmarkStart w:id="358" w:name="_Toc246996966"/>
      <w:bookmarkStart w:id="359" w:name="_Toc179632597"/>
      <w:bookmarkStart w:id="360" w:name="_Toc152042356"/>
      <w:bookmarkStart w:id="361" w:name="_Toc152045579"/>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363" w:name="_Toc144974547"/>
      <w:bookmarkStart w:id="364" w:name="_Toc246996224"/>
      <w:bookmarkStart w:id="365" w:name="_Toc152042357"/>
      <w:bookmarkStart w:id="366" w:name="_Toc247085738"/>
      <w:bookmarkStart w:id="367" w:name="_Toc296602467"/>
      <w:bookmarkStart w:id="368" w:name="_Toc152045580"/>
      <w:bookmarkStart w:id="369" w:name="_Toc179632598"/>
      <w:bookmarkStart w:id="370" w:name="_Toc2469969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480" w:lineRule="exact"/>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8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资格</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w:t>
            </w:r>
            <w:r>
              <w:rPr>
                <w:rFonts w:hint="default" w:ascii="Times New Roman" w:hAnsi="Times New Roman" w:cs="Times New Roman"/>
                <w:b/>
                <w:bCs/>
                <w:kern w:val="0"/>
                <w:sz w:val="24"/>
                <w:szCs w:val="24"/>
                <w:highlight w:val="none"/>
                <w:lang w:val="en-US"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permStart w:id="59" w:edGrp="everyone" w:colFirst="2" w:colLast="2"/>
            <w:r>
              <w:rPr>
                <w:rFonts w:hint="eastAsia" w:ascii="Times New Roman" w:hAnsi="Times New Roman" w:cs="Times New Roman"/>
                <w:kern w:val="0"/>
                <w:sz w:val="24"/>
                <w:szCs w:val="24"/>
                <w:highlight w:val="none"/>
                <w:lang w:val="en-US" w:eastAsia="zh-CN"/>
              </w:rPr>
              <w:t>2.2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permStart w:id="58" w:edGrp="everyone"/>
            <w:r>
              <w:rPr>
                <w:rFonts w:hint="eastAsia" w:ascii="Times New Roman" w:hAnsi="Times New Roman" w:cs="Times New Roman"/>
                <w:kern w:val="0"/>
                <w:sz w:val="24"/>
                <w:szCs w:val="24"/>
                <w:highlight w:val="none"/>
                <w:lang w:val="en-US" w:eastAsia="zh-CN"/>
              </w:rPr>
              <w:t>详细评审标准</w:t>
            </w:r>
            <w:permEnd w:id="58"/>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i w:val="0"/>
                <w:iCs w:val="0"/>
                <w:color w:val="FF0000"/>
                <w:kern w:val="0"/>
                <w:sz w:val="24"/>
                <w:szCs w:val="24"/>
                <w:highlight w:val="none"/>
                <w:lang w:val="en-US" w:eastAsia="zh-CN"/>
              </w:rPr>
            </w:pPr>
            <w:permStart w:id="60" w:edGrp="everyone"/>
            <w:r>
              <w:rPr>
                <w:rFonts w:hint="eastAsia" w:ascii="Times New Roman" w:hAnsi="Times New Roman" w:cs="Times New Roman"/>
                <w:color w:val="auto"/>
                <w:kern w:val="0"/>
                <w:sz w:val="24"/>
                <w:szCs w:val="24"/>
                <w:highlight w:val="none"/>
                <w:lang w:val="en-US" w:eastAsia="zh-CN"/>
              </w:rPr>
              <w:t>/</w:t>
            </w:r>
            <w:permEnd w:id="60"/>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ermStart w:id="61" w:edGrp="everyone" w:colFirst="2" w:colLast="2"/>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right="54"/>
              <w:jc w:val="left"/>
              <w:rPr>
                <w:rFonts w:hint="default" w:ascii="Times New Roman" w:hAnsi="Times New Roman" w:cs="Times New Roman"/>
                <w:color w:val="auto"/>
                <w:kern w:val="0"/>
                <w:sz w:val="24"/>
                <w:szCs w:val="24"/>
                <w:highlight w:val="none"/>
                <w:lang w:val="en-US" w:eastAsia="zh-CN"/>
              </w:rPr>
            </w:pPr>
            <w:permStart w:id="62" w:edGrp="everyone"/>
            <w:r>
              <w:rPr>
                <w:rFonts w:hint="eastAsia" w:ascii="Times New Roman" w:hAnsi="Times New Roman" w:cs="Times New Roman"/>
                <w:color w:val="auto"/>
                <w:kern w:val="0"/>
                <w:sz w:val="24"/>
                <w:szCs w:val="24"/>
                <w:highlight w:val="none"/>
                <w:lang w:val="en-US" w:eastAsia="zh-CN"/>
              </w:rPr>
              <w:t>/</w:t>
            </w:r>
            <w:permEnd w:id="62"/>
          </w:p>
        </w:tc>
      </w:tr>
      <w:permEnd w:id="61"/>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highlight w:val="none"/>
        </w:rPr>
      </w:pPr>
      <w:r>
        <w:rPr>
          <w:rFonts w:hint="eastAsia" w:ascii="Times New Roman" w:hAnsi="Times New Roman" w:cs="Times New Roman"/>
          <w:b/>
          <w:bCs/>
          <w:kern w:val="0"/>
          <w:sz w:val="24"/>
          <w:szCs w:val="24"/>
          <w:highlight w:val="none"/>
          <w:lang w:val="en-US" w:eastAsia="zh-CN"/>
        </w:rPr>
        <w:t>（3）</w:t>
      </w:r>
      <w:r>
        <w:rPr>
          <w:rFonts w:hint="eastAsia" w:ascii="Times New Roman" w:hAnsi="Times New Roman" w:cs="Times New Roman"/>
          <w:b/>
          <w:bCs/>
          <w:kern w:val="0"/>
          <w:sz w:val="24"/>
          <w:highlight w:val="none"/>
        </w:rPr>
        <w:t>单价遗漏的，其费用视为已分摊在工程量清单中其他相关子目的单价或价格之中，不再调整。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52042366"/>
      <w:bookmarkStart w:id="373" w:name="_Toc144974556"/>
      <w:bookmarkStart w:id="374" w:name="_Toc179632607"/>
      <w:bookmarkStart w:id="375" w:name="_Toc246996232"/>
      <w:bookmarkStart w:id="376" w:name="_Toc296602477"/>
      <w:bookmarkStart w:id="377" w:name="_Toc246996975"/>
      <w:bookmarkStart w:id="378" w:name="_Toc152045589"/>
      <w:bookmarkStart w:id="379" w:name="_Toc247085747"/>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3" w:edGrp="everyone"/>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ermEnd w:id="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4" w:edGrp="everyone"/>
            <w:r>
              <w:rPr>
                <w:rFonts w:hint="eastAsia" w:ascii="Times New Roman" w:hAnsi="Times New Roman" w:cs="Times New Roman"/>
                <w:kern w:val="0"/>
                <w:sz w:val="24"/>
                <w:szCs w:val="24"/>
                <w:highlight w:val="none"/>
                <w:shd w:val="clear" w:color="auto" w:fill="auto"/>
                <w:vertAlign w:val="baseline"/>
                <w:lang w:val="en-US" w:eastAsia="zh-CN"/>
              </w:rPr>
              <w:t>1.工程无预付款；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2.回填结束完毕，招标人按照中标人实际完成工程量的70%向中标人支付工程进度款；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3.工程验收合格后，招标人按中标人实际完成工程量的80%向中标人支付工程款；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4.招标人与建设单位工程结算审核完成后三月内付至审定价款的97％，余下3%作为质保金，质保期满且无质量问题后无息付清。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5.若本项目竣工结算审核审减率超出5%，视为中标人违约，中标人向招标人支付超出5%部分审减服务费双倍金额的违约金，或由招标人直接从工程结算价款中扣除该项费用。</w:t>
            </w:r>
          </w:p>
          <w:permEnd w:id="6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注：招标人付款前，中标人应按照国家税收有关规定开具等额增值税专用发票，否则招标人有权暂停付款。中标单位需按照招标人要求（实际结算金额）提供税率为9%的增值税专用发票及进项税抵扣联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6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1、中标单位在签订合同前缴纳安全风险抵押金40万元，于工程验收合格后30日内一次性退还，不计息。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单位需按照招标人工作指令完成土方回填工作，土方回填时间根据招标人所属项目施工进度要求进行，投标人不得以任何理由拒绝招标人的土方回填工作通知。如投标人不按招标人指令和要求进行土方回填工作，视为中标单位违约，招标人有权自行回填，发生的费用从投标人工程款中直接扣除；另外按5元/立方米扣除中标单位违约金，扣除违约金的工程量按招标人工作指令和图纸、招标文件要求的计算规则计算工程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3、如中标人有人员因为农民工工资投诉到市清欠办公室，或最终到建设单位、承包单位办公室地点进行讨薪等，分包单位需承担违约金10000元每次。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4、中标人负责土方工程施工时环保、安全、文明和扬尘治理等内容，投标报价费用包含环保、扬尘、市容、路政等协调费用。负责因土方扬尘造成的主管部门下发的整改通知、处罚单等事后协调工作，由此发生的相关费用（含罚款等费用）由中标人负责。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5、</w:t>
            </w:r>
            <w:r>
              <w:rPr>
                <w:rFonts w:hint="eastAsia" w:ascii="Times New Roman" w:hAnsi="Times New Roman" w:cs="Times New Roman"/>
                <w:b/>
                <w:bCs/>
                <w:kern w:val="0"/>
                <w:sz w:val="24"/>
                <w:highlight w:val="none"/>
                <w:shd w:val="clear" w:color="auto" w:fill="auto"/>
              </w:rPr>
              <w:t>经</w:t>
            </w:r>
            <w:r>
              <w:rPr>
                <w:rFonts w:hint="eastAsia" w:ascii="Times New Roman" w:hAnsi="Times New Roman" w:cs="Times New Roman"/>
                <w:b/>
                <w:bCs/>
                <w:kern w:val="0"/>
                <w:sz w:val="24"/>
                <w:highlight w:val="none"/>
                <w:shd w:val="clear" w:color="auto" w:fill="auto"/>
                <w:lang w:val="en-US" w:eastAsia="zh-CN"/>
              </w:rPr>
              <w:t>招标人</w:t>
            </w:r>
            <w:r>
              <w:rPr>
                <w:rFonts w:hint="eastAsia" w:ascii="Times New Roman" w:hAnsi="Times New Roman" w:cs="Times New Roman"/>
                <w:b/>
                <w:bCs/>
                <w:kern w:val="0"/>
                <w:sz w:val="24"/>
                <w:highlight w:val="none"/>
                <w:shd w:val="clear" w:color="auto" w:fill="auto"/>
              </w:rPr>
              <w:t>认定为不平衡报价的子目单价，招标人有权在投标总价不变的前提下，对</w:t>
            </w:r>
            <w:r>
              <w:rPr>
                <w:rFonts w:hint="eastAsia" w:ascii="Times New Roman" w:hAnsi="Times New Roman" w:cs="Times New Roman"/>
                <w:b/>
                <w:bCs/>
                <w:kern w:val="0"/>
                <w:sz w:val="24"/>
                <w:highlight w:val="none"/>
                <w:shd w:val="clear" w:color="auto" w:fill="auto"/>
                <w:lang w:val="en-US" w:eastAsia="zh-CN"/>
              </w:rPr>
              <w:t>中标</w:t>
            </w:r>
            <w:r>
              <w:rPr>
                <w:rFonts w:hint="eastAsia" w:ascii="Times New Roman" w:hAnsi="Times New Roman" w:cs="Times New Roman"/>
                <w:b/>
                <w:bCs/>
                <w:kern w:val="0"/>
                <w:sz w:val="24"/>
                <w:highlight w:val="none"/>
                <w:shd w:val="clear" w:color="auto" w:fill="auto"/>
              </w:rPr>
              <w:t>人的不平衡报价的子目单价进行调整。</w:t>
            </w:r>
            <w:permEnd w:id="6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68" w:edGrp="everyone"/>
      <w:r>
        <w:rPr>
          <w:rFonts w:hint="eastAsia" w:ascii="Times New Roman" w:hAnsi="Times New Roman" w:cs="Times New Roman"/>
          <w:kern w:val="0"/>
          <w:sz w:val="24"/>
          <w:szCs w:val="24"/>
          <w:highlight w:val="none"/>
          <w:u w:val="single"/>
          <w:lang w:val="en-US" w:eastAsia="zh-CN"/>
        </w:rPr>
        <w:t>/</w:t>
      </w:r>
      <w:permEnd w:id="6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69" w:edGrp="everyone"/>
      <w:r>
        <w:rPr>
          <w:rFonts w:hint="eastAsia" w:ascii="Times New Roman" w:hAnsi="Times New Roman" w:cs="Times New Roman"/>
          <w:kern w:val="0"/>
          <w:sz w:val="24"/>
          <w:szCs w:val="24"/>
          <w:highlight w:val="none"/>
          <w:u w:val="single"/>
          <w:lang w:val="en-US" w:eastAsia="zh-CN"/>
        </w:rPr>
        <w:t>/</w:t>
      </w:r>
      <w:permEnd w:id="6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70" w:edGrp="everyone"/>
      <w:r>
        <w:rPr>
          <w:rFonts w:hint="eastAsia" w:ascii="Times New Roman" w:hAnsi="Times New Roman" w:cs="Times New Roman"/>
          <w:kern w:val="0"/>
          <w:sz w:val="24"/>
          <w:szCs w:val="24"/>
          <w:highlight w:val="none"/>
          <w:lang w:val="en-US" w:eastAsia="zh-CN"/>
        </w:rPr>
        <w:t xml:space="preserve">/ </w:t>
      </w:r>
      <w:permEnd w:id="7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71" w:edGrp="everyone"/>
      <w:r>
        <w:rPr>
          <w:rFonts w:hint="eastAsia" w:ascii="Times New Roman" w:hAnsi="Times New Roman" w:cs="Times New Roman"/>
          <w:kern w:val="0"/>
          <w:sz w:val="24"/>
          <w:szCs w:val="24"/>
          <w:highlight w:val="none"/>
          <w:lang w:val="en-US" w:eastAsia="zh-CN"/>
        </w:rPr>
        <w:t>详见附件。</w:t>
      </w:r>
    </w:p>
    <w:permEnd w:id="7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480" w:lineRule="auto"/>
        <w:jc w:val="center"/>
        <w:rPr>
          <w:rFonts w:ascii="宋体" w:hAnsi="宋体"/>
          <w:b/>
          <w:sz w:val="28"/>
        </w:rPr>
      </w:pPr>
      <w:r>
        <w:rPr>
          <w:rFonts w:hint="eastAsia" w:ascii="宋体" w:hAnsi="宋体"/>
          <w:b/>
          <w:sz w:val="28"/>
        </w:rPr>
        <w:t>招标控制价</w:t>
      </w:r>
    </w:p>
    <w:p>
      <w:pPr>
        <w:spacing w:line="300" w:lineRule="exact"/>
        <w:rPr>
          <w:rFonts w:ascii="宋体" w:hAnsi="宋体"/>
          <w:sz w:val="24"/>
          <w:u w:val="single"/>
        </w:rPr>
      </w:pPr>
      <w:r>
        <w:rPr>
          <w:rFonts w:hint="eastAsia" w:ascii="宋体" w:hAnsi="宋体"/>
          <w:sz w:val="24"/>
          <w:u w:val="single"/>
        </w:rPr>
        <w:t>工程名称：亳州逸合府项目施工总承包项目土方工程</w:t>
      </w:r>
    </w:p>
    <w:tbl>
      <w:tblPr>
        <w:tblStyle w:val="15"/>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513"/>
        <w:gridCol w:w="992"/>
        <w:gridCol w:w="709"/>
        <w:gridCol w:w="113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4" w:space="0"/>
              <w:right w:val="single" w:color="auto" w:sz="8" w:space="0"/>
            </w:tcBorders>
          </w:tcPr>
          <w:p>
            <w:pPr>
              <w:rPr>
                <w:rFonts w:ascii="宋体" w:hAnsi="宋体"/>
                <w:sz w:val="18"/>
                <w:szCs w:val="18"/>
              </w:rPr>
            </w:pPr>
            <w:r>
              <w:rPr>
                <w:rFonts w:hint="eastAsia" w:ascii="宋体" w:hAnsi="宋体"/>
                <w:sz w:val="18"/>
                <w:szCs w:val="18"/>
              </w:rPr>
              <w:t>招标人：安徽通康建设工程有限公司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项目名称</w:t>
            </w:r>
          </w:p>
        </w:tc>
        <w:tc>
          <w:tcPr>
            <w:tcW w:w="7513" w:type="dxa"/>
            <w:tcBorders>
              <w:top w:val="single" w:color="auto" w:sz="2" w:space="0"/>
              <w:left w:val="single" w:color="auto" w:sz="2" w:space="0"/>
              <w:right w:val="single" w:color="auto" w:sz="2" w:space="0"/>
            </w:tcBorders>
          </w:tcPr>
          <w:p>
            <w:pPr>
              <w:jc w:val="center"/>
              <w:rPr>
                <w:rFonts w:ascii="宋体" w:hAnsi="宋体"/>
                <w:sz w:val="18"/>
                <w:szCs w:val="18"/>
              </w:rPr>
            </w:pPr>
            <w:r>
              <w:rPr>
                <w:rFonts w:hint="eastAsia" w:ascii="宋体" w:hAnsi="宋体"/>
                <w:sz w:val="18"/>
                <w:szCs w:val="18"/>
              </w:rPr>
              <w:t>项目特征描述</w:t>
            </w:r>
          </w:p>
        </w:tc>
        <w:tc>
          <w:tcPr>
            <w:tcW w:w="992"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工程量（暂定）</w:t>
            </w:r>
          </w:p>
        </w:tc>
        <w:tc>
          <w:tcPr>
            <w:tcW w:w="709"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单位</w:t>
            </w:r>
          </w:p>
        </w:tc>
        <w:tc>
          <w:tcPr>
            <w:tcW w:w="1134"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843" w:type="dxa"/>
            <w:tcBorders>
              <w:top w:val="single" w:color="auto" w:sz="2" w:space="0"/>
              <w:left w:val="single" w:color="auto" w:sz="2" w:space="0"/>
              <w:right w:val="single" w:color="auto" w:sz="8" w:space="0"/>
            </w:tcBorders>
            <w:vAlign w:val="center"/>
          </w:tcPr>
          <w:p>
            <w:pPr>
              <w:jc w:val="center"/>
              <w:rPr>
                <w:rFonts w:ascii="宋体" w:hAnsi="宋体"/>
                <w:sz w:val="18"/>
                <w:szCs w:val="18"/>
              </w:rPr>
            </w:pPr>
            <w:r>
              <w:rPr>
                <w:rFonts w:hint="eastAsia" w:ascii="宋体" w:hAnsi="宋体"/>
                <w:sz w:val="18"/>
                <w:szCs w:val="18"/>
              </w:rPr>
              <w:t>合  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挖土外运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1、部位：本项目清表平整、场地平衡土方、筏板基础等部位；</w:t>
            </w:r>
          </w:p>
          <w:p>
            <w:pPr>
              <w:ind w:right="54"/>
              <w:jc w:val="left"/>
              <w:rPr>
                <w:rFonts w:ascii="宋体" w:hAnsi="宋体" w:cs="宋体"/>
                <w:sz w:val="18"/>
                <w:szCs w:val="18"/>
              </w:rPr>
            </w:pPr>
            <w:r>
              <w:rPr>
                <w:rFonts w:hint="eastAsia" w:ascii="宋体" w:hAnsi="宋体" w:cs="宋体"/>
                <w:sz w:val="18"/>
                <w:szCs w:val="18"/>
              </w:rPr>
              <w:t>2、土壤类别：综合，投标人现场自行踏勘，投标人应充分考虑现场可能存在的淤泥、沼泽地、地表水、高差、原建筑物基础、建筑垃圾、群众栽植的青苗农作物等不利因素，包含地表上杂物、硬化、垃圾、杂草、植被、树木、淤泥、农作物等；</w:t>
            </w:r>
          </w:p>
          <w:p>
            <w:pPr>
              <w:ind w:right="54"/>
              <w:jc w:val="left"/>
              <w:rPr>
                <w:rFonts w:ascii="宋体" w:hAnsi="宋体" w:cs="宋体"/>
                <w:sz w:val="18"/>
                <w:szCs w:val="18"/>
              </w:rPr>
            </w:pPr>
            <w:r>
              <w:rPr>
                <w:rFonts w:hint="eastAsia" w:ascii="宋体" w:hAnsi="宋体" w:cs="宋体"/>
                <w:sz w:val="18"/>
                <w:szCs w:val="18"/>
              </w:rPr>
              <w:t>3、工作内容包括但不限于原地面机械清表、场地平整、土方开挖外运等</w:t>
            </w:r>
            <w:r>
              <w:rPr>
                <w:rFonts w:hint="eastAsia" w:ascii="宋体" w:hAnsi="宋体" w:cs="宋体"/>
                <w:sz w:val="18"/>
                <w:szCs w:val="18"/>
                <w:lang w:eastAsia="zh-CN"/>
              </w:rPr>
              <w:t>，</w:t>
            </w:r>
            <w:r>
              <w:rPr>
                <w:rFonts w:hint="eastAsia" w:ascii="宋体" w:hAnsi="宋体" w:cs="宋体"/>
                <w:sz w:val="18"/>
                <w:szCs w:val="18"/>
              </w:rPr>
              <w:t>场地清表、平整面积约75296平方米；；</w:t>
            </w:r>
          </w:p>
          <w:p>
            <w:pPr>
              <w:ind w:right="54"/>
              <w:jc w:val="left"/>
              <w:rPr>
                <w:rFonts w:ascii="宋体" w:hAnsi="宋体" w:cs="宋体"/>
                <w:sz w:val="18"/>
                <w:szCs w:val="18"/>
              </w:rPr>
            </w:pPr>
            <w:r>
              <w:rPr>
                <w:rFonts w:hint="eastAsia" w:ascii="宋体" w:hAnsi="宋体" w:cs="宋体"/>
                <w:sz w:val="18"/>
                <w:szCs w:val="18"/>
              </w:rPr>
              <w:t>4运距：投标人在勘察现场后自行考虑，实际运距或超出部分的运距、土源费、弃土场等</w:t>
            </w:r>
          </w:p>
          <w:p>
            <w:pPr>
              <w:ind w:right="54"/>
              <w:jc w:val="left"/>
              <w:rPr>
                <w:rFonts w:ascii="宋体" w:hAnsi="宋体" w:cs="宋体"/>
                <w:sz w:val="18"/>
                <w:szCs w:val="18"/>
              </w:rPr>
            </w:pPr>
            <w:r>
              <w:rPr>
                <w:rFonts w:hint="eastAsia" w:ascii="宋体" w:hAnsi="宋体" w:cs="宋体"/>
                <w:sz w:val="18"/>
                <w:szCs w:val="18"/>
              </w:rPr>
              <w:t>由投标人勘察现场后自行考虑；</w:t>
            </w:r>
          </w:p>
          <w:p>
            <w:pPr>
              <w:ind w:right="54"/>
              <w:jc w:val="left"/>
              <w:rPr>
                <w:rFonts w:ascii="宋体" w:hAnsi="宋体" w:cs="宋体"/>
                <w:sz w:val="18"/>
                <w:szCs w:val="18"/>
              </w:rPr>
            </w:pPr>
            <w:r>
              <w:rPr>
                <w:rFonts w:hint="eastAsia" w:ascii="宋体" w:hAnsi="宋体" w:cs="宋体"/>
                <w:sz w:val="18"/>
                <w:szCs w:val="18"/>
              </w:rPr>
              <w:t>5、要求：投标报价中充分考虑弃土场费、土源费、保洁费、协调费、清表、土方平衡、土方平整、场地堆置土方、土方高低差、</w:t>
            </w:r>
            <w:r>
              <w:rPr>
                <w:rFonts w:hint="eastAsia" w:ascii="宋体" w:hAnsi="宋体" w:cs="宋体"/>
                <w:sz w:val="18"/>
                <w:szCs w:val="18"/>
                <w:lang w:val="en-US" w:eastAsia="zh-CN"/>
              </w:rPr>
              <w:t>场内土方覆盖等抑尘措施、</w:t>
            </w:r>
            <w:r>
              <w:rPr>
                <w:rFonts w:hint="eastAsia" w:ascii="宋体" w:hAnsi="宋体" w:cs="宋体"/>
                <w:sz w:val="18"/>
                <w:szCs w:val="18"/>
              </w:rPr>
              <w:t>土方运输扬尘治理费、修建硬化运输通道、打通场区运输通道与既有市政道路开口费用、修建车辆冲洗平台（含冲洗设备、沉淀池等文明环保设施）、运输车辆进出场区环保冲洗及地下障碍物等费用，以及青苗补偿费和市容、路政、环保部门征收的等一切费用，综合考虑在报价中，综合考虑报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6、未尽事宜具体详见图纸、图集、答疑、招标文件、政府相关文件、规范等其他资料,满足验收要求。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3元/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450000.00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土方回填（外运）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1、回填外运土方由投标人自行解决。回填土内不得含有石块、碎砖、灰渣和有机杂物。回填土应同步对称,均衡进行,分层夯实（压实需符合图纸和规范要求，回填夯实后整平至图纸设计标高）</w:t>
            </w:r>
          </w:p>
          <w:p>
            <w:pPr>
              <w:ind w:right="54"/>
              <w:jc w:val="left"/>
              <w:rPr>
                <w:rFonts w:ascii="宋体" w:hAnsi="宋体" w:cs="宋体"/>
                <w:sz w:val="18"/>
                <w:szCs w:val="18"/>
              </w:rPr>
            </w:pPr>
            <w:r>
              <w:rPr>
                <w:rFonts w:hint="eastAsia" w:ascii="宋体" w:hAnsi="宋体" w:cs="宋体"/>
                <w:sz w:val="18"/>
                <w:szCs w:val="18"/>
              </w:rPr>
              <w:t>2、完成招标人所属项目的土方回填，回填工程量</w:t>
            </w:r>
            <w:r>
              <w:rPr>
                <w:rFonts w:hint="eastAsia" w:ascii="宋体" w:hAnsi="宋体" w:cs="宋体"/>
                <w:sz w:val="18"/>
                <w:szCs w:val="18"/>
                <w:lang w:eastAsia="zh-CN"/>
              </w:rPr>
              <w:t>按招标人项目实际需求完成</w:t>
            </w:r>
            <w:r>
              <w:rPr>
                <w:rFonts w:hint="eastAsia" w:ascii="宋体" w:hAnsi="宋体" w:cs="宋体"/>
                <w:sz w:val="18"/>
                <w:szCs w:val="18"/>
              </w:rPr>
              <w:t>，包括但不限于地库顶板和外墙回填、房心回填和汽车坡道、基础梁下、柱墩、电梯井、集水井基坑等处回填；</w:t>
            </w:r>
          </w:p>
          <w:p>
            <w:pPr>
              <w:ind w:right="54"/>
              <w:jc w:val="left"/>
              <w:rPr>
                <w:rFonts w:ascii="宋体" w:hAnsi="宋体" w:cs="宋体"/>
                <w:sz w:val="18"/>
                <w:szCs w:val="18"/>
              </w:rPr>
            </w:pPr>
            <w:r>
              <w:rPr>
                <w:rFonts w:hint="eastAsia" w:ascii="宋体" w:hAnsi="宋体" w:cs="宋体"/>
                <w:sz w:val="18"/>
                <w:szCs w:val="18"/>
              </w:rPr>
              <w:t>3、取土运距：投标人在勘察现场后自行考虑，回填至招标人亳州市区内所属项目，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80000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15.5元/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1240000.00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3</w:t>
            </w:r>
          </w:p>
        </w:tc>
        <w:tc>
          <w:tcPr>
            <w:tcW w:w="1134" w:type="dxa"/>
            <w:tcBorders>
              <w:left w:val="single" w:color="auto" w:sz="4"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土方内倒</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olor w:val="000000"/>
                <w:sz w:val="18"/>
                <w:szCs w:val="18"/>
              </w:rPr>
              <w:t>1、根据招标人施工方案和指令进行场区内土方开挖、回填等局部倒运工作，</w:t>
            </w:r>
            <w:r>
              <w:rPr>
                <w:rFonts w:hint="eastAsia" w:ascii="宋体" w:hAnsi="宋体" w:cs="宋体"/>
                <w:sz w:val="18"/>
                <w:szCs w:val="18"/>
              </w:rPr>
              <w:t>投标人不得以任何理由拒绝，否则视为违约；</w:t>
            </w:r>
          </w:p>
          <w:p>
            <w:pPr>
              <w:ind w:right="54"/>
              <w:jc w:val="left"/>
              <w:rPr>
                <w:rFonts w:ascii="宋体" w:hAnsi="宋体"/>
                <w:color w:val="000000"/>
                <w:sz w:val="18"/>
                <w:szCs w:val="18"/>
              </w:rPr>
            </w:pPr>
            <w:r>
              <w:rPr>
                <w:rFonts w:hint="eastAsia" w:ascii="宋体" w:hAnsi="宋体" w:cs="宋体"/>
                <w:sz w:val="18"/>
                <w:szCs w:val="18"/>
              </w:rPr>
              <w:t>2、投标人综合考虑报价，不得高于招标人给的控制综合单价；招标人有权在投标总价不变的前提下,对投标人的不平衡报价进行调整。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olor w:val="000000"/>
                <w:sz w:val="18"/>
                <w:szCs w:val="18"/>
              </w:rPr>
            </w:pPr>
            <w:r>
              <w:rPr>
                <w:rFonts w:hint="eastAsia" w:ascii="宋体" w:hAnsi="宋体"/>
                <w:color w:val="000000"/>
                <w:sz w:val="18"/>
                <w:szCs w:val="18"/>
              </w:rPr>
              <w:t>1000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9元/ 立方米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9000.00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jc w:val="center"/>
              <w:rPr>
                <w:rFonts w:ascii="宋体" w:hAnsi="宋体" w:cs="宋体"/>
                <w:strike/>
                <w:sz w:val="18"/>
                <w:szCs w:val="18"/>
              </w:rPr>
            </w:pPr>
            <w:r>
              <w:rPr>
                <w:rFonts w:hint="eastAsia" w:ascii="宋体" w:hAnsi="宋体" w:cs="宋体"/>
                <w:strike/>
                <w:sz w:val="18"/>
                <w:szCs w:val="18"/>
              </w:rPr>
              <w:t>4</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基础清底</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50000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2元/ 平方米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100000.00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5</w:t>
            </w:r>
          </w:p>
        </w:tc>
        <w:tc>
          <w:tcPr>
            <w:tcW w:w="1134" w:type="dxa"/>
            <w:tcBorders>
              <w:left w:val="single" w:color="auto" w:sz="4" w:space="0"/>
              <w:right w:val="single" w:color="auto" w:sz="4" w:space="0"/>
            </w:tcBorders>
            <w:vAlign w:val="center"/>
          </w:tcPr>
          <w:p>
            <w:pPr>
              <w:jc w:val="center"/>
              <w:rPr>
                <w:rFonts w:ascii="宋体" w:hAnsi="宋体"/>
                <w:color w:val="000000"/>
                <w:sz w:val="18"/>
                <w:szCs w:val="18"/>
              </w:rPr>
            </w:pPr>
            <w:r>
              <w:rPr>
                <w:rFonts w:hint="eastAsia" w:ascii="宋体" w:hAnsi="宋体"/>
                <w:color w:val="000000"/>
                <w:sz w:val="18"/>
                <w:szCs w:val="18"/>
              </w:rPr>
              <w:t>小挖掘机</w:t>
            </w:r>
          </w:p>
        </w:tc>
        <w:tc>
          <w:tcPr>
            <w:tcW w:w="7513" w:type="dxa"/>
            <w:vMerge w:val="restart"/>
            <w:tcBorders>
              <w:left w:val="single" w:color="auto" w:sz="2" w:space="0"/>
              <w:right w:val="single" w:color="auto" w:sz="2" w:space="0"/>
            </w:tcBorders>
            <w:vAlign w:val="center"/>
          </w:tcPr>
          <w:p>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130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大挖掘机</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260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vAlign w:val="center"/>
          </w:tcPr>
          <w:p>
            <w:pPr>
              <w:jc w:val="center"/>
              <w:rPr>
                <w:sz w:val="18"/>
                <w:szCs w:val="18"/>
              </w:rPr>
            </w:pPr>
            <w:r>
              <w:rPr>
                <w:rFonts w:hint="eastAsia"/>
                <w:sz w:val="18"/>
                <w:szCs w:val="18"/>
              </w:rPr>
              <w:t>7</w:t>
            </w:r>
          </w:p>
        </w:tc>
        <w:tc>
          <w:tcPr>
            <w:tcW w:w="1134" w:type="dxa"/>
            <w:tcBorders>
              <w:left w:val="single" w:color="auto" w:sz="4" w:space="0"/>
              <w:right w:val="single" w:color="auto" w:sz="4" w:space="0"/>
            </w:tcBorders>
            <w:vAlign w:val="center"/>
          </w:tcPr>
          <w:p>
            <w:pPr>
              <w:jc w:val="center"/>
              <w:rPr>
                <w:sz w:val="18"/>
                <w:szCs w:val="18"/>
              </w:rPr>
            </w:pPr>
            <w:r>
              <w:rPr>
                <w:rFonts w:hint="eastAsia"/>
                <w:sz w:val="18"/>
                <w:szCs w:val="18"/>
              </w:rPr>
              <w:t>20型铲车</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bottom w:val="single" w:color="auto" w:sz="4"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100元/小时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809" w:type="dxa"/>
            <w:gridSpan w:val="2"/>
            <w:tcBorders>
              <w:left w:val="single" w:color="auto" w:sz="8" w:space="0"/>
              <w:right w:val="single" w:color="auto" w:sz="4" w:space="0"/>
            </w:tcBorders>
            <w:vAlign w:val="center"/>
          </w:tcPr>
          <w:p>
            <w:pPr>
              <w:jc w:val="center"/>
              <w:rPr>
                <w:rFonts w:ascii="宋体" w:hAnsi="宋体" w:cs="宋体"/>
                <w:b/>
                <w:sz w:val="18"/>
                <w:szCs w:val="18"/>
              </w:rPr>
            </w:pPr>
            <w:r>
              <w:rPr>
                <w:rFonts w:hint="eastAsia" w:ascii="宋体" w:hAnsi="宋体" w:cs="宋体"/>
                <w:b/>
                <w:sz w:val="18"/>
                <w:szCs w:val="18"/>
              </w:rPr>
              <w:t>总计</w:t>
            </w:r>
          </w:p>
        </w:tc>
        <w:tc>
          <w:tcPr>
            <w:tcW w:w="12191" w:type="dxa"/>
            <w:gridSpan w:val="5"/>
            <w:tcBorders>
              <w:left w:val="single" w:color="auto" w:sz="2" w:space="0"/>
              <w:right w:val="single" w:color="auto" w:sz="8" w:space="0"/>
            </w:tcBorders>
          </w:tcPr>
          <w:p>
            <w:pPr>
              <w:ind w:right="114"/>
              <w:rPr>
                <w:rFonts w:ascii="宋体" w:hAnsi="宋体" w:cs="宋体"/>
                <w:b/>
                <w:sz w:val="18"/>
                <w:szCs w:val="18"/>
                <w:u w:val="single"/>
              </w:rPr>
            </w:pPr>
            <w:r>
              <w:rPr>
                <w:rFonts w:hint="eastAsia" w:ascii="宋体" w:hAnsi="宋体" w:cs="宋体"/>
                <w:b/>
                <w:sz w:val="18"/>
                <w:szCs w:val="18"/>
              </w:rPr>
              <w:t>￥：</w:t>
            </w:r>
            <w:r>
              <w:rPr>
                <w:rFonts w:hint="eastAsia" w:ascii="宋体" w:hAnsi="宋体" w:cs="宋体"/>
                <w:b/>
                <w:sz w:val="18"/>
                <w:szCs w:val="18"/>
                <w:u w:val="single"/>
              </w:rPr>
              <w:t xml:space="preserve">   1799000.00      元（大写： 壹佰柒拾玖万玖仟元整     ）</w:t>
            </w:r>
            <w:r>
              <w:rPr>
                <w:rFonts w:hint="eastAsia" w:ascii="宋体" w:hAnsi="宋体" w:cs="宋体"/>
                <w:b/>
                <w:sz w:val="18"/>
                <w:szCs w:val="18"/>
              </w:rPr>
              <w:t>，含税，税率为9%。</w:t>
            </w:r>
          </w:p>
        </w:tc>
      </w:tr>
    </w:tbl>
    <w:p>
      <w:pPr>
        <w:rPr>
          <w:rFonts w:ascii="宋体" w:hAnsi="宋体"/>
          <w:b/>
          <w:szCs w:val="21"/>
        </w:rPr>
      </w:pPr>
    </w:p>
    <w:p>
      <w:pPr>
        <w:tabs>
          <w:tab w:val="left" w:pos="2880"/>
        </w:tabs>
        <w:rPr>
          <w:rFonts w:ascii="宋体" w:hAnsi="宋体"/>
          <w:b/>
          <w:bCs/>
          <w:szCs w:val="21"/>
        </w:rPr>
      </w:pPr>
      <w:r>
        <w:rPr>
          <w:rFonts w:hint="eastAsia" w:ascii="宋体" w:hAnsi="宋体"/>
          <w:szCs w:val="21"/>
        </w:rPr>
        <w:t>说明：</w:t>
      </w:r>
      <w:r>
        <w:rPr>
          <w:rFonts w:hint="eastAsia" w:ascii="宋体" w:hAnsi="宋体"/>
          <w:b/>
          <w:bCs/>
          <w:szCs w:val="21"/>
        </w:rPr>
        <w:t>1、以上数量均为暂估量，具体以招标人项目部指令为准，工程量计算规则具体按照安徽省定额计算规则计算的实际工程量进行计算，如因建设单位变更及甲方根据实际情况需要局部调整或中标单位不能满足现场施工要求等原因造成工程量变化，无论工程量变化多少都将按变更后工程量计算，实际施工中未发生的项目不予结算。</w:t>
      </w:r>
    </w:p>
    <w:p>
      <w:pPr>
        <w:tabs>
          <w:tab w:val="left" w:pos="2880"/>
        </w:tabs>
        <w:rPr>
          <w:rFonts w:ascii="宋体" w:hAnsi="宋体"/>
          <w:b/>
          <w:bCs/>
          <w:szCs w:val="21"/>
        </w:rPr>
      </w:pPr>
      <w:r>
        <w:rPr>
          <w:rFonts w:hint="eastAsia" w:ascii="宋体" w:hAnsi="宋体"/>
          <w:b/>
          <w:bCs/>
          <w:szCs w:val="21"/>
        </w:rPr>
        <w:t xml:space="preserve">      2、投标人</w:t>
      </w:r>
      <w:r>
        <w:rPr>
          <w:rFonts w:hint="eastAsia" w:ascii="宋体" w:hAnsi="宋体"/>
          <w:b/>
          <w:bCs/>
          <w:szCs w:val="21"/>
          <w:lang w:val="en-US" w:eastAsia="zh-CN"/>
        </w:rPr>
        <w:t>自行</w:t>
      </w:r>
      <w:r>
        <w:rPr>
          <w:rFonts w:hint="eastAsia" w:ascii="宋体" w:hAnsi="宋体"/>
          <w:b/>
          <w:bCs/>
          <w:szCs w:val="21"/>
        </w:rPr>
        <w:t>勘察现场，中标后不得以任何理由提出增加承包单价等要求。</w:t>
      </w:r>
    </w:p>
    <w:p>
      <w:pPr>
        <w:ind w:firstLine="413" w:firstLineChars="196"/>
        <w:rPr>
          <w:rFonts w:ascii="宋体" w:hAnsi="宋体"/>
          <w:b/>
          <w:bCs/>
          <w:szCs w:val="21"/>
        </w:rPr>
      </w:pPr>
      <w:r>
        <w:rPr>
          <w:rFonts w:hint="eastAsia" w:ascii="宋体" w:hAnsi="宋体"/>
          <w:b/>
          <w:bCs/>
          <w:szCs w:val="21"/>
        </w:rPr>
        <w:t xml:space="preserve">  3、投标人需考虑税率为9%的增值税专用发票费用。</w:t>
      </w:r>
    </w:p>
    <w:p>
      <w:pPr>
        <w:keepNext w:val="0"/>
        <w:keepLines w:val="0"/>
        <w:pageBreakBefore w:val="0"/>
        <w:widowControl/>
        <w:kinsoku/>
        <w:wordWrap/>
        <w:overflowPunct/>
        <w:topLinePunct w:val="0"/>
        <w:autoSpaceDE/>
        <w:autoSpaceDN/>
        <w:bidi w:val="0"/>
        <w:adjustRightInd/>
        <w:snapToGrid/>
        <w:spacing w:line="240" w:lineRule="auto"/>
        <w:ind w:right="1120" w:firstLine="9959" w:firstLineChars="3100"/>
        <w:jc w:val="left"/>
        <w:textAlignment w:val="auto"/>
        <w:rPr>
          <w:rFonts w:hint="eastAsia" w:asciiTheme="majorEastAsia" w:hAnsiTheme="majorEastAsia" w:eastAsiaTheme="majorEastAsia" w:cstheme="majorEastAsia"/>
          <w:b/>
          <w:bCs/>
          <w:sz w:val="32"/>
          <w:szCs w:val="32"/>
          <w:highlight w:val="none"/>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272"/>
        <w:gridCol w:w="1272"/>
        <w:gridCol w:w="1272"/>
        <w:gridCol w:w="1272"/>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72" w:edGrp="everyone" w:colFirst="0" w:colLast="0"/>
            <w:permStart w:id="7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72"/>
      <w:permEnd w:id="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4" w:edGrp="everyone"/>
      <w:r>
        <w:rPr>
          <w:rFonts w:hint="eastAsia" w:ascii="Times New Roman" w:hAnsi="Times New Roman" w:cs="Times New Roman"/>
          <w:kern w:val="0"/>
          <w:sz w:val="24"/>
          <w:szCs w:val="24"/>
          <w:highlight w:val="none"/>
          <w:lang w:val="en-US" w:eastAsia="zh-CN"/>
        </w:rPr>
        <w:t>详见附件。</w:t>
      </w:r>
    </w:p>
    <w:permEnd w:id="7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b/>
          <w:bCs/>
          <w:i w:val="0"/>
          <w:iCs w:val="0"/>
          <w:color w:val="auto"/>
          <w:sz w:val="28"/>
          <w:szCs w:val="28"/>
          <w:highlight w:val="none"/>
          <w:u w:val="none"/>
          <w:lang w:val="en-US" w:eastAsia="zh-CN"/>
        </w:rPr>
        <w:t>1、承包方式及内容，包括但不限于：</w:t>
      </w:r>
      <w:r>
        <w:rPr>
          <w:rFonts w:hint="eastAsia" w:asciiTheme="minorEastAsia" w:hAnsiTheme="minorEastAsia" w:eastAsiaTheme="minorEastAsia" w:cstheme="minorEastAsia"/>
          <w:i w:val="0"/>
          <w:iCs w:val="0"/>
          <w:color w:val="auto"/>
          <w:sz w:val="28"/>
          <w:szCs w:val="28"/>
          <w:highlight w:val="none"/>
          <w:u w:val="none"/>
          <w:lang w:val="en-US" w:eastAsia="zh-CN"/>
        </w:rPr>
        <w:t>亳州逸合府项目一期项目及工程联系单、招标人工作指令、要求增加或变更的和业主要求增加或变更的所有内容。</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必须负责分包范围内所有工程的施工、验收、决算、养护等全部实施过程，同时也负责所在施工区域的文明施工及安全保护措施，并提供施工组织设计和总、月、周计划。</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投标人一旦中标，必须负责承包范围内所有工程的施工、验收、决算、保修等全部实施过程，同时也负责所在施工区域的文明施工及安全保护措施； 另外，负责协助承包人与所承包范围内工程的业主方进行对量对价工作，负责所承包范围内的竣工后的审计决算工作（包括与业主方的决算对接工作）。</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i w:val="0"/>
          <w:iCs w:val="0"/>
          <w:color w:val="auto"/>
          <w:sz w:val="28"/>
          <w:szCs w:val="28"/>
          <w:highlight w:val="none"/>
          <w:u w:val="none"/>
          <w:lang w:val="en-US" w:eastAsia="zh-CN"/>
        </w:rPr>
      </w:pPr>
      <w:r>
        <w:rPr>
          <w:rFonts w:hint="eastAsia" w:asciiTheme="minorEastAsia" w:hAnsiTheme="minorEastAsia" w:eastAsiaTheme="minorEastAsia" w:cstheme="minorEastAsia"/>
          <w:b/>
          <w:bCs/>
          <w:i w:val="0"/>
          <w:iCs w:val="0"/>
          <w:color w:val="auto"/>
          <w:sz w:val="28"/>
          <w:szCs w:val="28"/>
          <w:highlight w:val="none"/>
          <w:u w:val="none"/>
          <w:lang w:val="en-US" w:eastAsia="zh-CN"/>
        </w:rPr>
        <w:t>2、具体工作内容，包括但不限于：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（1）准备工作：包括挖土外运办理有关部门的相关手续、承包范围内的土方开挖、回填、场地清表、垃圾清运等，挖机、运土车、推土机、回填打夯机械压路机等机械的准备等（</w:t>
      </w:r>
      <w:r>
        <w:rPr>
          <w:rFonts w:hint="eastAsia" w:asciiTheme="minorEastAsia" w:hAnsiTheme="minorEastAsia" w:eastAsiaTheme="minorEastAsia" w:cstheme="minorEastAsia"/>
          <w:b/>
          <w:bCs/>
          <w:i w:val="0"/>
          <w:iCs w:val="0"/>
          <w:color w:val="auto"/>
          <w:sz w:val="28"/>
          <w:szCs w:val="28"/>
          <w:highlight w:val="none"/>
          <w:u w:val="none"/>
          <w:lang w:val="en-US" w:eastAsia="zh-CN"/>
        </w:rPr>
        <w:t>注：所有进场机械均应满足主管部门环保要求，并经检测发放环保合格证）</w:t>
      </w:r>
      <w:r>
        <w:rPr>
          <w:rFonts w:hint="eastAsia" w:asciiTheme="minorEastAsia" w:hAnsiTheme="minorEastAsia" w:eastAsiaTheme="minorEastAsia" w:cstheme="minorEastAsia"/>
          <w:i w:val="0"/>
          <w:iCs w:val="0"/>
          <w:color w:val="auto"/>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（2）工作内容：机械清表、机械挖土外运和机械回填土</w:t>
      </w:r>
      <w:r>
        <w:rPr>
          <w:rFonts w:hint="eastAsia" w:asciiTheme="minorEastAsia" w:hAnsiTheme="minorEastAsia" w:cstheme="minorEastAsia"/>
          <w:i w:val="0"/>
          <w:iCs w:val="0"/>
          <w:color w:val="auto"/>
          <w:sz w:val="28"/>
          <w:szCs w:val="28"/>
          <w:highlight w:val="none"/>
          <w:u w:val="none"/>
          <w:lang w:val="en-US" w:eastAsia="zh-CN"/>
        </w:rPr>
        <w:t>等</w:t>
      </w:r>
      <w:r>
        <w:rPr>
          <w:rFonts w:hint="eastAsia" w:asciiTheme="minorEastAsia" w:hAnsiTheme="minorEastAsia" w:eastAsiaTheme="minorEastAsia" w:cstheme="minorEastAsia"/>
          <w:i w:val="0"/>
          <w:iCs w:val="0"/>
          <w:color w:val="auto"/>
          <w:sz w:val="28"/>
          <w:szCs w:val="28"/>
          <w:highlight w:val="none"/>
          <w:u w:val="none"/>
          <w:lang w:val="en-US" w:eastAsia="zh-CN"/>
        </w:rPr>
        <w:t>所有土方工程，承台基坑的开挖和刮平，包括机械挖土、回填、基础梁下土方回填整平压实、柱墩、电梯井、集水井、排水沟基坑等；现场除预留出回填土方量外其余全部外运（含局部倒运，回填外运土方由中标方自行解决）；包括土方回填、分层压实（压实需符合图纸和规范要求，回填夯实后整平至图纸设计标高），包与土方有关的验收，如回填土的压实系数实验等。</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3）其他工程：完成修建硬化运输通道、打通场区运输通道与既有市政道路开口、修建车辆冲洗平台（含冲洗设备、沉淀池等文明环保设施）等，负责每日安排至少一台洒水车、2名清洁工、不低于5台雾炮机（自行加水及开启、关闭工作）在现场服务出土扬尘事项，如若机械、人员、雾炮机数量不能满足上述要求，洒水车少一台将给予土方班组每日500元罚款，少一人将给予土方班组每日500元罚款，少一台雾炮将给予土方班组每日200元罚款；负责土方施工期间承包范围内场内外道路、周边的日常清理及与环卫、城管部门的协调（如环卫部门因土方运输遗撒在路面而堵门、拦车等情况）等工作，负责因土方扬尘造成的主管部门下发的整改通知、处罚单等事后协调工作，由此发生的相关费用（含罚款等费用）由中标方负责。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特别说明：以上承包内容只是作了一个大致的概括，实际承包内容应包括为该工程分项的所有工程。</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4、</w:t>
      </w:r>
      <w:r>
        <w:rPr>
          <w:rFonts w:hint="eastAsia" w:asciiTheme="minorEastAsia" w:hAnsiTheme="minorEastAsia" w:eastAsiaTheme="minorEastAsia" w:cstheme="minorEastAsia"/>
          <w:b/>
          <w:bCs/>
          <w:i w:val="0"/>
          <w:iCs w:val="0"/>
          <w:color w:val="auto"/>
          <w:sz w:val="28"/>
          <w:szCs w:val="28"/>
          <w:highlight w:val="none"/>
          <w:u w:val="none"/>
          <w:lang w:val="en-US" w:eastAsia="zh-CN"/>
        </w:rPr>
        <w:t>工程安全、质量标准：</w:t>
      </w:r>
      <w:r>
        <w:rPr>
          <w:rFonts w:hint="eastAsia" w:asciiTheme="minorEastAsia" w:hAnsiTheme="minorEastAsia" w:eastAsiaTheme="minorEastAsia" w:cstheme="minorEastAsia"/>
          <w:i w:val="0"/>
          <w:iCs w:val="0"/>
          <w:color w:val="auto"/>
          <w:sz w:val="28"/>
          <w:szCs w:val="28"/>
          <w:highlight w:val="none"/>
          <w:u w:val="none"/>
          <w:lang w:val="en-US" w:eastAsia="zh-CN"/>
        </w:rPr>
        <w:t>本分包工程安全、质量标准双方约定为： “工程质量合格标准，争创芍花杯，必须达到亳州市建筑工程安全质量标准化示范工地，争创安徽省建筑施工安全质量标准化工地”；同时满足亳州交控集团及招标人质量、安全管理体系相关标准。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应杜绝在所承建项目作业过程中发生任何偷工减料、不按规范或承包人及业主要求施工的行为；一旦发生，</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除自行承担返工、整改等的一切经济支出外，还必须接受承包人任何形式的处理（含承包人有权视情要求</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承担违约金5万元-20万元人民币）具体遵照招标人相关</w:t>
      </w:r>
      <w:r>
        <w:rPr>
          <w:rFonts w:hint="eastAsia" w:asciiTheme="minorEastAsia" w:hAnsiTheme="minorEastAsia" w:cstheme="minorEastAsia"/>
          <w:i w:val="0"/>
          <w:iCs w:val="0"/>
          <w:color w:val="auto"/>
          <w:sz w:val="28"/>
          <w:szCs w:val="28"/>
          <w:highlight w:val="none"/>
          <w:u w:val="none"/>
          <w:lang w:val="en-US" w:eastAsia="zh-CN"/>
        </w:rPr>
        <w:t>管理</w:t>
      </w:r>
      <w:r>
        <w:rPr>
          <w:rFonts w:hint="eastAsia" w:asciiTheme="minorEastAsia" w:hAnsiTheme="minorEastAsia" w:eastAsiaTheme="minorEastAsia" w:cstheme="minorEastAsia"/>
          <w:i w:val="0"/>
          <w:iCs w:val="0"/>
          <w:color w:val="auto"/>
          <w:sz w:val="28"/>
          <w:szCs w:val="28"/>
          <w:highlight w:val="none"/>
          <w:u w:val="none"/>
          <w:lang w:val="en-US" w:eastAsia="zh-CN"/>
        </w:rPr>
        <w:t>制度执行。</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5、</w:t>
      </w:r>
      <w:r>
        <w:rPr>
          <w:rFonts w:hint="eastAsia" w:asciiTheme="minorEastAsia" w:hAnsiTheme="minorEastAsia" w:eastAsiaTheme="minorEastAsia" w:cstheme="minorEastAsia"/>
          <w:b/>
          <w:bCs/>
          <w:i w:val="0"/>
          <w:iCs w:val="0"/>
          <w:color w:val="auto"/>
          <w:sz w:val="28"/>
          <w:szCs w:val="28"/>
          <w:highlight w:val="none"/>
          <w:u w:val="none"/>
          <w:lang w:val="en-US" w:eastAsia="zh-CN"/>
        </w:rPr>
        <w:t>办公、住宿提供要求：</w:t>
      </w:r>
      <w:r>
        <w:rPr>
          <w:rFonts w:hint="eastAsia" w:asciiTheme="minorEastAsia" w:hAnsiTheme="minorEastAsia" w:eastAsiaTheme="minorEastAsia" w:cstheme="minorEastAsia"/>
          <w:i w:val="0"/>
          <w:iCs w:val="0"/>
          <w:color w:val="auto"/>
          <w:sz w:val="28"/>
          <w:szCs w:val="28"/>
          <w:highlight w:val="none"/>
          <w:u w:val="none"/>
          <w:lang w:val="en-US" w:eastAsia="zh-CN"/>
        </w:rPr>
        <w:t>项目场地面积有限，不提供办公室及工人宿舍，食宿问题由投标人自行考虑；临时用电费用由</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自行承担。</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6、</w:t>
      </w:r>
      <w:r>
        <w:rPr>
          <w:rFonts w:hint="eastAsia" w:asciiTheme="minorEastAsia" w:hAnsiTheme="minorEastAsia" w:eastAsiaTheme="minorEastAsia" w:cstheme="minorEastAsia"/>
          <w:b/>
          <w:bCs/>
          <w:i w:val="0"/>
          <w:iCs w:val="0"/>
          <w:color w:val="auto"/>
          <w:sz w:val="28"/>
          <w:szCs w:val="28"/>
          <w:highlight w:val="none"/>
          <w:u w:val="none"/>
          <w:lang w:val="en-US" w:eastAsia="zh-CN"/>
        </w:rPr>
        <w:t>工期延误：</w:t>
      </w:r>
      <w:r>
        <w:rPr>
          <w:rFonts w:hint="eastAsia" w:asciiTheme="minorEastAsia" w:hAnsiTheme="minorEastAsia" w:eastAsiaTheme="minorEastAsia" w:cstheme="minorEastAsia"/>
          <w:i w:val="0"/>
          <w:iCs w:val="0"/>
          <w:color w:val="auto"/>
          <w:sz w:val="28"/>
          <w:szCs w:val="28"/>
          <w:highlight w:val="none"/>
          <w:u w:val="none"/>
          <w:lang w:val="en-US" w:eastAsia="zh-CN"/>
        </w:rPr>
        <w:t>双方约定工期顺延的其他情况：如遇人力不可抗拒，或连续阴雨恶劣天气，经监理和建设单位认可的工期顺延除外,如不能按进度节点及总计划工期完成相应工作，因</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原因造成土建班组工序延误的，每延误半天，承担违约金1000元；每延误一天承担违约金2000元/天；超过三天，承担违约金5000元/天。</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7、</w:t>
      </w:r>
      <w:r>
        <w:rPr>
          <w:rFonts w:hint="eastAsia" w:asciiTheme="minorEastAsia" w:hAnsiTheme="minorEastAsia" w:eastAsiaTheme="minorEastAsia" w:cstheme="minorEastAsia"/>
          <w:b/>
          <w:bCs/>
          <w:i w:val="0"/>
          <w:iCs w:val="0"/>
          <w:color w:val="auto"/>
          <w:sz w:val="28"/>
          <w:szCs w:val="28"/>
          <w:highlight w:val="none"/>
          <w:u w:val="none"/>
          <w:lang w:val="en-US" w:eastAsia="zh-CN"/>
        </w:rPr>
        <w:t>合同以外的零星工程按以下方式计算</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 xml:space="preserve"> 大挖机，单价为260元／小时；小挖机，单价为130元／小时；20型号铲车 ，单价为100元／小时</w:t>
      </w:r>
      <w:r>
        <w:rPr>
          <w:rFonts w:hint="eastAsia" w:asciiTheme="minorEastAsia" w:hAnsiTheme="minorEastAsia" w:cstheme="minorEastAsia"/>
          <w:i w:val="0"/>
          <w:iCs w:val="0"/>
          <w:color w:val="auto"/>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8、</w:t>
      </w:r>
      <w:r>
        <w:rPr>
          <w:rFonts w:hint="eastAsia" w:asciiTheme="minorEastAsia" w:hAnsiTheme="minorEastAsia" w:eastAsiaTheme="minorEastAsia" w:cstheme="minorEastAsia"/>
          <w:b/>
          <w:bCs/>
          <w:i w:val="0"/>
          <w:iCs w:val="0"/>
          <w:color w:val="auto"/>
          <w:sz w:val="28"/>
          <w:szCs w:val="28"/>
          <w:highlight w:val="none"/>
          <w:u w:val="none"/>
          <w:lang w:val="en-US" w:eastAsia="zh-CN"/>
        </w:rPr>
        <w:t>投标报价内容</w:t>
      </w:r>
      <w:r>
        <w:rPr>
          <w:rFonts w:hint="eastAsia" w:asciiTheme="minorEastAsia" w:hAnsiTheme="minorEastAsia" w:eastAsiaTheme="minorEastAsia" w:cstheme="minorEastAsia"/>
          <w:i w:val="0"/>
          <w:iCs w:val="0"/>
          <w:color w:val="auto"/>
          <w:sz w:val="28"/>
          <w:szCs w:val="28"/>
          <w:highlight w:val="none"/>
          <w:u w:val="none"/>
          <w:lang w:val="en-US" w:eastAsia="zh-CN"/>
        </w:rPr>
        <w:t>：本工程报价采用综合单价报价，，在工程款支付及最终结算时按中标综合单价及实际工程量按实结算。结算造价包含：该工程所需劳务、材料及材料试验费用、机械、管理、修复、 利润、税金、保修费用以及合同明示或暗示的所有责任、义务和一般风险。投标人对照图纸仔细核算并充分考虑各种风险因素。</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9、</w:t>
      </w:r>
      <w:r>
        <w:rPr>
          <w:rFonts w:hint="eastAsia" w:asciiTheme="minorEastAsia" w:hAnsiTheme="minorEastAsia" w:eastAsiaTheme="minorEastAsia" w:cstheme="minorEastAsia"/>
          <w:i w:val="0"/>
          <w:iCs w:val="0"/>
          <w:color w:val="auto"/>
          <w:sz w:val="28"/>
          <w:szCs w:val="28"/>
          <w:highlight w:val="none"/>
          <w:u w:val="none"/>
          <w:lang w:val="en-US" w:eastAsia="zh-CN"/>
        </w:rPr>
        <w:t>其余未尽事宜按照招标人及项目部要求严格执行。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10、本工程拟派专职人员的具体资格和数量要求：施工员不少于 1人，安全员不少于1人，投标人进场后提供人员名单及相关证书。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152042576"/>
      <w:bookmarkStart w:id="382" w:name="_Toc300835209"/>
      <w:bookmarkStart w:id="383" w:name="_Toc247527827"/>
      <w:bookmarkStart w:id="384" w:name="_Toc152045787"/>
      <w:bookmarkStart w:id="385" w:name="_Toc24751424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5788"/>
      <w:bookmarkStart w:id="387" w:name="_Toc144974857"/>
      <w:bookmarkStart w:id="388" w:name="_Toc300835210"/>
      <w:bookmarkStart w:id="389" w:name="_Toc152042577"/>
      <w:bookmarkStart w:id="390" w:name="_Toc247527828"/>
      <w:bookmarkStart w:id="391" w:name="_Toc247514247"/>
      <w:r>
        <w:rPr>
          <w:rFonts w:hint="default" w:ascii="Times New Roman" w:hAnsi="Times New Roman" w:cs="Times New Roman"/>
        </w:rPr>
        <w:t>一、投标函及投标函附录</w:t>
      </w:r>
      <w:bookmarkEnd w:id="386"/>
      <w:bookmarkEnd w:id="387"/>
      <w:bookmarkEnd w:id="388"/>
      <w:bookmarkEnd w:id="389"/>
      <w:bookmarkEnd w:id="390"/>
      <w:bookmarkEnd w:id="391"/>
    </w:p>
    <w:p>
      <w:pPr>
        <w:pStyle w:val="4"/>
        <w:rPr>
          <w:rFonts w:hint="default" w:ascii="Times New Roman" w:hAnsi="Times New Roman" w:cs="Times New Roman"/>
        </w:rPr>
      </w:pPr>
      <w:bookmarkStart w:id="392" w:name="_Toc152045789"/>
      <w:bookmarkStart w:id="393" w:name="_Toc144974858"/>
      <w:bookmarkStart w:id="394" w:name="_Toc247514248"/>
      <w:bookmarkStart w:id="395" w:name="_Toc300835211"/>
      <w:bookmarkStart w:id="396" w:name="_Toc247527829"/>
      <w:bookmarkStart w:id="397" w:name="_Toc15204257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eastAsia" w:ascii="宋体" w:hAnsi="宋体"/>
          <w:sz w:val="24"/>
          <w:u w:val="single"/>
        </w:rPr>
        <w:t>亳州逸合府项目施工总承包项目土方工程</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7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  ）</w:t>
      </w:r>
      <w:permEnd w:id="75"/>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44974859"/>
      <w:bookmarkStart w:id="399" w:name="_Toc247514249"/>
      <w:bookmarkStart w:id="400" w:name="_Toc300835212"/>
      <w:bookmarkStart w:id="401" w:name="_Toc152042579"/>
      <w:bookmarkStart w:id="402" w:name="_Toc152045790"/>
      <w:bookmarkStart w:id="403" w:name="_Toc247527830"/>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default" w:ascii="Times New Roman" w:hAnsi="Times New Roman" w:cs="Times New Roman"/>
                <w:szCs w:val="21"/>
              </w:rPr>
            </w:pPr>
            <w:r>
              <w:rPr>
                <w:rFonts w:hint="eastAsia" w:ascii="Times New Roman" w:hAnsi="Times New Roman" w:cs="Times New Roman"/>
                <w:szCs w:val="21"/>
                <w:lang w:val="en-US" w:eastAsia="zh-CN"/>
              </w:rPr>
              <w:t xml:space="preserve">自竣工验收合格之日起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5791"/>
      <w:bookmarkStart w:id="405" w:name="_Toc152042580"/>
      <w:bookmarkStart w:id="406" w:name="_Toc300835213"/>
      <w:bookmarkStart w:id="407" w:name="_Toc247514283"/>
      <w:bookmarkStart w:id="408" w:name="_Toc144974860"/>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152045792"/>
      <w:bookmarkStart w:id="411" w:name="_Toc300835214"/>
      <w:bookmarkStart w:id="412" w:name="_Toc144974861"/>
      <w:bookmarkStart w:id="413" w:name="_Toc152042581"/>
      <w:bookmarkStart w:id="414" w:name="_Toc247527832"/>
      <w:bookmarkStart w:id="415" w:name="_Toc24751428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r>
        <w:rPr>
          <w:rFonts w:hint="default" w:ascii="Times New Roman" w:hAnsi="Times New Roman" w:cs="Times New Roman"/>
          <w:color w:val="FF0000"/>
          <w:szCs w:val="21"/>
        </w:rPr>
        <w:t>202</w:t>
      </w:r>
      <w:r>
        <w:rPr>
          <w:rFonts w:hint="eastAsia" w:ascii="Times New Roman" w:hAnsi="Times New Roman" w:cs="Times New Roman"/>
          <w:color w:val="FF0000"/>
          <w:szCs w:val="21"/>
          <w:lang w:val="en-US" w:eastAsia="zh-CN"/>
        </w:rPr>
        <w:t>3</w:t>
      </w:r>
      <w:r>
        <w:rPr>
          <w:rFonts w:hint="default" w:ascii="Times New Roman" w:hAnsi="Times New Roman" w:cs="Times New Roman"/>
          <w:color w:val="FF0000"/>
          <w:szCs w:val="21"/>
        </w:rPr>
        <w:t>年</w:t>
      </w:r>
      <w:r>
        <w:rPr>
          <w:rFonts w:hint="eastAsia" w:ascii="Times New Roman" w:hAnsi="Times New Roman" w:cs="Times New Roman"/>
          <w:color w:val="FF0000"/>
          <w:szCs w:val="21"/>
          <w:lang w:val="en-US" w:eastAsia="zh-CN"/>
        </w:rPr>
        <w:t>6</w:t>
      </w:r>
      <w:r>
        <w:rPr>
          <w:rFonts w:hint="default" w:ascii="Times New Roman" w:hAnsi="Times New Roman" w:cs="Times New Roman"/>
          <w:color w:val="FF0000"/>
          <w:szCs w:val="21"/>
        </w:rPr>
        <w:t>月</w:t>
      </w:r>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300835216"/>
      <w:bookmarkStart w:id="417" w:name="_Toc247514286"/>
      <w:bookmarkStart w:id="418" w:name="_Toc144974862"/>
      <w:bookmarkStart w:id="419" w:name="_Toc247527834"/>
      <w:bookmarkStart w:id="420" w:name="_Toc152042583"/>
      <w:bookmarkStart w:id="421"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52045795"/>
      <w:bookmarkStart w:id="424" w:name="_Toc247527835"/>
      <w:bookmarkStart w:id="425" w:name="_Toc247514287"/>
      <w:bookmarkStart w:id="426" w:name="_Toc152042584"/>
      <w:bookmarkStart w:id="427" w:name="_Toc144974863"/>
      <w:bookmarkStart w:id="428" w:name="_Toc300835218"/>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423"/>
    <w:bookmarkEnd w:id="424"/>
    <w:bookmarkEnd w:id="425"/>
    <w:bookmarkEnd w:id="426"/>
    <w:bookmarkEnd w:id="427"/>
    <w:bookmarkEnd w:id="428"/>
    <w:p>
      <w:pPr>
        <w:pStyle w:val="3"/>
        <w:numPr>
          <w:ilvl w:val="0"/>
          <w:numId w:val="1"/>
        </w:numPr>
        <w:jc w:val="center"/>
        <w:rPr>
          <w:rFonts w:hint="default"/>
          <w:lang w:val="en-US" w:eastAsia="zh-CN"/>
        </w:rPr>
      </w:pPr>
      <w:r>
        <w:rPr>
          <w:rFonts w:hint="eastAsia" w:ascii="Times New Roman" w:hAnsi="Times New Roman" w:cs="Times New Roman"/>
          <w:lang w:val="en-US" w:eastAsia="zh-CN"/>
        </w:rPr>
        <w:t>已标价工程量清单</w:t>
      </w:r>
    </w:p>
    <w:p>
      <w:pPr>
        <w:rPr>
          <w:rFonts w:hint="eastAsia" w:ascii="Times New Roman" w:hAnsi="Times New Roman" w:cs="Times New Roman"/>
          <w:lang w:val="en-US" w:eastAsia="zh-CN"/>
        </w:rPr>
      </w:pPr>
    </w:p>
    <w:p>
      <w:pPr>
        <w:spacing w:line="300" w:lineRule="exact"/>
        <w:rPr>
          <w:rFonts w:ascii="宋体" w:hAnsi="宋体"/>
          <w:sz w:val="24"/>
          <w:u w:val="single"/>
        </w:rPr>
      </w:pPr>
      <w:r>
        <w:rPr>
          <w:rFonts w:hint="eastAsia" w:ascii="宋体" w:hAnsi="宋体"/>
          <w:sz w:val="24"/>
          <w:u w:val="single"/>
        </w:rPr>
        <w:t>工程名称：亳州逸合府项目施工总承包项目土方工程</w:t>
      </w:r>
    </w:p>
    <w:tbl>
      <w:tblPr>
        <w:tblStyle w:val="15"/>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513"/>
        <w:gridCol w:w="992"/>
        <w:gridCol w:w="709"/>
        <w:gridCol w:w="113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4" w:space="0"/>
              <w:right w:val="single" w:color="auto" w:sz="8" w:space="0"/>
            </w:tcBorders>
          </w:tcPr>
          <w:p>
            <w:pPr>
              <w:rPr>
                <w:rFonts w:ascii="宋体" w:hAnsi="宋体"/>
                <w:sz w:val="18"/>
                <w:szCs w:val="18"/>
              </w:rPr>
            </w:pPr>
            <w:r>
              <w:rPr>
                <w:rFonts w:hint="eastAsia" w:ascii="宋体" w:hAnsi="宋体"/>
                <w:sz w:val="18"/>
                <w:szCs w:val="18"/>
              </w:rPr>
              <w:t>招标人：安徽通康建设工程有限公司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项目名称</w:t>
            </w:r>
          </w:p>
        </w:tc>
        <w:tc>
          <w:tcPr>
            <w:tcW w:w="7513" w:type="dxa"/>
            <w:tcBorders>
              <w:top w:val="single" w:color="auto" w:sz="2" w:space="0"/>
              <w:left w:val="single" w:color="auto" w:sz="2" w:space="0"/>
              <w:right w:val="single" w:color="auto" w:sz="2" w:space="0"/>
            </w:tcBorders>
          </w:tcPr>
          <w:p>
            <w:pPr>
              <w:jc w:val="center"/>
              <w:rPr>
                <w:rFonts w:ascii="宋体" w:hAnsi="宋体"/>
                <w:sz w:val="18"/>
                <w:szCs w:val="18"/>
              </w:rPr>
            </w:pPr>
            <w:r>
              <w:rPr>
                <w:rFonts w:hint="eastAsia" w:ascii="宋体" w:hAnsi="宋体"/>
                <w:sz w:val="18"/>
                <w:szCs w:val="18"/>
              </w:rPr>
              <w:t>项目特征描述</w:t>
            </w:r>
          </w:p>
        </w:tc>
        <w:tc>
          <w:tcPr>
            <w:tcW w:w="992"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工程量（暂定）</w:t>
            </w:r>
          </w:p>
        </w:tc>
        <w:tc>
          <w:tcPr>
            <w:tcW w:w="709"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单位</w:t>
            </w:r>
          </w:p>
        </w:tc>
        <w:tc>
          <w:tcPr>
            <w:tcW w:w="1134"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综合单价（含税）</w:t>
            </w:r>
          </w:p>
        </w:tc>
        <w:tc>
          <w:tcPr>
            <w:tcW w:w="1843" w:type="dxa"/>
            <w:tcBorders>
              <w:top w:val="single" w:color="auto" w:sz="2" w:space="0"/>
              <w:left w:val="single" w:color="auto" w:sz="2" w:space="0"/>
              <w:right w:val="single" w:color="auto" w:sz="8" w:space="0"/>
            </w:tcBorders>
            <w:vAlign w:val="center"/>
          </w:tcPr>
          <w:p>
            <w:pPr>
              <w:jc w:val="center"/>
              <w:rPr>
                <w:rFonts w:ascii="宋体" w:hAnsi="宋体"/>
                <w:sz w:val="18"/>
                <w:szCs w:val="18"/>
              </w:rPr>
            </w:pPr>
            <w:r>
              <w:rPr>
                <w:rFonts w:hint="eastAsia" w:ascii="宋体" w:hAnsi="宋体"/>
                <w:sz w:val="18"/>
                <w:szCs w:val="18"/>
              </w:rPr>
              <w:t>合  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挖土外运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1、部位：本项目清表平整、场地平衡土方、筏板基础等部位；</w:t>
            </w:r>
          </w:p>
          <w:p>
            <w:pPr>
              <w:ind w:right="54"/>
              <w:jc w:val="left"/>
              <w:rPr>
                <w:rFonts w:ascii="宋体" w:hAnsi="宋体" w:cs="宋体"/>
                <w:sz w:val="18"/>
                <w:szCs w:val="18"/>
              </w:rPr>
            </w:pPr>
            <w:r>
              <w:rPr>
                <w:rFonts w:hint="eastAsia" w:ascii="宋体" w:hAnsi="宋体" w:cs="宋体"/>
                <w:sz w:val="18"/>
                <w:szCs w:val="18"/>
              </w:rPr>
              <w:t>2、土壤类别：综合，投标人现场自行踏勘，投标人应充分考虑现场可能存在的淤泥、沼泽地、地表水、高差、原建筑物基础、建筑垃圾、群众栽植的青苗农作物等不利因素，包含地表上杂物、硬化、垃圾、杂草、植被、树木、淤泥、农作物等；</w:t>
            </w:r>
          </w:p>
          <w:p>
            <w:pPr>
              <w:ind w:right="54"/>
              <w:jc w:val="left"/>
              <w:rPr>
                <w:rFonts w:ascii="宋体" w:hAnsi="宋体" w:cs="宋体"/>
                <w:sz w:val="18"/>
                <w:szCs w:val="18"/>
              </w:rPr>
            </w:pPr>
            <w:r>
              <w:rPr>
                <w:rFonts w:hint="eastAsia" w:ascii="宋体" w:hAnsi="宋体" w:cs="宋体"/>
                <w:sz w:val="18"/>
                <w:szCs w:val="18"/>
              </w:rPr>
              <w:t>3、工作内容包括但不限于原地面机械清表、场地平整、土方开挖外运等</w:t>
            </w:r>
            <w:r>
              <w:rPr>
                <w:rFonts w:hint="eastAsia" w:ascii="宋体" w:hAnsi="宋体" w:cs="宋体"/>
                <w:sz w:val="18"/>
                <w:szCs w:val="18"/>
                <w:lang w:eastAsia="zh-CN"/>
              </w:rPr>
              <w:t>，</w:t>
            </w:r>
            <w:r>
              <w:rPr>
                <w:rFonts w:hint="eastAsia" w:ascii="宋体" w:hAnsi="宋体" w:cs="宋体"/>
                <w:sz w:val="18"/>
                <w:szCs w:val="18"/>
              </w:rPr>
              <w:t>场地清表、平整面积约75296平方米；；</w:t>
            </w:r>
          </w:p>
          <w:p>
            <w:pPr>
              <w:ind w:right="54"/>
              <w:jc w:val="left"/>
              <w:rPr>
                <w:rFonts w:ascii="宋体" w:hAnsi="宋体" w:cs="宋体"/>
                <w:sz w:val="18"/>
                <w:szCs w:val="18"/>
              </w:rPr>
            </w:pPr>
            <w:r>
              <w:rPr>
                <w:rFonts w:hint="eastAsia" w:ascii="宋体" w:hAnsi="宋体" w:cs="宋体"/>
                <w:sz w:val="18"/>
                <w:szCs w:val="18"/>
              </w:rPr>
              <w:t>4运距：投标人在勘察现场后自行考虑，实际运距或超出部分的运距、土源费、弃土场等</w:t>
            </w:r>
          </w:p>
          <w:p>
            <w:pPr>
              <w:ind w:right="54"/>
              <w:jc w:val="left"/>
              <w:rPr>
                <w:rFonts w:ascii="宋体" w:hAnsi="宋体" w:cs="宋体"/>
                <w:sz w:val="18"/>
                <w:szCs w:val="18"/>
              </w:rPr>
            </w:pPr>
            <w:r>
              <w:rPr>
                <w:rFonts w:hint="eastAsia" w:ascii="宋体" w:hAnsi="宋体" w:cs="宋体"/>
                <w:sz w:val="18"/>
                <w:szCs w:val="18"/>
              </w:rPr>
              <w:t>由投标人勘察现场后自行考虑；</w:t>
            </w:r>
          </w:p>
          <w:p>
            <w:pPr>
              <w:ind w:right="54"/>
              <w:jc w:val="left"/>
              <w:rPr>
                <w:rFonts w:ascii="宋体" w:hAnsi="宋体" w:cs="宋体"/>
                <w:sz w:val="18"/>
                <w:szCs w:val="18"/>
              </w:rPr>
            </w:pPr>
            <w:r>
              <w:rPr>
                <w:rFonts w:hint="eastAsia" w:ascii="宋体" w:hAnsi="宋体" w:cs="宋体"/>
                <w:sz w:val="18"/>
                <w:szCs w:val="18"/>
              </w:rPr>
              <w:t>5、要求：投标报价中充分考虑弃土场费、土源费、保洁费、协调费、清表、土方平衡、土方平整、场地堆置土方、土方高低差、</w:t>
            </w:r>
            <w:r>
              <w:rPr>
                <w:rFonts w:hint="eastAsia" w:ascii="宋体" w:hAnsi="宋体" w:cs="宋体"/>
                <w:sz w:val="18"/>
                <w:szCs w:val="18"/>
                <w:lang w:val="en-US" w:eastAsia="zh-CN"/>
              </w:rPr>
              <w:t>场内土方覆盖等抑尘措施、</w:t>
            </w:r>
            <w:r>
              <w:rPr>
                <w:rFonts w:hint="eastAsia" w:ascii="宋体" w:hAnsi="宋体" w:cs="宋体"/>
                <w:sz w:val="18"/>
                <w:szCs w:val="18"/>
              </w:rPr>
              <w:t>土方运输扬尘治理费、修建硬化运输通道、打通场区运输通道与既有市政道路开口费用、修建车辆冲洗平台（含冲洗设备、沉淀池等文明环保设施）、运输车辆进出场区环保冲洗及地下障碍物等费用，以及青苗补偿费和市容、路政、环保部门征收的等一切费用，综合考虑在报价中，综合考虑报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6、未尽事宜具体详见图纸、图集、答疑、招标文件、政府相关文件、规范等其他资料,满足验收要求。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土方回填（外运）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1、回填外运土方由投标人自行解决。回填土内不得含有石块、碎砖、灰渣和有机杂物。回填土应同步对称,均衡进行,分层夯实（压实需符合图纸和规范要求，回填夯实后整平至图纸设计标高）</w:t>
            </w:r>
          </w:p>
          <w:p>
            <w:pPr>
              <w:ind w:right="54"/>
              <w:jc w:val="left"/>
              <w:rPr>
                <w:rFonts w:ascii="宋体" w:hAnsi="宋体" w:cs="宋体"/>
                <w:sz w:val="18"/>
                <w:szCs w:val="18"/>
              </w:rPr>
            </w:pPr>
            <w:r>
              <w:rPr>
                <w:rFonts w:hint="eastAsia" w:ascii="宋体" w:hAnsi="宋体" w:cs="宋体"/>
                <w:sz w:val="18"/>
                <w:szCs w:val="18"/>
              </w:rPr>
              <w:t>2、完成招标人所属项目的土方回填，回填工程量</w:t>
            </w:r>
            <w:r>
              <w:rPr>
                <w:rFonts w:hint="eastAsia" w:ascii="宋体" w:hAnsi="宋体" w:cs="宋体"/>
                <w:sz w:val="18"/>
                <w:szCs w:val="18"/>
                <w:lang w:eastAsia="zh-CN"/>
              </w:rPr>
              <w:t>按招标人项目实际需求完成</w:t>
            </w:r>
            <w:r>
              <w:rPr>
                <w:rFonts w:hint="eastAsia" w:ascii="宋体" w:hAnsi="宋体" w:cs="宋体"/>
                <w:sz w:val="18"/>
                <w:szCs w:val="18"/>
              </w:rPr>
              <w:t>，包括但不限于地库顶板和外墙回填、房心回填和汽车坡道、基础梁下、柱墩、电梯井、集水井基坑等处回填；</w:t>
            </w:r>
          </w:p>
          <w:p>
            <w:pPr>
              <w:ind w:right="54"/>
              <w:jc w:val="left"/>
              <w:rPr>
                <w:rFonts w:ascii="宋体" w:hAnsi="宋体" w:cs="宋体"/>
                <w:sz w:val="18"/>
                <w:szCs w:val="18"/>
              </w:rPr>
            </w:pPr>
            <w:r>
              <w:rPr>
                <w:rFonts w:hint="eastAsia" w:ascii="宋体" w:hAnsi="宋体" w:cs="宋体"/>
                <w:sz w:val="18"/>
                <w:szCs w:val="18"/>
              </w:rPr>
              <w:t>3、取土运距：投标人在勘察现场后自行考虑，回填至招标人亳州市区内所属项目，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80000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3</w:t>
            </w:r>
          </w:p>
        </w:tc>
        <w:tc>
          <w:tcPr>
            <w:tcW w:w="1134" w:type="dxa"/>
            <w:tcBorders>
              <w:left w:val="single" w:color="auto" w:sz="4"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土方内倒</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olor w:val="000000"/>
                <w:sz w:val="18"/>
                <w:szCs w:val="18"/>
              </w:rPr>
              <w:t>1、根据招标人施工方案和指令进行场区内土方开挖、回填等局部倒运工作，</w:t>
            </w:r>
            <w:r>
              <w:rPr>
                <w:rFonts w:hint="eastAsia" w:ascii="宋体" w:hAnsi="宋体" w:cs="宋体"/>
                <w:sz w:val="18"/>
                <w:szCs w:val="18"/>
              </w:rPr>
              <w:t>投标人不得以任何理由拒绝，否则视为违约；</w:t>
            </w:r>
          </w:p>
          <w:p>
            <w:pPr>
              <w:ind w:right="54"/>
              <w:jc w:val="left"/>
              <w:rPr>
                <w:rFonts w:ascii="宋体" w:hAnsi="宋体"/>
                <w:color w:val="000000"/>
                <w:sz w:val="18"/>
                <w:szCs w:val="18"/>
              </w:rPr>
            </w:pPr>
            <w:r>
              <w:rPr>
                <w:rFonts w:hint="eastAsia" w:ascii="宋体" w:hAnsi="宋体" w:cs="宋体"/>
                <w:sz w:val="18"/>
                <w:szCs w:val="18"/>
              </w:rPr>
              <w:t>2、投标人综合考虑报价，不得高于招标人给的控制综合单价；招标人有权在投标总价不变的前提下,对投标人的不平衡报价进行调整。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olor w:val="000000"/>
                <w:sz w:val="18"/>
                <w:szCs w:val="18"/>
              </w:rPr>
            </w:pPr>
            <w:r>
              <w:rPr>
                <w:rFonts w:hint="eastAsia" w:ascii="宋体" w:hAnsi="宋体"/>
                <w:color w:val="000000"/>
                <w:sz w:val="18"/>
                <w:szCs w:val="18"/>
              </w:rPr>
              <w:t>1000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jc w:val="center"/>
              <w:rPr>
                <w:rFonts w:ascii="宋体" w:hAnsi="宋体" w:cs="宋体"/>
                <w:strike/>
                <w:sz w:val="18"/>
                <w:szCs w:val="18"/>
              </w:rPr>
            </w:pPr>
            <w:r>
              <w:rPr>
                <w:rFonts w:hint="eastAsia" w:ascii="宋体" w:hAnsi="宋体" w:cs="宋体"/>
                <w:strike/>
                <w:sz w:val="18"/>
                <w:szCs w:val="18"/>
              </w:rPr>
              <w:t>4</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基础清底</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50000</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平方米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5</w:t>
            </w:r>
          </w:p>
        </w:tc>
        <w:tc>
          <w:tcPr>
            <w:tcW w:w="1134" w:type="dxa"/>
            <w:tcBorders>
              <w:left w:val="single" w:color="auto" w:sz="4" w:space="0"/>
              <w:right w:val="single" w:color="auto" w:sz="4" w:space="0"/>
            </w:tcBorders>
            <w:vAlign w:val="center"/>
          </w:tcPr>
          <w:p>
            <w:pPr>
              <w:jc w:val="center"/>
              <w:rPr>
                <w:rFonts w:ascii="宋体" w:hAnsi="宋体"/>
                <w:color w:val="000000"/>
                <w:sz w:val="18"/>
                <w:szCs w:val="18"/>
              </w:rPr>
            </w:pPr>
            <w:r>
              <w:rPr>
                <w:rFonts w:hint="eastAsia" w:ascii="宋体" w:hAnsi="宋体"/>
                <w:color w:val="000000"/>
                <w:sz w:val="18"/>
                <w:szCs w:val="18"/>
              </w:rPr>
              <w:t>小挖掘机</w:t>
            </w:r>
          </w:p>
        </w:tc>
        <w:tc>
          <w:tcPr>
            <w:tcW w:w="7513" w:type="dxa"/>
            <w:vMerge w:val="restart"/>
            <w:tcBorders>
              <w:left w:val="single" w:color="auto" w:sz="2" w:space="0"/>
              <w:right w:val="single" w:color="auto" w:sz="2" w:space="0"/>
            </w:tcBorders>
            <w:vAlign w:val="center"/>
          </w:tcPr>
          <w:p>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130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大挖掘机</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260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vAlign w:val="center"/>
          </w:tcPr>
          <w:p>
            <w:pPr>
              <w:jc w:val="center"/>
              <w:rPr>
                <w:sz w:val="18"/>
                <w:szCs w:val="18"/>
              </w:rPr>
            </w:pPr>
            <w:r>
              <w:rPr>
                <w:rFonts w:hint="eastAsia"/>
                <w:sz w:val="18"/>
                <w:szCs w:val="18"/>
              </w:rPr>
              <w:t>7</w:t>
            </w:r>
          </w:p>
        </w:tc>
        <w:tc>
          <w:tcPr>
            <w:tcW w:w="1134" w:type="dxa"/>
            <w:tcBorders>
              <w:left w:val="single" w:color="auto" w:sz="4" w:space="0"/>
              <w:right w:val="single" w:color="auto" w:sz="4" w:space="0"/>
            </w:tcBorders>
            <w:vAlign w:val="center"/>
          </w:tcPr>
          <w:p>
            <w:pPr>
              <w:jc w:val="center"/>
              <w:rPr>
                <w:sz w:val="18"/>
                <w:szCs w:val="18"/>
              </w:rPr>
            </w:pPr>
            <w:r>
              <w:rPr>
                <w:rFonts w:hint="eastAsia"/>
                <w:sz w:val="18"/>
                <w:szCs w:val="18"/>
              </w:rPr>
              <w:t>20型铲车</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bottom w:val="single" w:color="auto" w:sz="4"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100元/小时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809" w:type="dxa"/>
            <w:gridSpan w:val="2"/>
            <w:tcBorders>
              <w:left w:val="single" w:color="auto" w:sz="8" w:space="0"/>
              <w:right w:val="single" w:color="auto" w:sz="4" w:space="0"/>
            </w:tcBorders>
            <w:vAlign w:val="center"/>
          </w:tcPr>
          <w:p>
            <w:pPr>
              <w:jc w:val="center"/>
              <w:rPr>
                <w:rFonts w:ascii="宋体" w:hAnsi="宋体" w:cs="宋体"/>
                <w:b/>
                <w:sz w:val="18"/>
                <w:szCs w:val="18"/>
              </w:rPr>
            </w:pPr>
            <w:r>
              <w:rPr>
                <w:rFonts w:hint="eastAsia" w:ascii="宋体" w:hAnsi="宋体" w:cs="宋体"/>
                <w:b/>
                <w:sz w:val="18"/>
                <w:szCs w:val="18"/>
              </w:rPr>
              <w:t>总计</w:t>
            </w:r>
          </w:p>
        </w:tc>
        <w:tc>
          <w:tcPr>
            <w:tcW w:w="12191" w:type="dxa"/>
            <w:gridSpan w:val="5"/>
            <w:tcBorders>
              <w:left w:val="single" w:color="auto" w:sz="2" w:space="0"/>
              <w:right w:val="single" w:color="auto" w:sz="8" w:space="0"/>
            </w:tcBorders>
          </w:tcPr>
          <w:p>
            <w:pPr>
              <w:ind w:right="114"/>
              <w:rPr>
                <w:rFonts w:ascii="宋体" w:hAnsi="宋体" w:cs="宋体"/>
                <w:b/>
                <w:sz w:val="18"/>
                <w:szCs w:val="18"/>
                <w:u w:val="single"/>
              </w:rPr>
            </w:pPr>
            <w:r>
              <w:rPr>
                <w:rFonts w:hint="eastAsia" w:ascii="宋体" w:hAnsi="宋体" w:cs="宋体"/>
                <w:b/>
                <w:sz w:val="18"/>
                <w:szCs w:val="18"/>
              </w:rPr>
              <w:t>￥：</w:t>
            </w:r>
            <w:r>
              <w:rPr>
                <w:rFonts w:hint="eastAsia" w:ascii="宋体" w:hAnsi="宋体" w:cs="宋体"/>
                <w:b/>
                <w:sz w:val="18"/>
                <w:szCs w:val="18"/>
                <w:u w:val="single"/>
              </w:rPr>
              <w:t xml:space="preserve">         元（大写：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b/>
                <w:sz w:val="18"/>
                <w:szCs w:val="18"/>
              </w:rPr>
              <w:t>，含税，税率为9%。</w:t>
            </w:r>
          </w:p>
        </w:tc>
      </w:tr>
    </w:tbl>
    <w:p>
      <w:pPr>
        <w:rPr>
          <w:rFonts w:ascii="宋体" w:hAnsi="宋体"/>
          <w:b/>
          <w:szCs w:val="21"/>
        </w:rPr>
      </w:pPr>
    </w:p>
    <w:p>
      <w:pPr>
        <w:tabs>
          <w:tab w:val="left" w:pos="2880"/>
        </w:tabs>
        <w:rPr>
          <w:rFonts w:ascii="宋体" w:hAnsi="宋体"/>
          <w:b/>
          <w:bCs/>
          <w:szCs w:val="21"/>
        </w:rPr>
      </w:pPr>
      <w:r>
        <w:rPr>
          <w:rFonts w:hint="eastAsia" w:ascii="宋体" w:hAnsi="宋体"/>
          <w:szCs w:val="21"/>
        </w:rPr>
        <w:t>说明：</w:t>
      </w:r>
      <w:r>
        <w:rPr>
          <w:rFonts w:hint="eastAsia" w:ascii="宋体" w:hAnsi="宋体"/>
          <w:b/>
          <w:bCs/>
          <w:szCs w:val="21"/>
        </w:rPr>
        <w:t>1、以上数量均为暂估量，具体以招标人项目部指令为准，工程量计算规则具体按照安徽省定额计算规则计算的实际工程量进行计算，如因建设单位变更及甲方根据实际情况需要局部调整或中标单位不能满足现场施工要求等原因造成工程量变化，无论工程量变化多少都将按变更后工程量计算，实际施工中未发生的项目不予结算。</w:t>
      </w:r>
    </w:p>
    <w:p>
      <w:pPr>
        <w:tabs>
          <w:tab w:val="left" w:pos="2880"/>
        </w:tabs>
        <w:rPr>
          <w:rFonts w:ascii="宋体" w:hAnsi="宋体"/>
          <w:b/>
          <w:bCs/>
          <w:szCs w:val="21"/>
        </w:rPr>
      </w:pPr>
      <w:r>
        <w:rPr>
          <w:rFonts w:hint="eastAsia" w:ascii="宋体" w:hAnsi="宋体"/>
          <w:b/>
          <w:bCs/>
          <w:szCs w:val="21"/>
        </w:rPr>
        <w:t xml:space="preserve">      2、投标人</w:t>
      </w:r>
      <w:r>
        <w:rPr>
          <w:rFonts w:hint="eastAsia" w:ascii="宋体" w:hAnsi="宋体"/>
          <w:b/>
          <w:bCs/>
          <w:szCs w:val="21"/>
          <w:lang w:val="en-US" w:eastAsia="zh-CN"/>
        </w:rPr>
        <w:t>自行</w:t>
      </w:r>
      <w:r>
        <w:rPr>
          <w:rFonts w:hint="eastAsia" w:ascii="宋体" w:hAnsi="宋体"/>
          <w:b/>
          <w:bCs/>
          <w:szCs w:val="21"/>
        </w:rPr>
        <w:t>勘察现场，中标后不得以任何理由提出增加承包单价等要求。</w:t>
      </w:r>
    </w:p>
    <w:p>
      <w:pPr>
        <w:ind w:firstLine="413" w:firstLineChars="196"/>
        <w:rPr>
          <w:rFonts w:ascii="宋体" w:hAnsi="宋体"/>
          <w:b/>
          <w:bCs/>
          <w:szCs w:val="21"/>
        </w:rPr>
      </w:pPr>
      <w:r>
        <w:rPr>
          <w:rFonts w:hint="eastAsia" w:ascii="宋体" w:hAnsi="宋体"/>
          <w:b/>
          <w:bCs/>
          <w:szCs w:val="21"/>
        </w:rPr>
        <w:t xml:space="preserve">  3、投标人需考虑税率为9%的增值税专用发票费用。</w:t>
      </w:r>
    </w:p>
    <w:p>
      <w:pPr>
        <w:jc w:val="center"/>
        <w:rPr>
          <w:rFonts w:ascii="宋体" w:hAnsi="宋体"/>
          <w:sz w:val="28"/>
          <w:u w:val="single"/>
        </w:rPr>
      </w:pPr>
      <w:r>
        <w:rPr>
          <w:rFonts w:hint="eastAsia" w:ascii="宋体" w:hAnsi="宋体"/>
          <w:sz w:val="28"/>
          <w:lang w:val="en-US" w:eastAsia="zh-CN"/>
        </w:rPr>
        <w:t xml:space="preserve">                                                         </w:t>
      </w:r>
      <w:r>
        <w:rPr>
          <w:rFonts w:hint="eastAsia" w:ascii="宋体" w:hAnsi="宋体"/>
          <w:sz w:val="28"/>
        </w:rPr>
        <w:t>投标人：</w:t>
      </w:r>
      <w:r>
        <w:rPr>
          <w:rFonts w:hint="eastAsia" w:ascii="宋体" w:hAnsi="宋体"/>
          <w:sz w:val="28"/>
          <w:u w:val="single"/>
        </w:rPr>
        <w:t xml:space="preserve">                （盖章）</w:t>
      </w:r>
    </w:p>
    <w:p>
      <w:pPr>
        <w:ind w:right="1120" w:firstLine="8680" w:firstLineChars="3100"/>
        <w:rPr>
          <w:rFonts w:hint="eastAsia" w:asciiTheme="majorEastAsia" w:hAnsiTheme="majorEastAsia" w:eastAsiaTheme="majorEastAsia" w:cstheme="majorEastAsia"/>
          <w:b/>
          <w:bCs/>
          <w:sz w:val="32"/>
          <w:szCs w:val="32"/>
          <w:highlight w:val="none"/>
          <w:lang w:val="en-US" w:eastAsia="zh-CN"/>
        </w:rPr>
      </w:pPr>
      <w:r>
        <w:rPr>
          <w:rFonts w:hint="eastAsia" w:ascii="宋体" w:hAnsi="宋体"/>
          <w:sz w:val="28"/>
        </w:rPr>
        <w:t>日期：</w:t>
      </w:r>
      <w:r>
        <w:rPr>
          <w:rFonts w:hint="eastAsia" w:ascii="宋体" w:hAnsi="宋体"/>
          <w:sz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3"/>
        <w:jc w:val="center"/>
        <w:rPr>
          <w:rFonts w:hint="default" w:ascii="Times New Roman" w:hAnsi="Times New Roman" w:eastAsia="黑体" w:cs="Times New Roman"/>
          <w:highlight w:val="none"/>
          <w:lang w:val="en-US" w:eastAsia="zh-CN"/>
        </w:rPr>
      </w:pPr>
      <w:bookmarkStart w:id="429" w:name="_Toc152042585"/>
      <w:bookmarkStart w:id="430" w:name="_Toc247527836"/>
      <w:bookmarkStart w:id="431" w:name="_Toc144974864"/>
      <w:bookmarkStart w:id="432" w:name="_Toc300835221"/>
      <w:bookmarkStart w:id="433" w:name="_Toc247514288"/>
      <w:bookmarkStart w:id="434" w:name="_Toc152045796"/>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投标人编制施工组织设计的要求：编制时应简明扼要地说明施工方法，工程质量、安全生产、文明施工、环境保护、工程进度等主要措施。</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44974865"/>
      <w:bookmarkStart w:id="437" w:name="_Toc246997108"/>
      <w:bookmarkStart w:id="438" w:name="_Toc247085883"/>
      <w:bookmarkStart w:id="439" w:name="_Toc152042586"/>
      <w:bookmarkStart w:id="440" w:name="_Toc179632817"/>
      <w:bookmarkStart w:id="441" w:name="_Toc246996365"/>
      <w:bookmarkStart w:id="442" w:name="_Toc152045797"/>
      <w:bookmarkStart w:id="443" w:name="_Toc296602610"/>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 w:val="20"/>
          <w:szCs w:val="20"/>
        </w:rPr>
      </w:pPr>
      <w:r>
        <w:rPr>
          <w:rFonts w:hint="default" w:ascii="Times New Roman" w:hAnsi="Times New Roman" w:eastAsia="黑体" w:cs="Times New Roman"/>
          <w:sz w:val="20"/>
          <w:szCs w:val="20"/>
        </w:rPr>
        <w:br w:type="page"/>
      </w:r>
    </w:p>
    <w:bookmarkEnd w:id="435"/>
    <w:p>
      <w:pPr>
        <w:pStyle w:val="3"/>
        <w:jc w:val="center"/>
        <w:rPr>
          <w:szCs w:val="21"/>
        </w:rPr>
      </w:pPr>
      <w:bookmarkStart w:id="444" w:name="_Toc246997112"/>
      <w:bookmarkStart w:id="445" w:name="_Toc144974871"/>
      <w:bookmarkStart w:id="446" w:name="_Toc179632823"/>
      <w:bookmarkStart w:id="447" w:name="_Toc296602614"/>
      <w:bookmarkStart w:id="448" w:name="_Toc246996369"/>
      <w:bookmarkStart w:id="449" w:name="_Toc247085887"/>
      <w:bookmarkStart w:id="450" w:name="_Toc152042592"/>
      <w:bookmarkStart w:id="451" w:name="_Toc152045803"/>
      <w:bookmarkStart w:id="452" w:name="_Toc247527848"/>
      <w:bookmarkStart w:id="453" w:name="_Toc300835224"/>
      <w:bookmarkStart w:id="454" w:name="_Toc152045808"/>
      <w:bookmarkStart w:id="455" w:name="_Toc247514300"/>
      <w:bookmarkStart w:id="456" w:name="_Toc152042597"/>
      <w:bookmarkStart w:id="457" w:name="_Toc144974876"/>
      <w:r>
        <w:rPr>
          <w:rFonts w:hint="eastAsia"/>
        </w:rPr>
        <w:t>六</w:t>
      </w:r>
      <w:r>
        <w:t>、项目管理机构</w:t>
      </w:r>
      <w:bookmarkEnd w:id="444"/>
      <w:bookmarkEnd w:id="445"/>
      <w:bookmarkEnd w:id="446"/>
      <w:bookmarkEnd w:id="447"/>
      <w:bookmarkEnd w:id="448"/>
      <w:bookmarkEnd w:id="449"/>
      <w:bookmarkEnd w:id="450"/>
      <w:bookmarkEnd w:id="451"/>
    </w:p>
    <w:p>
      <w:pPr>
        <w:spacing w:line="440" w:lineRule="exact"/>
        <w:jc w:val="center"/>
        <w:rPr>
          <w:rFonts w:eastAsia="黑体"/>
          <w:sz w:val="23"/>
          <w:szCs w:val="23"/>
        </w:rPr>
      </w:pPr>
    </w:p>
    <w:p>
      <w:pPr>
        <w:pStyle w:val="4"/>
        <w:jc w:val="both"/>
      </w:pPr>
      <w:bookmarkStart w:id="458" w:name="_Toc246997113"/>
      <w:bookmarkStart w:id="459" w:name="_Toc296602615"/>
      <w:bookmarkStart w:id="460" w:name="_Toc247085888"/>
      <w:bookmarkStart w:id="461" w:name="_Toc246996370"/>
      <w:r>
        <w:t>（一）项目管理机构组成表</w:t>
      </w:r>
      <w:bookmarkEnd w:id="458"/>
      <w:bookmarkEnd w:id="459"/>
      <w:bookmarkEnd w:id="460"/>
      <w:bookmarkEnd w:id="461"/>
    </w:p>
    <w:p>
      <w:pPr>
        <w:spacing w:line="440" w:lineRule="exact"/>
        <w:jc w:val="center"/>
        <w:rPr>
          <w:rFonts w:eastAsia="黑体"/>
          <w:sz w:val="23"/>
          <w:szCs w:val="23"/>
        </w:rPr>
      </w:pPr>
    </w:p>
    <w:tbl>
      <w:tblPr>
        <w:tblStyle w:val="15"/>
        <w:tblW w:w="0" w:type="auto"/>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953"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953"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center"/>
          </w:tcPr>
          <w:p>
            <w:pPr>
              <w:spacing w:line="440" w:lineRule="exact"/>
              <w:jc w:val="center"/>
              <w:rPr>
                <w:rFonts w:hint="default" w:eastAsiaTheme="minorEastAsia"/>
                <w:szCs w:val="21"/>
                <w:lang w:val="en-US" w:eastAsia="zh-CN"/>
              </w:rPr>
            </w:pPr>
            <w:r>
              <w:rPr>
                <w:rFonts w:hint="eastAsia"/>
                <w:szCs w:val="21"/>
                <w:lang w:val="en-US" w:eastAsia="zh-CN"/>
              </w:rPr>
              <w:t>项目负责人</w:t>
            </w: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rFonts w:hint="eastAsia" w:eastAsiaTheme="minorEastAsia"/>
                <w:szCs w:val="21"/>
                <w:lang w:val="en-US" w:eastAsia="zh-CN"/>
              </w:rPr>
            </w:pPr>
            <w:r>
              <w:rPr>
                <w:rFonts w:hint="eastAsia"/>
                <w:szCs w:val="21"/>
                <w:lang w:val="en-US" w:eastAsia="zh-CN"/>
              </w:rPr>
              <w:t>施工员</w:t>
            </w: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rFonts w:hint="default" w:eastAsiaTheme="minorEastAsia"/>
                <w:szCs w:val="21"/>
                <w:lang w:val="en-US" w:eastAsia="zh-CN"/>
              </w:rPr>
            </w:pPr>
            <w:r>
              <w:rPr>
                <w:rFonts w:hint="eastAsia"/>
                <w:szCs w:val="21"/>
                <w:lang w:val="en-US" w:eastAsia="zh-CN"/>
              </w:rPr>
              <w:t>安全员</w:t>
            </w: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62" w:name="_Toc247085889"/>
      <w:bookmarkStart w:id="463" w:name="_Toc296602616"/>
      <w:bookmarkStart w:id="464" w:name="_Toc246996371"/>
      <w:bookmarkStart w:id="465" w:name="_Toc246997114"/>
      <w:r>
        <w:t>（二）</w:t>
      </w:r>
      <w:r>
        <w:rPr>
          <w:rFonts w:hint="eastAsia"/>
          <w:lang w:eastAsia="zh-CN"/>
        </w:rPr>
        <w:t>项目负责人</w:t>
      </w:r>
      <w:r>
        <w:t>简历表</w:t>
      </w:r>
      <w:bookmarkEnd w:id="462"/>
      <w:bookmarkEnd w:id="463"/>
      <w:bookmarkEnd w:id="464"/>
      <w:bookmarkEnd w:id="465"/>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66" w:name="_Toc179632827"/>
      <w:bookmarkStart w:id="467" w:name="_Toc152045807"/>
      <w:bookmarkStart w:id="468" w:name="_Toc246996372"/>
      <w:bookmarkStart w:id="469" w:name="_Toc296602617"/>
      <w:bookmarkStart w:id="470" w:name="_Toc246997115"/>
      <w:bookmarkStart w:id="471" w:name="_Toc247085890"/>
      <w:bookmarkStart w:id="472" w:name="_Toc152042596"/>
      <w:bookmarkStart w:id="473" w:name="_Toc144974875"/>
      <w:r>
        <w:rPr>
          <w:rFonts w:hint="eastAsia"/>
        </w:rPr>
        <w:t>七</w:t>
      </w:r>
      <w:r>
        <w:t>、资格审查资料</w:t>
      </w:r>
      <w:bookmarkEnd w:id="466"/>
      <w:bookmarkEnd w:id="467"/>
      <w:bookmarkEnd w:id="468"/>
      <w:bookmarkEnd w:id="469"/>
      <w:bookmarkEnd w:id="470"/>
      <w:bookmarkEnd w:id="471"/>
      <w:bookmarkEnd w:id="472"/>
      <w:bookmarkEnd w:id="473"/>
    </w:p>
    <w:p>
      <w:pPr>
        <w:pStyle w:val="4"/>
        <w:jc w:val="both"/>
        <w:rPr>
          <w:rFonts w:hint="eastAsia"/>
        </w:rPr>
      </w:pPr>
      <w:bookmarkStart w:id="474" w:name="_Toc296602618"/>
      <w:bookmarkStart w:id="475" w:name="_Toc246997116"/>
      <w:bookmarkStart w:id="476" w:name="_Toc246996373"/>
      <w:bookmarkStart w:id="477" w:name="_Toc179632828"/>
      <w:bookmarkStart w:id="478" w:name="_Toc247085891"/>
      <w:r>
        <w:t>（一）投标人基本情况表</w:t>
      </w:r>
      <w:bookmarkEnd w:id="474"/>
      <w:bookmarkEnd w:id="475"/>
      <w:bookmarkEnd w:id="476"/>
      <w:bookmarkEnd w:id="477"/>
      <w:bookmarkEnd w:id="47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2"/>
    <w:bookmarkEnd w:id="453"/>
    <w:bookmarkEnd w:id="454"/>
    <w:bookmarkEnd w:id="455"/>
    <w:bookmarkEnd w:id="456"/>
    <w:bookmarkEnd w:id="457"/>
    <w:p>
      <w:pPr>
        <w:pStyle w:val="4"/>
        <w:rPr>
          <w:rFonts w:hint="default" w:ascii="Times New Roman" w:hAnsi="Times New Roman" w:cs="Times New Roman"/>
        </w:rPr>
      </w:pPr>
      <w:bookmarkStart w:id="479" w:name="_Toc152042599"/>
      <w:bookmarkStart w:id="480" w:name="_Toc152045810"/>
      <w:bookmarkStart w:id="481" w:name="_Toc247527850"/>
      <w:bookmarkStart w:id="482" w:name="_Toc144974878"/>
      <w:bookmarkStart w:id="483" w:name="_Toc300835226"/>
      <w:bookmarkStart w:id="484" w:name="_Toc247514302"/>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479"/>
      <w:bookmarkEnd w:id="480"/>
      <w:bookmarkEnd w:id="481"/>
      <w:bookmarkEnd w:id="482"/>
      <w:bookmarkEnd w:id="483"/>
      <w:bookmarkEnd w:id="48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485" w:name="_Toc144974879"/>
      <w:bookmarkStart w:id="486" w:name="_Toc152042600"/>
      <w:bookmarkStart w:id="487" w:name="_Toc247527851"/>
      <w:bookmarkStart w:id="488" w:name="_Toc152045811"/>
      <w:bookmarkStart w:id="489" w:name="_Toc247514303"/>
    </w:p>
    <w:p>
      <w:pPr>
        <w:spacing w:line="440" w:lineRule="exact"/>
        <w:rPr>
          <w:rFonts w:hint="default" w:ascii="Times New Roman" w:hAnsi="Times New Roman" w:cs="Times New Roman"/>
          <w:b/>
          <w:bCs/>
        </w:rPr>
      </w:pPr>
      <w:permStart w:id="76" w:edGrp="everyone"/>
      <w:r>
        <w:rPr>
          <w:rFonts w:hint="eastAsia" w:asciiTheme="minorEastAsia" w:hAnsiTheme="minorEastAsia" w:cstheme="minorEastAsia"/>
          <w:b/>
          <w:bCs/>
          <w:sz w:val="28"/>
          <w:szCs w:val="28"/>
          <w:highlight w:val="none"/>
          <w:lang w:val="en-US" w:eastAsia="zh-CN"/>
        </w:rPr>
        <w:t>注：</w:t>
      </w:r>
      <w:r>
        <w:rPr>
          <w:rFonts w:hint="eastAsia" w:asciiTheme="minorEastAsia" w:hAnsiTheme="minorEastAsia" w:eastAsiaTheme="minorEastAsia" w:cstheme="minorEastAsia"/>
          <w:b/>
          <w:bCs/>
          <w:sz w:val="28"/>
          <w:szCs w:val="28"/>
          <w:highlight w:val="none"/>
          <w:lang w:val="en-US" w:eastAsia="zh-CN"/>
        </w:rPr>
        <w:t>提供业绩合同和合同任意节点税务发票等复印件或扫描件装订入投标文件中</w:t>
      </w:r>
      <w:r>
        <w:rPr>
          <w:rFonts w:hint="eastAsia" w:asciiTheme="minorEastAsia" w:hAnsiTheme="minorEastAsia" w:cstheme="minorEastAsia"/>
          <w:b/>
          <w:bCs/>
          <w:sz w:val="28"/>
          <w:szCs w:val="28"/>
          <w:highlight w:val="none"/>
          <w:lang w:val="en-US" w:eastAsia="zh-CN"/>
        </w:rPr>
        <w:t>。</w:t>
      </w:r>
      <w:permEnd w:id="76"/>
    </w:p>
    <w:bookmarkEnd w:id="485"/>
    <w:bookmarkEnd w:id="486"/>
    <w:bookmarkEnd w:id="487"/>
    <w:bookmarkEnd w:id="488"/>
    <w:bookmarkEnd w:id="489"/>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7" w:edGrp="everyone"/>
      <w:r>
        <w:rPr>
          <w:rFonts w:ascii="Times New Roman" w:hAnsi="Times New Roman"/>
        </w:rPr>
        <w:t>注：</w:t>
      </w:r>
      <w:r>
        <w:rPr>
          <w:rFonts w:hint="eastAsia" w:ascii="Times New Roman" w:hAnsi="Times New Roman"/>
          <w:lang w:val="en-US" w:eastAsia="zh-CN"/>
        </w:rPr>
        <w:t>如有，按招标文件要求提供。</w:t>
      </w:r>
    </w:p>
    <w:permEnd w:id="77"/>
    <w:p>
      <w:pPr>
        <w:spacing w:line="440" w:lineRule="exact"/>
        <w:rPr>
          <w:rFonts w:hint="default" w:ascii="Times New Roman" w:hAnsi="Times New Roman" w:cs="Times New Roman"/>
        </w:rPr>
      </w:pPr>
      <w:r>
        <w:rPr>
          <w:rFonts w:hint="default" w:ascii="Times New Roman" w:hAnsi="Times New Roman" w:cs="Times New Roman"/>
        </w:rPr>
        <w:br w:type="page"/>
      </w:r>
      <w:bookmarkStart w:id="490" w:name="_Toc152042602"/>
      <w:bookmarkStart w:id="491" w:name="_Toc152045813"/>
      <w:bookmarkStart w:id="492" w:name="_Toc247514305"/>
      <w:bookmarkStart w:id="493" w:name="_Toc247527853"/>
      <w:bookmarkStart w:id="494" w:name="_Toc247530162"/>
      <w:bookmarkStart w:id="495" w:name="_Toc144974881"/>
    </w:p>
    <w:bookmarkEnd w:id="490"/>
    <w:bookmarkEnd w:id="491"/>
    <w:bookmarkEnd w:id="492"/>
    <w:bookmarkEnd w:id="493"/>
    <w:bookmarkEnd w:id="494"/>
    <w:bookmarkEnd w:id="495"/>
    <w:p>
      <w:pPr>
        <w:pStyle w:val="3"/>
        <w:jc w:val="center"/>
        <w:rPr>
          <w:rFonts w:hint="default" w:ascii="Times New Roman" w:hAnsi="Times New Roman" w:cs="Times New Roman"/>
        </w:rPr>
      </w:pPr>
      <w:bookmarkStart w:id="496" w:name="_Toc271821942"/>
      <w:bookmarkStart w:id="497"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496"/>
      <w:bookmarkEnd w:id="497"/>
    </w:p>
    <w:p>
      <w:pPr>
        <w:ind w:firstLine="420" w:firstLineChars="200"/>
        <w:rPr>
          <w:rFonts w:hint="eastAsia" w:ascii="Times New Roman" w:hAnsi="Times New Roman" w:eastAsiaTheme="minorEastAsia"/>
          <w:lang w:eastAsia="zh-CN"/>
        </w:rPr>
      </w:pPr>
      <w:permStart w:id="78"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8"/>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Wingdings 2">
    <w:altName w:val="Wingdings"/>
    <w:panose1 w:val="05020102010507070707"/>
    <w:charset w:val="00"/>
    <w:family w:val="auto"/>
    <w:pitch w:val="default"/>
    <w:sig w:usb0="00000000" w:usb1="00000000" w:usb2="00000000" w:usb3="00000000" w:csb0="80000000" w:csb1="00000000"/>
  </w:font>
  <w:font w:name="_x000B__x000C_">
    <w:altName w:val="Times New Roman"/>
    <w:panose1 w:val="00000000000000000000"/>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11FEC"/>
    <w:multiLevelType w:val="singleLevel"/>
    <w:tmpl w:val="C3511FE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2022d5a-6558-47e8-acba-376c506ba83c"/>
  </w:docVars>
  <w:rsids>
    <w:rsidRoot w:val="00000000"/>
    <w:rsid w:val="000A4B92"/>
    <w:rsid w:val="000C3DA7"/>
    <w:rsid w:val="002609D3"/>
    <w:rsid w:val="002C069E"/>
    <w:rsid w:val="0040224D"/>
    <w:rsid w:val="00733B0B"/>
    <w:rsid w:val="00764376"/>
    <w:rsid w:val="00796B76"/>
    <w:rsid w:val="00850CC0"/>
    <w:rsid w:val="00A850CE"/>
    <w:rsid w:val="00B00F2F"/>
    <w:rsid w:val="00FF308E"/>
    <w:rsid w:val="011E6004"/>
    <w:rsid w:val="0145105E"/>
    <w:rsid w:val="01581C5E"/>
    <w:rsid w:val="018E53BB"/>
    <w:rsid w:val="019846E3"/>
    <w:rsid w:val="01CB0CDF"/>
    <w:rsid w:val="01CD2334"/>
    <w:rsid w:val="01E140D3"/>
    <w:rsid w:val="01F16263"/>
    <w:rsid w:val="02016132"/>
    <w:rsid w:val="021D348F"/>
    <w:rsid w:val="023868B8"/>
    <w:rsid w:val="026E5FAB"/>
    <w:rsid w:val="02983D41"/>
    <w:rsid w:val="029F2BC9"/>
    <w:rsid w:val="02A31129"/>
    <w:rsid w:val="02A46690"/>
    <w:rsid w:val="02AC508C"/>
    <w:rsid w:val="02BE075F"/>
    <w:rsid w:val="02F4317E"/>
    <w:rsid w:val="0324584F"/>
    <w:rsid w:val="032652C7"/>
    <w:rsid w:val="033964DC"/>
    <w:rsid w:val="033B7861"/>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625761"/>
    <w:rsid w:val="0572490A"/>
    <w:rsid w:val="057E3D65"/>
    <w:rsid w:val="058253F2"/>
    <w:rsid w:val="05872EB9"/>
    <w:rsid w:val="05933026"/>
    <w:rsid w:val="05BA17C0"/>
    <w:rsid w:val="05D9116E"/>
    <w:rsid w:val="06007F0A"/>
    <w:rsid w:val="061F0438"/>
    <w:rsid w:val="06225487"/>
    <w:rsid w:val="06292F58"/>
    <w:rsid w:val="063F4D83"/>
    <w:rsid w:val="063F547A"/>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325A2"/>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637BF2"/>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B2614A"/>
    <w:rsid w:val="0BDE31B0"/>
    <w:rsid w:val="0C110CA2"/>
    <w:rsid w:val="0C2E5244"/>
    <w:rsid w:val="0C6C62F9"/>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6543F"/>
    <w:rsid w:val="10446D2F"/>
    <w:rsid w:val="104957CA"/>
    <w:rsid w:val="104D6EF3"/>
    <w:rsid w:val="105C0433"/>
    <w:rsid w:val="1069417C"/>
    <w:rsid w:val="106C1E4B"/>
    <w:rsid w:val="108A23D3"/>
    <w:rsid w:val="1095135B"/>
    <w:rsid w:val="10CC661C"/>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CD729A"/>
    <w:rsid w:val="13D35238"/>
    <w:rsid w:val="13D81B1F"/>
    <w:rsid w:val="13FA23B8"/>
    <w:rsid w:val="14061B66"/>
    <w:rsid w:val="142B5FE2"/>
    <w:rsid w:val="14542872"/>
    <w:rsid w:val="147E2423"/>
    <w:rsid w:val="1487273A"/>
    <w:rsid w:val="148C28CB"/>
    <w:rsid w:val="14944440"/>
    <w:rsid w:val="14A059A0"/>
    <w:rsid w:val="14A1565E"/>
    <w:rsid w:val="14B97B05"/>
    <w:rsid w:val="14CD31B9"/>
    <w:rsid w:val="14DA6BBE"/>
    <w:rsid w:val="14E67563"/>
    <w:rsid w:val="14F926F4"/>
    <w:rsid w:val="15021B62"/>
    <w:rsid w:val="150A21BA"/>
    <w:rsid w:val="151779D1"/>
    <w:rsid w:val="1522437E"/>
    <w:rsid w:val="15283931"/>
    <w:rsid w:val="15382F40"/>
    <w:rsid w:val="158374C1"/>
    <w:rsid w:val="15A62ECC"/>
    <w:rsid w:val="15AD1E63"/>
    <w:rsid w:val="15B14179"/>
    <w:rsid w:val="15C516BD"/>
    <w:rsid w:val="16070E41"/>
    <w:rsid w:val="166266B1"/>
    <w:rsid w:val="16C724D4"/>
    <w:rsid w:val="16D411E7"/>
    <w:rsid w:val="16ED0036"/>
    <w:rsid w:val="170756D4"/>
    <w:rsid w:val="170F4587"/>
    <w:rsid w:val="176115DC"/>
    <w:rsid w:val="176D7525"/>
    <w:rsid w:val="17824660"/>
    <w:rsid w:val="178F2FF8"/>
    <w:rsid w:val="179121FE"/>
    <w:rsid w:val="17915931"/>
    <w:rsid w:val="17B62B1E"/>
    <w:rsid w:val="17C41ABF"/>
    <w:rsid w:val="17E93A69"/>
    <w:rsid w:val="17F760BC"/>
    <w:rsid w:val="18175D56"/>
    <w:rsid w:val="18276B10"/>
    <w:rsid w:val="189B5F22"/>
    <w:rsid w:val="18A70256"/>
    <w:rsid w:val="18A944F8"/>
    <w:rsid w:val="18B73074"/>
    <w:rsid w:val="18DA76F1"/>
    <w:rsid w:val="19034C2D"/>
    <w:rsid w:val="1916127C"/>
    <w:rsid w:val="193D465D"/>
    <w:rsid w:val="193D4E12"/>
    <w:rsid w:val="19683308"/>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1412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A26336"/>
    <w:rsid w:val="20B0411F"/>
    <w:rsid w:val="20D658C9"/>
    <w:rsid w:val="20D95B5B"/>
    <w:rsid w:val="20DC2416"/>
    <w:rsid w:val="20F22231"/>
    <w:rsid w:val="21015C26"/>
    <w:rsid w:val="21121083"/>
    <w:rsid w:val="211518DD"/>
    <w:rsid w:val="212B2F31"/>
    <w:rsid w:val="21327DB2"/>
    <w:rsid w:val="213D6756"/>
    <w:rsid w:val="213D7BD8"/>
    <w:rsid w:val="21425423"/>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2417C1"/>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7307C"/>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21F7E"/>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9A1662"/>
    <w:rsid w:val="28C56178"/>
    <w:rsid w:val="28FA546B"/>
    <w:rsid w:val="28FE025E"/>
    <w:rsid w:val="29245F1A"/>
    <w:rsid w:val="29366359"/>
    <w:rsid w:val="294A70EC"/>
    <w:rsid w:val="29586D7A"/>
    <w:rsid w:val="29772B51"/>
    <w:rsid w:val="29791894"/>
    <w:rsid w:val="2984235F"/>
    <w:rsid w:val="29967FD2"/>
    <w:rsid w:val="29A52D8F"/>
    <w:rsid w:val="29B669AE"/>
    <w:rsid w:val="29C56C3A"/>
    <w:rsid w:val="29C9048F"/>
    <w:rsid w:val="29D85278"/>
    <w:rsid w:val="29E1380C"/>
    <w:rsid w:val="29E85046"/>
    <w:rsid w:val="2A017BFD"/>
    <w:rsid w:val="2A0A71F8"/>
    <w:rsid w:val="2A4913A2"/>
    <w:rsid w:val="2A5306A1"/>
    <w:rsid w:val="2A9154D8"/>
    <w:rsid w:val="2AA04C57"/>
    <w:rsid w:val="2ACA0963"/>
    <w:rsid w:val="2AD750C3"/>
    <w:rsid w:val="2AE77D08"/>
    <w:rsid w:val="2AEA3011"/>
    <w:rsid w:val="2B0E2F50"/>
    <w:rsid w:val="2B1E2A5D"/>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E30AD"/>
    <w:rsid w:val="2E6F6584"/>
    <w:rsid w:val="2E7823B0"/>
    <w:rsid w:val="2E933BCE"/>
    <w:rsid w:val="2E991BE0"/>
    <w:rsid w:val="2E9C6490"/>
    <w:rsid w:val="2EA40069"/>
    <w:rsid w:val="2EAA3B87"/>
    <w:rsid w:val="2EB66E96"/>
    <w:rsid w:val="2EBC23A0"/>
    <w:rsid w:val="2EFA0191"/>
    <w:rsid w:val="2F120B2A"/>
    <w:rsid w:val="2F436846"/>
    <w:rsid w:val="2F4556CE"/>
    <w:rsid w:val="2F6F3C93"/>
    <w:rsid w:val="2F754A27"/>
    <w:rsid w:val="2FB1448A"/>
    <w:rsid w:val="2FC802AE"/>
    <w:rsid w:val="301C41BF"/>
    <w:rsid w:val="302369A0"/>
    <w:rsid w:val="303474C0"/>
    <w:rsid w:val="305C41A9"/>
    <w:rsid w:val="30820205"/>
    <w:rsid w:val="308E41B5"/>
    <w:rsid w:val="30952C59"/>
    <w:rsid w:val="30FF4D69"/>
    <w:rsid w:val="310E47E8"/>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02AEC"/>
    <w:rsid w:val="32BB4ABE"/>
    <w:rsid w:val="32C8549C"/>
    <w:rsid w:val="32CA16D9"/>
    <w:rsid w:val="32E83928"/>
    <w:rsid w:val="32F45590"/>
    <w:rsid w:val="331C19F3"/>
    <w:rsid w:val="33380434"/>
    <w:rsid w:val="33680D19"/>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428A"/>
    <w:rsid w:val="35A377DB"/>
    <w:rsid w:val="35AE5EB4"/>
    <w:rsid w:val="35E7387F"/>
    <w:rsid w:val="35E81F7A"/>
    <w:rsid w:val="35F52BF3"/>
    <w:rsid w:val="36040924"/>
    <w:rsid w:val="360530D8"/>
    <w:rsid w:val="3605698A"/>
    <w:rsid w:val="36162F1C"/>
    <w:rsid w:val="363277D2"/>
    <w:rsid w:val="366244D5"/>
    <w:rsid w:val="36A82C1D"/>
    <w:rsid w:val="36B34449"/>
    <w:rsid w:val="36C342D9"/>
    <w:rsid w:val="36D546CB"/>
    <w:rsid w:val="370F2E93"/>
    <w:rsid w:val="370F32ED"/>
    <w:rsid w:val="374E35E0"/>
    <w:rsid w:val="37560CC6"/>
    <w:rsid w:val="378D0CEB"/>
    <w:rsid w:val="379A026D"/>
    <w:rsid w:val="37A2207E"/>
    <w:rsid w:val="37A2434F"/>
    <w:rsid w:val="37ED6D6E"/>
    <w:rsid w:val="380C3B20"/>
    <w:rsid w:val="381039F4"/>
    <w:rsid w:val="38375891"/>
    <w:rsid w:val="38422CE2"/>
    <w:rsid w:val="38464281"/>
    <w:rsid w:val="384B29B7"/>
    <w:rsid w:val="386E21B0"/>
    <w:rsid w:val="38AE496C"/>
    <w:rsid w:val="38AF2F46"/>
    <w:rsid w:val="38B54D45"/>
    <w:rsid w:val="38D242CD"/>
    <w:rsid w:val="393E0C7A"/>
    <w:rsid w:val="39470BCD"/>
    <w:rsid w:val="39821F75"/>
    <w:rsid w:val="398B5520"/>
    <w:rsid w:val="398C3DB7"/>
    <w:rsid w:val="39AB6275"/>
    <w:rsid w:val="39E17621"/>
    <w:rsid w:val="39F227B1"/>
    <w:rsid w:val="3A151290"/>
    <w:rsid w:val="3A201663"/>
    <w:rsid w:val="3A257964"/>
    <w:rsid w:val="3A292038"/>
    <w:rsid w:val="3A3F1455"/>
    <w:rsid w:val="3A4A1178"/>
    <w:rsid w:val="3A4A33B1"/>
    <w:rsid w:val="3A524E6B"/>
    <w:rsid w:val="3A762A49"/>
    <w:rsid w:val="3A826354"/>
    <w:rsid w:val="3A9D28F5"/>
    <w:rsid w:val="3AB3173C"/>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139D3"/>
    <w:rsid w:val="3EC33032"/>
    <w:rsid w:val="3EC61DB3"/>
    <w:rsid w:val="3EF62661"/>
    <w:rsid w:val="3F3C595E"/>
    <w:rsid w:val="3F436E98"/>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390199"/>
    <w:rsid w:val="415978C8"/>
    <w:rsid w:val="415C1B4D"/>
    <w:rsid w:val="417843F2"/>
    <w:rsid w:val="41865B29"/>
    <w:rsid w:val="418A1799"/>
    <w:rsid w:val="41A61C3F"/>
    <w:rsid w:val="41B17185"/>
    <w:rsid w:val="41F05895"/>
    <w:rsid w:val="420C70DA"/>
    <w:rsid w:val="4226611D"/>
    <w:rsid w:val="425402BB"/>
    <w:rsid w:val="42564ADA"/>
    <w:rsid w:val="42747A95"/>
    <w:rsid w:val="427846CA"/>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6A3F66"/>
    <w:rsid w:val="44831552"/>
    <w:rsid w:val="44A72CB4"/>
    <w:rsid w:val="44DC0CFE"/>
    <w:rsid w:val="44DC4FCA"/>
    <w:rsid w:val="44FD1C6D"/>
    <w:rsid w:val="453F207E"/>
    <w:rsid w:val="454276A8"/>
    <w:rsid w:val="454315E6"/>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82445"/>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8F86243"/>
    <w:rsid w:val="491946D3"/>
    <w:rsid w:val="4924047E"/>
    <w:rsid w:val="49276380"/>
    <w:rsid w:val="4948117F"/>
    <w:rsid w:val="494B0B0D"/>
    <w:rsid w:val="497E20AD"/>
    <w:rsid w:val="49820EB7"/>
    <w:rsid w:val="499416E9"/>
    <w:rsid w:val="49A63EAD"/>
    <w:rsid w:val="49B4166E"/>
    <w:rsid w:val="49BA2C9E"/>
    <w:rsid w:val="49F72310"/>
    <w:rsid w:val="49FD2EE4"/>
    <w:rsid w:val="4A083129"/>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BD5522"/>
    <w:rsid w:val="4BD17814"/>
    <w:rsid w:val="4BDC5109"/>
    <w:rsid w:val="4BE84FA7"/>
    <w:rsid w:val="4BF70C92"/>
    <w:rsid w:val="4BFD0513"/>
    <w:rsid w:val="4C005E77"/>
    <w:rsid w:val="4C1A02C6"/>
    <w:rsid w:val="4C2B76C1"/>
    <w:rsid w:val="4C5419A1"/>
    <w:rsid w:val="4C5429A3"/>
    <w:rsid w:val="4C645A11"/>
    <w:rsid w:val="4C87254B"/>
    <w:rsid w:val="4CDE4416"/>
    <w:rsid w:val="4CE70AA9"/>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75624"/>
    <w:rsid w:val="4F3A5808"/>
    <w:rsid w:val="4F5F3ED1"/>
    <w:rsid w:val="4F804E7C"/>
    <w:rsid w:val="4F85516A"/>
    <w:rsid w:val="4F944D8F"/>
    <w:rsid w:val="4FCA5221"/>
    <w:rsid w:val="4FED0FB9"/>
    <w:rsid w:val="502C7A86"/>
    <w:rsid w:val="507410D2"/>
    <w:rsid w:val="50A4392E"/>
    <w:rsid w:val="50A97681"/>
    <w:rsid w:val="50AE3B94"/>
    <w:rsid w:val="50AF7418"/>
    <w:rsid w:val="50E93575"/>
    <w:rsid w:val="50F04D4E"/>
    <w:rsid w:val="50F57385"/>
    <w:rsid w:val="50F6016F"/>
    <w:rsid w:val="50FB1FB9"/>
    <w:rsid w:val="51132FF4"/>
    <w:rsid w:val="51151213"/>
    <w:rsid w:val="513225F9"/>
    <w:rsid w:val="5138791C"/>
    <w:rsid w:val="513F5114"/>
    <w:rsid w:val="51440384"/>
    <w:rsid w:val="515E6A1B"/>
    <w:rsid w:val="516B705C"/>
    <w:rsid w:val="5177537A"/>
    <w:rsid w:val="517F5754"/>
    <w:rsid w:val="518806E3"/>
    <w:rsid w:val="51A1217B"/>
    <w:rsid w:val="51A47CAD"/>
    <w:rsid w:val="51BC2004"/>
    <w:rsid w:val="51C462A1"/>
    <w:rsid w:val="51CB0C5C"/>
    <w:rsid w:val="51CB74F6"/>
    <w:rsid w:val="51D13948"/>
    <w:rsid w:val="51D50DD6"/>
    <w:rsid w:val="51EB5979"/>
    <w:rsid w:val="521A0101"/>
    <w:rsid w:val="52217969"/>
    <w:rsid w:val="52241967"/>
    <w:rsid w:val="52263E21"/>
    <w:rsid w:val="522D1CB6"/>
    <w:rsid w:val="52444C58"/>
    <w:rsid w:val="525210BA"/>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842283"/>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6EF512A"/>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93EED"/>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251748"/>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425B5D"/>
    <w:rsid w:val="638857E1"/>
    <w:rsid w:val="63963AD9"/>
    <w:rsid w:val="63AB78F4"/>
    <w:rsid w:val="63C642C7"/>
    <w:rsid w:val="63C85688"/>
    <w:rsid w:val="63CD5666"/>
    <w:rsid w:val="63D01EF3"/>
    <w:rsid w:val="63D2038C"/>
    <w:rsid w:val="63E631E1"/>
    <w:rsid w:val="63F66CE6"/>
    <w:rsid w:val="640E7E19"/>
    <w:rsid w:val="643423CE"/>
    <w:rsid w:val="647527CB"/>
    <w:rsid w:val="648A0F84"/>
    <w:rsid w:val="648E4974"/>
    <w:rsid w:val="648F4377"/>
    <w:rsid w:val="649E65A7"/>
    <w:rsid w:val="64B70C4D"/>
    <w:rsid w:val="64D14920"/>
    <w:rsid w:val="64EA382F"/>
    <w:rsid w:val="64ED3306"/>
    <w:rsid w:val="64F01AA4"/>
    <w:rsid w:val="6511603A"/>
    <w:rsid w:val="652763A9"/>
    <w:rsid w:val="653B0F51"/>
    <w:rsid w:val="65434194"/>
    <w:rsid w:val="65477730"/>
    <w:rsid w:val="654912E0"/>
    <w:rsid w:val="656A4332"/>
    <w:rsid w:val="656D7C49"/>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682803"/>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7C542A"/>
    <w:rsid w:val="688C0656"/>
    <w:rsid w:val="68AE1735"/>
    <w:rsid w:val="68B72950"/>
    <w:rsid w:val="68D60630"/>
    <w:rsid w:val="68F00432"/>
    <w:rsid w:val="68F8555D"/>
    <w:rsid w:val="691D712E"/>
    <w:rsid w:val="6949691B"/>
    <w:rsid w:val="696C3A1D"/>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830692"/>
    <w:rsid w:val="6AA70803"/>
    <w:rsid w:val="6ABC3292"/>
    <w:rsid w:val="6AC04F0B"/>
    <w:rsid w:val="6AD34458"/>
    <w:rsid w:val="6ADC4801"/>
    <w:rsid w:val="6ADF25FC"/>
    <w:rsid w:val="6B020CD0"/>
    <w:rsid w:val="6B1148AC"/>
    <w:rsid w:val="6B3E0351"/>
    <w:rsid w:val="6B42449D"/>
    <w:rsid w:val="6B4A5562"/>
    <w:rsid w:val="6B565807"/>
    <w:rsid w:val="6B633598"/>
    <w:rsid w:val="6B7A369F"/>
    <w:rsid w:val="6B851761"/>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8B7F0C"/>
    <w:rsid w:val="6DC237AE"/>
    <w:rsid w:val="6DF91502"/>
    <w:rsid w:val="6E01482E"/>
    <w:rsid w:val="6E0D1941"/>
    <w:rsid w:val="6E18292B"/>
    <w:rsid w:val="6E402C35"/>
    <w:rsid w:val="6E403BCF"/>
    <w:rsid w:val="6E424CF7"/>
    <w:rsid w:val="6E516FAE"/>
    <w:rsid w:val="6E6D5E8E"/>
    <w:rsid w:val="6E895A0C"/>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922E29"/>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A441ED"/>
    <w:rsid w:val="74D94903"/>
    <w:rsid w:val="74DC7834"/>
    <w:rsid w:val="74E271F1"/>
    <w:rsid w:val="75326EC3"/>
    <w:rsid w:val="7551327B"/>
    <w:rsid w:val="755F3E02"/>
    <w:rsid w:val="755F782E"/>
    <w:rsid w:val="75A16A9F"/>
    <w:rsid w:val="75BC6CCF"/>
    <w:rsid w:val="75CD4430"/>
    <w:rsid w:val="75E27D49"/>
    <w:rsid w:val="761867BE"/>
    <w:rsid w:val="76365AD0"/>
    <w:rsid w:val="765D57EA"/>
    <w:rsid w:val="7688585F"/>
    <w:rsid w:val="76F54CF0"/>
    <w:rsid w:val="76FD5906"/>
    <w:rsid w:val="77072866"/>
    <w:rsid w:val="770B684E"/>
    <w:rsid w:val="771479DF"/>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6A2C3D"/>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03710"/>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24495</Words>
  <Characters>26457</Characters>
  <Lines>0</Lines>
  <Paragraphs>0</Paragraphs>
  <TotalTime>1</TotalTime>
  <ScaleCrop>false</ScaleCrop>
  <LinksUpToDate>false</LinksUpToDate>
  <CharactersWithSpaces>28239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2024-01-12T07:57:20Z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8631A537FFE74721B8C3D06F036457EC_13</vt:lpwstr>
  </property>
</Properties>
</file>