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水安凤栖上院34号地块工程项目止水钢板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三、询价保证金（本项目不需要）；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水安凤栖上院34号地块工程项目止水钢板采购项目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14286"/>
      <w:bookmarkStart w:id="2" w:name="_Toc144974862"/>
      <w:bookmarkStart w:id="3" w:name="_Toc152045794"/>
      <w:bookmarkStart w:id="4" w:name="_Toc24752783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水安凤栖上院34号地块工程项目止水钢板采购项目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水安凤栖上院34号地块工程项目止水钢板采购项目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元每米 ，（小写）       元/米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，（以上报价均含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增值税）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，供货期限：自合同签订之日起至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120日历天</w:t>
      </w:r>
      <w:r>
        <w:rPr>
          <w:rFonts w:hint="eastAsia" w:ascii="Times New Roman" w:hAnsi="Times New Roman" w:cs="Times New Roman"/>
          <w:szCs w:val="21"/>
          <w:lang w:val="en-US" w:eastAsia="zh-CN"/>
        </w:rPr>
        <w:t>内完成供货，到期后合同自动终止，质量标准：符合图纸及工程量清单要求，满足国家、地方、行业现行相关规范合格标准。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（三）询价保证金（本项目不需要）；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（四）分项报价表；（五）资格审查资料；（六）其他资料。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pStyle w:val="3"/>
        <w:jc w:val="center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val="en-US" w:eastAsia="zh-CN"/>
        </w:rPr>
        <w:t>(本项目不需要)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1425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615"/>
        <w:gridCol w:w="4524"/>
        <w:gridCol w:w="1492"/>
        <w:gridCol w:w="1150"/>
        <w:gridCol w:w="1613"/>
        <w:gridCol w:w="1613"/>
        <w:gridCol w:w="15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42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水安凤栖上院34号地块工程项目止水钢板采购项目工程量清单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材料规格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止水钢板</w:t>
            </w:r>
          </w:p>
        </w:tc>
        <w:tc>
          <w:tcPr>
            <w:tcW w:w="4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405765</wp:posOffset>
                  </wp:positionH>
                  <wp:positionV relativeFrom="paragraph">
                    <wp:posOffset>34925</wp:posOffset>
                  </wp:positionV>
                  <wp:extent cx="1964055" cy="1791335"/>
                  <wp:effectExtent l="0" t="0" r="1905" b="6985"/>
                  <wp:wrapThrough wrapText="bothSides">
                    <wp:wrapPolygon>
                      <wp:start x="0" y="0"/>
                      <wp:lineTo x="0" y="21500"/>
                      <wp:lineTo x="21453" y="21500"/>
                      <wp:lineTo x="21453" y="0"/>
                      <wp:lineTo x="0" y="0"/>
                    </wp:wrapPolygon>
                  </wp:wrapThrough>
                  <wp:docPr id="2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055" cy="179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13</w:t>
            </w:r>
            <w:bookmarkStart w:id="6" w:name="_GoBack"/>
            <w:bookmarkEnd w:id="6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%</w:t>
            </w:r>
            <w:r>
              <w:rPr>
                <w:rStyle w:val="29"/>
                <w:u w:val="single"/>
                <w:lang w:val="en-US" w:eastAsia="zh-CN" w:bidi="ar"/>
              </w:rPr>
              <w:t>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</w:trPr>
        <w:tc>
          <w:tcPr>
            <w:tcW w:w="1425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备注：1、报价包含原材料、运费、装卸费、税金等所有费用；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2、清单数量为暂定量，据实结算；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3、材料进场提供合格证、检测报告等；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4、材料应符合图纸及工程量清单要求，满足国家、地方、行业现行相关规范合格标准。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0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报价单位：（盖章）</w:t>
            </w: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注：1.提供供应商有效的营业执照复印件或扫描件，并加盖供应商单位公章。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注：提供信用中国证明截图的复印件或扫描件，并加盖供应商单位公章。</w:t>
      </w:r>
      <w:permEnd w:id="2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DE2162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F1B90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E320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2249CE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BA6510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0F784C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51173D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83908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9">
    <w:name w:val="font71"/>
    <w:basedOn w:val="17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2023-12-18T08:34:00Z</cp:lastPrinted>
  <dcterms:modified xsi:type="dcterms:W3CDTF">2024-01-03T03:00:04Z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E2CB090A92CA4F34AC5824E49CC36B1F</vt:lpwstr>
  </property>
</Properties>
</file>