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亳州交控智能零碳光储直柔停车场项目消防（水电）工程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专业分包施工招标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010</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2024 年 1 </w:t>
      </w:r>
      <w:r>
        <w:rPr>
          <w:rFonts w:hint="eastAsia" w:ascii="Times New Roman" w:hAnsi="Times New Roman" w:eastAsia="楷体" w:cs="Times New Roman"/>
          <w:kern w:val="0"/>
          <w:sz w:val="32"/>
          <w:szCs w:val="32"/>
          <w:highlight w:val="none"/>
          <w:u w:val="none"/>
          <w:shd w:val="clear" w:color="auto" w:fill="auto"/>
          <w:lang w:val="en-US" w:eastAsia="zh-CN"/>
        </w:rPr>
        <w:t>月4日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bookmarkStart w:id="0" w:name="_Toc246996909"/>
      <w:bookmarkStart w:id="1" w:name="_Toc296602410"/>
      <w:bookmarkStart w:id="2" w:name="_Toc152045519"/>
      <w:bookmarkStart w:id="3" w:name="_Toc152042295"/>
      <w:bookmarkStart w:id="4" w:name="_Toc246996166"/>
      <w:bookmarkStart w:id="5" w:name="_Toc144974487"/>
      <w:bookmarkStart w:id="6" w:name="_Toc179632536"/>
      <w:bookmarkStart w:id="7" w:name="_Toc247085680"/>
      <w:r>
        <w:rPr>
          <w:rFonts w:hint="eastAsia" w:ascii="Times New Roman" w:hAnsi="Times New Roman" w:eastAsia="黑体" w:cs="Times New Roman"/>
          <w:sz w:val="28"/>
          <w:szCs w:val="28"/>
          <w:highlight w:val="none"/>
          <w:u w:val="none"/>
          <w:lang w:val="en-US" w:eastAsia="zh-CN"/>
        </w:rPr>
        <w:t>亳州交控智能零碳光储直柔停车场项目消防（水电）工程</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专业分包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52045520"/>
      <w:bookmarkStart w:id="10" w:name="_Toc179632537"/>
      <w:bookmarkStart w:id="11" w:name="_Toc144974488"/>
      <w:bookmarkStart w:id="12" w:name="_Toc296602411"/>
      <w:bookmarkStart w:id="13" w:name="_Toc246996910"/>
      <w:bookmarkStart w:id="14" w:name="_Toc247085681"/>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亳州交控智能零碳光储直柔停车场项目消防（水电）工程专业分包</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010</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eastAsia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eastAsiaTheme="minorEastAsia" w:cstheme="minorEastAsia"/>
          <w:sz w:val="28"/>
          <w:szCs w:val="28"/>
          <w:highlight w:val="none"/>
          <w:lang w:val="en-US" w:eastAsia="zh-CN"/>
        </w:rPr>
        <w:t>项目位于建安路西侧，杜仲路北侧，占地面积8470.2平方米（约12.705亩），总建筑面积约2000平方米，施工内容包含零碳综合楼、72个直流充电终端、2座新能源汽车换电站、屋顶光伏、光伏车棚、储能柜、3台2000KVA变压器、新能源汽车停车位以及景观、道路、照明等附属设施。</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交控智能零碳光储直柔停车场项目消防（水电）工程专业分包，施工内容包括但不限于总承包合同及施工图纸范围内所表明的水电（给排水、电气、一级配电柜及电缆、雨污水工程等）及消防工程的预埋、安装以及后期封堵工程及工程量清单、施工用水电费、原材料试验检测、水压试验、避雷检测、设计变更、业主及招标人要求增加、工程联系单等要求的安装工作内容。详见图纸和工程量清单，具体工程量以实际完成合格工程量为准。投标单位投标前请认真看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0" w:edGrp="everyone"/>
      <w:r>
        <w:rPr>
          <w:rFonts w:hint="eastAsia" w:asciiTheme="minorEastAsia" w:hAnsiTheme="minorEastAsia" w:cstheme="minorEastAsia"/>
          <w:sz w:val="28"/>
          <w:szCs w:val="28"/>
          <w:lang w:val="en-US" w:eastAsia="zh-CN"/>
        </w:rPr>
        <w:t>自合同签订之日起</w:t>
      </w:r>
      <w:r>
        <w:rPr>
          <w:rFonts w:hint="eastAsia" w:asciiTheme="minorEastAsia" w:hAnsiTheme="minorEastAsia" w:cstheme="minorEastAsia"/>
          <w:sz w:val="28"/>
          <w:szCs w:val="28"/>
          <w:u w:val="single"/>
          <w:lang w:val="en-US" w:eastAsia="zh-CN"/>
        </w:rPr>
        <w:t xml:space="preserve"> 150 </w:t>
      </w:r>
      <w:r>
        <w:rPr>
          <w:rFonts w:hint="eastAsia" w:asciiTheme="minorEastAsia" w:hAnsiTheme="minorEastAsia" w:cstheme="minorEastAsia"/>
          <w:sz w:val="28"/>
          <w:szCs w:val="28"/>
          <w:lang w:val="en-US" w:eastAsia="zh-CN"/>
        </w:rPr>
        <w:t>日历天</w:t>
      </w:r>
      <w:permEnd w:id="10"/>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w:t>
      </w:r>
      <w:r>
        <w:rPr>
          <w:rFonts w:hint="eastAsia" w:asciiTheme="minorEastAsia" w:hAnsiTheme="minorEastAsia" w:cstheme="minorEastAsia"/>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 xml:space="preserve"> ）</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u w:val="single"/>
          <w:lang w:val="en-US" w:eastAsia="zh-CN"/>
        </w:rPr>
        <w:t xml:space="preserve"> 3000323.28元</w:t>
      </w:r>
      <w:bookmarkStart w:id="574" w:name="_GoBack"/>
      <w:bookmarkEnd w:id="574"/>
      <w:r>
        <w:rPr>
          <w:rFonts w:hint="eastAsia" w:asciiTheme="minorEastAsia" w:hAnsiTheme="minorEastAsia" w:eastAsiaTheme="minorEastAsia" w:cstheme="minorEastAsia"/>
          <w:sz w:val="28"/>
          <w:szCs w:val="28"/>
          <w:highlight w:val="none"/>
          <w:u w:val="single"/>
          <w:lang w:val="en-US" w:eastAsia="zh-CN"/>
        </w:rPr>
        <w:t xml:space="preserve"> </w:t>
      </w:r>
      <w:permEnd w:id="12"/>
      <w:r>
        <w:rPr>
          <w:rFonts w:hint="eastAsia" w:asciiTheme="minorEastAsia" w:hAnsiTheme="minorEastAsia" w:cstheme="minorEastAsia"/>
          <w:sz w:val="28"/>
          <w:szCs w:val="28"/>
          <w:highlight w:val="none"/>
          <w:lang w:val="en-US" w:eastAsia="zh-CN"/>
        </w:rPr>
        <w:t>，报价人按工程量清单报价，报价超出限价的按无效报价处理，投标报价应包括为完成各阶段工作内容以及后期服务所需的全部费用，其他未尽事宜应统一考虑在报价内，投标报价应包括为完成本项目招标范围内各阶段工作内容所需的全部费用，中标后单价不予调整，其他未尽事宜应统一考虑在报价内，最终结算以审核为准。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亳州交控集团工程类供应商库入库单位</w:t>
      </w:r>
      <w:r>
        <w:rPr>
          <w:rFonts w:hint="eastAsia" w:asciiTheme="minorEastAsia" w:hAnsiTheme="minorEastAsia" w:cstheme="minorEastAsia"/>
          <w:sz w:val="28"/>
          <w:szCs w:val="28"/>
          <w:highlight w:val="none"/>
          <w:lang w:val="en-US" w:eastAsia="zh-CN"/>
        </w:rPr>
        <w:t>（消防设施工程专业类别）。</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5" w:edGrp="everyone"/>
      <w:r>
        <w:rPr>
          <w:rFonts w:hint="eastAsia" w:asciiTheme="minorEastAsia" w:hAnsiTheme="minorEastAsia" w:cstheme="minorEastAsia"/>
          <w:sz w:val="28"/>
          <w:szCs w:val="28"/>
          <w:highlight w:val="none"/>
          <w:u w:val="single"/>
          <w:lang w:val="en-US" w:eastAsia="zh-CN"/>
        </w:rPr>
        <w:t>60000元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15"/>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1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7" w:edGrp="everyone"/>
      <w:r>
        <w:rPr>
          <w:rFonts w:hint="eastAsia" w:asciiTheme="minorEastAsia" w:hAnsiTheme="minorEastAsia" w:cstheme="minorEastAsia"/>
          <w:sz w:val="28"/>
          <w:szCs w:val="28"/>
        </w:rPr>
        <w:t>安徽省亳州市谯城区S309收费站</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highlight w:val="none"/>
          <w:lang w:val="en-US" w:eastAsia="zh-CN"/>
        </w:rPr>
        <w:t xml:space="preserve">      </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9" w:edGrp="everyone"/>
      <w:r>
        <w:rPr>
          <w:rFonts w:hint="eastAsia" w:asciiTheme="minorEastAsia" w:hAnsiTheme="minorEastAsia" w:cstheme="minorEastAsia"/>
          <w:sz w:val="28"/>
          <w:szCs w:val="28"/>
          <w:lang w:val="en-US" w:eastAsia="zh-CN"/>
        </w:rPr>
        <w:t>18906343943</w:t>
      </w:r>
      <w:r>
        <w:rPr>
          <w:rFonts w:hint="eastAsia" w:asciiTheme="minorEastAsia" w:hAnsiTheme="minorEastAsia" w:cstheme="minorEastAsia"/>
          <w:sz w:val="28"/>
          <w:szCs w:val="28"/>
          <w:highlight w:val="none"/>
          <w:lang w:val="en-US" w:eastAsia="zh-CN"/>
        </w:rPr>
        <w:t xml:space="preserve"> </w:t>
      </w:r>
    </w:p>
    <w:permEnd w:id="1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cstheme="minorEastAsia"/>
          <w:sz w:val="28"/>
          <w:szCs w:val="28"/>
        </w:rPr>
        <w:t xml:space="preserve"> </w:t>
      </w:r>
      <w:r>
        <w:rPr>
          <w:rFonts w:hint="eastAsia" w:ascii="宋体" w:hAnsi="宋体" w:cs="宋体"/>
          <w:sz w:val="28"/>
          <w:szCs w:val="28"/>
        </w:rPr>
        <w:t>安徽通康建设工程有限公司</w:t>
      </w:r>
    </w:p>
    <w:permEnd w:id="2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1"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1"/>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22" w:edGrp="everyone"/>
            <w:r>
              <w:rPr>
                <w:rFonts w:hint="eastAsia"/>
                <w:lang w:eastAsia="zh-CN"/>
              </w:rPr>
              <w:t>（</w:t>
            </w:r>
            <w:r>
              <w:rPr>
                <w:rFonts w:hint="eastAsia"/>
                <w:lang w:val="en-US" w:eastAsia="zh-CN"/>
              </w:rPr>
              <w:t>1</w:t>
            </w:r>
            <w:r>
              <w:rPr>
                <w:rFonts w:hint="eastAsia"/>
                <w:lang w:eastAsia="zh-CN"/>
              </w:rPr>
              <w:t>）</w:t>
            </w:r>
            <w:r>
              <w:rPr>
                <w:rFonts w:hint="eastAsia"/>
                <w:lang w:val="en-US" w:eastAsia="zh-CN"/>
              </w:rPr>
              <w:t>项目负责人：具备</w:t>
            </w:r>
            <w:r>
              <w:rPr>
                <w:rFonts w:hint="eastAsia"/>
                <w:u w:val="single"/>
                <w:lang w:val="en-US" w:eastAsia="zh-CN"/>
              </w:rPr>
              <w:t>机电工程专业</w:t>
            </w:r>
            <w:r>
              <w:rPr>
                <w:rFonts w:hint="eastAsia"/>
                <w:lang w:val="en-US" w:eastAsia="zh-CN"/>
              </w:rPr>
              <w:t>二级及以上建造师</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lang w:val="en-US" w:eastAsia="zh-CN"/>
              </w:rPr>
              <w:t>临时水电工</w:t>
            </w:r>
            <w:r>
              <w:rPr>
                <w:rFonts w:hint="eastAsia" w:ascii="宋体" w:hAnsi="宋体"/>
                <w:szCs w:val="21"/>
              </w:rPr>
              <w:t>：</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宋体" w:hAnsi="宋体"/>
                <w:szCs w:val="21"/>
              </w:rPr>
              <w:t>人。</w:t>
            </w:r>
          </w:p>
          <w:p>
            <w:pPr>
              <w:spacing w:line="440" w:lineRule="exact"/>
              <w:ind w:firstLine="420" w:firstLineChars="200"/>
              <w:rPr>
                <w:rFonts w:hint="eastAsia" w:ascii="宋体" w:hAnsi="宋体"/>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应附建造师注册证(或建造师临时执业证）、职称证（如有）、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ermEnd w:id="2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r>
              <w:rPr>
                <w:rFonts w:hint="eastAsia" w:hAnsi="宋体"/>
                <w:snapToGrid w:val="0"/>
                <w:spacing w:val="-4"/>
                <w:kern w:val="0"/>
                <w:sz w:val="24"/>
                <w:u w:val="single"/>
                <w:lang w:val="en-US" w:eastAsia="zh-CN"/>
              </w:rPr>
              <w:t>2023</w:t>
            </w:r>
            <w:r>
              <w:rPr>
                <w:rFonts w:hint="eastAsia" w:ascii="宋体" w:hAnsi="宋体" w:cs="MingLiU"/>
                <w:kern w:val="0"/>
                <w:szCs w:val="21"/>
              </w:rPr>
              <w:t>年</w:t>
            </w:r>
            <w:permStart w:id="23"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1</w:t>
            </w:r>
            <w:r>
              <w:rPr>
                <w:rFonts w:hint="eastAsia" w:ascii="宋体" w:hAnsi="宋体" w:cs="MingLiU"/>
                <w:kern w:val="0"/>
                <w:szCs w:val="21"/>
                <w:u w:val="single"/>
              </w:rPr>
              <w:t xml:space="preserve"> </w:t>
            </w:r>
            <w:permEnd w:id="23"/>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7" w:edGrp="everyone"/>
            <w:r>
              <w:rPr>
                <w:rFonts w:hint="eastAsia" w:ascii="Times New Roman" w:hAnsi="Times New Roman" w:cs="Times New Roman"/>
                <w:color w:val="auto"/>
                <w:szCs w:val="21"/>
                <w:highlight w:val="none"/>
                <w:u w:val="single"/>
                <w:lang w:val="en-US" w:eastAsia="zh-CN"/>
              </w:rPr>
              <w:t xml:space="preserve"> 60000元  </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8" w:edGrp="everyone"/>
            <w:r>
              <w:rPr>
                <w:rFonts w:hint="eastAsia" w:ascii="Times New Roman" w:hAnsi="Times New Roman" w:cs="Times New Roman"/>
                <w:color w:val="FF0000"/>
                <w:szCs w:val="21"/>
                <w:highlight w:val="none"/>
                <w:lang w:val="en-US" w:eastAsia="zh-CN"/>
              </w:rPr>
              <w:t>BZJKGYS-2023-010号保证金</w:t>
            </w:r>
            <w:permEnd w:id="2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9" w:edGrp="everyone"/>
            <w:permEnd w:id="29"/>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0"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亳州交控智能零碳光储直柔停车场项目消防（水电）工程专业分包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w:t>
            </w:r>
            <w:r>
              <w:rPr>
                <w:rFonts w:hint="eastAsia" w:ascii="Times New Roman" w:hAnsi="Times New Roman" w:cs="Times New Roman"/>
                <w:color w:val="FF0000"/>
                <w:szCs w:val="21"/>
                <w:lang w:val="en-US" w:eastAsia="zh-CN"/>
              </w:rPr>
              <w:t>GYS</w:t>
            </w:r>
            <w:r>
              <w:rPr>
                <w:rFonts w:hint="eastAsia" w:ascii="Times New Roman" w:hAnsi="Times New Roman" w:cs="Times New Roman"/>
                <w:color w:val="FF0000"/>
                <w:szCs w:val="21"/>
              </w:rPr>
              <w:t>-2023-</w:t>
            </w:r>
            <w:r>
              <w:rPr>
                <w:rFonts w:hint="eastAsia" w:ascii="Times New Roman" w:hAnsi="Times New Roman" w:cs="Times New Roman"/>
                <w:color w:val="FF0000"/>
                <w:szCs w:val="21"/>
                <w:u w:val="single"/>
                <w:lang w:val="en-US" w:eastAsia="zh-CN"/>
              </w:rPr>
              <w:t>010</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2024</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w:t>
            </w:r>
            <w:r>
              <w:rPr>
                <w:rFonts w:hint="eastAsia" w:ascii="Times New Roman" w:hAnsi="Times New Roman" w:cs="Times New Roman"/>
                <w:color w:val="FF0000"/>
                <w:szCs w:val="21"/>
                <w:highlight w:val="none"/>
                <w:lang w:val="en-US" w:eastAsia="zh-CN"/>
              </w:rPr>
              <w:t>启</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3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3" w:edGrp="everyone"/>
            <w:r>
              <w:rPr>
                <w:rFonts w:hint="eastAsia" w:ascii="Times New Roman" w:hAnsi="Times New Roman" w:cs="Times New Roman"/>
                <w:b/>
                <w:bCs/>
                <w:color w:val="FF0000"/>
                <w:szCs w:val="21"/>
                <w:highlight w:val="none"/>
                <w:lang w:val="en-US" w:eastAsia="zh-CN"/>
              </w:rPr>
              <w:t>中标价款的10%</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0"/>
      <w:bookmarkStart w:id="17" w:name="_Toc179632546"/>
      <w:bookmarkStart w:id="18" w:name="_Toc246996175"/>
      <w:bookmarkStart w:id="19" w:name="_Toc152045529"/>
      <w:bookmarkStart w:id="20" w:name="_Toc152042305"/>
      <w:bookmarkStart w:id="21" w:name="_Toc246996918"/>
      <w:bookmarkStart w:id="22" w:name="_Toc247085689"/>
      <w:bookmarkStart w:id="23" w:name="_Toc144974497"/>
      <w:r>
        <w:rPr>
          <w:rFonts w:hint="eastAsia"/>
        </w:rPr>
        <w:t>1. 总则</w:t>
      </w:r>
      <w:bookmarkEnd w:id="16"/>
      <w:bookmarkEnd w:id="17"/>
      <w:bookmarkEnd w:id="18"/>
      <w:bookmarkEnd w:id="19"/>
      <w:bookmarkEnd w:id="20"/>
      <w:bookmarkEnd w:id="21"/>
      <w:bookmarkEnd w:id="22"/>
      <w:bookmarkEnd w:id="23"/>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246996176"/>
      <w:bookmarkStart w:id="26" w:name="_Toc152045530"/>
      <w:bookmarkStart w:id="27" w:name="_Toc152042306"/>
      <w:bookmarkStart w:id="28" w:name="_Toc179632547"/>
      <w:bookmarkStart w:id="29" w:name="_Toc144974498"/>
      <w:bookmarkStart w:id="30" w:name="_Toc247085690"/>
      <w:bookmarkStart w:id="31" w:name="_Toc246996919"/>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46996920"/>
      <w:bookmarkStart w:id="34" w:name="_Toc152045531"/>
      <w:bookmarkStart w:id="35" w:name="_Toc144974499"/>
      <w:bookmarkStart w:id="36" w:name="_Toc152042307"/>
      <w:bookmarkStart w:id="37" w:name="_Toc246996177"/>
      <w:bookmarkStart w:id="38" w:name="_Toc296602422"/>
      <w:bookmarkStart w:id="39" w:name="_Toc24708569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247085692"/>
      <w:bookmarkStart w:id="42" w:name="_Toc296602423"/>
      <w:bookmarkStart w:id="43" w:name="_Toc144974500"/>
      <w:bookmarkStart w:id="44" w:name="_Toc246996921"/>
      <w:bookmarkStart w:id="45" w:name="_Toc152045532"/>
      <w:bookmarkStart w:id="46" w:name="_Toc152042308"/>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0"/>
      <w:bookmarkStart w:id="49" w:name="_Toc144974502"/>
      <w:bookmarkStart w:id="50" w:name="_Toc246996922"/>
      <w:bookmarkStart w:id="51" w:name="_Toc152045534"/>
      <w:bookmarkStart w:id="52" w:name="_Toc179632551"/>
      <w:bookmarkStart w:id="53" w:name="_Toc246996179"/>
      <w:bookmarkStart w:id="54" w:name="_Toc247085693"/>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5"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5"/>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6996180"/>
      <w:bookmarkStart w:id="58" w:name="_Toc247085694"/>
      <w:bookmarkStart w:id="59" w:name="_Toc152042311"/>
      <w:bookmarkStart w:id="60" w:name="_Toc296602425"/>
      <w:bookmarkStart w:id="61" w:name="_Toc152045535"/>
      <w:bookmarkStart w:id="62" w:name="_Toc144974503"/>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179632553"/>
      <w:bookmarkStart w:id="66" w:name="_Toc246996924"/>
      <w:bookmarkStart w:id="67" w:name="_Toc144974504"/>
      <w:bookmarkStart w:id="68" w:name="_Toc247085695"/>
      <w:bookmarkStart w:id="69" w:name="_Toc246996181"/>
      <w:bookmarkStart w:id="70" w:name="_Toc296602426"/>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246996925"/>
      <w:bookmarkStart w:id="75" w:name="_Toc246996182"/>
      <w:bookmarkStart w:id="76" w:name="_Toc247085696"/>
      <w:bookmarkStart w:id="77" w:name="_Toc296602427"/>
      <w:bookmarkStart w:id="78" w:name="_Toc179632554"/>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2314"/>
      <w:bookmarkStart w:id="82" w:name="_Toc144974506"/>
      <w:bookmarkStart w:id="83" w:name="_Toc179632555"/>
      <w:bookmarkStart w:id="84" w:name="_Toc246996926"/>
      <w:bookmarkStart w:id="85" w:name="_Toc246996183"/>
      <w:bookmarkStart w:id="86" w:name="_Toc152045538"/>
      <w:r>
        <w:rPr>
          <w:rFonts w:hint="eastAsia"/>
        </w:rPr>
        <w:t>招标投标文件使用的语言文字为中文。专用术语使用外文的，应附有中文注释。</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152045539"/>
      <w:bookmarkStart w:id="90" w:name="_Toc144974507"/>
      <w:bookmarkStart w:id="91" w:name="_Toc247592876"/>
      <w:bookmarkStart w:id="92" w:name="_Toc152042315"/>
      <w:bookmarkStart w:id="93" w:name="_Toc247513962"/>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152045540"/>
      <w:bookmarkStart w:id="97" w:name="_Toc247592877"/>
      <w:bookmarkStart w:id="98" w:name="_Toc247527564"/>
      <w:bookmarkStart w:id="99" w:name="_Toc152042316"/>
      <w:bookmarkStart w:id="100" w:name="_Toc144974508"/>
      <w:bookmarkStart w:id="101" w:name="_Toc247513963"/>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179632560"/>
      <w:bookmarkStart w:id="105" w:name="_Toc246996930"/>
      <w:bookmarkStart w:id="106" w:name="_Toc296602432"/>
      <w:bookmarkStart w:id="107" w:name="_Toc144974510"/>
      <w:bookmarkStart w:id="108" w:name="_Toc246996187"/>
      <w:bookmarkStart w:id="109" w:name="_Toc152045542"/>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296602433"/>
      <w:bookmarkStart w:id="113" w:name="_Toc246996931"/>
      <w:bookmarkStart w:id="114" w:name="_Toc247085702"/>
      <w:bookmarkStart w:id="115" w:name="_Toc144974511"/>
      <w:bookmarkStart w:id="116" w:name="_Toc179632561"/>
      <w:bookmarkStart w:id="117" w:name="_Toc246996188"/>
      <w:bookmarkStart w:id="118" w:name="_Toc15204554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247085703"/>
      <w:bookmarkStart w:id="121" w:name="_Toc179632562"/>
      <w:bookmarkStart w:id="122" w:name="_Toc152042320"/>
      <w:bookmarkStart w:id="123" w:name="_Toc246996932"/>
      <w:bookmarkStart w:id="124" w:name="_Toc152045544"/>
      <w:bookmarkStart w:id="125" w:name="_Toc296602434"/>
      <w:bookmarkStart w:id="126" w:name="_Toc14497451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246996190"/>
      <w:bookmarkStart w:id="129" w:name="_Toc247085704"/>
      <w:bookmarkStart w:id="130" w:name="_Toc152042321"/>
      <w:bookmarkStart w:id="131" w:name="_Toc179632563"/>
      <w:bookmarkStart w:id="132" w:name="_Toc144974513"/>
      <w:bookmarkStart w:id="133" w:name="_Toc152045545"/>
      <w:bookmarkStart w:id="134" w:name="_Toc29660243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246996934"/>
      <w:bookmarkStart w:id="137" w:name="_Toc179632564"/>
      <w:bookmarkStart w:id="138" w:name="_Toc246996191"/>
      <w:bookmarkStart w:id="139" w:name="_Toc296602436"/>
      <w:bookmarkStart w:id="140" w:name="_Toc144974514"/>
      <w:bookmarkStart w:id="141" w:name="_Toc152042322"/>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44974515"/>
      <w:bookmarkStart w:id="145" w:name="_Toc152042323"/>
      <w:bookmarkStart w:id="146" w:name="_Toc247085706"/>
      <w:bookmarkStart w:id="147" w:name="_Toc296602437"/>
      <w:bookmarkStart w:id="148" w:name="_Toc246996935"/>
      <w:bookmarkStart w:id="149" w:name="_Toc179632565"/>
      <w:bookmarkStart w:id="150" w:name="_Toc15204554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w:t>
      </w:r>
      <w:r>
        <w:rPr>
          <w:rFonts w:hint="eastAsia"/>
          <w:lang w:val="en-US" w:eastAsia="zh-CN"/>
        </w:rPr>
        <w:t>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246996936"/>
      <w:bookmarkStart w:id="153" w:name="_Toc144974516"/>
      <w:bookmarkStart w:id="154" w:name="_Toc179632566"/>
      <w:bookmarkStart w:id="155" w:name="_Toc152042324"/>
      <w:bookmarkStart w:id="156" w:name="_Toc247085707"/>
      <w:bookmarkStart w:id="157" w:name="_Toc152045548"/>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52042325"/>
      <w:bookmarkStart w:id="161" w:name="_Toc152045549"/>
      <w:bookmarkStart w:id="162"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194"/>
      <w:bookmarkStart w:id="165" w:name="_Toc296602439"/>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246996938"/>
      <w:bookmarkStart w:id="169" w:name="_Toc152045550"/>
      <w:bookmarkStart w:id="170" w:name="_Toc179632568"/>
      <w:bookmarkStart w:id="171" w:name="_Toc296602440"/>
      <w:bookmarkStart w:id="172" w:name="_Toc152042326"/>
      <w:bookmarkStart w:id="173" w:name="_Toc246996195"/>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52045552"/>
      <w:bookmarkStart w:id="177" w:name="_Toc152042328"/>
      <w:bookmarkStart w:id="178" w:name="_Toc246996939"/>
      <w:bookmarkStart w:id="179" w:name="_Toc247085710"/>
      <w:bookmarkStart w:id="180" w:name="_Toc144974520"/>
      <w:bookmarkStart w:id="181" w:name="_Toc246996196"/>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2329"/>
      <w:bookmarkStart w:id="185" w:name="_Toc246996197"/>
      <w:bookmarkStart w:id="186" w:name="_Toc179632571"/>
      <w:bookmarkStart w:id="187" w:name="_Toc246996940"/>
      <w:bookmarkStart w:id="188" w:name="_Toc247085711"/>
      <w:bookmarkStart w:id="189" w:name="_Toc152045553"/>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7085713"/>
      <w:bookmarkStart w:id="192" w:name="_Toc246996199"/>
      <w:bookmarkStart w:id="193" w:name="_Toc152042331"/>
      <w:bookmarkStart w:id="194" w:name="_Toc152045555"/>
      <w:bookmarkStart w:id="195" w:name="_Toc144974523"/>
      <w:bookmarkStart w:id="196" w:name="_Toc179632573"/>
      <w:bookmarkStart w:id="197" w:name="_Toc246996942"/>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52045556"/>
      <w:bookmarkStart w:id="201" w:name="_Toc296602444"/>
      <w:bookmarkStart w:id="202" w:name="_Toc247085714"/>
      <w:bookmarkStart w:id="203" w:name="_Toc144974524"/>
      <w:bookmarkStart w:id="204" w:name="_Toc179632574"/>
      <w:bookmarkStart w:id="205" w:name="_Toc246996943"/>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2333"/>
      <w:bookmarkStart w:id="208" w:name="_Toc246996201"/>
      <w:bookmarkStart w:id="209" w:name="_Toc152045557"/>
      <w:bookmarkStart w:id="210" w:name="_Toc247085715"/>
      <w:bookmarkStart w:id="211" w:name="_Toc246996944"/>
      <w:bookmarkStart w:id="212" w:name="_Toc144974525"/>
      <w:bookmarkStart w:id="213" w:name="_Toc17963257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246996945"/>
      <w:bookmarkStart w:id="217" w:name="_Toc296602446"/>
      <w:bookmarkStart w:id="218" w:name="_Toc144974526"/>
      <w:bookmarkStart w:id="219" w:name="_Toc246996202"/>
      <w:bookmarkStart w:id="220" w:name="_Toc152042334"/>
      <w:bookmarkStart w:id="221" w:name="_Toc179632576"/>
      <w:bookmarkStart w:id="222" w:name="_Toc24708571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152045559"/>
      <w:bookmarkStart w:id="225" w:name="_Toc179632577"/>
      <w:bookmarkStart w:id="226" w:name="_Toc246996946"/>
      <w:bookmarkStart w:id="227" w:name="_Toc152042335"/>
      <w:bookmarkStart w:id="228" w:name="_Toc247085717"/>
      <w:bookmarkStart w:id="229" w:name="_Toc296602447"/>
      <w:bookmarkStart w:id="230" w:name="_Toc144974527"/>
      <w:r>
        <w:rPr>
          <w:rFonts w:hint="eastAsia"/>
        </w:rPr>
        <w:t>5. 开标</w:t>
      </w:r>
      <w:bookmarkEnd w:id="223"/>
      <w:bookmarkEnd w:id="224"/>
      <w:bookmarkEnd w:id="225"/>
      <w:bookmarkEnd w:id="226"/>
      <w:bookmarkEnd w:id="227"/>
      <w:bookmarkEnd w:id="228"/>
      <w:bookmarkEnd w:id="229"/>
      <w:bookmarkEnd w:id="23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179632578"/>
      <w:bookmarkStart w:id="233" w:name="_Toc247085718"/>
      <w:bookmarkStart w:id="234" w:name="_Toc144974528"/>
      <w:bookmarkStart w:id="235" w:name="_Toc296602448"/>
      <w:bookmarkStart w:id="236" w:name="_Toc246996204"/>
      <w:bookmarkStart w:id="237" w:name="_Toc246996947"/>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144974529"/>
      <w:bookmarkStart w:id="241" w:name="_Toc246996948"/>
      <w:bookmarkStart w:id="242" w:name="_Toc152042337"/>
      <w:bookmarkStart w:id="243" w:name="_Toc296602449"/>
      <w:bookmarkStart w:id="244" w:name="_Toc152045561"/>
      <w:bookmarkStart w:id="245" w:name="_Toc247085719"/>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7085720"/>
      <w:bookmarkStart w:id="249" w:name="_Toc144974530"/>
      <w:bookmarkStart w:id="250" w:name="_Toc296602451"/>
      <w:bookmarkStart w:id="251" w:name="_Toc179632580"/>
      <w:bookmarkStart w:id="252" w:name="_Toc246996949"/>
      <w:bookmarkStart w:id="253" w:name="_Toc152042338"/>
      <w:bookmarkStart w:id="254" w:name="_Toc246996206"/>
      <w:bookmarkStart w:id="255" w:name="_Toc152045562"/>
      <w:r>
        <w:rPr>
          <w:rFonts w:hint="eastAsia"/>
        </w:rPr>
        <w:t>6. 评标</w:t>
      </w:r>
      <w:bookmarkEnd w:id="248"/>
      <w:bookmarkEnd w:id="249"/>
      <w:bookmarkEnd w:id="250"/>
      <w:bookmarkEnd w:id="251"/>
      <w:bookmarkEnd w:id="252"/>
      <w:bookmarkEnd w:id="253"/>
      <w:bookmarkEnd w:id="254"/>
      <w:bookmarkEnd w:id="2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52045563"/>
      <w:bookmarkStart w:id="258" w:name="_Toc246996950"/>
      <w:bookmarkStart w:id="259" w:name="_Toc296602452"/>
      <w:bookmarkStart w:id="260" w:name="_Toc179632581"/>
      <w:bookmarkStart w:id="261" w:name="_Toc247085721"/>
      <w:bookmarkStart w:id="262" w:name="_Toc152042339"/>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296602453"/>
      <w:bookmarkStart w:id="266" w:name="_Toc246996208"/>
      <w:bookmarkStart w:id="267" w:name="_Toc246996951"/>
      <w:bookmarkStart w:id="268" w:name="_Toc144974532"/>
      <w:bookmarkStart w:id="269" w:name="_Toc179632582"/>
      <w:bookmarkStart w:id="270" w:name="_Toc152042340"/>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79632583"/>
      <w:bookmarkStart w:id="273" w:name="_Toc246996209"/>
      <w:bookmarkStart w:id="274" w:name="_Toc296602454"/>
      <w:bookmarkStart w:id="275" w:name="_Toc144974533"/>
      <w:bookmarkStart w:id="276" w:name="_Toc246996952"/>
      <w:bookmarkStart w:id="277" w:name="_Toc152042341"/>
      <w:bookmarkStart w:id="278" w:name="_Toc247085723"/>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246996210"/>
      <w:bookmarkStart w:id="282" w:name="_Toc179632584"/>
      <w:bookmarkStart w:id="283" w:name="_Toc296602455"/>
      <w:bookmarkStart w:id="284" w:name="_Toc246996953"/>
      <w:bookmarkStart w:id="285" w:name="_Toc247085724"/>
      <w:bookmarkStart w:id="286" w:name="_Toc144974534"/>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246996211"/>
      <w:bookmarkStart w:id="290" w:name="_Toc144974535"/>
      <w:bookmarkStart w:id="291" w:name="_Toc152042343"/>
      <w:bookmarkStart w:id="292" w:name="_Toc246996954"/>
      <w:bookmarkStart w:id="293" w:name="_Toc152045567"/>
      <w:bookmarkStart w:id="294" w:name="_Toc296602456"/>
      <w:bookmarkStart w:id="295" w:name="_Toc17963258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79632586"/>
      <w:bookmarkStart w:id="298" w:name="_Toc246996212"/>
      <w:bookmarkStart w:id="299" w:name="_Toc246996955"/>
      <w:bookmarkStart w:id="300" w:name="_Toc296602458"/>
      <w:bookmarkStart w:id="301" w:name="_Toc144974536"/>
      <w:bookmarkStart w:id="302" w:name="_Toc152042344"/>
      <w:bookmarkStart w:id="303" w:name="_Toc152045568"/>
      <w:bookmarkStart w:id="304" w:name="_Toc24708572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79632587"/>
      <w:bookmarkStart w:id="306" w:name="_Toc247085727"/>
      <w:bookmarkStart w:id="307" w:name="_Toc296602459"/>
      <w:bookmarkStart w:id="308" w:name="_Toc152045569"/>
      <w:bookmarkStart w:id="309" w:name="_Toc246996213"/>
      <w:bookmarkStart w:id="310" w:name="_Toc144974537"/>
      <w:bookmarkStart w:id="311" w:name="_Toc152042345"/>
      <w:bookmarkStart w:id="312" w:name="_Toc246996956"/>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44974538"/>
      <w:bookmarkStart w:id="314" w:name="_Toc152045570"/>
      <w:bookmarkStart w:id="315" w:name="_Toc246996214"/>
      <w:bookmarkStart w:id="316" w:name="_Toc246996957"/>
      <w:bookmarkStart w:id="317" w:name="_Toc179632588"/>
      <w:bookmarkStart w:id="318" w:name="_Toc247085728"/>
      <w:bookmarkStart w:id="319" w:name="_Toc296602460"/>
      <w:bookmarkStart w:id="320" w:name="_Toc152042346"/>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6996962"/>
      <w:bookmarkStart w:id="323" w:name="_Toc247085733"/>
      <w:bookmarkStart w:id="324" w:name="_Toc179632593"/>
      <w:bookmarkStart w:id="325" w:name="_Toc152045575"/>
      <w:bookmarkStart w:id="326" w:name="_Toc246996219"/>
      <w:bookmarkStart w:id="327" w:name="_Toc296602462"/>
      <w:bookmarkStart w:id="328" w:name="_Toc144974543"/>
      <w:bookmarkStart w:id="329" w:name="_Toc152042351"/>
      <w:bookmarkStart w:id="330" w:name="_Toc29659098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6"/>
        <w:bidi w:val="0"/>
        <w:rPr>
          <w:rFonts w:hint="eastAsia"/>
        </w:rPr>
      </w:pPr>
      <w:bookmarkStart w:id="331" w:name="_Toc144974544"/>
      <w:bookmarkStart w:id="332" w:name="_Toc179632594"/>
      <w:bookmarkStart w:id="333" w:name="_Toc152042352"/>
      <w:bookmarkStart w:id="334" w:name="_Toc246996963"/>
      <w:bookmarkStart w:id="335" w:name="_Toc247085734"/>
      <w:bookmarkStart w:id="336" w:name="_Toc296602463"/>
      <w:bookmarkStart w:id="337" w:name="_Toc246996220"/>
      <w:bookmarkStart w:id="338" w:name="_Toc152045576"/>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3"/>
      <w:bookmarkStart w:id="340" w:name="_Toc296602464"/>
      <w:bookmarkStart w:id="341" w:name="_Toc246996964"/>
      <w:bookmarkStart w:id="342" w:name="_Toc246996221"/>
      <w:bookmarkStart w:id="343" w:name="_Toc144974545"/>
      <w:bookmarkStart w:id="344" w:name="_Toc152045577"/>
      <w:bookmarkStart w:id="345" w:name="_Toc179632595"/>
      <w:bookmarkStart w:id="346" w:name="_Toc24708573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152045578"/>
      <w:bookmarkStart w:id="349" w:name="_Toc179632596"/>
      <w:bookmarkStart w:id="350" w:name="_Toc152042354"/>
      <w:bookmarkStart w:id="351" w:name="_Toc246996965"/>
      <w:bookmarkStart w:id="352" w:name="_Toc246996222"/>
      <w:bookmarkStart w:id="353" w:name="_Toc24708573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966"/>
      <w:bookmarkStart w:id="357" w:name="_Toc179632597"/>
      <w:bookmarkStart w:id="358" w:name="_Toc152042356"/>
      <w:bookmarkStart w:id="359" w:name="_Toc296602466"/>
      <w:bookmarkStart w:id="360" w:name="_Toc247085737"/>
      <w:bookmarkStart w:id="361" w:name="_Toc246996223"/>
      <w:bookmarkStart w:id="362" w:name="_Toc152045579"/>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247085738"/>
      <w:bookmarkStart w:id="365" w:name="_Toc296602467"/>
      <w:bookmarkStart w:id="366" w:name="_Toc246996967"/>
      <w:bookmarkStart w:id="367" w:name="_Toc246996224"/>
      <w:bookmarkStart w:id="368" w:name="_Toc179632598"/>
      <w:bookmarkStart w:id="369" w:name="_Toc152042357"/>
      <w:bookmarkStart w:id="370" w:name="_Toc14497454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6"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3"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152042366"/>
            <w:bookmarkStart w:id="373" w:name="_Toc246996975"/>
            <w:bookmarkStart w:id="374" w:name="_Toc152045589"/>
            <w:bookmarkStart w:id="375" w:name="_Toc296602477"/>
            <w:bookmarkStart w:id="376" w:name="_Toc247085747"/>
            <w:bookmarkStart w:id="377" w:name="_Toc144974556"/>
            <w:bookmarkStart w:id="378" w:name="_Toc246996232"/>
            <w:bookmarkStart w:id="379"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2"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施工方案：</w:t>
            </w:r>
            <w:r>
              <w:rPr>
                <w:rFonts w:hint="eastAsia" w:ascii="Times New Roman" w:hAnsi="Times New Roman" w:cs="Times New Roman"/>
                <w:kern w:val="0"/>
                <w:sz w:val="24"/>
                <w:u w:val="single"/>
                <w:lang w:val="en-US" w:eastAsia="zh-CN"/>
              </w:rPr>
              <w:t>2</w:t>
            </w:r>
            <w:r>
              <w:rPr>
                <w:rFonts w:hint="eastAsia" w:ascii="Times New Roman" w:hAnsi="Times New Roman" w:cs="Times New Roman"/>
                <w:kern w:val="0"/>
                <w:sz w:val="24"/>
                <w:u w:val="single"/>
              </w:rPr>
              <w:t>0</w:t>
            </w:r>
            <w:r>
              <w:rPr>
                <w:rFonts w:hint="eastAsia"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企业荣誉：</w:t>
            </w:r>
            <w:r>
              <w:rPr>
                <w:rFonts w:hint="eastAsia" w:ascii="Times New Roman" w:hAnsi="Times New Roman" w:cs="Times New Roman"/>
                <w:kern w:val="0"/>
                <w:sz w:val="24"/>
                <w:u w:val="single"/>
                <w:lang w:val="en-US" w:eastAsia="zh-CN"/>
              </w:rPr>
              <w:t>2</w:t>
            </w:r>
            <w:r>
              <w:rPr>
                <w:rFonts w:hint="eastAsia" w:ascii="Times New Roman" w:hAnsi="Times New Roman" w:cs="Times New Roman"/>
                <w:kern w:val="0"/>
                <w:sz w:val="24"/>
                <w:u w:val="single"/>
              </w:rPr>
              <w:t>0</w:t>
            </w:r>
            <w:r>
              <w:rPr>
                <w:rFonts w:hint="eastAsia" w:ascii="Times New Roman" w:hAnsi="Times New Roman" w:cs="Times New Roman"/>
                <w:kern w:val="0"/>
                <w:sz w:val="24"/>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kern w:val="0"/>
                <w:sz w:val="24"/>
              </w:rPr>
              <w:t>投标报价：</w:t>
            </w:r>
            <w:r>
              <w:rPr>
                <w:rFonts w:hint="eastAsia" w:ascii="Times New Roman" w:hAnsi="Times New Roman" w:cs="Times New Roman"/>
                <w:kern w:val="0"/>
                <w:sz w:val="24"/>
                <w:u w:val="single"/>
                <w:lang w:val="en-US" w:eastAsia="zh-CN"/>
              </w:rPr>
              <w:t>6</w:t>
            </w:r>
            <w:r>
              <w:rPr>
                <w:rFonts w:hint="eastAsia" w:ascii="Times New Roman" w:hAnsi="Times New Roman" w:cs="Times New Roman"/>
                <w:kern w:val="0"/>
                <w:sz w:val="24"/>
                <w:u w:val="single"/>
              </w:rPr>
              <w:t>0分</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3"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kern w:val="0"/>
                <w:sz w:val="24"/>
              </w:rPr>
              <w:t>取所有有效投标报价的算术平均值作为评标基准价。</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54"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5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wordWrap w:val="0"/>
              <w:spacing w:line="440" w:lineRule="exact"/>
              <w:jc w:val="center"/>
              <w:rPr>
                <w:rFonts w:ascii="Times New Roman" w:hAnsi="Times New Roman" w:cs="Times New Roman"/>
                <w:kern w:val="0"/>
                <w:sz w:val="24"/>
              </w:rPr>
            </w:pPr>
            <w:permStart w:id="55" w:edGrp="everyone" w:colFirst="1" w:colLast="1"/>
            <w:permStart w:id="56" w:edGrp="everyone" w:colFirst="2" w:colLast="2"/>
            <w:permStart w:id="57" w:edGrp="everyone" w:colFirst="3" w:colLast="3"/>
            <w:r>
              <w:rPr>
                <w:rFonts w:hint="eastAsia" w:ascii="Times New Roman" w:hAnsi="Times New Roman" w:cs="Times New Roman"/>
                <w:kern w:val="0"/>
                <w:sz w:val="24"/>
              </w:rPr>
              <w:t>2.2.4</w:t>
            </w:r>
          </w:p>
          <w:p>
            <w:pPr>
              <w:wordWrap w:val="0"/>
              <w:spacing w:line="440" w:lineRule="exact"/>
              <w:jc w:val="center"/>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noWrap w:val="0"/>
            <w:vAlign w:val="center"/>
          </w:tcPr>
          <w:p>
            <w:pPr>
              <w:wordWrap w:val="0"/>
              <w:spacing w:line="440" w:lineRule="exact"/>
              <w:jc w:val="center"/>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施工方案评分标准（</w:t>
            </w:r>
            <w:r>
              <w:rPr>
                <w:rFonts w:hint="eastAsia" w:ascii="Times New Roman" w:hAnsi="Times New Roman" w:cs="Times New Roman"/>
                <w:kern w:val="0"/>
                <w:sz w:val="24"/>
                <w:lang w:val="en-US" w:eastAsia="zh-CN"/>
              </w:rPr>
              <w:t>20</w:t>
            </w:r>
            <w:r>
              <w:rPr>
                <w:rFonts w:hint="eastAsia" w:ascii="Times New Roman" w:hAnsi="Times New Roman" w:cs="Times New Roman"/>
                <w:kern w:val="0"/>
                <w:sz w:val="24"/>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rPr>
                <w:rFonts w:ascii="宋体" w:hAnsi="宋体" w:eastAsia="宋体" w:cs="宋体"/>
                <w:kern w:val="0"/>
                <w:sz w:val="24"/>
              </w:rPr>
            </w:pPr>
            <w:r>
              <w:rPr>
                <w:rFonts w:hint="eastAsia" w:ascii="宋体" w:hAnsi="宋体" w:eastAsia="宋体" w:cs="宋体"/>
                <w:kern w:val="0"/>
                <w:sz w:val="24"/>
              </w:rPr>
              <w:t>质量管理体系及措施（</w:t>
            </w:r>
            <w:r>
              <w:rPr>
                <w:rFonts w:hint="eastAsia" w:ascii="宋体" w:hAnsi="宋体" w:eastAsia="宋体" w:cs="宋体"/>
                <w:kern w:val="0"/>
                <w:sz w:val="24"/>
                <w:lang w:val="en-US" w:eastAsia="zh-CN"/>
              </w:rPr>
              <w:t>5</w:t>
            </w:r>
            <w:r>
              <w:rPr>
                <w:rFonts w:hint="eastAsia" w:ascii="宋体" w:hAnsi="宋体" w:eastAsia="宋体" w:cs="宋体"/>
                <w:kern w:val="0"/>
                <w:sz w:val="24"/>
              </w:rPr>
              <w:t>分）</w:t>
            </w:r>
          </w:p>
          <w:p>
            <w:pPr>
              <w:wordWrap w:val="0"/>
              <w:spacing w:line="440" w:lineRule="exact"/>
              <w:jc w:val="center"/>
              <w:rPr>
                <w:rFonts w:hint="default" w:ascii="Times New Roman" w:hAnsi="Times New Roman" w:cs="Times New Roman"/>
                <w:color w:val="FF0000"/>
                <w:kern w:val="0"/>
                <w:sz w:val="24"/>
                <w:szCs w:val="24"/>
                <w:highlight w:val="yellow"/>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jc w:val="left"/>
              <w:rPr>
                <w:rFonts w:ascii="宋体" w:hAnsi="宋体" w:eastAsia="宋体" w:cs="宋体"/>
                <w:kern w:val="0"/>
                <w:sz w:val="24"/>
              </w:rPr>
            </w:pPr>
            <w:r>
              <w:rPr>
                <w:rFonts w:hint="eastAsia" w:ascii="Times New Roman" w:hAnsi="Times New Roman" w:cs="Times New Roman"/>
                <w:kern w:val="0"/>
                <w:sz w:val="24"/>
              </w:rPr>
              <w:t>施工项目质量技术管理制度健全，主要工序有质量技术保证措施和手段，自控体系完整，能有效保证技术质量，达到承诺的质量标准。</w:t>
            </w:r>
          </w:p>
          <w:p>
            <w:pPr>
              <w:wordWrap w:val="0"/>
              <w:spacing w:line="440" w:lineRule="exact"/>
              <w:ind w:firstLine="480" w:firstLineChars="200"/>
              <w:rPr>
                <w:rFonts w:hint="default" w:ascii="Times New Roman" w:hAnsi="Times New Roman" w:cs="Times New Roman"/>
                <w:kern w:val="0"/>
                <w:sz w:val="24"/>
                <w:szCs w:val="24"/>
                <w:highlight w:val="none"/>
                <w:lang w:val="en-US" w:eastAsia="zh-CN"/>
              </w:rPr>
            </w:pPr>
            <w:r>
              <w:rPr>
                <w:rFonts w:hint="eastAsia" w:ascii="宋体" w:hAnsi="宋体" w:eastAsia="宋体" w:cs="宋体"/>
                <w:kern w:val="0"/>
                <w:sz w:val="24"/>
              </w:rPr>
              <w:t>优：</w:t>
            </w:r>
            <w:r>
              <w:rPr>
                <w:rFonts w:hint="eastAsia" w:ascii="宋体" w:hAnsi="宋体" w:eastAsia="宋体" w:cs="宋体"/>
                <w:kern w:val="0"/>
                <w:sz w:val="24"/>
                <w:lang w:val="en-US" w:eastAsia="zh-CN"/>
              </w:rPr>
              <w:t>3-5</w:t>
            </w:r>
            <w:r>
              <w:rPr>
                <w:rFonts w:hint="eastAsia" w:ascii="宋体" w:hAnsi="宋体" w:eastAsia="宋体" w:cs="宋体"/>
                <w:kern w:val="0"/>
                <w:sz w:val="24"/>
              </w:rPr>
              <w:t>分，良：</w:t>
            </w:r>
            <w:r>
              <w:rPr>
                <w:rFonts w:hint="eastAsia" w:ascii="宋体" w:hAnsi="宋体" w:eastAsia="宋体" w:cs="宋体"/>
                <w:kern w:val="0"/>
                <w:sz w:val="24"/>
                <w:lang w:val="en-US" w:eastAsia="zh-CN"/>
              </w:rPr>
              <w:t>2-3</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eastAsia="宋体" w:cs="宋体"/>
                <w:kern w:val="0"/>
                <w:sz w:val="24"/>
                <w:lang w:val="en-US" w:eastAsia="zh-CN"/>
              </w:rPr>
              <w:t>2</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55"/>
      <w:permEnd w:id="56"/>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ermStart w:id="58" w:edGrp="everyone" w:colFirst="1" w:colLast="1"/>
            <w:permStart w:id="59" w:edGrp="everyone" w:colFirst="2" w:colLast="2"/>
            <w:permStart w:id="60" w:edGrp="everyone" w:colFirst="3" w:colLast="3"/>
          </w:p>
        </w:tc>
        <w:tc>
          <w:tcPr>
            <w:tcW w:w="850" w:type="dxa"/>
            <w:vMerge w:val="continue"/>
            <w:tcBorders>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rPr>
                <w:rFonts w:ascii="宋体" w:hAnsi="宋体" w:eastAsia="宋体" w:cs="宋体"/>
                <w:kern w:val="0"/>
                <w:sz w:val="24"/>
              </w:rPr>
            </w:pPr>
            <w:r>
              <w:rPr>
                <w:rFonts w:hint="eastAsia" w:ascii="宋体" w:hAnsi="宋体" w:eastAsia="宋体" w:cs="宋体"/>
                <w:kern w:val="0"/>
                <w:sz w:val="24"/>
              </w:rPr>
              <w:t>安全管理体系及措施（</w:t>
            </w:r>
            <w:r>
              <w:rPr>
                <w:rFonts w:hint="eastAsia" w:ascii="宋体" w:hAnsi="宋体" w:eastAsia="宋体" w:cs="宋体"/>
                <w:kern w:val="0"/>
                <w:sz w:val="24"/>
                <w:lang w:val="en-US" w:eastAsia="zh-CN"/>
              </w:rPr>
              <w:t>5</w:t>
            </w:r>
            <w:r>
              <w:rPr>
                <w:rFonts w:hint="eastAsia" w:ascii="宋体" w:hAnsi="宋体" w:eastAsia="宋体" w:cs="宋体"/>
                <w:kern w:val="0"/>
                <w:sz w:val="24"/>
              </w:rPr>
              <w:t>分）</w:t>
            </w:r>
          </w:p>
          <w:p>
            <w:pPr>
              <w:wordWrap w:val="0"/>
              <w:spacing w:line="440" w:lineRule="exact"/>
              <w:jc w:val="center"/>
              <w:rPr>
                <w:rFonts w:hint="default"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hint="default" w:ascii="Times New Roman" w:hAnsi="Times New Roman" w:cs="Times New Roman"/>
                <w:kern w:val="0"/>
                <w:sz w:val="24"/>
                <w:szCs w:val="24"/>
                <w:highlight w:val="none"/>
                <w:lang w:val="en-US" w:eastAsia="zh-CN"/>
              </w:rPr>
            </w:pPr>
            <w:r>
              <w:rPr>
                <w:rFonts w:hint="eastAsia" w:ascii="宋体" w:hAnsi="宋体" w:eastAsia="宋体" w:cs="宋体"/>
                <w:kern w:val="0"/>
                <w:sz w:val="24"/>
              </w:rPr>
              <w:t>优：</w:t>
            </w:r>
            <w:r>
              <w:rPr>
                <w:rFonts w:hint="eastAsia" w:ascii="宋体" w:hAnsi="宋体" w:eastAsia="宋体" w:cs="宋体"/>
                <w:kern w:val="0"/>
                <w:sz w:val="24"/>
                <w:lang w:val="en-US" w:eastAsia="zh-CN"/>
              </w:rPr>
              <w:t>3-5</w:t>
            </w:r>
            <w:r>
              <w:rPr>
                <w:rFonts w:hint="eastAsia" w:ascii="宋体" w:hAnsi="宋体" w:eastAsia="宋体" w:cs="宋体"/>
                <w:kern w:val="0"/>
                <w:sz w:val="24"/>
              </w:rPr>
              <w:t>分，良：</w:t>
            </w:r>
            <w:r>
              <w:rPr>
                <w:rFonts w:hint="eastAsia" w:ascii="宋体" w:hAnsi="宋体" w:eastAsia="宋体" w:cs="宋体"/>
                <w:kern w:val="0"/>
                <w:sz w:val="24"/>
                <w:lang w:val="en-US" w:eastAsia="zh-CN"/>
              </w:rPr>
              <w:t>2-3</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eastAsia="宋体" w:cs="宋体"/>
                <w:kern w:val="0"/>
                <w:sz w:val="24"/>
                <w:lang w:val="en-US" w:eastAsia="zh-CN"/>
              </w:rPr>
              <w:t>2</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58"/>
      <w:permEnd w:id="59"/>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ermStart w:id="61" w:edGrp="everyone" w:colFirst="1" w:colLast="1"/>
            <w:permStart w:id="62" w:edGrp="everyone" w:colFirst="2" w:colLast="2"/>
            <w:permStart w:id="63" w:edGrp="everyone" w:colFirst="3" w:colLast="3"/>
          </w:p>
        </w:tc>
        <w:tc>
          <w:tcPr>
            <w:tcW w:w="850" w:type="dxa"/>
            <w:vMerge w:val="continue"/>
            <w:tcBorders>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rPr>
                <w:rFonts w:ascii="宋体" w:hAnsi="宋体" w:eastAsia="宋体" w:cs="宋体"/>
                <w:kern w:val="0"/>
                <w:sz w:val="24"/>
              </w:rPr>
            </w:pPr>
            <w:r>
              <w:rPr>
                <w:rFonts w:hint="eastAsia" w:ascii="宋体" w:hAnsi="宋体" w:eastAsia="宋体" w:cs="宋体"/>
                <w:kern w:val="0"/>
                <w:sz w:val="24"/>
              </w:rPr>
              <w:t xml:space="preserve">工程进度计划与措施（ </w:t>
            </w:r>
            <w:r>
              <w:rPr>
                <w:rFonts w:hint="eastAsia" w:ascii="宋体" w:hAnsi="宋体" w:eastAsia="宋体" w:cs="宋体"/>
                <w:kern w:val="0"/>
                <w:sz w:val="24"/>
                <w:lang w:val="en-US" w:eastAsia="zh-CN"/>
              </w:rPr>
              <w:t>5</w:t>
            </w:r>
            <w:r>
              <w:rPr>
                <w:rFonts w:hint="eastAsia" w:ascii="宋体" w:hAnsi="宋体" w:eastAsia="宋体" w:cs="宋体"/>
                <w:kern w:val="0"/>
                <w:sz w:val="24"/>
              </w:rPr>
              <w:t xml:space="preserve"> 分）</w:t>
            </w:r>
          </w:p>
          <w:p>
            <w:pPr>
              <w:wordWrap w:val="0"/>
              <w:spacing w:line="440" w:lineRule="exact"/>
              <w:jc w:val="center"/>
              <w:rPr>
                <w:rFonts w:hint="default"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在施工工艺、施工方法、劳动力安排、技术等方面有保证工期的具体措施且措施得当，有控制工期的施工进度计划，有施工总进度，各项计划图表编制完善、安排科学合理，符合本项目施工实际要求。</w:t>
            </w:r>
          </w:p>
          <w:p>
            <w:pPr>
              <w:wordWrap w:val="0"/>
              <w:spacing w:line="440" w:lineRule="exact"/>
              <w:ind w:firstLine="480" w:firstLineChars="200"/>
              <w:rPr>
                <w:rFonts w:hint="default" w:ascii="Times New Roman" w:hAnsi="Times New Roman" w:cs="Times New Roman"/>
                <w:kern w:val="0"/>
                <w:sz w:val="24"/>
                <w:szCs w:val="24"/>
                <w:highlight w:val="none"/>
                <w:lang w:val="en-US" w:eastAsia="zh-CN"/>
              </w:rPr>
            </w:pPr>
            <w:r>
              <w:rPr>
                <w:rFonts w:hint="eastAsia" w:ascii="宋体" w:hAnsi="宋体" w:eastAsia="宋体" w:cs="宋体"/>
                <w:kern w:val="0"/>
                <w:sz w:val="24"/>
              </w:rPr>
              <w:t>优：</w:t>
            </w:r>
            <w:r>
              <w:rPr>
                <w:rFonts w:hint="eastAsia" w:ascii="宋体" w:hAnsi="宋体" w:eastAsia="宋体" w:cs="宋体"/>
                <w:kern w:val="0"/>
                <w:sz w:val="24"/>
                <w:lang w:val="en-US" w:eastAsia="zh-CN"/>
              </w:rPr>
              <w:t>3-5</w:t>
            </w:r>
            <w:r>
              <w:rPr>
                <w:rFonts w:hint="eastAsia" w:ascii="宋体" w:hAnsi="宋体" w:eastAsia="宋体" w:cs="宋体"/>
                <w:kern w:val="0"/>
                <w:sz w:val="24"/>
              </w:rPr>
              <w:t>分，良：</w:t>
            </w:r>
            <w:r>
              <w:rPr>
                <w:rFonts w:hint="eastAsia" w:ascii="宋体" w:hAnsi="宋体" w:eastAsia="宋体" w:cs="宋体"/>
                <w:kern w:val="0"/>
                <w:sz w:val="24"/>
                <w:lang w:val="en-US" w:eastAsia="zh-CN"/>
              </w:rPr>
              <w:t>2-3</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eastAsia="宋体" w:cs="宋体"/>
                <w:kern w:val="0"/>
                <w:sz w:val="24"/>
                <w:lang w:val="en-US" w:eastAsia="zh-CN"/>
              </w:rPr>
              <w:t>2</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61"/>
      <w:permEnd w:id="62"/>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ermStart w:id="64" w:edGrp="everyone" w:colFirst="1" w:colLast="1"/>
            <w:permStart w:id="65" w:edGrp="everyone" w:colFirst="2" w:colLast="2"/>
            <w:permStart w:id="66" w:edGrp="everyone" w:colFirst="3" w:colLast="3"/>
          </w:p>
        </w:tc>
        <w:tc>
          <w:tcPr>
            <w:tcW w:w="850" w:type="dxa"/>
            <w:vMerge w:val="continue"/>
            <w:tcBorders>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default" w:ascii="Times New Roman" w:hAnsi="Times New Roman" w:cs="Times New Roman"/>
                <w:kern w:val="0"/>
                <w:sz w:val="24"/>
                <w:szCs w:val="24"/>
                <w:highlight w:val="none"/>
                <w:lang w:val="en-US" w:eastAsia="zh-CN"/>
              </w:rPr>
            </w:pPr>
            <w:r>
              <w:rPr>
                <w:rFonts w:hint="eastAsia" w:ascii="宋体" w:hAnsi="宋体" w:eastAsia="宋体" w:cs="宋体"/>
                <w:kern w:val="0"/>
                <w:sz w:val="24"/>
              </w:rPr>
              <w:t xml:space="preserve">资源配备计划（ </w:t>
            </w:r>
            <w:r>
              <w:rPr>
                <w:rFonts w:hint="eastAsia" w:ascii="宋体" w:hAnsi="宋体" w:eastAsia="宋体" w:cs="宋体"/>
                <w:kern w:val="0"/>
                <w:sz w:val="24"/>
                <w:lang w:val="en-US" w:eastAsia="zh-CN"/>
              </w:rPr>
              <w:t>5</w:t>
            </w:r>
            <w:r>
              <w:rPr>
                <w:rFonts w:hint="eastAsia" w:ascii="宋体" w:hAnsi="宋体" w:eastAsia="宋体" w:cs="宋体"/>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劳动力、机械设备投入计划及其保证措施，满足施工需要，调配投入计划合理、准确，满足施工需要。</w:t>
            </w:r>
          </w:p>
          <w:p>
            <w:pPr>
              <w:wordWrap w:val="0"/>
              <w:spacing w:line="440" w:lineRule="exact"/>
              <w:ind w:firstLine="480" w:firstLineChars="200"/>
              <w:rPr>
                <w:rFonts w:hint="default" w:ascii="Times New Roman" w:hAnsi="Times New Roman" w:cs="Times New Roman"/>
                <w:kern w:val="0"/>
                <w:sz w:val="24"/>
                <w:szCs w:val="24"/>
                <w:highlight w:val="none"/>
                <w:lang w:val="en-US" w:eastAsia="zh-CN"/>
              </w:rPr>
            </w:pPr>
            <w:r>
              <w:rPr>
                <w:rFonts w:hint="eastAsia" w:ascii="宋体" w:hAnsi="宋体" w:eastAsia="宋体" w:cs="宋体"/>
                <w:kern w:val="0"/>
                <w:sz w:val="24"/>
              </w:rPr>
              <w:t>优：</w:t>
            </w:r>
            <w:r>
              <w:rPr>
                <w:rFonts w:hint="eastAsia" w:ascii="宋体" w:hAnsi="宋体" w:eastAsia="宋体" w:cs="宋体"/>
                <w:kern w:val="0"/>
                <w:sz w:val="24"/>
                <w:lang w:val="en-US" w:eastAsia="zh-CN"/>
              </w:rPr>
              <w:t>3-5</w:t>
            </w:r>
            <w:r>
              <w:rPr>
                <w:rFonts w:hint="eastAsia" w:ascii="宋体" w:hAnsi="宋体" w:eastAsia="宋体" w:cs="宋体"/>
                <w:kern w:val="0"/>
                <w:sz w:val="24"/>
              </w:rPr>
              <w:t>分，良：</w:t>
            </w:r>
            <w:r>
              <w:rPr>
                <w:rFonts w:hint="eastAsia" w:ascii="宋体" w:hAnsi="宋体" w:eastAsia="宋体" w:cs="宋体"/>
                <w:kern w:val="0"/>
                <w:sz w:val="24"/>
                <w:lang w:val="en-US" w:eastAsia="zh-CN"/>
              </w:rPr>
              <w:t>2-3</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eastAsia="宋体" w:cs="宋体"/>
                <w:kern w:val="0"/>
                <w:sz w:val="24"/>
                <w:lang w:val="en-US" w:eastAsia="zh-CN"/>
              </w:rPr>
              <w:t>2</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64"/>
      <w:permEnd w:id="65"/>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right w:val="single" w:color="auto" w:sz="4" w:space="0"/>
            </w:tcBorders>
            <w:noWrap w:val="0"/>
            <w:vAlign w:val="center"/>
          </w:tcPr>
          <w:p>
            <w:pPr>
              <w:wordWrap w:val="0"/>
              <w:spacing w:line="440" w:lineRule="exact"/>
              <w:jc w:val="center"/>
              <w:rPr>
                <w:rFonts w:ascii="Times New Roman" w:hAnsi="Times New Roman" w:cs="Times New Roman"/>
                <w:kern w:val="0"/>
                <w:sz w:val="24"/>
              </w:rPr>
            </w:pPr>
            <w:permStart w:id="67" w:edGrp="everyone" w:colFirst="1" w:colLast="1"/>
            <w:permStart w:id="68" w:edGrp="everyone" w:colFirst="2" w:colLast="2"/>
            <w:permStart w:id="69" w:edGrp="everyone" w:colFirst="3" w:colLast="3"/>
            <w:r>
              <w:rPr>
                <w:rFonts w:hint="eastAsia" w:ascii="Times New Roman" w:hAnsi="Times New Roman" w:cs="Times New Roman"/>
                <w:kern w:val="0"/>
                <w:sz w:val="24"/>
              </w:rPr>
              <w:t>2.2.4</w:t>
            </w:r>
          </w:p>
          <w:p>
            <w:pPr>
              <w:wordWrap w:val="0"/>
              <w:spacing w:line="440" w:lineRule="exact"/>
              <w:jc w:val="cente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（2）</w:t>
            </w:r>
          </w:p>
        </w:tc>
        <w:tc>
          <w:tcPr>
            <w:tcW w:w="850" w:type="dxa"/>
            <w:vMerge w:val="restart"/>
            <w:tcBorders>
              <w:right w:val="single" w:color="auto" w:sz="4" w:space="0"/>
            </w:tcBorders>
            <w:noWrap w:val="0"/>
            <w:vAlign w:val="center"/>
          </w:tcPr>
          <w:p>
            <w:pPr>
              <w:wordWrap w:val="0"/>
              <w:spacing w:line="440" w:lineRule="exact"/>
              <w:jc w:val="center"/>
              <w:rPr>
                <w:rFonts w:hint="eastAsia" w:ascii="宋体" w:hAnsi="宋体" w:eastAsia="宋体" w:cs="宋体"/>
                <w:kern w:val="0"/>
                <w:sz w:val="24"/>
              </w:rPr>
            </w:pPr>
            <w:r>
              <w:rPr>
                <w:rFonts w:hint="eastAsia" w:ascii="宋体" w:hAnsi="宋体" w:eastAsia="宋体" w:cs="宋体"/>
                <w:kern w:val="0"/>
                <w:sz w:val="24"/>
              </w:rPr>
              <w:t>企业荣誉评分标准</w:t>
            </w:r>
          </w:p>
          <w:p>
            <w:pPr>
              <w:wordWrap w:val="0"/>
              <w:spacing w:line="440" w:lineRule="exact"/>
              <w:jc w:val="center"/>
              <w:rPr>
                <w:rFonts w:hint="eastAsia" w:ascii="Times New Roman" w:hAnsi="Times New Roman" w:cs="Times New Roman"/>
                <w:kern w:val="0"/>
                <w:sz w:val="24"/>
                <w:szCs w:val="24"/>
                <w:highlight w:val="none"/>
                <w:lang w:val="en-US" w:eastAsia="zh-CN"/>
              </w:rPr>
            </w:pPr>
            <w:r>
              <w:rPr>
                <w:rFonts w:hint="eastAsia" w:ascii="宋体" w:hAnsi="宋体" w:eastAsia="宋体" w:cs="宋体"/>
                <w:i w:val="0"/>
                <w:iCs w:val="0"/>
                <w:color w:val="auto"/>
                <w:kern w:val="0"/>
                <w:sz w:val="24"/>
                <w:u w:val="none"/>
              </w:rPr>
              <w:t xml:space="preserve">（ </w:t>
            </w:r>
            <w:r>
              <w:rPr>
                <w:rFonts w:hint="eastAsia" w:ascii="宋体" w:hAnsi="宋体" w:eastAsia="宋体" w:cs="宋体"/>
                <w:i w:val="0"/>
                <w:iCs w:val="0"/>
                <w:color w:val="auto"/>
                <w:kern w:val="0"/>
                <w:sz w:val="24"/>
                <w:u w:val="none"/>
                <w:lang w:val="en-US" w:eastAsia="zh-CN"/>
              </w:rPr>
              <w:t>2</w:t>
            </w:r>
            <w:r>
              <w:rPr>
                <w:rFonts w:hint="eastAsia" w:ascii="宋体" w:hAnsi="宋体" w:eastAsia="宋体" w:cs="宋体"/>
                <w:i w:val="0"/>
                <w:iCs w:val="0"/>
                <w:color w:val="auto"/>
                <w:kern w:val="0"/>
                <w:sz w:val="24"/>
                <w:u w:val="none"/>
              </w:rPr>
              <w:t>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企业业绩</w:t>
            </w:r>
          </w:p>
          <w:p>
            <w:pPr>
              <w:wordWrap w:val="0"/>
              <w:spacing w:line="440" w:lineRule="exact"/>
              <w:jc w:val="center"/>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widowControl/>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在符合招标公告投标人资格要求的基础上，投标人每额外提供1个类似项目业绩，得5分，本项满分10分。</w:t>
            </w:r>
          </w:p>
          <w:p>
            <w:pPr>
              <w:widowControl/>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eastAsia="楷体_GB2312" w:cs="Times New Roman"/>
                <w:color w:val="FF0000"/>
                <w:kern w:val="0"/>
                <w:sz w:val="24"/>
                <w:lang w:eastAsia="zh-CN"/>
              </w:rPr>
              <w:t>注：</w:t>
            </w:r>
            <w:r>
              <w:rPr>
                <w:rFonts w:hint="eastAsia" w:ascii="Times New Roman" w:hAnsi="Times New Roman" w:eastAsia="楷体_GB2312" w:cs="Times New Roman"/>
                <w:color w:val="FF0000"/>
                <w:kern w:val="0"/>
                <w:sz w:val="24"/>
              </w:rPr>
              <w:t>投标人须提供相关</w:t>
            </w:r>
            <w:r>
              <w:rPr>
                <w:rFonts w:hint="eastAsia" w:ascii="Times New Roman" w:hAnsi="Times New Roman" w:eastAsia="楷体_GB2312" w:cs="Times New Roman"/>
                <w:color w:val="FF0000"/>
                <w:kern w:val="0"/>
                <w:sz w:val="24"/>
                <w:lang w:eastAsia="zh-CN"/>
              </w:rPr>
              <w:t>业绩</w:t>
            </w:r>
            <w:r>
              <w:rPr>
                <w:rFonts w:hint="eastAsia" w:ascii="Times New Roman" w:hAnsi="Times New Roman" w:eastAsia="楷体_GB2312" w:cs="Times New Roman"/>
                <w:color w:val="FF0000"/>
                <w:kern w:val="0"/>
                <w:sz w:val="24"/>
                <w:lang w:val="en-US" w:eastAsia="zh-CN"/>
              </w:rPr>
              <w:t>的</w:t>
            </w:r>
            <w:r>
              <w:rPr>
                <w:rFonts w:hint="eastAsia" w:ascii="Times New Roman" w:hAnsi="Times New Roman" w:eastAsia="楷体_GB2312" w:cs="Times New Roman"/>
                <w:color w:val="FF0000"/>
                <w:kern w:val="0"/>
                <w:sz w:val="24"/>
              </w:rPr>
              <w:t>合同复印件（或扫描件），并装订入投标文件中</w:t>
            </w:r>
            <w:r>
              <w:rPr>
                <w:rFonts w:hint="eastAsia" w:ascii="Times New Roman" w:hAnsi="Times New Roman" w:eastAsia="楷体_GB2312" w:cs="Times New Roman"/>
                <w:color w:val="FF0000"/>
                <w:kern w:val="0"/>
                <w:sz w:val="24"/>
                <w:lang w:eastAsia="zh-CN"/>
              </w:rPr>
              <w:t>。</w:t>
            </w:r>
          </w:p>
        </w:tc>
      </w:tr>
      <w:permEnd w:id="67"/>
      <w:permEnd w:id="68"/>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ermStart w:id="70" w:edGrp="everyone" w:colFirst="1" w:colLast="1"/>
            <w:permStart w:id="71" w:edGrp="everyone" w:colFirst="2" w:colLast="2"/>
            <w:permStart w:id="72" w:edGrp="everyone" w:colFirst="3" w:colLast="3"/>
          </w:p>
        </w:tc>
        <w:tc>
          <w:tcPr>
            <w:tcW w:w="850" w:type="dxa"/>
            <w:vMerge w:val="continue"/>
            <w:tcBorders>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拟派项目负责人业绩（</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拟派项目负责人以项目负责人身份完成1个</w:t>
            </w:r>
            <w:r>
              <w:rPr>
                <w:rFonts w:hint="eastAsia" w:ascii="Times New Roman" w:hAnsi="Times New Roman"/>
                <w:kern w:val="0"/>
                <w:sz w:val="24"/>
              </w:rPr>
              <w:t>已完成单项合同金额不低于</w:t>
            </w:r>
            <w:r>
              <w:rPr>
                <w:rFonts w:hint="eastAsia" w:ascii="Times New Roman" w:hAnsi="Times New Roman"/>
                <w:kern w:val="0"/>
                <w:sz w:val="24"/>
                <w:lang w:val="en-US" w:eastAsia="zh-CN"/>
              </w:rPr>
              <w:t>3</w:t>
            </w:r>
            <w:r>
              <w:rPr>
                <w:rFonts w:hint="eastAsia" w:ascii="Times New Roman" w:hAnsi="Times New Roman"/>
                <w:kern w:val="0"/>
                <w:sz w:val="24"/>
              </w:rPr>
              <w:t>00万元的</w:t>
            </w:r>
            <w:r>
              <w:rPr>
                <w:rFonts w:hint="eastAsia" w:ascii="Times New Roman" w:hAnsi="Times New Roman"/>
                <w:kern w:val="0"/>
                <w:sz w:val="24"/>
                <w:lang w:val="en-US" w:eastAsia="zh-CN"/>
              </w:rPr>
              <w:t>消防水电</w:t>
            </w:r>
            <w:r>
              <w:rPr>
                <w:rFonts w:hint="eastAsia" w:ascii="Times New Roman" w:hAnsi="Times New Roman"/>
                <w:kern w:val="0"/>
                <w:sz w:val="24"/>
              </w:rPr>
              <w:t>（建筑工程类）业绩</w:t>
            </w:r>
            <w:r>
              <w:rPr>
                <w:rFonts w:hint="eastAsia" w:ascii="Times New Roman" w:hAnsi="Times New Roman" w:cs="Times New Roman"/>
                <w:kern w:val="0"/>
                <w:sz w:val="24"/>
              </w:rPr>
              <w:t>得5分； 满分</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p>
          <w:p>
            <w:pPr>
              <w:spacing w:line="440" w:lineRule="exact"/>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eastAsia="楷体_GB2312" w:cs="Times New Roman"/>
                <w:color w:val="FF0000"/>
                <w:kern w:val="0"/>
                <w:sz w:val="24"/>
                <w:lang w:eastAsia="zh-CN"/>
              </w:rPr>
              <w:t>注：</w:t>
            </w:r>
            <w:r>
              <w:rPr>
                <w:rFonts w:hint="eastAsia" w:ascii="Times New Roman" w:hAnsi="Times New Roman" w:eastAsia="楷体_GB2312" w:cs="Times New Roman"/>
                <w:color w:val="FF0000"/>
                <w:kern w:val="0"/>
                <w:sz w:val="24"/>
              </w:rPr>
              <w:t>投标人须提供相关</w:t>
            </w:r>
            <w:r>
              <w:rPr>
                <w:rFonts w:hint="eastAsia" w:ascii="Times New Roman" w:hAnsi="Times New Roman" w:eastAsia="楷体_GB2312" w:cs="Times New Roman"/>
                <w:color w:val="FF0000"/>
                <w:kern w:val="0"/>
                <w:sz w:val="24"/>
                <w:lang w:val="en-US" w:eastAsia="zh-CN"/>
              </w:rPr>
              <w:t>业绩的</w:t>
            </w:r>
            <w:r>
              <w:rPr>
                <w:rFonts w:hint="eastAsia" w:ascii="Times New Roman" w:hAnsi="Times New Roman" w:eastAsia="楷体_GB2312" w:cs="Times New Roman"/>
                <w:color w:val="FF0000"/>
                <w:kern w:val="0"/>
                <w:sz w:val="24"/>
              </w:rPr>
              <w:t>合同复印件（或扫描件），并装订入投标文件中；</w:t>
            </w:r>
            <w:r>
              <w:rPr>
                <w:rFonts w:hint="eastAsia" w:ascii="Times New Roman" w:hAnsi="Times New Roman" w:eastAsia="楷体_GB2312" w:cs="Times New Roman"/>
                <w:color w:val="FF0000"/>
                <w:kern w:val="0"/>
                <w:sz w:val="24"/>
                <w:lang w:val="en-US" w:eastAsia="zh-CN"/>
              </w:rPr>
              <w:t>业绩合同应当体现项目负责人身份信息，否则不予计分。</w:t>
            </w:r>
          </w:p>
        </w:tc>
      </w:tr>
      <w:permEnd w:id="70"/>
      <w:permEnd w:id="71"/>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ermStart w:id="73" w:edGrp="everyone" w:colFirst="1" w:colLast="1"/>
            <w:permStart w:id="74" w:edGrp="everyone" w:colFirst="2" w:colLast="2"/>
            <w:permStart w:id="75" w:edGrp="everyone" w:colFirst="3" w:colLast="3"/>
          </w:p>
        </w:tc>
        <w:tc>
          <w:tcPr>
            <w:tcW w:w="850" w:type="dxa"/>
            <w:vMerge w:val="continue"/>
            <w:tcBorders>
              <w:bottom w:val="single" w:color="auto" w:sz="4" w:space="0"/>
              <w:right w:val="single" w:color="auto" w:sz="4" w:space="0"/>
            </w:tcBorders>
            <w:noWrap w:val="0"/>
            <w:vAlign w:val="center"/>
          </w:tcPr>
          <w:p>
            <w:pPr>
              <w:wordWrap w:val="0"/>
              <w:spacing w:line="440" w:lineRule="exact"/>
              <w:jc w:val="center"/>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企业荣誉</w:t>
            </w:r>
          </w:p>
          <w:p>
            <w:pPr>
              <w:wordWrap w:val="0"/>
              <w:spacing w:line="440" w:lineRule="exact"/>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投标人参与的项目获得省级及以上建设工程主管部门或协会颁发的标准化示范工地类荣誉的得5分，获得市级建设工程主管部门或协会颁发的标准化示范工地类荣誉的得2.5分。本项满分</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分，多分不计。</w:t>
            </w:r>
          </w:p>
          <w:p>
            <w:pPr>
              <w:wordWrap w:val="0"/>
              <w:spacing w:line="440" w:lineRule="exact"/>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73"/>
      <w:permEnd w:id="74"/>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wordWrap w:val="0"/>
              <w:spacing w:line="440" w:lineRule="exact"/>
              <w:jc w:val="center"/>
              <w:rPr>
                <w:rFonts w:ascii="Times New Roman" w:hAnsi="Times New Roman" w:cs="Times New Roman"/>
                <w:kern w:val="0"/>
                <w:sz w:val="24"/>
              </w:rPr>
            </w:pPr>
            <w:permStart w:id="76" w:edGrp="everyone" w:colFirst="1" w:colLast="1"/>
            <w:permStart w:id="77" w:edGrp="everyone" w:colFirst="2" w:colLast="2"/>
            <w:permStart w:id="78" w:edGrp="everyone" w:colFirst="3" w:colLast="3"/>
            <w:r>
              <w:rPr>
                <w:rFonts w:hint="eastAsia" w:ascii="Times New Roman" w:hAnsi="Times New Roman" w:cs="Times New Roman"/>
                <w:kern w:val="0"/>
                <w:sz w:val="24"/>
              </w:rPr>
              <w:t>2.2.4</w:t>
            </w:r>
          </w:p>
          <w:p>
            <w:pPr>
              <w:wordWrap w:val="0"/>
              <w:spacing w:line="440" w:lineRule="exact"/>
              <w:jc w:val="center"/>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noWrap w:val="0"/>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hint="default" w:ascii="Times New Roman" w:hAnsi="Times New Roman" w:cs="Times New Roman"/>
                <w:kern w:val="0"/>
                <w:sz w:val="24"/>
                <w:szCs w:val="24"/>
                <w:highlight w:val="none"/>
                <w:lang w:val="en-US" w:eastAsia="zh-CN"/>
              </w:rPr>
            </w:pPr>
            <w:r>
              <w:rPr>
                <w:rFonts w:ascii="Times New Roman" w:hAnsi="Times New Roman" w:cs="Times New Roman"/>
                <w:i w:val="0"/>
                <w:iCs w:val="0"/>
                <w:color w:val="auto"/>
                <w:kern w:val="0"/>
                <w:sz w:val="24"/>
                <w:u w:val="none"/>
              </w:rPr>
              <w:t>（</w:t>
            </w:r>
            <w:r>
              <w:rPr>
                <w:rFonts w:hint="eastAsia" w:ascii="Times New Roman" w:hAnsi="Times New Roman" w:cs="Times New Roman"/>
                <w:i w:val="0"/>
                <w:iCs w:val="0"/>
                <w:color w:val="auto"/>
                <w:kern w:val="0"/>
                <w:sz w:val="24"/>
                <w:u w:val="none"/>
                <w:lang w:val="en-US" w:eastAsia="zh-CN"/>
              </w:rPr>
              <w:t>6</w:t>
            </w:r>
            <w:r>
              <w:rPr>
                <w:rFonts w:hint="default" w:ascii="Times New Roman" w:hAnsi="Times New Roman" w:cs="Times New Roman"/>
                <w:i w:val="0"/>
                <w:iCs w:val="0"/>
                <w:color w:val="auto"/>
                <w:kern w:val="0"/>
                <w:sz w:val="24"/>
                <w:u w:val="none"/>
              </w:rPr>
              <w:t>0</w:t>
            </w:r>
            <w:r>
              <w:rPr>
                <w:rFonts w:ascii="Times New Roman" w:hAnsi="Times New Roman" w:cs="Times New Roman"/>
                <w:i w:val="0"/>
                <w:iCs w:val="0"/>
                <w:color w:val="auto"/>
                <w:kern w:val="0"/>
                <w:sz w:val="24"/>
                <w:u w:val="none"/>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ascii="宋体" w:hAnsi="宋体" w:eastAsia="宋体" w:cs="宋体"/>
                <w:kern w:val="0"/>
                <w:sz w:val="24"/>
              </w:rPr>
            </w:pPr>
            <w:r>
              <w:rPr>
                <w:rFonts w:hint="eastAsia" w:ascii="宋体" w:hAnsi="宋体" w:eastAsia="宋体" w:cs="宋体"/>
                <w:kern w:val="0"/>
                <w:sz w:val="24"/>
              </w:rPr>
              <w:t>投标报价评审</w:t>
            </w:r>
          </w:p>
          <w:p>
            <w:pPr>
              <w:wordWrap w:val="0"/>
              <w:spacing w:line="440" w:lineRule="exact"/>
              <w:jc w:val="center"/>
              <w:rPr>
                <w:rFonts w:hint="default" w:ascii="Times New Roman" w:hAnsi="Times New Roman" w:cs="Times New Roman"/>
                <w:kern w:val="0"/>
                <w:sz w:val="24"/>
                <w:szCs w:val="24"/>
                <w:highlight w:val="none"/>
                <w:lang w:val="en-US" w:eastAsia="zh-CN"/>
              </w:rPr>
            </w:pPr>
            <w:r>
              <w:rPr>
                <w:rFonts w:hint="eastAsia" w:ascii="宋体" w:hAnsi="宋体" w:eastAsia="宋体" w:cs="宋体"/>
                <w:kern w:val="0"/>
                <w:sz w:val="24"/>
              </w:rPr>
              <w:t>（</w:t>
            </w:r>
            <w:r>
              <w:rPr>
                <w:rFonts w:hint="eastAsia" w:ascii="宋体" w:hAnsi="宋体" w:eastAsia="宋体" w:cs="宋体"/>
                <w:kern w:val="0"/>
                <w:sz w:val="24"/>
                <w:lang w:val="en-US" w:eastAsia="zh-CN"/>
              </w:rPr>
              <w:t>60</w:t>
            </w:r>
            <w:r>
              <w:rPr>
                <w:rFonts w:hint="eastAsia" w:ascii="宋体" w:hAnsi="宋体" w:eastAsia="宋体" w:cs="宋体"/>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29"/>
              <w:ind w:right="-44" w:firstLine="480" w:firstLineChars="200"/>
              <w:jc w:val="left"/>
              <w:rPr>
                <w:sz w:val="24"/>
              </w:rPr>
            </w:pPr>
            <w:r>
              <w:rPr>
                <w:rFonts w:hint="eastAsia"/>
                <w:kern w:val="0"/>
                <w:sz w:val="24"/>
              </w:rPr>
              <w:t>取所有有效投标报价的算术平均值作为评标基准价（5家及以上去掉一个最高价和最低价），各投标人的投标报价得分按以下公式计算：</w:t>
            </w:r>
          </w:p>
          <w:p>
            <w:pPr>
              <w:pStyle w:val="29"/>
              <w:numPr>
                <w:ilvl w:val="255"/>
                <w:numId w:val="0"/>
              </w:numPr>
              <w:ind w:left="128" w:right="-44"/>
              <w:jc w:val="left"/>
              <w:rPr>
                <w:sz w:val="24"/>
              </w:rPr>
            </w:pPr>
            <w:r>
              <w:rPr>
                <w:rFonts w:hint="eastAsia"/>
                <w:spacing w:val="-3"/>
                <w:sz w:val="24"/>
              </w:rPr>
              <w:t>（1）</w:t>
            </w:r>
            <w:r>
              <w:rPr>
                <w:spacing w:val="-3"/>
                <w:sz w:val="24"/>
              </w:rPr>
              <w:t xml:space="preserve">投标人的投标报价等于评标基准价得 </w:t>
            </w:r>
            <w:r>
              <w:rPr>
                <w:rFonts w:hint="eastAsia" w:ascii="Times New Roman"/>
                <w:sz w:val="24"/>
                <w:lang w:val="en-US" w:eastAsia="zh-CN"/>
              </w:rPr>
              <w:t>60</w:t>
            </w:r>
            <w:r>
              <w:rPr>
                <w:rFonts w:hint="eastAsia" w:ascii="Times New Roman"/>
                <w:sz w:val="24"/>
              </w:rPr>
              <w:t>分</w:t>
            </w:r>
            <w:r>
              <w:rPr>
                <w:sz w:val="24"/>
              </w:rPr>
              <w:t>；</w:t>
            </w:r>
          </w:p>
          <w:p>
            <w:pPr>
              <w:pStyle w:val="29"/>
              <w:numPr>
                <w:ilvl w:val="255"/>
                <w:numId w:val="0"/>
              </w:numPr>
              <w:ind w:left="128" w:right="-44"/>
              <w:jc w:val="left"/>
              <w:rPr>
                <w:sz w:val="24"/>
              </w:rPr>
            </w:pPr>
            <w:r>
              <w:rPr>
                <w:rFonts w:hint="eastAsia"/>
                <w:spacing w:val="-3"/>
                <w:sz w:val="24"/>
              </w:rPr>
              <w:t>（2）</w:t>
            </w:r>
            <w:r>
              <w:rPr>
                <w:sz w:val="24"/>
              </w:rPr>
              <w:t>投标人的投标报价高于评标基准价：</w:t>
            </w:r>
            <w:r>
              <w:rPr>
                <w:rFonts w:hint="eastAsia" w:ascii="Times New Roman"/>
                <w:sz w:val="24"/>
                <w:lang w:val="en-US" w:eastAsia="zh-CN"/>
              </w:rPr>
              <w:t>60</w:t>
            </w:r>
            <w:r>
              <w:rPr>
                <w:rFonts w:ascii="Times New Roman" w:eastAsia="Times New Roman"/>
                <w:sz w:val="24"/>
              </w:rPr>
              <w:t>-</w:t>
            </w:r>
            <w:r>
              <w:rPr>
                <w:sz w:val="24"/>
              </w:rPr>
              <w:t>（投标人投标报价</w:t>
            </w:r>
            <w:r>
              <w:rPr>
                <w:rFonts w:ascii="Times New Roman" w:eastAsia="Times New Roman"/>
                <w:spacing w:val="5"/>
                <w:sz w:val="24"/>
              </w:rPr>
              <w:t>-</w:t>
            </w:r>
            <w:r>
              <w:rPr>
                <w:sz w:val="24"/>
              </w:rPr>
              <w:t>评标基准价）</w:t>
            </w:r>
            <w:r>
              <w:rPr>
                <w:rFonts w:ascii="Times New Roman" w:eastAsia="Times New Roman"/>
                <w:sz w:val="24"/>
              </w:rPr>
              <w:t>/</w:t>
            </w:r>
            <w:r>
              <w:rPr>
                <w:sz w:val="24"/>
              </w:rPr>
              <w:t>评标基准价</w:t>
            </w:r>
            <w:r>
              <w:rPr>
                <w:rFonts w:ascii="Times New Roman" w:eastAsia="Times New Roman"/>
                <w:sz w:val="24"/>
              </w:rPr>
              <w:t>*100*</w:t>
            </w:r>
            <w:r>
              <w:rPr>
                <w:rFonts w:hint="eastAsia" w:ascii="Times New Roman" w:eastAsia="宋体"/>
                <w:sz w:val="24"/>
                <w:lang w:val="en-US" w:eastAsia="zh-CN"/>
              </w:rPr>
              <w:t>2</w:t>
            </w:r>
            <w:r>
              <w:rPr>
                <w:rFonts w:ascii="Times New Roman" w:eastAsia="Times New Roman"/>
                <w:sz w:val="24"/>
              </w:rPr>
              <w:t>；</w:t>
            </w:r>
          </w:p>
          <w:p>
            <w:pPr>
              <w:pStyle w:val="29"/>
              <w:numPr>
                <w:ilvl w:val="255"/>
                <w:numId w:val="0"/>
              </w:numPr>
              <w:ind w:left="128" w:right="-44"/>
              <w:jc w:val="left"/>
              <w:rPr>
                <w:sz w:val="24"/>
              </w:rPr>
            </w:pPr>
            <w:r>
              <w:rPr>
                <w:rFonts w:hint="eastAsia"/>
                <w:spacing w:val="-3"/>
                <w:sz w:val="24"/>
              </w:rPr>
              <w:t>（3）</w:t>
            </w:r>
            <w:r>
              <w:rPr>
                <w:sz w:val="24"/>
              </w:rPr>
              <w:t>投标人的投标报价低于评标基准价：</w:t>
            </w:r>
            <w:r>
              <w:rPr>
                <w:rFonts w:hint="eastAsia"/>
                <w:sz w:val="24"/>
                <w:lang w:val="en-US" w:eastAsia="zh-CN"/>
              </w:rPr>
              <w:t>6</w:t>
            </w:r>
            <w:r>
              <w:rPr>
                <w:rFonts w:hint="eastAsia"/>
                <w:sz w:val="24"/>
              </w:rPr>
              <w:t>0</w:t>
            </w:r>
            <w:r>
              <w:rPr>
                <w:rFonts w:ascii="Times New Roman" w:eastAsia="Times New Roman"/>
                <w:sz w:val="24"/>
              </w:rPr>
              <w:t>+</w:t>
            </w:r>
            <w:r>
              <w:rPr>
                <w:sz w:val="24"/>
              </w:rPr>
              <w:t>（投标人投标报价</w:t>
            </w:r>
            <w:r>
              <w:rPr>
                <w:rFonts w:ascii="Times New Roman" w:eastAsia="Times New Roman"/>
                <w:spacing w:val="5"/>
                <w:sz w:val="24"/>
              </w:rPr>
              <w:t>-</w:t>
            </w:r>
            <w:r>
              <w:rPr>
                <w:sz w:val="24"/>
              </w:rPr>
              <w:t>评标基准价）</w:t>
            </w:r>
            <w:r>
              <w:rPr>
                <w:rFonts w:ascii="Times New Roman" w:eastAsia="Times New Roman"/>
                <w:sz w:val="24"/>
              </w:rPr>
              <w:t>/</w:t>
            </w:r>
            <w:r>
              <w:rPr>
                <w:sz w:val="24"/>
              </w:rPr>
              <w:t>评标基准价</w:t>
            </w:r>
            <w:r>
              <w:rPr>
                <w:rFonts w:ascii="Times New Roman" w:eastAsia="Times New Roman"/>
                <w:sz w:val="24"/>
              </w:rPr>
              <w:t>*100</w:t>
            </w:r>
            <w:r>
              <w:rPr>
                <w:rFonts w:ascii="Times New Roman" w:eastAsia="Times New Roman"/>
                <w:color w:val="000000"/>
                <w:sz w:val="24"/>
              </w:rPr>
              <w:t>*</w:t>
            </w:r>
            <w:r>
              <w:rPr>
                <w:rFonts w:hint="eastAsia" w:ascii="Times New Roman" w:eastAsia="宋体"/>
                <w:color w:val="000000"/>
                <w:sz w:val="24"/>
                <w:lang w:val="en-US" w:eastAsia="zh-CN"/>
              </w:rPr>
              <w:t>1</w:t>
            </w:r>
            <w:r>
              <w:rPr>
                <w:color w:val="000000"/>
                <w:sz w:val="24"/>
              </w:rPr>
              <w:t>；</w:t>
            </w:r>
          </w:p>
          <w:p>
            <w:pPr>
              <w:pStyle w:val="29"/>
              <w:ind w:left="128" w:leftChars="0" w:right="-44" w:rightChars="0"/>
              <w:rPr>
                <w:rFonts w:hint="default" w:ascii="Times New Roman" w:hAnsi="Times New Roman" w:cs="Times New Roman"/>
                <w:kern w:val="0"/>
                <w:sz w:val="24"/>
                <w:szCs w:val="24"/>
                <w:highlight w:val="none"/>
                <w:lang w:val="en-US" w:eastAsia="zh-CN"/>
              </w:rPr>
            </w:pPr>
            <w:r>
              <w:rPr>
                <w:sz w:val="24"/>
              </w:rPr>
              <w:t>最终计算结果四舍五入保留两位小数。</w:t>
            </w:r>
          </w:p>
        </w:tc>
      </w:tr>
      <w:permEnd w:id="76"/>
      <w:permEnd w:id="77"/>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2.2.4</w:t>
            </w:r>
          </w:p>
          <w:p>
            <w:pPr>
              <w:wordWrap w:val="0"/>
              <w:spacing w:line="440" w:lineRule="exact"/>
              <w:jc w:val="cente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auto"/>
                <w:kern w:val="0"/>
                <w:sz w:val="24"/>
                <w:u w:val="none"/>
              </w:rPr>
              <w:t>（  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jc w:val="center"/>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wordWrap w:val="0"/>
              <w:spacing w:line="440" w:lineRule="exact"/>
              <w:ind w:firstLine="480" w:firstLineChars="200"/>
              <w:jc w:val="center"/>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val="0"/>
                <w:iCs w:val="0"/>
                <w:color w:val="auto"/>
                <w:kern w:val="0"/>
                <w:sz w:val="24"/>
                <w:u w:val="none"/>
                <w:lang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44974557"/>
      <w:bookmarkStart w:id="381" w:name="_Toc246996976"/>
      <w:bookmarkStart w:id="382" w:name="_Toc247085748"/>
      <w:bookmarkStart w:id="383" w:name="_Toc296602478"/>
      <w:bookmarkStart w:id="384" w:name="_Toc152045590"/>
      <w:bookmarkStart w:id="385" w:name="_Toc246996233"/>
      <w:bookmarkStart w:id="386" w:name="_Toc152042367"/>
      <w:bookmarkStart w:id="387" w:name="_Toc17963260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6996977"/>
      <w:bookmarkStart w:id="389" w:name="_Toc179632609"/>
      <w:bookmarkStart w:id="390" w:name="_Toc152042368"/>
      <w:bookmarkStart w:id="391" w:name="_Toc247085749"/>
      <w:bookmarkStart w:id="392" w:name="_Toc152045591"/>
      <w:bookmarkStart w:id="393" w:name="_Toc296602479"/>
      <w:bookmarkStart w:id="394" w:name="_Toc246996234"/>
      <w:bookmarkStart w:id="395"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44974560"/>
      <w:bookmarkStart w:id="397" w:name="_Toc247085751"/>
      <w:bookmarkStart w:id="398" w:name="_Toc246996236"/>
      <w:bookmarkStart w:id="399" w:name="_Toc246996979"/>
      <w:bookmarkStart w:id="400" w:name="_Toc296602481"/>
      <w:bookmarkStart w:id="401" w:name="_Toc152045593"/>
      <w:bookmarkStart w:id="402" w:name="_Toc179632611"/>
      <w:bookmarkStart w:id="403"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79" w:edGrp="everyone"/>
      <w:r>
        <w:rPr>
          <w:rFonts w:hint="eastAsia" w:ascii="Times New Roman" w:hAnsi="Times New Roman" w:cs="Times New Roman" w:eastAsiaTheme="minorEastAsia"/>
          <w:kern w:val="0"/>
          <w:sz w:val="24"/>
          <w:szCs w:val="24"/>
          <w:highlight w:val="none"/>
          <w:lang w:val="en-US" w:eastAsia="zh-CN"/>
        </w:rPr>
        <w:t>施工</w:t>
      </w:r>
      <w:r>
        <w:rPr>
          <w:rFonts w:hint="eastAsia" w:ascii="Times New Roman" w:hAnsi="Times New Roman" w:cs="Times New Roman"/>
          <w:kern w:val="0"/>
          <w:sz w:val="24"/>
          <w:szCs w:val="24"/>
          <w:highlight w:val="none"/>
          <w:lang w:val="en-US" w:eastAsia="zh-CN"/>
        </w:rPr>
        <w:t>方案</w:t>
      </w:r>
      <w:permEnd w:id="7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0" w:edGrp="everyone"/>
      <w:r>
        <w:rPr>
          <w:rFonts w:hint="eastAsia" w:ascii="Times New Roman" w:hAnsi="Times New Roman" w:cs="Times New Roman"/>
          <w:kern w:val="0"/>
          <w:sz w:val="24"/>
          <w:szCs w:val="24"/>
          <w:highlight w:val="none"/>
          <w:lang w:val="en-US" w:eastAsia="zh-CN"/>
        </w:rPr>
        <w:t>企业荣誉</w:t>
      </w:r>
      <w:permEnd w:id="8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81" w:edGrp="everyone"/>
      <w:r>
        <w:rPr>
          <w:rFonts w:hint="eastAsia" w:ascii="Times New Roman" w:hAnsi="Times New Roman" w:cs="Times New Roman" w:eastAsiaTheme="minorEastAsia"/>
          <w:kern w:val="0"/>
          <w:sz w:val="24"/>
          <w:szCs w:val="24"/>
          <w:highlight w:val="none"/>
          <w:lang w:val="en-US" w:eastAsia="zh-CN"/>
        </w:rPr>
        <w:t>投标报价</w:t>
      </w:r>
      <w:permEnd w:id="8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82" w:edGrp="everyone"/>
      <w:r>
        <w:rPr>
          <w:rFonts w:hint="eastAsia" w:ascii="Times New Roman" w:hAnsi="Times New Roman" w:cs="Times New Roman" w:eastAsiaTheme="minorEastAsia"/>
          <w:kern w:val="0"/>
          <w:sz w:val="24"/>
          <w:szCs w:val="24"/>
          <w:highlight w:val="none"/>
          <w:lang w:val="en-US" w:eastAsia="zh-CN"/>
        </w:rPr>
        <w:t>其他评分因素</w:t>
      </w:r>
      <w:permEnd w:id="82"/>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8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施工</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8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86"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8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96602482"/>
      <w:bookmarkStart w:id="405" w:name="_Toc152042371"/>
      <w:bookmarkStart w:id="406" w:name="_Toc246996980"/>
      <w:bookmarkStart w:id="407" w:name="_Toc246996237"/>
      <w:bookmarkStart w:id="408" w:name="_Toc152045594"/>
      <w:bookmarkStart w:id="409" w:name="_Toc144974561"/>
      <w:bookmarkStart w:id="410" w:name="_Toc247085752"/>
      <w:bookmarkStart w:id="411" w:name="_Toc17963261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6996238"/>
      <w:bookmarkStart w:id="413" w:name="_Toc152042372"/>
      <w:bookmarkStart w:id="414" w:name="_Toc144974562"/>
      <w:bookmarkStart w:id="415" w:name="_Toc179632613"/>
      <w:bookmarkStart w:id="416" w:name="_Toc296602483"/>
      <w:bookmarkStart w:id="417" w:name="_Toc246996981"/>
      <w:bookmarkStart w:id="418" w:name="_Toc247085753"/>
      <w:bookmarkStart w:id="419" w:name="_Toc152045595"/>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52042373"/>
      <w:bookmarkStart w:id="422" w:name="_Toc246996239"/>
      <w:bookmarkStart w:id="423" w:name="_Toc179632614"/>
      <w:bookmarkStart w:id="424" w:name="_Toc246996982"/>
      <w:bookmarkStart w:id="425" w:name="_Toc296602484"/>
      <w:bookmarkStart w:id="426" w:name="_Toc152045596"/>
      <w:bookmarkStart w:id="427"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8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87"/>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8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8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89"/>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0"/>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1"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安徽通康建设工程有限公司 </w:t>
            </w:r>
            <w:permEnd w:id="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根据每月工程形象进度，按月支付完成合格工程量价款的80%支付；竣工验收通过后（五方责任主体验收通过），付至实际完成合同价款的85%；竣工验收备案及第三方竣工结算审</w:t>
            </w:r>
            <w:r>
              <w:rPr>
                <w:rFonts w:hint="eastAsia" w:ascii="Times New Roman" w:hAnsi="Times New Roman" w:cs="Times New Roman"/>
                <w:kern w:val="0"/>
                <w:sz w:val="24"/>
                <w:szCs w:val="24"/>
                <w:highlight w:val="none"/>
                <w:shd w:val="clear" w:color="auto" w:fill="auto"/>
                <w:vertAlign w:val="baseline"/>
                <w:lang w:val="en-US" w:eastAsia="zh-CN"/>
              </w:rPr>
              <w:t>核</w:t>
            </w:r>
            <w:r>
              <w:rPr>
                <w:rFonts w:hint="default" w:ascii="Times New Roman" w:hAnsi="Times New Roman" w:cs="Times New Roman"/>
                <w:kern w:val="0"/>
                <w:sz w:val="24"/>
                <w:szCs w:val="24"/>
                <w:highlight w:val="none"/>
                <w:shd w:val="clear" w:color="auto" w:fill="auto"/>
                <w:vertAlign w:val="baseline"/>
                <w:lang w:val="en-US" w:eastAsia="zh-CN"/>
              </w:rPr>
              <w:t>成果出具完毕后付至审定价款的97%，余款3%作为质保金，待两年质保期满后无息退还。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2"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92"/>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3"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4" w:edGrp="everyone"/>
            <w:r>
              <w:rPr>
                <w:rFonts w:hint="eastAsia" w:ascii="Times New Roman" w:hAnsi="Times New Roman" w:cs="Times New Roman"/>
                <w:kern w:val="0"/>
                <w:sz w:val="24"/>
                <w:szCs w:val="24"/>
                <w:highlight w:val="none"/>
                <w:shd w:val="clear" w:color="auto" w:fill="auto"/>
                <w:vertAlign w:val="baseline"/>
                <w:lang w:val="en-US" w:eastAsia="zh-CN"/>
              </w:rPr>
              <w:t>中标人对工程质量缺陷承担返修责任。如因作业不规范等原因导致的工程质量缺陷，中标人应无偿进行返修，直至工程质量达到合格标准；中标人拒绝承担返修责任的，招标人有权自行进行返修，返修发生的费用从其履约保证金及工程价款中据实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因中标人作业不规范等原因，给招标人造成经济损失的，中标人应当据实赔偿；中标人拒绝承担赔偿责任的，招标人有权从其履约保证金及工程价款中据实扣除。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工期及</w:t>
            </w:r>
            <w:r>
              <w:rPr>
                <w:rFonts w:hint="eastAsia" w:ascii="Times New Roman" w:hAnsi="Times New Roman" w:cs="Times New Roman" w:eastAsiaTheme="minorEastAsia"/>
                <w:kern w:val="0"/>
                <w:sz w:val="24"/>
                <w:szCs w:val="24"/>
                <w:highlight w:val="none"/>
                <w:shd w:val="clear" w:color="auto" w:fill="auto"/>
                <w:lang w:val="en-US" w:eastAsia="zh-CN"/>
              </w:rPr>
              <w:t>进度要求根据总工期编制月进度计划报审后作为进度管控依据；每延迟一天罚款3000元。</w:t>
            </w:r>
            <w:permEnd w:id="9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95" w:edGrp="everyone"/>
      <w:r>
        <w:rPr>
          <w:rFonts w:hint="eastAsia" w:ascii="Times New Roman" w:hAnsi="Times New Roman" w:cs="Times New Roman"/>
          <w:kern w:val="0"/>
          <w:sz w:val="24"/>
          <w:szCs w:val="24"/>
          <w:highlight w:val="none"/>
          <w:u w:val="single"/>
          <w:lang w:val="en-US" w:eastAsia="zh-CN"/>
        </w:rPr>
        <w:t xml:space="preserve">     /      </w:t>
      </w:r>
      <w:permEnd w:id="95"/>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96" w:edGrp="everyone"/>
      <w:r>
        <w:rPr>
          <w:rFonts w:hint="eastAsia" w:ascii="Times New Roman" w:hAnsi="Times New Roman" w:cs="Times New Roman"/>
          <w:kern w:val="0"/>
          <w:sz w:val="24"/>
          <w:szCs w:val="24"/>
          <w:highlight w:val="none"/>
          <w:u w:val="single"/>
          <w:lang w:val="en-US" w:eastAsia="zh-CN"/>
        </w:rPr>
        <w:t xml:space="preserve">     /      </w:t>
      </w:r>
      <w:permEnd w:id="9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97" w:edGrp="everyone"/>
      <w:r>
        <w:rPr>
          <w:rFonts w:hint="eastAsia" w:ascii="Times New Roman" w:hAnsi="Times New Roman" w:cs="Times New Roman"/>
          <w:kern w:val="0"/>
          <w:sz w:val="24"/>
          <w:szCs w:val="24"/>
          <w:highlight w:val="none"/>
          <w:lang w:val="en-US" w:eastAsia="zh-CN"/>
        </w:rPr>
        <w:t xml:space="preserve">    /       </w:t>
      </w:r>
      <w:permEnd w:id="97"/>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98" w:edGrp="everyone"/>
      <w:r>
        <w:rPr>
          <w:rFonts w:hint="eastAsia" w:ascii="Times New Roman" w:hAnsi="Times New Roman" w:cs="Times New Roman"/>
          <w:kern w:val="0"/>
          <w:sz w:val="24"/>
          <w:szCs w:val="24"/>
          <w:highlight w:val="none"/>
          <w:lang w:val="en-US" w:eastAsia="zh-CN"/>
        </w:rPr>
        <w:t>详见附件。</w:t>
      </w:r>
    </w:p>
    <w:permEnd w:id="98"/>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99" w:edGrp="everyone" w:colFirst="0" w:colLast="0"/>
            <w:permStart w:id="100"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99"/>
      <w:permEnd w:id="1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01" w:edGrp="everyone"/>
      <w:r>
        <w:rPr>
          <w:rFonts w:hint="eastAsia" w:ascii="Times New Roman" w:hAnsi="Times New Roman" w:cs="Times New Roman"/>
          <w:kern w:val="0"/>
          <w:sz w:val="24"/>
          <w:szCs w:val="24"/>
          <w:highlight w:val="none"/>
          <w:lang w:val="en-US" w:eastAsia="zh-CN"/>
        </w:rPr>
        <w:t>详见附件。</w:t>
      </w:r>
    </w:p>
    <w:permEnd w:id="101"/>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专业分包安全文明施工范围：招标人提供施工场区大门、围挡、冲洗设备、实名制通道及设备、扬尘监测仪、变压器；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亳州交控智能零碳光储直柔停车场项目消防（水电）工程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专业分包施工招标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02"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010</w:t>
      </w:r>
      <w:r>
        <w:rPr>
          <w:rFonts w:hint="default" w:ascii="Times New Roman" w:hAnsi="Times New Roman" w:eastAsia="楷体" w:cs="Times New Roman"/>
          <w:kern w:val="0"/>
          <w:sz w:val="28"/>
          <w:szCs w:val="28"/>
          <w:highlight w:val="none"/>
          <w:shd w:val="clear" w:color="auto" w:fill="auto"/>
          <w:lang w:val="en-US" w:eastAsia="zh-CN"/>
        </w:rPr>
        <w:t>号</w:t>
      </w:r>
      <w:permEnd w:id="102"/>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6"/>
        <w:jc w:val="center"/>
        <w:rPr>
          <w:rFonts w:hint="default" w:ascii="Times New Roman" w:hAnsi="Times New Roman" w:cs="Times New Roman"/>
        </w:rPr>
      </w:pPr>
      <w:bookmarkStart w:id="428" w:name="_Toc144974856"/>
      <w:bookmarkStart w:id="429" w:name="_Toc247527827"/>
      <w:bookmarkStart w:id="430" w:name="_Toc300835209"/>
      <w:bookmarkStart w:id="431" w:name="_Toc152042576"/>
      <w:bookmarkStart w:id="432" w:name="_Toc247514246"/>
      <w:bookmarkStart w:id="433" w:name="_Toc152045787"/>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6"/>
        <w:jc w:val="center"/>
        <w:rPr>
          <w:rFonts w:hint="default" w:ascii="Times New Roman" w:hAnsi="Times New Roman" w:cs="Times New Roman"/>
        </w:rPr>
      </w:pPr>
      <w:bookmarkStart w:id="434" w:name="_Toc152042577"/>
      <w:bookmarkStart w:id="435" w:name="_Toc144974857"/>
      <w:bookmarkStart w:id="436" w:name="_Toc247514247"/>
      <w:bookmarkStart w:id="437" w:name="_Toc300835210"/>
      <w:bookmarkStart w:id="438" w:name="_Toc247527828"/>
      <w:bookmarkStart w:id="439" w:name="_Toc152045788"/>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7"/>
        <w:rPr>
          <w:rFonts w:hint="default" w:ascii="Times New Roman" w:hAnsi="Times New Roman" w:cs="Times New Roman"/>
        </w:rPr>
      </w:pPr>
      <w:bookmarkStart w:id="440" w:name="_Toc144974858"/>
      <w:bookmarkStart w:id="441" w:name="_Toc247514248"/>
      <w:bookmarkStart w:id="442" w:name="_Toc247527829"/>
      <w:bookmarkStart w:id="443" w:name="_Toc300835211"/>
      <w:bookmarkStart w:id="444" w:name="_Toc152045789"/>
      <w:bookmarkStart w:id="445" w:name="_Toc15204257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亳州交控智能零碳光储直柔停车场项目消防（水电）工程专业分包</w:t>
      </w:r>
      <w:r>
        <w:rPr>
          <w:rFonts w:hint="default" w:ascii="Times New Roman" w:hAnsi="Times New Roman" w:cs="Times New Roman"/>
          <w:szCs w:val="21"/>
        </w:rPr>
        <w:t>招标文件的全部内容，愿意以</w:t>
      </w:r>
      <w:permStart w:id="10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103"/>
      <w:r>
        <w:rPr>
          <w:rFonts w:hint="eastAsia" w:ascii="Times New Roman" w:hAnsi="Times New Roman" w:cs="Times New Roman"/>
          <w:szCs w:val="21"/>
          <w:lang w:val="en-US" w:eastAsia="zh-CN"/>
        </w:rPr>
        <w:t>，工期自合同签订之日起</w:t>
      </w:r>
      <w:r>
        <w:rPr>
          <w:rFonts w:hint="eastAsia" w:ascii="Times New Roman" w:hAnsi="Times New Roman" w:cs="Times New Roman"/>
          <w:szCs w:val="21"/>
          <w:u w:val="single"/>
          <w:lang w:val="en-US" w:eastAsia="zh-CN"/>
        </w:rPr>
        <w:t xml:space="preserve"> 150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7"/>
        <w:rPr>
          <w:rFonts w:hint="default" w:ascii="Times New Roman" w:hAnsi="Times New Roman" w:cs="Times New Roman"/>
        </w:rPr>
      </w:pPr>
      <w:bookmarkStart w:id="446" w:name="_Toc152042579"/>
      <w:bookmarkStart w:id="447" w:name="_Toc247527830"/>
      <w:bookmarkStart w:id="448" w:name="_Toc144974859"/>
      <w:bookmarkStart w:id="449" w:name="_Toc247514249"/>
      <w:bookmarkStart w:id="450" w:name="_Toc300835212"/>
      <w:bookmarkStart w:id="451" w:name="_Toc152045790"/>
    </w:p>
    <w:p>
      <w:pPr>
        <w:pStyle w:val="7"/>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6"/>
        <w:jc w:val="center"/>
        <w:rPr>
          <w:rFonts w:hint="default" w:ascii="Times New Roman" w:hAnsi="Times New Roman" w:cs="Times New Roman"/>
        </w:rPr>
      </w:pPr>
      <w:bookmarkStart w:id="452" w:name="_Toc144974860"/>
      <w:bookmarkStart w:id="453" w:name="_Toc300835213"/>
      <w:bookmarkStart w:id="454" w:name="_Toc247514283"/>
      <w:bookmarkStart w:id="455" w:name="_Toc152045791"/>
      <w:bookmarkStart w:id="456" w:name="_Toc152042580"/>
      <w:bookmarkStart w:id="457" w:name="_Toc247527831"/>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458" w:name="_Toc247527832"/>
      <w:bookmarkStart w:id="459" w:name="_Toc300835214"/>
      <w:bookmarkStart w:id="460" w:name="_Toc152045792"/>
      <w:bookmarkStart w:id="461" w:name="_Toc144974861"/>
      <w:bookmarkStart w:id="462" w:name="_Toc247514284"/>
      <w:bookmarkStart w:id="463" w:name="_Toc152042581"/>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464" w:name="_Toc247514286"/>
      <w:bookmarkStart w:id="465" w:name="_Toc152042583"/>
      <w:bookmarkStart w:id="466" w:name="_Toc247527834"/>
      <w:bookmarkStart w:id="467" w:name="_Toc152045794"/>
      <w:bookmarkStart w:id="468" w:name="_Toc144974862"/>
      <w:bookmarkStart w:id="469" w:name="_Toc30083521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152045795"/>
      <w:bookmarkStart w:id="472" w:name="_Toc144974863"/>
      <w:bookmarkStart w:id="473" w:name="_Toc247527835"/>
      <w:bookmarkStart w:id="474" w:name="_Toc247514287"/>
      <w:bookmarkStart w:id="475" w:name="_Toc152042584"/>
      <w:bookmarkStart w:id="476" w:name="_Toc300835218"/>
      <w:r>
        <w:rPr>
          <w:rFonts w:hint="default" w:ascii="Times New Roman" w:hAnsi="Times New Roman" w:cs="Times New Roman"/>
        </w:rPr>
        <w:br w:type="page"/>
      </w:r>
    </w:p>
    <w:p>
      <w:pPr>
        <w:pStyle w:val="6"/>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247527836"/>
      <w:bookmarkStart w:id="478" w:name="_Toc247514288"/>
      <w:bookmarkStart w:id="479" w:name="_Toc152042585"/>
      <w:bookmarkStart w:id="480" w:name="_Toc300835221"/>
      <w:bookmarkStart w:id="481" w:name="_Toc144974864"/>
      <w:bookmarkStart w:id="482" w:name="_Toc15204579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w:t>
      </w:r>
      <w:r>
        <w:rPr>
          <w:rFonts w:hint="eastAsia" w:ascii="Times New Roman" w:hAnsi="Times New Roman" w:cs="Times New Roman"/>
          <w:szCs w:val="21"/>
          <w:lang w:eastAsia="zh-CN"/>
        </w:rPr>
        <w:t>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7"/>
        <w:rPr>
          <w:rFonts w:hint="default" w:ascii="Times New Roman" w:hAnsi="Times New Roman" w:cs="Times New Roman"/>
        </w:rPr>
      </w:pPr>
      <w:bookmarkStart w:id="484" w:name="_Toc247085883"/>
      <w:bookmarkStart w:id="485" w:name="_Toc152045797"/>
      <w:bookmarkStart w:id="486" w:name="_Toc296602610"/>
      <w:bookmarkStart w:id="487" w:name="_Toc246997108"/>
      <w:bookmarkStart w:id="488" w:name="_Toc144974865"/>
      <w:bookmarkStart w:id="489" w:name="_Toc179632817"/>
      <w:bookmarkStart w:id="490" w:name="_Toc246996365"/>
      <w:bookmarkStart w:id="491" w:name="_Toc152042586"/>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rPr>
          <w:rFonts w:hint="default" w:ascii="Times New Roman" w:hAnsi="Times New Roman" w:cs="Times New Roman"/>
        </w:rPr>
      </w:pPr>
      <w:bookmarkStart w:id="492" w:name="_Toc152045799"/>
      <w:bookmarkStart w:id="493" w:name="_Toc179632819"/>
      <w:bookmarkStart w:id="494" w:name="_Toc296602611"/>
      <w:bookmarkStart w:id="495" w:name="_Toc152042588"/>
      <w:bookmarkStart w:id="496" w:name="_Toc144974867"/>
      <w:bookmarkStart w:id="497" w:name="_Toc247085884"/>
      <w:bookmarkStart w:id="498" w:name="_Toc246997109"/>
      <w:bookmarkStart w:id="499" w:name="_Toc246996366"/>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1"/>
        <w:rPr>
          <w:rFonts w:hint="default" w:ascii="Times New Roman" w:hAnsi="Times New Roman" w:cs="Times New Roman"/>
        </w:rPr>
      </w:pPr>
      <w:bookmarkStart w:id="500" w:name="_Toc246997110"/>
      <w:bookmarkStart w:id="501" w:name="_Toc144974868"/>
      <w:bookmarkStart w:id="502" w:name="_Toc246996367"/>
      <w:bookmarkStart w:id="503" w:name="_Toc152045800"/>
      <w:bookmarkStart w:id="504" w:name="_Toc152042589"/>
      <w:bookmarkStart w:id="505" w:name="_Toc179632820"/>
    </w:p>
    <w:p>
      <w:pPr>
        <w:pStyle w:val="11"/>
        <w:rPr>
          <w:rFonts w:hint="default" w:ascii="Times New Roman" w:hAnsi="Times New Roman" w:cs="Times New Roman"/>
        </w:rPr>
      </w:pPr>
      <w:r>
        <w:rPr>
          <w:rFonts w:hint="default" w:ascii="Times New Roman" w:hAnsi="Times New Roman" w:cs="Times New Roman"/>
        </w:rPr>
        <w:br w:type="page"/>
      </w:r>
    </w:p>
    <w:p>
      <w:pPr>
        <w:pStyle w:val="7"/>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6"/>
        <w:jc w:val="center"/>
        <w:rPr>
          <w:szCs w:val="21"/>
        </w:rPr>
      </w:pPr>
      <w:bookmarkStart w:id="508" w:name="_Toc246996369"/>
      <w:bookmarkStart w:id="509" w:name="_Toc152045803"/>
      <w:bookmarkStart w:id="510" w:name="_Toc296602614"/>
      <w:bookmarkStart w:id="511" w:name="_Toc179632823"/>
      <w:bookmarkStart w:id="512" w:name="_Toc144974871"/>
      <w:bookmarkStart w:id="513" w:name="_Toc246997112"/>
      <w:bookmarkStart w:id="514" w:name="_Toc247085887"/>
      <w:bookmarkStart w:id="515" w:name="_Toc152042592"/>
      <w:bookmarkStart w:id="516" w:name="_Toc152045808"/>
      <w:bookmarkStart w:id="517" w:name="_Toc247514300"/>
      <w:bookmarkStart w:id="518" w:name="_Toc247527848"/>
      <w:bookmarkStart w:id="519" w:name="_Toc144974876"/>
      <w:bookmarkStart w:id="520" w:name="_Toc152042597"/>
      <w:bookmarkStart w:id="521" w:name="_Toc300835224"/>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7"/>
        <w:jc w:val="both"/>
      </w:pPr>
      <w:bookmarkStart w:id="522" w:name="_Toc247085888"/>
      <w:bookmarkStart w:id="523" w:name="_Toc246997113"/>
      <w:bookmarkStart w:id="524" w:name="_Toc296602615"/>
      <w:bookmarkStart w:id="525" w:name="_Toc246996370"/>
      <w:r>
        <w:t>（一）项目管理机构组成表</w:t>
      </w:r>
      <w:bookmarkEnd w:id="522"/>
      <w:bookmarkEnd w:id="523"/>
      <w:bookmarkEnd w:id="524"/>
      <w:bookmarkEnd w:id="525"/>
    </w:p>
    <w:p>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7"/>
        <w:jc w:val="both"/>
      </w:pPr>
      <w:bookmarkStart w:id="526" w:name="_Toc296602616"/>
      <w:bookmarkStart w:id="527" w:name="_Toc246997114"/>
      <w:bookmarkStart w:id="528" w:name="_Toc247085889"/>
      <w:bookmarkStart w:id="529" w:name="_Toc246996371"/>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6"/>
        <w:jc w:val="center"/>
        <w:rPr>
          <w:rFonts w:hint="eastAsia"/>
        </w:rPr>
      </w:pPr>
      <w:bookmarkStart w:id="530" w:name="_Toc179632827"/>
      <w:bookmarkStart w:id="531" w:name="_Toc296602617"/>
      <w:bookmarkStart w:id="532" w:name="_Toc246997115"/>
      <w:bookmarkStart w:id="533" w:name="_Toc247085890"/>
      <w:bookmarkStart w:id="534" w:name="_Toc152045807"/>
      <w:bookmarkStart w:id="535" w:name="_Toc152042596"/>
      <w:bookmarkStart w:id="536" w:name="_Toc246996372"/>
      <w:bookmarkStart w:id="537" w:name="_Toc144974875"/>
      <w:r>
        <w:rPr>
          <w:rFonts w:hint="eastAsia"/>
        </w:rPr>
        <w:t>七</w:t>
      </w:r>
      <w:r>
        <w:t>、资格审查资料</w:t>
      </w:r>
      <w:bookmarkEnd w:id="530"/>
      <w:bookmarkEnd w:id="531"/>
      <w:bookmarkEnd w:id="532"/>
      <w:bookmarkEnd w:id="533"/>
      <w:bookmarkEnd w:id="534"/>
      <w:bookmarkEnd w:id="535"/>
      <w:bookmarkEnd w:id="536"/>
      <w:bookmarkEnd w:id="537"/>
    </w:p>
    <w:p>
      <w:pPr>
        <w:pStyle w:val="7"/>
        <w:jc w:val="both"/>
        <w:rPr>
          <w:rFonts w:hint="eastAsia"/>
        </w:rPr>
      </w:pPr>
      <w:bookmarkStart w:id="538" w:name="_Toc296602618"/>
      <w:bookmarkStart w:id="539" w:name="_Toc246996373"/>
      <w:bookmarkStart w:id="540" w:name="_Toc246997116"/>
      <w:bookmarkStart w:id="541" w:name="_Toc247085891"/>
      <w:bookmarkStart w:id="542" w:name="_Toc179632828"/>
      <w:r>
        <w:t>（一）投标人基本情况表</w:t>
      </w:r>
      <w:bookmarkEnd w:id="538"/>
      <w:bookmarkEnd w:id="539"/>
      <w:bookmarkEnd w:id="540"/>
      <w:bookmarkEnd w:id="541"/>
      <w:bookmarkEnd w:id="542"/>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7"/>
        <w:rPr>
          <w:rFonts w:hint="default" w:ascii="Times New Roman" w:hAnsi="Times New Roman" w:cs="Times New Roman"/>
        </w:rPr>
      </w:pPr>
      <w:bookmarkStart w:id="543" w:name="_Toc247527849"/>
      <w:bookmarkStart w:id="544" w:name="_Toc152042598"/>
      <w:bookmarkStart w:id="545" w:name="_Toc152045809"/>
      <w:bookmarkStart w:id="546" w:name="_Toc247514301"/>
      <w:bookmarkStart w:id="547" w:name="_Toc144974877"/>
      <w:bookmarkStart w:id="548" w:name="_Toc300835225"/>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7"/>
        <w:rPr>
          <w:rFonts w:hint="default" w:ascii="Times New Roman" w:hAnsi="Times New Roman" w:cs="Times New Roman"/>
        </w:rPr>
      </w:pPr>
      <w:bookmarkStart w:id="549" w:name="_Toc247514302"/>
      <w:bookmarkStart w:id="550" w:name="_Toc247527850"/>
      <w:bookmarkStart w:id="551" w:name="_Toc152042599"/>
      <w:bookmarkStart w:id="552" w:name="_Toc152045810"/>
      <w:bookmarkStart w:id="553" w:name="_Toc300835226"/>
      <w:bookmarkStart w:id="554" w:name="_Toc144974878"/>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152042600"/>
      <w:bookmarkStart w:id="556" w:name="_Toc144974879"/>
      <w:bookmarkStart w:id="557" w:name="_Toc247514303"/>
      <w:bookmarkStart w:id="558" w:name="_Toc152045811"/>
      <w:bookmarkStart w:id="559" w:name="_Toc247527851"/>
    </w:p>
    <w:p>
      <w:pPr>
        <w:spacing w:line="440" w:lineRule="exact"/>
        <w:rPr>
          <w:rFonts w:hint="default" w:ascii="Times New Roman" w:hAnsi="Times New Roman" w:cs="Times New Roman"/>
        </w:rPr>
      </w:pPr>
    </w:p>
    <w:p>
      <w:pPr>
        <w:pStyle w:val="7"/>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152045812"/>
      <w:bookmarkStart w:id="562" w:name="_Toc247527852"/>
      <w:bookmarkStart w:id="563" w:name="_Toc144974880"/>
      <w:bookmarkStart w:id="564" w:name="_Toc247514304"/>
      <w:bookmarkStart w:id="565" w:name="_Toc152042601"/>
    </w:p>
    <w:p>
      <w:pPr>
        <w:spacing w:line="440" w:lineRule="exact"/>
        <w:rPr>
          <w:rFonts w:hint="default" w:ascii="Times New Roman" w:hAnsi="Times New Roman" w:cs="Times New Roman"/>
        </w:rPr>
      </w:pPr>
    </w:p>
    <w:bookmarkEnd w:id="561"/>
    <w:bookmarkEnd w:id="562"/>
    <w:bookmarkEnd w:id="563"/>
    <w:bookmarkEnd w:id="564"/>
    <w:bookmarkEnd w:id="565"/>
    <w:p>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04" w:edGrp="everyone"/>
      <w:r>
        <w:rPr>
          <w:rFonts w:ascii="Times New Roman" w:hAnsi="Times New Roman"/>
        </w:rPr>
        <w:t>注：</w:t>
      </w:r>
      <w:r>
        <w:rPr>
          <w:rFonts w:hint="eastAsia" w:ascii="Times New Roman" w:hAnsi="Times New Roman"/>
          <w:lang w:val="en-US" w:eastAsia="zh-CN"/>
        </w:rPr>
        <w:t>如有，按招标文件要求提供。</w:t>
      </w:r>
    </w:p>
    <w:permEnd w:id="104"/>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247527853"/>
      <w:bookmarkStart w:id="567" w:name="_Toc144974881"/>
      <w:bookmarkStart w:id="568" w:name="_Toc247530162"/>
      <w:bookmarkStart w:id="569" w:name="_Toc152042602"/>
      <w:bookmarkStart w:id="570" w:name="_Toc152045813"/>
      <w:bookmarkStart w:id="571" w:name="_Toc247514305"/>
    </w:p>
    <w:bookmarkEnd w:id="566"/>
    <w:bookmarkEnd w:id="567"/>
    <w:bookmarkEnd w:id="568"/>
    <w:bookmarkEnd w:id="569"/>
    <w:bookmarkEnd w:id="570"/>
    <w:bookmarkEnd w:id="571"/>
    <w:p>
      <w:pPr>
        <w:pStyle w:val="6"/>
        <w:jc w:val="center"/>
        <w:rPr>
          <w:rFonts w:hint="default" w:ascii="Times New Roman" w:hAnsi="Times New Roman" w:cs="Times New Roman"/>
        </w:rPr>
      </w:pPr>
      <w:bookmarkStart w:id="572" w:name="_Toc271821942"/>
      <w:bookmarkStart w:id="57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05"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05"/>
    <w:p>
      <w:pPr>
        <w:spacing w:line="400" w:lineRule="exact"/>
        <w:rPr>
          <w:rFonts w:hint="default" w:ascii="Times New Roman" w:hAnsi="Times New Roman" w:cs="Times New Roman"/>
        </w:rPr>
      </w:pPr>
    </w:p>
    <w:p>
      <w:pPr>
        <w:pStyle w:val="8"/>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58402D"/>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374BBF"/>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665599"/>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C724D4"/>
    <w:rsid w:val="16D411E7"/>
    <w:rsid w:val="16ED0036"/>
    <w:rsid w:val="170756D4"/>
    <w:rsid w:val="170F4587"/>
    <w:rsid w:val="176115DC"/>
    <w:rsid w:val="176D7525"/>
    <w:rsid w:val="17712A16"/>
    <w:rsid w:val="17824660"/>
    <w:rsid w:val="178F2FF8"/>
    <w:rsid w:val="179121FE"/>
    <w:rsid w:val="17915931"/>
    <w:rsid w:val="17C41ABF"/>
    <w:rsid w:val="18175D56"/>
    <w:rsid w:val="18276B1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9C202B"/>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1DD5D5A"/>
    <w:rsid w:val="21E87D78"/>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A73A0"/>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264BA4"/>
    <w:rsid w:val="33380434"/>
    <w:rsid w:val="33772A4F"/>
    <w:rsid w:val="33773188"/>
    <w:rsid w:val="337E77C9"/>
    <w:rsid w:val="338F53C2"/>
    <w:rsid w:val="33925662"/>
    <w:rsid w:val="339B7AA1"/>
    <w:rsid w:val="33B7637D"/>
    <w:rsid w:val="33D4661F"/>
    <w:rsid w:val="33D5582B"/>
    <w:rsid w:val="33ED39C2"/>
    <w:rsid w:val="340F56DE"/>
    <w:rsid w:val="3425597D"/>
    <w:rsid w:val="342A5DF5"/>
    <w:rsid w:val="344851FD"/>
    <w:rsid w:val="349B5E0E"/>
    <w:rsid w:val="34A432B6"/>
    <w:rsid w:val="34AA020B"/>
    <w:rsid w:val="34AE29AC"/>
    <w:rsid w:val="34BC17DA"/>
    <w:rsid w:val="34D015E3"/>
    <w:rsid w:val="34D128EE"/>
    <w:rsid w:val="34F85DA8"/>
    <w:rsid w:val="3509398E"/>
    <w:rsid w:val="3547266B"/>
    <w:rsid w:val="3554479E"/>
    <w:rsid w:val="35747E49"/>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290F4A"/>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A2E88"/>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0F184C"/>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93EAE"/>
    <w:rsid w:val="4B311212"/>
    <w:rsid w:val="4B3E6720"/>
    <w:rsid w:val="4B43535A"/>
    <w:rsid w:val="4B476348"/>
    <w:rsid w:val="4B625BF7"/>
    <w:rsid w:val="4B6776B0"/>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4B5067"/>
    <w:rsid w:val="4E5D7C3A"/>
    <w:rsid w:val="4E8D762E"/>
    <w:rsid w:val="4E9B1112"/>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1C274F"/>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83047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A47D96"/>
    <w:rsid w:val="55C94049"/>
    <w:rsid w:val="55DA287E"/>
    <w:rsid w:val="55DD1819"/>
    <w:rsid w:val="55EC79CD"/>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986F4A"/>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D10B28"/>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2B7800"/>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33D0A"/>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183C14"/>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92532"/>
    <w:rsid w:val="7AAC462A"/>
    <w:rsid w:val="7AF84FA0"/>
    <w:rsid w:val="7AF909C6"/>
    <w:rsid w:val="7B6F1BD0"/>
    <w:rsid w:val="7B732126"/>
    <w:rsid w:val="7B755C15"/>
    <w:rsid w:val="7B7B20CE"/>
    <w:rsid w:val="7B8E1216"/>
    <w:rsid w:val="7B8E6410"/>
    <w:rsid w:val="7B9A1345"/>
    <w:rsid w:val="7BCA6C86"/>
    <w:rsid w:val="7C044DA1"/>
    <w:rsid w:val="7C365DE1"/>
    <w:rsid w:val="7CA33449"/>
    <w:rsid w:val="7CCE4D69"/>
    <w:rsid w:val="7D0A0BA4"/>
    <w:rsid w:val="7D107AF3"/>
    <w:rsid w:val="7D4253C7"/>
    <w:rsid w:val="7D4C5341"/>
    <w:rsid w:val="7D4E5EE6"/>
    <w:rsid w:val="7D4F12C4"/>
    <w:rsid w:val="7D8901AD"/>
    <w:rsid w:val="7D8E577D"/>
    <w:rsid w:val="7D9A426A"/>
    <w:rsid w:val="7DF1502C"/>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pPr>
    <w:rPr>
      <w:sz w:val="24"/>
    </w:rPr>
  </w:style>
  <w:style w:type="paragraph" w:styleId="3">
    <w:name w:val="Body Text Indent"/>
    <w:basedOn w:val="1"/>
    <w:next w:val="4"/>
    <w:autoRedefine/>
    <w:qFormat/>
    <w:uiPriority w:val="0"/>
    <w:pPr>
      <w:spacing w:after="120" w:afterLines="0"/>
      <w:ind w:left="420" w:leftChars="200"/>
    </w:pPr>
  </w:style>
  <w:style w:type="paragraph" w:styleId="4">
    <w:name w:val="envelope return"/>
    <w:basedOn w:val="1"/>
    <w:autoRedefine/>
    <w:qFormat/>
    <w:uiPriority w:val="0"/>
    <w:rPr>
      <w:rFonts w:ascii="Arial" w:hAnsi="Arial"/>
    </w:rPr>
  </w:style>
  <w:style w:type="paragraph" w:styleId="8">
    <w:name w:val="annotation text"/>
    <w:basedOn w:val="1"/>
    <w:autoRedefine/>
    <w:qFormat/>
    <w:uiPriority w:val="0"/>
    <w:pPr>
      <w:jc w:val="left"/>
    </w:pPr>
    <w:rPr>
      <w:rFonts w:eastAsia="宋体"/>
      <w:kern w:val="2"/>
      <w:sz w:val="21"/>
      <w:szCs w:val="24"/>
      <w:lang w:val="en-US" w:eastAsia="zh-CN" w:bidi="ar-SA"/>
    </w:rPr>
  </w:style>
  <w:style w:type="paragraph" w:styleId="9">
    <w:name w:val="Body Text 3"/>
    <w:basedOn w:val="1"/>
    <w:autoRedefine/>
    <w:qFormat/>
    <w:uiPriority w:val="0"/>
    <w:rPr>
      <w:rFonts w:ascii="宋体"/>
      <w:sz w:val="24"/>
      <w:szCs w:val="20"/>
    </w:rPr>
  </w:style>
  <w:style w:type="paragraph" w:styleId="10">
    <w:name w:val="Body Text"/>
    <w:basedOn w:val="1"/>
    <w:autoRedefine/>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autoRedefine/>
    <w:qFormat/>
    <w:uiPriority w:val="0"/>
    <w:pPr>
      <w:ind w:firstLine="420" w:firstLineChars="1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6"/>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7"/>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11541</Words>
  <Characters>12973</Characters>
  <Lines>0</Lines>
  <Paragraphs>0</Paragraphs>
  <TotalTime>6</TotalTime>
  <ScaleCrop>false</ScaleCrop>
  <LinksUpToDate>false</LinksUpToDate>
  <CharactersWithSpaces>14650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2024-01-04T07:26:20Z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3DC1C1C5EC6741F69426F536341F9981</vt:lpwstr>
  </property>
</Properties>
</file>