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CF543F" w:themeColor="accent2"/>
          <w:kern w:val="0"/>
          <w:sz w:val="32"/>
          <w:szCs w:val="32"/>
          <w:highlight w:val="none"/>
          <w:lang w:val="en-US" w:eastAsia="zh-CN"/>
          <w14:textFill>
            <w14:solidFill>
              <w14:schemeClr w14:val="accent2"/>
            </w14:solidFill>
          </w14:textFill>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color w:val="auto"/>
          <w:kern w:val="0"/>
          <w:sz w:val="28"/>
          <w:szCs w:val="28"/>
          <w:highlight w:val="none"/>
          <w:u w:val="none"/>
          <w:shd w:val="clear" w:color="auto" w:fill="auto"/>
          <w:lang w:val="en-US" w:eastAsia="zh-CN"/>
        </w:rPr>
        <w:t>公交餐饮公司食材采购及配送服务项目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960" w:firstLineChars="700"/>
        <w:jc w:val="both"/>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050</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亳州公交餐饮有限公司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2023年12</w:t>
      </w:r>
      <w:r>
        <w:rPr>
          <w:rFonts w:hint="eastAsia" w:ascii="Times New Roman" w:hAnsi="Times New Roman" w:eastAsia="楷体" w:cs="Times New Roman"/>
          <w:kern w:val="0"/>
          <w:sz w:val="32"/>
          <w:szCs w:val="32"/>
          <w:highlight w:val="none"/>
          <w:u w:val="none"/>
          <w:shd w:val="clear" w:color="auto" w:fill="auto"/>
          <w:lang w:val="en-US" w:eastAsia="zh-CN"/>
        </w:rPr>
        <w:t>月29日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bookmarkStart w:id="479" w:name="_GoBack"/>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49</w:t>
      </w:r>
    </w:p>
    <w:bookmarkEnd w:id="479"/>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color w:val="auto"/>
          <w:sz w:val="28"/>
          <w:szCs w:val="28"/>
          <w:highlight w:val="none"/>
          <w:lang w:val="en-US" w:eastAsia="zh-CN"/>
        </w:rPr>
      </w:pPr>
      <w:r>
        <w:rPr>
          <w:rFonts w:hint="eastAsia" w:ascii="Times New Roman" w:hAnsi="Times New Roman" w:eastAsia="黑体" w:cs="Times New Roman"/>
          <w:color w:val="auto"/>
          <w:kern w:val="0"/>
          <w:sz w:val="28"/>
          <w:szCs w:val="28"/>
          <w:highlight w:val="none"/>
          <w:u w:val="single"/>
          <w:shd w:val="clear" w:color="auto" w:fill="auto"/>
          <w:lang w:val="en-US" w:eastAsia="zh-CN"/>
        </w:rPr>
        <w:t>公交餐饮公司食材采购及配送服务项目</w:t>
      </w:r>
      <w:r>
        <w:rPr>
          <w:rFonts w:hint="eastAsia" w:ascii="Times New Roman" w:hAnsi="Times New Roman" w:eastAsia="黑体" w:cs="Times New Roman"/>
          <w:color w:val="auto"/>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246996166"/>
      <w:bookmarkStart w:id="1" w:name="_Toc152045519"/>
      <w:bookmarkStart w:id="2" w:name="_Toc247085680"/>
      <w:bookmarkStart w:id="3" w:name="_Toc246996909"/>
      <w:bookmarkStart w:id="4" w:name="_Toc144974487"/>
      <w:bookmarkStart w:id="5" w:name="_Toc152042295"/>
      <w:bookmarkStart w:id="6" w:name="_Toc296602410"/>
      <w:bookmarkStart w:id="7" w:name="_Toc17963253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color w:val="auto"/>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144974488"/>
      <w:bookmarkStart w:id="9" w:name="_Toc152042296"/>
      <w:bookmarkStart w:id="10" w:name="_Toc296602411"/>
      <w:bookmarkStart w:id="11" w:name="_Toc179632537"/>
      <w:bookmarkStart w:id="12" w:name="_Toc246996167"/>
      <w:bookmarkStart w:id="13" w:name="_Toc246996910"/>
      <w:bookmarkStart w:id="14" w:name="_Toc247085681"/>
      <w:bookmarkStart w:id="15" w:name="_Toc152045520"/>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项目名称：公交餐饮公司食材采购及配送服务项目</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（二）项目编号：BZJK-2023-050号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资金来源：</w:t>
      </w:r>
      <w:r>
        <w:rPr>
          <w:rFonts w:hint="eastAsia" w:asciiTheme="minorEastAsia" w:hAnsiTheme="minorEastAsia" w:cstheme="minorEastAsia"/>
          <w:color w:val="auto"/>
          <w:sz w:val="28"/>
          <w:szCs w:val="28"/>
          <w:highlight w:val="none"/>
          <w:lang w:val="en-US" w:eastAsia="zh-CN"/>
        </w:rPr>
        <w:t>自筹资金</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招标人：</w:t>
      </w:r>
      <w:r>
        <w:rPr>
          <w:rFonts w:hint="eastAsia" w:asciiTheme="minorEastAsia" w:hAnsiTheme="minorEastAsia" w:cstheme="minorEastAsia"/>
          <w:color w:val="auto"/>
          <w:sz w:val="28"/>
          <w:szCs w:val="28"/>
          <w:highlight w:val="none"/>
          <w:lang w:val="en-US" w:eastAsia="zh-CN"/>
        </w:rPr>
        <w:t>亳州公交餐饮有限公司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（一）项目概况：</w:t>
      </w:r>
      <w:r>
        <w:rPr>
          <w:rFonts w:hint="eastAsia" w:asciiTheme="minorEastAsia" w:hAnsiTheme="minorEastAsia" w:cstheme="minorEastAsia"/>
          <w:color w:val="auto"/>
          <w:sz w:val="28"/>
          <w:szCs w:val="28"/>
          <w:highlight w:val="none"/>
          <w:lang w:val="en-US" w:eastAsia="zh-CN"/>
        </w:rPr>
        <w:t>亳州公交餐饮有限公司为保障生产经营有序开展，对食品原材料配送服务进行招标。</w:t>
      </w:r>
      <w:r>
        <w:rPr>
          <w:rFonts w:hint="eastAsia" w:asciiTheme="minorEastAsia" w:hAnsiTheme="minorEastAsia" w:eastAsiaTheme="minorEastAsia" w:cstheme="minorEastAsia"/>
          <w:color w:val="auto"/>
          <w:sz w:val="28"/>
          <w:szCs w:val="28"/>
          <w:highlight w:val="none"/>
          <w:lang w:val="en-US" w:eastAsia="zh-CN"/>
        </w:rPr>
        <w:t>标包一为肉类、禽肉禽蛋类、水产类采购，预算金额75万元，标包二为蔬菜类、豆制品类、菌类采购，预算金额75万元</w:t>
      </w:r>
      <w:r>
        <w:rPr>
          <w:rFonts w:hint="eastAsia" w:asciiTheme="minorEastAsia" w:hAnsi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r>
        <w:rPr>
          <w:rFonts w:hint="eastAsia" w:asciiTheme="minorEastAsia" w:hAnsiTheme="minorEastAsia" w:cstheme="minorEastAsia"/>
          <w:color w:val="auto"/>
          <w:sz w:val="28"/>
          <w:szCs w:val="28"/>
          <w:highlight w:val="none"/>
          <w:lang w:val="en-US" w:eastAsia="zh-CN"/>
        </w:rPr>
        <w:t>为招标人提供食材采购及配送服务，包括但不限于食材预加工、包装、运输、装卸、质保、售后服务等工作，具体供货范围详见第五章供货要求。本项目为预采购，可能因意外情况终止或变更，结算时以招标人实际采购订单为准。</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（三）交货地点及交货期：</w:t>
      </w:r>
      <w:r>
        <w:rPr>
          <w:rFonts w:hint="eastAsia" w:asciiTheme="minorEastAsia" w:hAnsiTheme="minorEastAsia" w:eastAsiaTheme="minorEastAsia" w:cstheme="minorEastAsia"/>
          <w:color w:val="auto"/>
          <w:sz w:val="28"/>
          <w:szCs w:val="28"/>
          <w:highlight w:val="none"/>
          <w:lang w:val="en-US" w:eastAsia="zh-CN"/>
        </w:rPr>
        <w:t>亳州市内</w:t>
      </w:r>
      <w:r>
        <w:rPr>
          <w:rFonts w:hint="eastAsia" w:asciiTheme="minorEastAsia" w:hAnsiTheme="minorEastAsia" w:cstheme="minorEastAsia"/>
          <w:color w:val="auto"/>
          <w:sz w:val="28"/>
          <w:szCs w:val="28"/>
          <w:highlight w:val="none"/>
          <w:lang w:val="en-US" w:eastAsia="zh-CN"/>
        </w:rPr>
        <w:t>，招标人指定地点</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全年满足供货需求，常规订单确认后次日07:00分前完成供货，紧急需求订单4小时内完成供货。</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（四）质量</w:t>
      </w:r>
      <w:r>
        <w:rPr>
          <w:rFonts w:hint="eastAsia" w:asciiTheme="minorEastAsia" w:hAnsiTheme="minorEastAsia" w:eastAsiaTheme="minorEastAsia" w:cstheme="minorEastAsia"/>
          <w:color w:val="auto"/>
          <w:sz w:val="28"/>
          <w:szCs w:val="28"/>
          <w:highlight w:val="none"/>
          <w:lang w:val="en-US" w:eastAsia="zh-CN"/>
        </w:rPr>
        <w:t>标准：</w:t>
      </w:r>
      <w:r>
        <w:rPr>
          <w:rFonts w:hint="eastAsia" w:asciiTheme="minorEastAsia" w:hAnsiTheme="minorEastAsia" w:cstheme="minorEastAsia"/>
          <w:color w:val="auto"/>
          <w:sz w:val="28"/>
          <w:szCs w:val="28"/>
          <w:highlight w:val="none"/>
          <w:lang w:val="en-US" w:eastAsia="zh-CN"/>
        </w:rPr>
        <w:t>符合国家、行业、地方现行相关规范合格标准，符合招标文件第五章供货要求</w:t>
      </w:r>
      <w:r>
        <w:rPr>
          <w:rFonts w:hint="eastAsia" w:asciiTheme="minorEastAsia" w:hAnsiTheme="minorEastAsia" w:eastAsiaTheme="minorEastAsia" w:cstheme="minorEastAsia"/>
          <w:color w:val="auto"/>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（五）标包划分：本项目共分2个标包。标包一为肉类、禽肉禽蛋类、水产类食材采购；标包二为蔬菜类、豆制品类、菌类食材采购。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合同期限</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u w:val="none"/>
          <w:lang w:val="en-US" w:eastAsia="zh-CN"/>
        </w:rPr>
        <w:t>自合同签订之日起</w:t>
      </w:r>
      <w:r>
        <w:rPr>
          <w:rFonts w:hint="eastAsia" w:asciiTheme="minorEastAsia" w:hAnsiTheme="minorEastAsia" w:cstheme="minorEastAsia"/>
          <w:color w:val="auto"/>
          <w:sz w:val="28"/>
          <w:szCs w:val="28"/>
          <w:highlight w:val="none"/>
          <w:u w:val="none"/>
          <w:lang w:val="en-US" w:eastAsia="zh-CN"/>
        </w:rPr>
        <w:t>6</w:t>
      </w:r>
      <w:r>
        <w:rPr>
          <w:rFonts w:hint="eastAsia" w:asciiTheme="minorEastAsia" w:hAnsiTheme="minorEastAsia" w:cstheme="minorEastAsia"/>
          <w:color w:val="auto"/>
          <w:sz w:val="28"/>
          <w:szCs w:val="28"/>
          <w:highlight w:val="none"/>
          <w:u w:val="single"/>
          <w:lang w:val="en-US" w:eastAsia="zh-CN"/>
        </w:rPr>
        <w:t>个月</w:t>
      </w:r>
      <w:r>
        <w:rPr>
          <w:rFonts w:hint="eastAsia" w:asciiTheme="minorEastAsia" w:hAnsiTheme="minorEastAsia" w:eastAsiaTheme="minorEastAsia" w:cstheme="minorEastAsia"/>
          <w:color w:val="auto"/>
          <w:sz w:val="28"/>
          <w:szCs w:val="28"/>
          <w:highlight w:val="none"/>
          <w:u w:val="none"/>
          <w:lang w:val="en-US" w:eastAsia="zh-CN"/>
        </w:rPr>
        <w:t>。</w:t>
      </w:r>
      <w:r>
        <w:rPr>
          <w:rFonts w:hint="eastAsia" w:asciiTheme="minorEastAsia" w:hAnsiTheme="minorEastAsia" w:cstheme="minorEastAsia"/>
          <w:color w:val="auto"/>
          <w:sz w:val="28"/>
          <w:szCs w:val="28"/>
          <w:highlight w:val="none"/>
          <w:u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jc w:val="both"/>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七</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最高投标限价（含税6%）：本次招标以供货验收当日“我家亳州APP”中“智慧物价-菜篮子-批发/农贸”对应食材价格为基准价（优先以“批发”为基准价），最高投标限价为基准价的100%，投标人按固定费率报价。</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本项目结算价款采用浮动价格制，中标费率仅作为投标人后续报价上限标准，合同履行期间，中标人每周四向招标人提供下周主要产品的价格报价，报价不得高于“基准价格*中标费率”。</w:t>
      </w:r>
    </w:p>
    <w:p>
      <w:pPr>
        <w:keepNext w:val="0"/>
        <w:keepLines w:val="0"/>
        <w:pageBreakBefore w:val="0"/>
        <w:widowControl w:val="0"/>
        <w:kinsoku/>
        <w:wordWrap w:val="0"/>
        <w:overflowPunct/>
        <w:topLinePunct w:val="0"/>
        <w:autoSpaceDE/>
        <w:autoSpaceDN/>
        <w:bidi w:val="0"/>
        <w:adjustRightInd/>
        <w:snapToGrid/>
        <w:spacing w:line="40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（一）基本资格要求：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1.具有独立法人资格，并在人员、设备、资金等方面具有承担本项目的能力；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2.提供2020年至今企业类似项目业绩1个，以合同签订时间为准。类似项目业绩指：单项合同金额不低于50万元的相应标包食品原材料供货业绩；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注：提供业绩合同等相关资料复印件或扫描件装订入投标文件中。业绩合同无法体现供货金额的，投标人需提供对应供货发票复印件作为佐证材料。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3.投标人（含分公司，不含子公司）存在以下不良信用记录情形之一的，不得推荐为中标候选人，不得确定为中标人。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注：以上情形以“信用中国”（www.creditchina.gov.cn）发布的为准，有限制期限的按规定期限执行（以现场查询为准）。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4.投标人如在以往承接交控集团及下属企业项目过程中被记入“黑名单”，不得参加本次招标投标活动。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5.本次招标不接受联合体投标。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（二）标包一肉类、禽肉禽蛋类、水产类食材采购，投标人还需具备以下资格：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1.具有有效的《食品经营许可证》，且经营项目应当至少包括散装食品销售（含冷藏冷冻食品）；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2.投标人需要提供供货产品生产企业相关证书复印件：①鲜冻猪肉类需提供《动物防疫条件合格证》、《生猪定点屠宰症》；②鲜、冻分割畜禽肉类、鲜禽蛋类需提供《动物防疫条件合格证》；③肉类调理品以及水（海）产品（加工类）需提供《食品生产许可证》（含食品生产许可品种明细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（三）标包二蔬菜类、豆制品类、菌类食材采购，投标人还需具备以下资格：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1.具有有效的《食品经营许可证》，且经营项目应当至少包括散装食品销售。</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auto"/>
          <w:sz w:val="28"/>
          <w:szCs w:val="28"/>
          <w:highlight w:val="none"/>
          <w:lang w:val="en-US" w:eastAsia="zh-CN"/>
        </w:rPr>
        <w:t>（一）开标时间（投标截止时间）</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允许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r>
        <w:rPr>
          <w:rFonts w:hint="eastAsia" w:asciiTheme="minorEastAsia" w:hAnsiTheme="minorEastAsia" w:cstheme="minorEastAsia"/>
          <w:sz w:val="28"/>
          <w:szCs w:val="28"/>
          <w:highlight w:val="none"/>
          <w:lang w:val="en-US" w:eastAsia="zh-CN"/>
        </w:rPr>
        <w:t>标包一</w:t>
      </w:r>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r>
        <w:rPr>
          <w:rFonts w:hint="eastAsia" w:asciiTheme="minorEastAsia" w:hAnsiTheme="minorEastAsia" w:cstheme="minorEastAsia"/>
          <w:sz w:val="28"/>
          <w:szCs w:val="28"/>
          <w:highlight w:val="none"/>
          <w:lang w:val="en-US" w:eastAsia="zh-CN"/>
        </w:rPr>
        <w:t>，标包二</w:t>
      </w:r>
      <w:r>
        <w:rPr>
          <w:rFonts w:hint="eastAsia" w:asciiTheme="minorEastAsia" w:hAnsiTheme="minorEastAsia" w:cstheme="minorEastAsia"/>
          <w:sz w:val="28"/>
          <w:szCs w:val="28"/>
          <w:highlight w:val="none"/>
          <w:u w:val="single"/>
          <w:lang w:val="en-US" w:eastAsia="zh-CN"/>
        </w:rPr>
        <w:t>9000</w:t>
      </w:r>
      <w:r>
        <w:rPr>
          <w:rFonts w:hint="eastAsia" w:asciiTheme="minorEastAsia" w:hAnsiTheme="minorEastAsia" w:cstheme="minorEastAsia"/>
          <w:sz w:val="28"/>
          <w:szCs w:val="28"/>
          <w:highlight w:val="none"/>
          <w:lang w:val="en-US" w:eastAsia="zh-CN"/>
        </w:rPr>
        <w:t>元（人民币）</w:t>
      </w:r>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亳州公交餐饮有限公司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亳州市谯城区华佗镇北公交客运枢纽站内</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王工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 xml:space="preserve">0558-5999118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亳州公交餐饮有限公司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29</w:t>
      </w:r>
      <w:r>
        <w:rPr>
          <w:rFonts w:hint="eastAsia" w:asciiTheme="minorEastAsia" w:hAnsiTheme="minorEastAsia" w:eastAsiaTheme="minorEastAsia" w:cstheme="minorEastAsia"/>
          <w:color w:val="auto"/>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w:t>
            </w:r>
            <w:r>
              <w:rPr>
                <w:rFonts w:hint="eastAsia" w:hAnsi="宋体"/>
                <w:color w:val="FF0000"/>
                <w:szCs w:val="21"/>
                <w:lang w:val="en-US" w:eastAsia="zh-CN"/>
              </w:rPr>
              <w:t xml:space="preserve">  </w:t>
            </w:r>
            <w:r>
              <w:rPr>
                <w:rFonts w:hint="eastAsia" w:hAnsi="宋体"/>
                <w:color w:val="FF0000"/>
                <w:szCs w:val="21"/>
              </w:rPr>
              <w:t>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 xml:space="preserve">接  受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rPr>
            </w:pP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cs="Times New Roman"/>
                <w:color w:val="FF0000"/>
                <w:sz w:val="21"/>
                <w:szCs w:val="21"/>
                <w:highlight w:val="none"/>
              </w:rPr>
              <w:t>开</w:t>
            </w:r>
            <w:r>
              <w:rPr>
                <w:rFonts w:hint="eastAsia" w:ascii="Times New Roman" w:hAnsi="Times New Roman" w:cs="Times New Roman"/>
                <w:color w:val="FF0000"/>
                <w:sz w:val="21"/>
                <w:szCs w:val="21"/>
                <w:highlight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hAnsi="宋体"/>
                <w:szCs w:val="21"/>
              </w:rPr>
              <w:t>详见第一章招标公告、第四章合同条款及格式、第五章供货要求。</w:t>
            </w: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hAnsi="宋体"/>
                <w:szCs w:val="21"/>
              </w:rPr>
              <w:t>技术支持资料以</w:t>
            </w:r>
            <w:r>
              <w:rPr>
                <w:rFonts w:hint="eastAsia" w:hAnsi="宋体"/>
                <w:szCs w:val="21"/>
                <w:lang w:val="en-US" w:eastAsia="zh-CN"/>
              </w:rPr>
              <w:t>生产商</w:t>
            </w:r>
            <w:r>
              <w:rPr>
                <w:rFonts w:hint="eastAsia" w:hAnsi="宋体"/>
                <w:szCs w:val="21"/>
              </w:rPr>
              <w:t>公开发布的印刷资料，政府部门出具的公告或文件，或检测机构出具的检测报告为准，其他形式的技术支持资料视为无效。</w:t>
            </w:r>
            <w:r>
              <w:rPr>
                <w:rFonts w:hint="eastAsia" w:hAnsi="宋体"/>
                <w:sz w:val="21"/>
                <w:szCs w:val="21"/>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hAnsi="宋体"/>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color w:val="FF0000"/>
                <w:szCs w:val="21"/>
                <w:highlight w:val="none"/>
              </w:rPr>
              <w:t>投标保证金的金额：</w:t>
            </w:r>
            <w:r>
              <w:rPr>
                <w:rFonts w:hint="eastAsia" w:ascii="Times New Roman" w:hAnsi="Times New Roman" w:cs="Times New Roman"/>
                <w:szCs w:val="21"/>
                <w:highlight w:val="none"/>
                <w:lang w:val="en-US" w:eastAsia="zh-CN"/>
              </w:rPr>
              <w:t>标包一</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lang w:val="en-US" w:eastAsia="zh-CN"/>
              </w:rPr>
              <w:t>（人民币）</w:t>
            </w:r>
            <w:r>
              <w:rPr>
                <w:rFonts w:hint="eastAsia" w:ascii="Times New Roman" w:hAnsi="Times New Roman" w:cs="Times New Roman"/>
                <w:szCs w:val="21"/>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标包二</w:t>
            </w:r>
            <w:r>
              <w:rPr>
                <w:rFonts w:hint="eastAsia" w:ascii="Times New Roman" w:hAnsi="Times New Roman" w:cs="Times New Roman"/>
                <w:i w:val="0"/>
                <w:iCs w:val="0"/>
                <w:szCs w:val="21"/>
                <w:highlight w:val="none"/>
                <w:u w:val="single"/>
                <w:lang w:val="en-US" w:eastAsia="zh-CN"/>
              </w:rPr>
              <w:t>9000</w:t>
            </w:r>
            <w:r>
              <w:rPr>
                <w:rFonts w:hint="eastAsia" w:ascii="Times New Roman" w:hAnsi="Times New Roman" w:cs="Times New Roman"/>
                <w:szCs w:val="21"/>
                <w:highlight w:val="none"/>
                <w:lang w:val="en-US" w:eastAsia="zh-CN"/>
              </w:rPr>
              <w:t>元（人民币）</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BZJK-2023-050号保证金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szCs w:val="21"/>
                <w:highlight w:val="none"/>
                <w:u w:val="none"/>
                <w:lang w:val="en-US" w:eastAsia="zh-CN"/>
              </w:rPr>
              <w:t>投标文件份</w:t>
            </w:r>
            <w:r>
              <w:rPr>
                <w:rFonts w:hint="eastAsia" w:ascii="Times New Roman" w:hAnsi="Times New Roman" w:cs="Times New Roman"/>
                <w:color w:val="auto"/>
                <w:szCs w:val="21"/>
                <w:highlight w:val="none"/>
                <w:u w:val="none"/>
                <w:lang w:val="en-US" w:eastAsia="zh-CN"/>
              </w:rPr>
              <w:t>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lang w:val="en-US" w:eastAsia="zh-CN"/>
              </w:rPr>
              <w:sym w:font="Wingdings" w:char="00FE"/>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lang w:val="en-US" w:eastAsia="zh-CN"/>
              </w:rPr>
              <w:sym w:font="Wingdings" w:char="00A8"/>
            </w:r>
            <w:r>
              <w:rPr>
                <w:rFonts w:hint="eastAsia" w:asciiTheme="minorEastAsia" w:hAnsiTheme="minorEastAsia" w:cstheme="minorEastAsia"/>
                <w:color w:val="auto"/>
                <w:szCs w:val="21"/>
                <w:highlight w:val="none"/>
                <w:lang w:val="en-US" w:eastAsia="zh-CN"/>
              </w:rPr>
              <w:t xml:space="preserve">要求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w:t>
            </w:r>
            <w:r>
              <w:rPr>
                <w:rFonts w:hint="eastAsia" w:ascii="Times New Roman" w:hAnsi="Times New Roman" w:cs="Times New Roman"/>
                <w:szCs w:val="21"/>
                <w:highlight w:val="none"/>
                <w:u w:val="none"/>
                <w:lang w:val="en-US" w:eastAsia="zh-CN"/>
              </w:rPr>
              <w:t>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开标地址：</w:t>
            </w:r>
            <w:r>
              <w:rPr>
                <w:rFonts w:hint="eastAsia" w:ascii="Times New Roman" w:hAnsi="Times New Roman" w:cs="Times New Roman"/>
                <w:color w:val="FF0000"/>
                <w:szCs w:val="21"/>
                <w:highlight w:val="none"/>
              </w:rPr>
              <w:t>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w:t>
            </w:r>
            <w:r>
              <w:rPr>
                <w:rFonts w:hint="eastAsia" w:ascii="Times New Roman" w:hAnsi="Times New Roman" w:cs="Times New Roman"/>
                <w:color w:val="FF0000"/>
                <w:szCs w:val="21"/>
                <w:highlight w:val="none"/>
              </w:rPr>
              <w:t>亳州公交餐饮有限公司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rPr>
              <w:t>公交餐饮公司食材采购及配送服务项目</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w:t>
            </w:r>
            <w:r>
              <w:rPr>
                <w:rFonts w:hint="eastAsia" w:ascii="Times New Roman" w:hAnsi="Times New Roman" w:cs="Times New Roman"/>
                <w:color w:val="FF0000"/>
                <w:szCs w:val="21"/>
                <w:highlight w:val="none"/>
                <w:u w:val="single"/>
                <w:lang w:val="en-US" w:eastAsia="zh-CN"/>
              </w:rPr>
              <w:t>050</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每标包推荐1-3人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  求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szCs w:val="21"/>
                <w:highlight w:val="none"/>
                <w:lang w:val="en-US" w:eastAsia="zh-CN"/>
              </w:rPr>
              <w:t>标包一10000元</w:t>
            </w:r>
            <w:r>
              <w:rPr>
                <w:rFonts w:hint="default" w:ascii="Times New Roman" w:hAnsi="Times New Roman" w:cs="Times New Roman"/>
                <w:szCs w:val="21"/>
                <w:highlight w:val="none"/>
                <w:lang w:val="en-US" w:eastAsia="zh-CN"/>
              </w:rPr>
              <w:t>（人民币）</w:t>
            </w:r>
            <w:r>
              <w:rPr>
                <w:rFonts w:hint="eastAsia" w:ascii="Times New Roman" w:hAnsi="Times New Roman" w:cs="Times New Roman"/>
                <w:szCs w:val="21"/>
                <w:highlight w:val="none"/>
                <w:lang w:val="en-US" w:eastAsia="zh-CN"/>
              </w:rPr>
              <w:t>，标包二9000元（人民币）</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供货合同到期后返还全部履约保证金（本金无息）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rPr>
      </w:pPr>
      <w:r>
        <w:rPr>
          <w:rFonts w:hint="eastAsia" w:ascii="黑体" w:hAnsi="黑体" w:eastAsia="黑体" w:cs="黑体"/>
          <w:color w:val="000000"/>
          <w:highlight w:val="none"/>
        </w:rPr>
        <w:t>说明：</w:t>
      </w:r>
      <w:bookmarkStart w:id="16" w:name="_Toc246996918"/>
      <w:bookmarkStart w:id="17" w:name="_Toc247085689"/>
      <w:bookmarkStart w:id="18" w:name="_Toc246996175"/>
      <w:bookmarkStart w:id="19" w:name="_Toc179632546"/>
      <w:bookmarkStart w:id="20" w:name="_Toc296602420"/>
      <w:bookmarkStart w:id="21" w:name="_Toc152042305"/>
      <w:bookmarkStart w:id="22" w:name="_Toc144974497"/>
      <w:bookmarkStart w:id="23" w:name="_Toc15204552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5530"/>
      <w:bookmarkStart w:id="25" w:name="_Toc247085690"/>
      <w:bookmarkStart w:id="26" w:name="_Toc296602421"/>
      <w:bookmarkStart w:id="27" w:name="_Toc246996919"/>
      <w:bookmarkStart w:id="28" w:name="_Toc152042306"/>
      <w:bookmarkStart w:id="29" w:name="_Toc144974498"/>
      <w:bookmarkStart w:id="30" w:name="_Toc246996176"/>
      <w:bookmarkStart w:id="31" w:name="_Toc179632547"/>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1"/>
      <w:bookmarkStart w:id="33" w:name="_Toc179632548"/>
      <w:bookmarkStart w:id="34" w:name="_Toc296602422"/>
      <w:bookmarkStart w:id="35" w:name="_Toc144974499"/>
      <w:bookmarkStart w:id="36" w:name="_Toc246996920"/>
      <w:bookmarkStart w:id="37" w:name="_Toc246996177"/>
      <w:bookmarkStart w:id="38" w:name="_Toc152042307"/>
      <w:bookmarkStart w:id="39" w:name="_Toc247085691"/>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0"/>
      <w:bookmarkStart w:id="41" w:name="_Toc179632549"/>
      <w:bookmarkStart w:id="42" w:name="_Toc246996921"/>
      <w:bookmarkStart w:id="43" w:name="_Toc152045532"/>
      <w:bookmarkStart w:id="44" w:name="_Toc152042308"/>
      <w:bookmarkStart w:id="45" w:name="_Toc296602423"/>
      <w:bookmarkStart w:id="46" w:name="_Toc247085692"/>
      <w:bookmarkStart w:id="47" w:name="_Toc246996178"/>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44974502"/>
      <w:bookmarkStart w:id="49" w:name="_Toc179632551"/>
      <w:bookmarkStart w:id="50" w:name="_Toc246996922"/>
      <w:bookmarkStart w:id="51" w:name="_Toc152042310"/>
      <w:bookmarkStart w:id="52" w:name="_Toc246996179"/>
      <w:bookmarkStart w:id="53" w:name="_Toc296602424"/>
      <w:bookmarkStart w:id="54" w:name="_Toc152045534"/>
      <w:bookmarkStart w:id="55" w:name="_Toc247085693"/>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47085694"/>
      <w:bookmarkStart w:id="58" w:name="_Toc296602425"/>
      <w:bookmarkStart w:id="59" w:name="_Toc246996180"/>
      <w:bookmarkStart w:id="60" w:name="_Toc152042311"/>
      <w:bookmarkStart w:id="61" w:name="_Toc246996923"/>
      <w:bookmarkStart w:id="62" w:name="_Toc152045535"/>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26"/>
      <w:bookmarkStart w:id="65" w:name="_Toc152045536"/>
      <w:bookmarkStart w:id="66" w:name="_Toc246996924"/>
      <w:bookmarkStart w:id="67" w:name="_Toc144974504"/>
      <w:bookmarkStart w:id="68" w:name="_Toc179632553"/>
      <w:bookmarkStart w:id="69" w:name="_Toc246996181"/>
      <w:bookmarkStart w:id="70" w:name="_Toc152042312"/>
      <w:bookmarkStart w:id="71" w:name="_Toc247085695"/>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152042313"/>
      <w:bookmarkStart w:id="74" w:name="_Toc179632554"/>
      <w:bookmarkStart w:id="75" w:name="_Toc247085696"/>
      <w:bookmarkStart w:id="76" w:name="_Toc296602427"/>
      <w:bookmarkStart w:id="77" w:name="_Toc152045537"/>
      <w:bookmarkStart w:id="78" w:name="_Toc246996925"/>
      <w:bookmarkStart w:id="79" w:name="_Toc246996182"/>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5538"/>
      <w:bookmarkStart w:id="82" w:name="_Toc152042314"/>
      <w:bookmarkStart w:id="83" w:name="_Toc144974506"/>
      <w:bookmarkStart w:id="84" w:name="_Toc246996183"/>
      <w:bookmarkStart w:id="85" w:name="_Toc179632555"/>
      <w:bookmarkStart w:id="86"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9"/>
      <w:bookmarkStart w:id="89" w:name="_Toc152045539"/>
      <w:bookmarkStart w:id="90" w:name="_Toc247513962"/>
      <w:bookmarkStart w:id="91" w:name="_Toc247592876"/>
      <w:bookmarkStart w:id="92" w:name="_Toc247527563"/>
      <w:bookmarkStart w:id="93" w:name="_Toc152042315"/>
      <w:bookmarkStart w:id="94" w:name="_Toc144974507"/>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152045540"/>
      <w:bookmarkStart w:id="96" w:name="_Toc296602430"/>
      <w:bookmarkStart w:id="97" w:name="_Toc247592877"/>
      <w:bookmarkStart w:id="98" w:name="_Toc247527564"/>
      <w:bookmarkStart w:id="99" w:name="_Toc144974508"/>
      <w:bookmarkStart w:id="100" w:name="_Toc152042316"/>
      <w:bookmarkStart w:id="101" w:name="_Toc247513963"/>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44974510"/>
      <w:bookmarkStart w:id="104" w:name="_Toc247085701"/>
      <w:bookmarkStart w:id="105" w:name="_Toc296602432"/>
      <w:bookmarkStart w:id="106" w:name="_Toc179632560"/>
      <w:bookmarkStart w:id="107" w:name="_Toc246996187"/>
      <w:bookmarkStart w:id="108" w:name="_Toc152042318"/>
      <w:bookmarkStart w:id="109" w:name="_Toc246996930"/>
      <w:bookmarkStart w:id="110" w:name="_Toc152045542"/>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246996931"/>
      <w:bookmarkStart w:id="113" w:name="_Toc179632561"/>
      <w:bookmarkStart w:id="114" w:name="_Toc152042319"/>
      <w:bookmarkStart w:id="115" w:name="_Toc144974511"/>
      <w:bookmarkStart w:id="116" w:name="_Toc296602433"/>
      <w:bookmarkStart w:id="117" w:name="_Toc247085702"/>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12"/>
      <w:bookmarkStart w:id="120" w:name="_Toc246996932"/>
      <w:bookmarkStart w:id="121" w:name="_Toc247085703"/>
      <w:bookmarkStart w:id="122" w:name="_Toc296602434"/>
      <w:bookmarkStart w:id="123" w:name="_Toc152042320"/>
      <w:bookmarkStart w:id="124" w:name="_Toc152045544"/>
      <w:bookmarkStart w:id="125" w:name="_Toc179632562"/>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190"/>
      <w:bookmarkStart w:id="128" w:name="_Toc246996933"/>
      <w:bookmarkStart w:id="129" w:name="_Toc247085704"/>
      <w:bookmarkStart w:id="130" w:name="_Toc296602435"/>
      <w:bookmarkStart w:id="131" w:name="_Toc152042321"/>
      <w:bookmarkStart w:id="132" w:name="_Toc144974513"/>
      <w:bookmarkStart w:id="133" w:name="_Toc152045545"/>
      <w:bookmarkStart w:id="134" w:name="_Toc17963256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5546"/>
      <w:bookmarkStart w:id="136" w:name="_Toc179632564"/>
      <w:bookmarkStart w:id="137" w:name="_Toc152042322"/>
      <w:bookmarkStart w:id="138" w:name="_Toc296602436"/>
      <w:bookmarkStart w:id="139" w:name="_Toc246996934"/>
      <w:bookmarkStart w:id="140" w:name="_Toc246996191"/>
      <w:bookmarkStart w:id="141" w:name="_Toc144974514"/>
      <w:bookmarkStart w:id="142" w:name="_Toc247085705"/>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52042323"/>
      <w:bookmarkStart w:id="144" w:name="_Toc246996192"/>
      <w:bookmarkStart w:id="145" w:name="_Toc152045547"/>
      <w:bookmarkStart w:id="146" w:name="_Toc246996935"/>
      <w:bookmarkStart w:id="147" w:name="_Toc296602437"/>
      <w:bookmarkStart w:id="148" w:name="_Toc247085706"/>
      <w:bookmarkStart w:id="149" w:name="_Toc144974515"/>
      <w:bookmarkStart w:id="150" w:name="_Toc179632565"/>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7085707"/>
      <w:bookmarkStart w:id="152" w:name="_Toc152042324"/>
      <w:bookmarkStart w:id="153" w:name="_Toc296602438"/>
      <w:bookmarkStart w:id="154" w:name="_Toc246996193"/>
      <w:bookmarkStart w:id="155" w:name="_Toc144974516"/>
      <w:bookmarkStart w:id="156" w:name="_Toc152045548"/>
      <w:bookmarkStart w:id="157" w:name="_Toc246996936"/>
      <w:bookmarkStart w:id="158" w:name="_Toc179632566"/>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44974517"/>
      <w:bookmarkStart w:id="160" w:name="_Toc179632567"/>
      <w:bookmarkStart w:id="161" w:name="_Toc152042325"/>
      <w:bookmarkStart w:id="162" w:name="_Toc152045549"/>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194"/>
      <w:bookmarkStart w:id="165" w:name="_Toc246996937"/>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96602440"/>
      <w:bookmarkStart w:id="168" w:name="_Toc144974518"/>
      <w:bookmarkStart w:id="169" w:name="_Toc247085709"/>
      <w:bookmarkStart w:id="170" w:name="_Toc179632568"/>
      <w:bookmarkStart w:id="171" w:name="_Toc246996195"/>
      <w:bookmarkStart w:id="172" w:name="_Toc152045550"/>
      <w:bookmarkStart w:id="173" w:name="_Toc246996938"/>
      <w:bookmarkStart w:id="174" w:name="_Toc152042326"/>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52042328"/>
      <w:bookmarkStart w:id="177" w:name="_Toc179632570"/>
      <w:bookmarkStart w:id="178" w:name="_Toc246996196"/>
      <w:bookmarkStart w:id="179" w:name="_Toc247085710"/>
      <w:bookmarkStart w:id="180" w:name="_Toc246996939"/>
      <w:bookmarkStart w:id="181" w:name="_Toc296602441"/>
      <w:bookmarkStart w:id="182" w:name="_Toc144974520"/>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144974521"/>
      <w:bookmarkStart w:id="185" w:name="_Toc152045553"/>
      <w:bookmarkStart w:id="186" w:name="_Toc152042329"/>
      <w:bookmarkStart w:id="187" w:name="_Toc246996940"/>
      <w:bookmarkStart w:id="188" w:name="_Toc179632571"/>
      <w:bookmarkStart w:id="189" w:name="_Toc247085711"/>
      <w:bookmarkStart w:id="190" w:name="_Toc246996197"/>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246996199"/>
      <w:bookmarkStart w:id="192" w:name="_Toc247085713"/>
      <w:bookmarkStart w:id="193" w:name="_Toc179632573"/>
      <w:bookmarkStart w:id="194" w:name="_Toc152045555"/>
      <w:bookmarkStart w:id="195" w:name="_Toc144974523"/>
      <w:bookmarkStart w:id="196" w:name="_Toc246996942"/>
      <w:bookmarkStart w:id="197" w:name="_Toc152042331"/>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247085714"/>
      <w:bookmarkStart w:id="200" w:name="_Toc152042332"/>
      <w:bookmarkStart w:id="201" w:name="_Toc179632574"/>
      <w:bookmarkStart w:id="202" w:name="_Toc152045556"/>
      <w:bookmarkStart w:id="203" w:name="_Toc246996200"/>
      <w:bookmarkStart w:id="204" w:name="_Toc246996943"/>
      <w:bookmarkStart w:id="205" w:name="_Toc296602444"/>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2333"/>
      <w:bookmarkStart w:id="208" w:name="_Toc144974525"/>
      <w:bookmarkStart w:id="209" w:name="_Toc246996201"/>
      <w:bookmarkStart w:id="210" w:name="_Toc246996944"/>
      <w:bookmarkStart w:id="211" w:name="_Toc152045557"/>
      <w:bookmarkStart w:id="212" w:name="_Toc179632575"/>
      <w:bookmarkStart w:id="213" w:name="_Toc247085715"/>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296602446"/>
      <w:bookmarkStart w:id="217" w:name="_Toc144974526"/>
      <w:bookmarkStart w:id="218" w:name="_Toc247085716"/>
      <w:bookmarkStart w:id="219" w:name="_Toc246996202"/>
      <w:bookmarkStart w:id="220" w:name="_Toc179632576"/>
      <w:bookmarkStart w:id="221" w:name="_Toc152045558"/>
      <w:bookmarkStart w:id="222" w:name="_Toc246996945"/>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96602447"/>
      <w:bookmarkStart w:id="225" w:name="_Toc246996946"/>
      <w:bookmarkStart w:id="226" w:name="_Toc152042335"/>
      <w:bookmarkStart w:id="227" w:name="_Toc152045559"/>
      <w:bookmarkStart w:id="228" w:name="_Toc247085717"/>
      <w:bookmarkStart w:id="229" w:name="_Toc144974527"/>
      <w:bookmarkStart w:id="230" w:name="_Toc246996203"/>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152045560"/>
      <w:bookmarkStart w:id="233" w:name="_Toc152042336"/>
      <w:bookmarkStart w:id="234" w:name="_Toc179632578"/>
      <w:bookmarkStart w:id="235" w:name="_Toc296602448"/>
      <w:bookmarkStart w:id="236" w:name="_Toc247085718"/>
      <w:bookmarkStart w:id="237" w:name="_Toc246996947"/>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247085719"/>
      <w:bookmarkStart w:id="241" w:name="_Toc246996205"/>
      <w:bookmarkStart w:id="242" w:name="_Toc144974529"/>
      <w:bookmarkStart w:id="243" w:name="_Toc296602449"/>
      <w:bookmarkStart w:id="244" w:name="_Toc152045561"/>
      <w:bookmarkStart w:id="245" w:name="_Toc179632579"/>
      <w:bookmarkStart w:id="246" w:name="_Toc152042337"/>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46996949"/>
      <w:bookmarkStart w:id="249" w:name="_Toc152042338"/>
      <w:bookmarkStart w:id="250" w:name="_Toc246996206"/>
      <w:bookmarkStart w:id="251" w:name="_Toc247085720"/>
      <w:bookmarkStart w:id="252" w:name="_Toc296602451"/>
      <w:bookmarkStart w:id="253" w:name="_Toc144974530"/>
      <w:bookmarkStart w:id="254" w:name="_Toc152045562"/>
      <w:bookmarkStart w:id="255" w:name="_Toc17963258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52045563"/>
      <w:bookmarkStart w:id="257" w:name="_Toc152042339"/>
      <w:bookmarkStart w:id="258" w:name="_Toc144974531"/>
      <w:bookmarkStart w:id="259" w:name="_Toc179632581"/>
      <w:bookmarkStart w:id="260" w:name="_Toc296602452"/>
      <w:bookmarkStart w:id="261" w:name="_Toc246996207"/>
      <w:bookmarkStart w:id="262" w:name="_Toc247085721"/>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52042340"/>
      <w:bookmarkStart w:id="265" w:name="_Toc179632582"/>
      <w:bookmarkStart w:id="266" w:name="_Toc296602453"/>
      <w:bookmarkStart w:id="267" w:name="_Toc247085722"/>
      <w:bookmarkStart w:id="268" w:name="_Toc144974532"/>
      <w:bookmarkStart w:id="269" w:name="_Toc152045564"/>
      <w:bookmarkStart w:id="270" w:name="_Toc246996208"/>
      <w:bookmarkStart w:id="271" w:name="_Toc246996951"/>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296602454"/>
      <w:bookmarkStart w:id="274" w:name="_Toc246996952"/>
      <w:bookmarkStart w:id="275" w:name="_Toc144974533"/>
      <w:bookmarkStart w:id="276" w:name="_Toc152045565"/>
      <w:bookmarkStart w:id="277" w:name="_Toc179632583"/>
      <w:bookmarkStart w:id="278" w:name="_Toc246996209"/>
      <w:bookmarkStart w:id="279" w:name="_Toc24708572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52045566"/>
      <w:bookmarkStart w:id="281" w:name="_Toc296602455"/>
      <w:bookmarkStart w:id="282" w:name="_Toc247085724"/>
      <w:bookmarkStart w:id="283" w:name="_Toc246996953"/>
      <w:bookmarkStart w:id="284" w:name="_Toc179632584"/>
      <w:bookmarkStart w:id="285" w:name="_Toc152042342"/>
      <w:bookmarkStart w:id="286" w:name="_Toc144974534"/>
      <w:bookmarkStart w:id="287" w:name="_Toc246996210"/>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7085726"/>
      <w:bookmarkStart w:id="290" w:name="_Toc179632586"/>
      <w:bookmarkStart w:id="291" w:name="_Toc246996955"/>
      <w:bookmarkStart w:id="292" w:name="_Toc296602458"/>
      <w:bookmarkStart w:id="293" w:name="_Toc144974536"/>
      <w:bookmarkStart w:id="294" w:name="_Toc152045568"/>
      <w:bookmarkStart w:id="295" w:name="_Toc152042344"/>
      <w:bookmarkStart w:id="296" w:name="_Toc246996212"/>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2345"/>
      <w:bookmarkStart w:id="298" w:name="_Toc296602459"/>
      <w:bookmarkStart w:id="299" w:name="_Toc144974537"/>
      <w:bookmarkStart w:id="300" w:name="_Toc247085727"/>
      <w:bookmarkStart w:id="301" w:name="_Toc246996213"/>
      <w:bookmarkStart w:id="302" w:name="_Toc152045569"/>
      <w:bookmarkStart w:id="303" w:name="_Toc179632587"/>
      <w:bookmarkStart w:id="304" w:name="_Toc246996956"/>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246996214"/>
      <w:bookmarkStart w:id="306" w:name="_Toc247085728"/>
      <w:bookmarkStart w:id="307" w:name="_Toc246996957"/>
      <w:bookmarkStart w:id="308" w:name="_Toc152045570"/>
      <w:bookmarkStart w:id="309" w:name="_Toc152042346"/>
      <w:bookmarkStart w:id="310" w:name="_Toc179632588"/>
      <w:bookmarkStart w:id="311" w:name="_Toc144974538"/>
      <w:bookmarkStart w:id="312" w:name="_Toc296602460"/>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i/>
          <w:iCs/>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i/>
          <w:iCs/>
        </w:rPr>
      </w:pPr>
      <w:r>
        <w:rPr>
          <w:rFonts w:hint="eastAsia"/>
          <w:i/>
          <w:iCs/>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i/>
          <w:iCs/>
          <w:lang w:eastAsia="zh-CN"/>
        </w:rPr>
      </w:pPr>
      <w:r>
        <w:rPr>
          <w:rFonts w:hint="eastAsia"/>
          <w:i/>
          <w:iCs/>
        </w:rPr>
        <w:t>7.</w:t>
      </w:r>
      <w:r>
        <w:rPr>
          <w:rFonts w:hint="eastAsia"/>
          <w:i/>
          <w:iCs/>
          <w:lang w:val="en-US" w:eastAsia="zh-CN"/>
        </w:rPr>
        <w:t>6</w:t>
      </w:r>
      <w:r>
        <w:rPr>
          <w:rFonts w:hint="eastAsia"/>
          <w:i/>
          <w:iCs/>
        </w:rPr>
        <w:t xml:space="preserve"> </w:t>
      </w:r>
      <w:r>
        <w:rPr>
          <w:rFonts w:hint="eastAsia"/>
          <w:b/>
          <w:bCs/>
          <w:i w:val="0"/>
          <w:iCs w:val="0"/>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w:t>
      </w:r>
      <w:r>
        <w:rPr>
          <w:rFonts w:hint="eastAsia"/>
          <w:lang w:eastAsia="zh-CN"/>
        </w:rPr>
        <w:t>见投标人须知前附表</w:t>
      </w:r>
      <w:r>
        <w:rPr>
          <w:rFonts w:hint="eastAsia"/>
        </w:rPr>
        <w:t>。联合体中标的，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96602462"/>
      <w:bookmarkStart w:id="315" w:name="_Toc152042351"/>
      <w:bookmarkStart w:id="316" w:name="_Toc152045575"/>
      <w:bookmarkStart w:id="317" w:name="_Toc296590983"/>
      <w:bookmarkStart w:id="318" w:name="_Toc246996962"/>
      <w:bookmarkStart w:id="319" w:name="_Toc144974543"/>
      <w:bookmarkStart w:id="320" w:name="_Toc247085733"/>
      <w:bookmarkStart w:id="321" w:name="_Toc179632593"/>
      <w:bookmarkStart w:id="322" w:name="_Toc246996219"/>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23" w:name="_Toc152042352"/>
      <w:bookmarkStart w:id="324" w:name="_Toc246996220"/>
      <w:bookmarkStart w:id="325" w:name="_Toc247085734"/>
      <w:bookmarkStart w:id="326" w:name="_Toc152045576"/>
      <w:bookmarkStart w:id="327" w:name="_Toc246996963"/>
      <w:bookmarkStart w:id="328" w:name="_Toc296602463"/>
      <w:bookmarkStart w:id="329" w:name="_Toc144974544"/>
      <w:bookmarkStart w:id="330" w:name="_Toc179632594"/>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144974545"/>
      <w:bookmarkStart w:id="332" w:name="_Toc179632595"/>
      <w:bookmarkStart w:id="333" w:name="_Toc246996964"/>
      <w:bookmarkStart w:id="334" w:name="_Toc246996221"/>
      <w:bookmarkStart w:id="335" w:name="_Toc152045577"/>
      <w:bookmarkStart w:id="336" w:name="_Toc152042353"/>
      <w:bookmarkStart w:id="337" w:name="_Toc296602464"/>
      <w:bookmarkStart w:id="338" w:name="_Toc247085735"/>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96602465"/>
      <w:bookmarkStart w:id="340" w:name="_Toc247085736"/>
      <w:bookmarkStart w:id="341" w:name="_Toc246996222"/>
      <w:bookmarkStart w:id="342" w:name="_Toc152042354"/>
      <w:bookmarkStart w:id="343" w:name="_Toc179632596"/>
      <w:bookmarkStart w:id="344" w:name="_Toc152045578"/>
      <w:bookmarkStart w:id="345" w:name="_Toc246996965"/>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96602466"/>
      <w:bookmarkStart w:id="349" w:name="_Toc152045579"/>
      <w:bookmarkStart w:id="350" w:name="_Toc246996966"/>
      <w:bookmarkStart w:id="351" w:name="_Toc247085737"/>
      <w:bookmarkStart w:id="352" w:name="_Toc179632597"/>
      <w:bookmarkStart w:id="353" w:name="_Toc152042356"/>
      <w:bookmarkStart w:id="354" w:name="_Toc246996223"/>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2357"/>
      <w:bookmarkStart w:id="357" w:name="_Toc152045580"/>
      <w:bookmarkStart w:id="358" w:name="_Toc246996967"/>
      <w:bookmarkStart w:id="359" w:name="_Toc246996224"/>
      <w:bookmarkStart w:id="360" w:name="_Toc247085738"/>
      <w:bookmarkStart w:id="361" w:name="_Toc179632598"/>
      <w:bookmarkStart w:id="362" w:name="_Toc296602467"/>
      <w:bookmarkStart w:id="363" w:name="_Toc144974547"/>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1137"/>
        <w:gridCol w:w="184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u w:val="none"/>
              </w:rPr>
            </w:pPr>
            <w:r>
              <w:rPr>
                <w:rFonts w:hint="default" w:ascii="Times New Roman" w:hAnsi="Times New Roman" w:cs="Times New Roman" w:eastAsiaTheme="minorEastAsia"/>
                <w:b/>
                <w:kern w:val="0"/>
                <w:sz w:val="24"/>
                <w:szCs w:val="24"/>
                <w:highlight w:val="none"/>
                <w:u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113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u w:val="none"/>
              </w:rPr>
            </w:pPr>
            <w:r>
              <w:rPr>
                <w:rFonts w:hint="default" w:ascii="Times New Roman" w:hAnsi="Times New Roman" w:cs="Times New Roman" w:eastAsiaTheme="minorEastAsia"/>
                <w:kern w:val="0"/>
                <w:sz w:val="24"/>
                <w:szCs w:val="24"/>
                <w:highlight w:val="none"/>
                <w:u w:val="none"/>
              </w:rPr>
              <w:t>与营业执照、资质证书</w:t>
            </w:r>
            <w:r>
              <w:rPr>
                <w:rFonts w:hint="eastAsia" w:ascii="Times New Roman" w:hAnsi="Times New Roman" w:cs="Times New Roman"/>
                <w:kern w:val="0"/>
                <w:sz w:val="24"/>
                <w:szCs w:val="24"/>
                <w:highlight w:val="none"/>
                <w:u w:val="none"/>
                <w:lang w:eastAsia="zh-CN"/>
              </w:rPr>
              <w:t>、</w:t>
            </w:r>
            <w:r>
              <w:rPr>
                <w:rFonts w:hint="eastAsia" w:ascii="Times New Roman" w:hAnsi="Times New Roman" w:cs="Times New Roman"/>
                <w:kern w:val="0"/>
                <w:sz w:val="24"/>
                <w:szCs w:val="24"/>
                <w:highlight w:val="none"/>
                <w:u w:val="none"/>
                <w:lang w:val="en-US" w:eastAsia="zh-CN"/>
              </w:rPr>
              <w:t>安全生产许可证</w:t>
            </w:r>
            <w:r>
              <w:rPr>
                <w:rFonts w:hint="default" w:ascii="Times New Roman" w:hAnsi="Times New Roman" w:cs="Times New Roman" w:eastAsiaTheme="minorEastAsia"/>
                <w:kern w:val="0"/>
                <w:sz w:val="24"/>
                <w:szCs w:val="24"/>
                <w:highlight w:val="none"/>
                <w:u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u w:val="none"/>
                <w:lang w:eastAsia="zh-CN"/>
              </w:rPr>
            </w:pPr>
            <w:r>
              <w:rPr>
                <w:rFonts w:hint="default" w:ascii="Times New Roman" w:hAnsi="Times New Roman" w:cs="Times New Roman" w:eastAsiaTheme="minorEastAsia"/>
                <w:kern w:val="0"/>
                <w:sz w:val="24"/>
                <w:szCs w:val="24"/>
                <w:highlight w:val="none"/>
                <w:u w:val="none"/>
              </w:rPr>
              <w:t>有法定代表人</w:t>
            </w:r>
            <w:r>
              <w:rPr>
                <w:rFonts w:hint="eastAsia" w:ascii="Times New Roman" w:hAnsi="Times New Roman" w:cs="Times New Roman"/>
                <w:kern w:val="0"/>
                <w:sz w:val="24"/>
                <w:szCs w:val="24"/>
                <w:highlight w:val="none"/>
                <w:u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u w:val="none"/>
                <w:lang w:eastAsia="zh-CN"/>
              </w:rPr>
            </w:pPr>
            <w:r>
              <w:rPr>
                <w:rFonts w:hint="default" w:ascii="Times New Roman" w:hAnsi="Times New Roman" w:cs="Times New Roman" w:eastAsiaTheme="minorEastAsia"/>
                <w:kern w:val="0"/>
                <w:sz w:val="24"/>
                <w:szCs w:val="24"/>
                <w:highlight w:val="none"/>
                <w:u w:val="none"/>
              </w:rPr>
              <w:t>符合</w:t>
            </w:r>
            <w:r>
              <w:rPr>
                <w:rFonts w:hint="default" w:ascii="Times New Roman" w:hAnsi="Times New Roman" w:cs="Times New Roman" w:eastAsiaTheme="minorEastAsia"/>
                <w:color w:val="auto"/>
                <w:kern w:val="0"/>
                <w:sz w:val="24"/>
                <w:szCs w:val="24"/>
                <w:highlight w:val="none"/>
                <w:u w:val="none"/>
              </w:rPr>
              <w:t>第</w:t>
            </w:r>
            <w:r>
              <w:rPr>
                <w:rFonts w:hint="eastAsia" w:ascii="Times New Roman" w:hAnsi="Times New Roman" w:cs="Times New Roman"/>
                <w:color w:val="auto"/>
                <w:kern w:val="0"/>
                <w:sz w:val="24"/>
                <w:szCs w:val="24"/>
                <w:highlight w:val="none"/>
                <w:u w:val="none"/>
                <w:lang w:val="en-US" w:eastAsia="zh-CN"/>
              </w:rPr>
              <w:t>六</w:t>
            </w:r>
            <w:r>
              <w:rPr>
                <w:rFonts w:hint="default" w:ascii="Times New Roman" w:hAnsi="Times New Roman" w:cs="Times New Roman" w:eastAsiaTheme="minorEastAsia"/>
                <w:color w:val="auto"/>
                <w:kern w:val="0"/>
                <w:sz w:val="24"/>
                <w:szCs w:val="24"/>
                <w:highlight w:val="none"/>
                <w:u w:val="none"/>
              </w:rPr>
              <w:t>章</w:t>
            </w:r>
            <w:r>
              <w:rPr>
                <w:rFonts w:hint="eastAsia" w:ascii="Times New Roman" w:hAnsi="Times New Roman" w:cs="Times New Roman"/>
                <w:color w:val="auto"/>
                <w:kern w:val="0"/>
                <w:sz w:val="24"/>
                <w:szCs w:val="24"/>
                <w:highlight w:val="none"/>
                <w:u w:val="none"/>
                <w:lang w:eastAsia="zh-CN"/>
              </w:rPr>
              <w:t>“</w:t>
            </w:r>
            <w:r>
              <w:rPr>
                <w:rFonts w:hint="default" w:ascii="Times New Roman" w:hAnsi="Times New Roman" w:cs="Times New Roman" w:eastAsiaTheme="minorEastAsia"/>
                <w:kern w:val="0"/>
                <w:sz w:val="24"/>
                <w:szCs w:val="24"/>
                <w:highlight w:val="none"/>
                <w:u w:val="none"/>
              </w:rPr>
              <w:t>投标文件格式</w:t>
            </w:r>
            <w:r>
              <w:rPr>
                <w:rFonts w:hint="eastAsia" w:ascii="Times New Roman" w:hAnsi="Times New Roman" w:cs="Times New Roman"/>
                <w:kern w:val="0"/>
                <w:sz w:val="24"/>
                <w:szCs w:val="24"/>
                <w:highlight w:val="none"/>
                <w:u w:val="none"/>
                <w:lang w:eastAsia="zh-CN"/>
              </w:rPr>
              <w:t>”</w:t>
            </w:r>
            <w:r>
              <w:rPr>
                <w:rFonts w:hint="default" w:ascii="Times New Roman" w:hAnsi="Times New Roman" w:cs="Times New Roman" w:eastAsiaTheme="minorEastAsia"/>
                <w:kern w:val="0"/>
                <w:sz w:val="24"/>
                <w:szCs w:val="24"/>
                <w:highlight w:val="none"/>
                <w:u w:val="none"/>
              </w:rPr>
              <w:t>的</w:t>
            </w:r>
            <w:r>
              <w:rPr>
                <w:rFonts w:hint="eastAsia" w:ascii="Times New Roman" w:hAnsi="Times New Roman" w:cs="Times New Roman"/>
                <w:kern w:val="0"/>
                <w:sz w:val="24"/>
                <w:szCs w:val="24"/>
                <w:highlight w:val="none"/>
                <w:u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113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kern w:val="0"/>
                <w:sz w:val="24"/>
                <w:szCs w:val="24"/>
                <w:highlight w:val="none"/>
                <w:u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kern w:val="0"/>
                <w:sz w:val="24"/>
                <w:szCs w:val="24"/>
                <w:highlight w:val="none"/>
                <w:u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113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u w:val="none"/>
              </w:rPr>
            </w:pPr>
            <w:r>
              <w:rPr>
                <w:rFonts w:hint="default" w:ascii="Times New Roman" w:hAnsi="Times New Roman" w:cs="Times New Roman" w:eastAsiaTheme="minorEastAsia"/>
                <w:kern w:val="0"/>
                <w:sz w:val="24"/>
                <w:szCs w:val="24"/>
                <w:highlight w:val="none"/>
                <w:u w:val="none"/>
              </w:rPr>
              <w:t>符合第二章</w:t>
            </w:r>
            <w:r>
              <w:rPr>
                <w:rFonts w:hint="eastAsia" w:ascii="Times New Roman" w:hAnsi="Times New Roman" w:cs="Times New Roman"/>
                <w:kern w:val="0"/>
                <w:sz w:val="24"/>
                <w:szCs w:val="24"/>
                <w:highlight w:val="none"/>
                <w:u w:val="none"/>
                <w:lang w:eastAsia="zh-CN"/>
              </w:rPr>
              <w:t>“</w:t>
            </w:r>
            <w:r>
              <w:rPr>
                <w:rFonts w:hint="default" w:ascii="Times New Roman" w:hAnsi="Times New Roman" w:cs="Times New Roman" w:eastAsiaTheme="minorEastAsia"/>
                <w:kern w:val="0"/>
                <w:sz w:val="24"/>
                <w:szCs w:val="24"/>
                <w:highlight w:val="none"/>
                <w:u w:val="none"/>
              </w:rPr>
              <w:t>投标人须知</w:t>
            </w:r>
            <w:r>
              <w:rPr>
                <w:rFonts w:hint="eastAsia" w:ascii="Times New Roman" w:hAnsi="Times New Roman" w:cs="Times New Roman"/>
                <w:kern w:val="0"/>
                <w:sz w:val="24"/>
                <w:szCs w:val="24"/>
                <w:highlight w:val="none"/>
                <w:u w:val="none"/>
                <w:lang w:eastAsia="zh-CN"/>
              </w:rPr>
              <w:t>”</w:t>
            </w:r>
            <w:r>
              <w:rPr>
                <w:rFonts w:hint="eastAsia" w:ascii="Times New Roman" w:hAnsi="Times New Roman" w:cs="Times New Roman"/>
                <w:kern w:val="0"/>
                <w:sz w:val="24"/>
                <w:szCs w:val="24"/>
                <w:highlight w:val="none"/>
                <w:u w:val="none"/>
                <w:lang w:val="en-US" w:eastAsia="zh-CN"/>
              </w:rPr>
              <w:t>第3.2.3项</w:t>
            </w:r>
            <w:r>
              <w:rPr>
                <w:rFonts w:hint="default" w:ascii="Times New Roman" w:hAnsi="Times New Roman" w:cs="Times New Roman" w:eastAsiaTheme="minorEastAsia"/>
                <w:kern w:val="0"/>
                <w:sz w:val="24"/>
                <w:szCs w:val="24"/>
                <w:highlight w:val="none"/>
                <w:u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u w:val="none"/>
              </w:rPr>
            </w:pPr>
            <w:r>
              <w:rPr>
                <w:rFonts w:hint="default" w:ascii="Times New Roman" w:hAnsi="Times New Roman" w:cs="Times New Roman" w:eastAsiaTheme="minorEastAsia"/>
                <w:kern w:val="0"/>
                <w:sz w:val="24"/>
                <w:szCs w:val="24"/>
                <w:highlight w:val="none"/>
                <w:u w:val="none"/>
              </w:rPr>
              <w:t>符合第二章</w:t>
            </w:r>
            <w:r>
              <w:rPr>
                <w:rFonts w:hint="eastAsia" w:ascii="Times New Roman" w:hAnsi="Times New Roman" w:cs="Times New Roman"/>
                <w:kern w:val="0"/>
                <w:sz w:val="24"/>
                <w:szCs w:val="24"/>
                <w:highlight w:val="none"/>
                <w:u w:val="none"/>
                <w:lang w:eastAsia="zh-CN"/>
              </w:rPr>
              <w:t>“</w:t>
            </w:r>
            <w:r>
              <w:rPr>
                <w:rFonts w:hint="default" w:ascii="Times New Roman" w:hAnsi="Times New Roman" w:cs="Times New Roman" w:eastAsiaTheme="minorEastAsia"/>
                <w:kern w:val="0"/>
                <w:sz w:val="24"/>
                <w:szCs w:val="24"/>
                <w:highlight w:val="none"/>
                <w:u w:val="none"/>
              </w:rPr>
              <w:t>投标人须知</w:t>
            </w:r>
            <w:r>
              <w:rPr>
                <w:rFonts w:hint="eastAsia" w:ascii="Times New Roman" w:hAnsi="Times New Roman" w:cs="Times New Roman"/>
                <w:kern w:val="0"/>
                <w:sz w:val="24"/>
                <w:szCs w:val="24"/>
                <w:highlight w:val="none"/>
                <w:u w:val="none"/>
                <w:lang w:eastAsia="zh-CN"/>
              </w:rPr>
              <w:t>”</w:t>
            </w:r>
            <w:r>
              <w:rPr>
                <w:rFonts w:hint="eastAsia" w:ascii="Times New Roman" w:hAnsi="Times New Roman" w:cs="Times New Roman"/>
                <w:kern w:val="0"/>
                <w:sz w:val="24"/>
                <w:szCs w:val="24"/>
                <w:highlight w:val="none"/>
                <w:u w:val="none"/>
                <w:lang w:val="en-US" w:eastAsia="zh-CN"/>
              </w:rPr>
              <w:t>第1.3.1项</w:t>
            </w:r>
            <w:r>
              <w:rPr>
                <w:rFonts w:hint="default" w:ascii="Times New Roman" w:hAnsi="Times New Roman" w:cs="Times New Roman" w:eastAsiaTheme="minorEastAsia"/>
                <w:kern w:val="0"/>
                <w:sz w:val="24"/>
                <w:szCs w:val="24"/>
                <w:highlight w:val="none"/>
                <w:u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u w:val="none"/>
              </w:rPr>
            </w:pPr>
            <w:r>
              <w:rPr>
                <w:rFonts w:hint="default" w:ascii="Times New Roman" w:hAnsi="Times New Roman" w:cs="Times New Roman" w:eastAsiaTheme="minorEastAsia"/>
                <w:kern w:val="0"/>
                <w:sz w:val="24"/>
                <w:szCs w:val="24"/>
                <w:highlight w:val="none"/>
                <w:u w:val="none"/>
              </w:rPr>
              <w:t>符合第二章</w:t>
            </w:r>
            <w:r>
              <w:rPr>
                <w:rFonts w:hint="eastAsia" w:ascii="Times New Roman" w:hAnsi="Times New Roman" w:cs="Times New Roman"/>
                <w:kern w:val="0"/>
                <w:sz w:val="24"/>
                <w:szCs w:val="24"/>
                <w:highlight w:val="none"/>
                <w:u w:val="none"/>
                <w:lang w:eastAsia="zh-CN"/>
              </w:rPr>
              <w:t>“</w:t>
            </w:r>
            <w:r>
              <w:rPr>
                <w:rFonts w:hint="default" w:ascii="Times New Roman" w:hAnsi="Times New Roman" w:cs="Times New Roman" w:eastAsiaTheme="minorEastAsia"/>
                <w:kern w:val="0"/>
                <w:sz w:val="24"/>
                <w:szCs w:val="24"/>
                <w:highlight w:val="none"/>
                <w:u w:val="none"/>
              </w:rPr>
              <w:t>投标人须知</w:t>
            </w:r>
            <w:r>
              <w:rPr>
                <w:rFonts w:hint="eastAsia" w:ascii="Times New Roman" w:hAnsi="Times New Roman" w:cs="Times New Roman"/>
                <w:kern w:val="0"/>
                <w:sz w:val="24"/>
                <w:szCs w:val="24"/>
                <w:highlight w:val="none"/>
                <w:u w:val="none"/>
                <w:lang w:eastAsia="zh-CN"/>
              </w:rPr>
              <w:t>”</w:t>
            </w:r>
            <w:r>
              <w:rPr>
                <w:rFonts w:hint="eastAsia" w:ascii="Times New Roman" w:hAnsi="Times New Roman" w:cs="Times New Roman"/>
                <w:kern w:val="0"/>
                <w:sz w:val="24"/>
                <w:szCs w:val="24"/>
                <w:highlight w:val="none"/>
                <w:u w:val="none"/>
                <w:lang w:val="en-US" w:eastAsia="zh-CN"/>
              </w:rPr>
              <w:t>第1.3.2项</w:t>
            </w:r>
            <w:r>
              <w:rPr>
                <w:rFonts w:hint="default" w:ascii="Times New Roman" w:hAnsi="Times New Roman" w:cs="Times New Roman" w:eastAsiaTheme="minorEastAsia"/>
                <w:kern w:val="0"/>
                <w:sz w:val="24"/>
                <w:szCs w:val="24"/>
                <w:highlight w:val="none"/>
                <w:u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u w:val="none"/>
              </w:rPr>
            </w:pPr>
            <w:r>
              <w:rPr>
                <w:rFonts w:hint="default" w:ascii="Times New Roman" w:hAnsi="Times New Roman" w:cs="Times New Roman" w:eastAsiaTheme="minorEastAsia"/>
                <w:kern w:val="0"/>
                <w:sz w:val="24"/>
                <w:szCs w:val="24"/>
                <w:highlight w:val="none"/>
                <w:u w:val="none"/>
              </w:rPr>
              <w:t>符合第二章</w:t>
            </w:r>
            <w:r>
              <w:rPr>
                <w:rFonts w:hint="eastAsia" w:ascii="Times New Roman" w:hAnsi="Times New Roman" w:cs="Times New Roman"/>
                <w:kern w:val="0"/>
                <w:sz w:val="24"/>
                <w:szCs w:val="24"/>
                <w:highlight w:val="none"/>
                <w:u w:val="none"/>
                <w:lang w:eastAsia="zh-CN"/>
              </w:rPr>
              <w:t>“</w:t>
            </w:r>
            <w:r>
              <w:rPr>
                <w:rFonts w:hint="default" w:ascii="Times New Roman" w:hAnsi="Times New Roman" w:cs="Times New Roman" w:eastAsiaTheme="minorEastAsia"/>
                <w:kern w:val="0"/>
                <w:sz w:val="24"/>
                <w:szCs w:val="24"/>
                <w:highlight w:val="none"/>
                <w:u w:val="none"/>
              </w:rPr>
              <w:t>投标人须知</w:t>
            </w:r>
            <w:r>
              <w:rPr>
                <w:rFonts w:hint="eastAsia" w:ascii="Times New Roman" w:hAnsi="Times New Roman" w:cs="Times New Roman"/>
                <w:kern w:val="0"/>
                <w:sz w:val="24"/>
                <w:szCs w:val="24"/>
                <w:highlight w:val="none"/>
                <w:u w:val="none"/>
                <w:lang w:eastAsia="zh-CN"/>
              </w:rPr>
              <w:t>”</w:t>
            </w:r>
            <w:r>
              <w:rPr>
                <w:rFonts w:hint="eastAsia" w:ascii="Times New Roman" w:hAnsi="Times New Roman" w:cs="Times New Roman"/>
                <w:kern w:val="0"/>
                <w:sz w:val="24"/>
                <w:szCs w:val="24"/>
                <w:highlight w:val="none"/>
                <w:u w:val="none"/>
                <w:lang w:val="en-US" w:eastAsia="zh-CN"/>
              </w:rPr>
              <w:t>第1.3.3项</w:t>
            </w:r>
            <w:r>
              <w:rPr>
                <w:rFonts w:hint="default" w:ascii="Times New Roman" w:hAnsi="Times New Roman" w:cs="Times New Roman" w:eastAsiaTheme="minorEastAsia"/>
                <w:kern w:val="0"/>
                <w:sz w:val="24"/>
                <w:szCs w:val="24"/>
                <w:highlight w:val="none"/>
                <w:u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u w:val="none"/>
              </w:rPr>
            </w:pPr>
            <w:r>
              <w:rPr>
                <w:rFonts w:hint="default" w:ascii="Times New Roman" w:hAnsi="Times New Roman" w:cs="Times New Roman"/>
                <w:kern w:val="0"/>
                <w:sz w:val="24"/>
                <w:highlight w:val="none"/>
                <w:u w:val="none"/>
              </w:rPr>
              <w:t>符合第二章“投标人须知”第1.3.4项规定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u w:val="none"/>
              </w:rPr>
            </w:pPr>
            <w:r>
              <w:rPr>
                <w:rFonts w:hint="default" w:ascii="Times New Roman" w:hAnsi="Times New Roman" w:cs="Times New Roman" w:eastAsiaTheme="minorEastAsia"/>
                <w:kern w:val="0"/>
                <w:sz w:val="24"/>
                <w:szCs w:val="24"/>
                <w:highlight w:val="none"/>
                <w:u w:val="none"/>
              </w:rPr>
              <w:t>符合第二章</w:t>
            </w:r>
            <w:r>
              <w:rPr>
                <w:rFonts w:hint="eastAsia" w:ascii="Times New Roman" w:hAnsi="Times New Roman" w:cs="Times New Roman"/>
                <w:kern w:val="0"/>
                <w:sz w:val="24"/>
                <w:szCs w:val="24"/>
                <w:highlight w:val="none"/>
                <w:u w:val="none"/>
                <w:lang w:eastAsia="zh-CN"/>
              </w:rPr>
              <w:t>“</w:t>
            </w:r>
            <w:r>
              <w:rPr>
                <w:rFonts w:hint="default" w:ascii="Times New Roman" w:hAnsi="Times New Roman" w:cs="Times New Roman" w:eastAsiaTheme="minorEastAsia"/>
                <w:kern w:val="0"/>
                <w:sz w:val="24"/>
                <w:szCs w:val="24"/>
                <w:highlight w:val="none"/>
                <w:u w:val="none"/>
              </w:rPr>
              <w:t>投标人须知</w:t>
            </w:r>
            <w:r>
              <w:rPr>
                <w:rFonts w:hint="eastAsia" w:ascii="Times New Roman" w:hAnsi="Times New Roman" w:cs="Times New Roman"/>
                <w:kern w:val="0"/>
                <w:sz w:val="24"/>
                <w:szCs w:val="24"/>
                <w:highlight w:val="none"/>
                <w:u w:val="none"/>
                <w:lang w:eastAsia="zh-CN"/>
              </w:rPr>
              <w:t>”</w:t>
            </w:r>
            <w:r>
              <w:rPr>
                <w:rFonts w:hint="eastAsia" w:ascii="Times New Roman" w:hAnsi="Times New Roman" w:cs="Times New Roman"/>
                <w:kern w:val="0"/>
                <w:sz w:val="24"/>
                <w:szCs w:val="24"/>
                <w:highlight w:val="none"/>
                <w:u w:val="none"/>
                <w:lang w:val="en-US" w:eastAsia="zh-CN"/>
              </w:rPr>
              <w:t>第3.3.1项</w:t>
            </w:r>
            <w:r>
              <w:rPr>
                <w:rFonts w:hint="default" w:ascii="Times New Roman" w:hAnsi="Times New Roman" w:cs="Times New Roman" w:eastAsiaTheme="minorEastAsia"/>
                <w:kern w:val="0"/>
                <w:sz w:val="24"/>
                <w:szCs w:val="24"/>
                <w:highlight w:val="none"/>
                <w:u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u w:val="none"/>
                <w:lang w:eastAsia="zh-CN"/>
              </w:rPr>
            </w:pPr>
            <w:r>
              <w:rPr>
                <w:rFonts w:hint="default" w:ascii="Times New Roman" w:hAnsi="Times New Roman" w:cs="Times New Roman" w:eastAsiaTheme="minorEastAsia"/>
                <w:kern w:val="0"/>
                <w:sz w:val="24"/>
                <w:szCs w:val="24"/>
                <w:highlight w:val="none"/>
                <w:u w:val="none"/>
              </w:rPr>
              <w:t>符合第二章</w:t>
            </w:r>
            <w:r>
              <w:rPr>
                <w:rFonts w:hint="eastAsia" w:ascii="Times New Roman" w:hAnsi="Times New Roman" w:cs="Times New Roman"/>
                <w:kern w:val="0"/>
                <w:sz w:val="24"/>
                <w:szCs w:val="24"/>
                <w:highlight w:val="none"/>
                <w:u w:val="none"/>
                <w:lang w:eastAsia="zh-CN"/>
              </w:rPr>
              <w:t>“</w:t>
            </w:r>
            <w:r>
              <w:rPr>
                <w:rFonts w:hint="default" w:ascii="Times New Roman" w:hAnsi="Times New Roman" w:cs="Times New Roman" w:eastAsiaTheme="minorEastAsia"/>
                <w:kern w:val="0"/>
                <w:sz w:val="24"/>
                <w:szCs w:val="24"/>
                <w:highlight w:val="none"/>
                <w:u w:val="none"/>
              </w:rPr>
              <w:t>投标人须知</w:t>
            </w:r>
            <w:r>
              <w:rPr>
                <w:rFonts w:hint="eastAsia" w:ascii="Times New Roman" w:hAnsi="Times New Roman" w:cs="Times New Roman"/>
                <w:kern w:val="0"/>
                <w:sz w:val="24"/>
                <w:szCs w:val="24"/>
                <w:highlight w:val="none"/>
                <w:u w:val="none"/>
                <w:lang w:eastAsia="zh-CN"/>
              </w:rPr>
              <w:t>”</w:t>
            </w:r>
            <w:r>
              <w:rPr>
                <w:rFonts w:hint="eastAsia" w:ascii="Times New Roman" w:hAnsi="Times New Roman" w:cs="Times New Roman"/>
                <w:kern w:val="0"/>
                <w:sz w:val="24"/>
                <w:szCs w:val="24"/>
                <w:highlight w:val="none"/>
                <w:u w:val="none"/>
                <w:lang w:val="en-US" w:eastAsia="zh-CN"/>
              </w:rPr>
              <w:t>第3.4.1项</w:t>
            </w:r>
            <w:r>
              <w:rPr>
                <w:rFonts w:hint="default" w:ascii="Times New Roman" w:hAnsi="Times New Roman" w:cs="Times New Roman" w:eastAsiaTheme="minorEastAsia"/>
                <w:kern w:val="0"/>
                <w:sz w:val="24"/>
                <w:szCs w:val="24"/>
                <w:highlight w:val="none"/>
                <w:u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投标产品及相关服务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kern w:val="0"/>
                <w:sz w:val="24"/>
                <w:szCs w:val="24"/>
                <w:highlight w:val="none"/>
                <w:u w:val="none"/>
                <w:lang w:val="en-US" w:eastAsia="zh-CN"/>
              </w:rPr>
            </w:pPr>
            <w:r>
              <w:rPr>
                <w:rFonts w:hint="eastAsia" w:ascii="Times New Roman" w:hAnsi="Times New Roman" w:cs="Times New Roman"/>
                <w:color w:val="auto"/>
                <w:kern w:val="0"/>
                <w:sz w:val="24"/>
                <w:szCs w:val="24"/>
                <w:highlight w:val="none"/>
                <w:u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auto"/>
                <w:kern w:val="0"/>
                <w:sz w:val="24"/>
                <w:szCs w:val="24"/>
                <w:highlight w:val="none"/>
                <w:u w:val="none"/>
                <w:lang w:val="en-US" w:eastAsia="zh-CN" w:bidi="ar-SA"/>
              </w:rPr>
            </w:pPr>
            <w:r>
              <w:rPr>
                <w:rFonts w:hint="eastAsia" w:ascii="Times New Roman" w:hAnsi="Times New Roman" w:cs="Times New Roman"/>
                <w:color w:val="auto"/>
                <w:kern w:val="0"/>
                <w:sz w:val="24"/>
                <w:szCs w:val="24"/>
                <w:highlight w:val="none"/>
                <w:u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13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246996975"/>
            <w:bookmarkStart w:id="365" w:name="_Toc152042366"/>
            <w:bookmarkStart w:id="366" w:name="_Toc296602477"/>
            <w:bookmarkStart w:id="367" w:name="_Toc179632607"/>
            <w:bookmarkStart w:id="368" w:name="_Toc144974556"/>
            <w:bookmarkStart w:id="369" w:name="_Toc152045589"/>
            <w:bookmarkStart w:id="370" w:name="_Toc247085747"/>
            <w:bookmarkStart w:id="371" w:name="_Toc246996232"/>
            <w:r>
              <w:rPr>
                <w:rFonts w:hint="default" w:ascii="Times New Roman" w:hAnsi="Times New Roman" w:cs="Times New Roman"/>
                <w:b/>
                <w:bCs/>
                <w:kern w:val="0"/>
                <w:sz w:val="24"/>
                <w:szCs w:val="24"/>
                <w:highlight w:val="none"/>
                <w:lang w:val="en-US" w:eastAsia="zh-CN"/>
              </w:rPr>
              <w:t>条款号</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u w:val="none"/>
                <w:lang w:val="en-US" w:eastAsia="zh-CN"/>
              </w:rPr>
            </w:pPr>
            <w:r>
              <w:rPr>
                <w:rFonts w:hint="default" w:ascii="Times New Roman" w:hAnsi="Times New Roman" w:cs="Times New Roman"/>
                <w:b/>
                <w:bCs/>
                <w:kern w:val="0"/>
                <w:sz w:val="24"/>
                <w:szCs w:val="24"/>
                <w:highlight w:val="none"/>
                <w:u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2.2.1</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eastAsia" w:ascii="Times New Roman" w:hAnsi="Times New Roman" w:cs="Times New Roman"/>
                <w:i w:val="0"/>
                <w:iCs w:val="0"/>
                <w:color w:val="auto"/>
                <w:kern w:val="0"/>
                <w:sz w:val="24"/>
                <w:szCs w:val="24"/>
                <w:highlight w:val="none"/>
                <w:u w:val="none"/>
                <w:lang w:val="en-US" w:eastAsia="zh-CN"/>
              </w:rPr>
              <w:t>商务部分</w:t>
            </w: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single"/>
                <w:lang w:val="en-US" w:eastAsia="zh-CN"/>
              </w:rPr>
              <w:t xml:space="preserve">15 </w:t>
            </w:r>
            <w:r>
              <w:rPr>
                <w:rFonts w:hint="default" w:ascii="Times New Roman" w:hAnsi="Times New Roman" w:cs="Times New Roman" w:eastAsiaTheme="minorEastAsia"/>
                <w:i w:val="0"/>
                <w:iCs w:val="0"/>
                <w:color w:val="auto"/>
                <w:kern w:val="0"/>
                <w:sz w:val="24"/>
                <w:szCs w:val="24"/>
                <w:highlight w:val="none"/>
                <w:u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eastAsia" w:ascii="Times New Roman" w:hAnsi="Times New Roman" w:cs="Times New Roman"/>
                <w:i w:val="0"/>
                <w:iCs w:val="0"/>
                <w:color w:val="auto"/>
                <w:kern w:val="0"/>
                <w:sz w:val="24"/>
                <w:szCs w:val="24"/>
                <w:highlight w:val="none"/>
                <w:u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 xml:space="preserve">35 </w:t>
            </w:r>
            <w:r>
              <w:rPr>
                <w:rFonts w:hint="default" w:ascii="Times New Roman" w:hAnsi="Times New Roman" w:cs="Times New Roman" w:eastAsiaTheme="minorEastAsia"/>
                <w:i w:val="0"/>
                <w:iCs w:val="0"/>
                <w:color w:val="auto"/>
                <w:kern w:val="0"/>
                <w:sz w:val="24"/>
                <w:szCs w:val="24"/>
                <w:highlight w:val="none"/>
                <w:u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yellow"/>
                <w:u w:val="none"/>
                <w:lang w:val="en-US"/>
              </w:rPr>
            </w:pPr>
            <w:r>
              <w:rPr>
                <w:rFonts w:hint="eastAsia" w:ascii="Times New Roman" w:hAnsi="Times New Roman" w:cs="Times New Roman"/>
                <w:i w:val="0"/>
                <w:iCs w:val="0"/>
                <w:color w:val="auto"/>
                <w:kern w:val="0"/>
                <w:sz w:val="24"/>
                <w:szCs w:val="24"/>
                <w:highlight w:val="none"/>
                <w:u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50 </w:t>
            </w:r>
            <w:r>
              <w:rPr>
                <w:rFonts w:hint="default" w:ascii="Times New Roman" w:hAnsi="Times New Roman" w:cs="Times New Roman" w:eastAsiaTheme="minorEastAsia"/>
                <w:i w:val="0"/>
                <w:iCs w:val="0"/>
                <w:color w:val="auto"/>
                <w:kern w:val="0"/>
                <w:sz w:val="24"/>
                <w:szCs w:val="24"/>
                <w:highlight w:val="none"/>
                <w:u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2.2.2</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以通过初步评审的投标人的最低投标报价作为评标基准价。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2.2.3</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84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color w:val="auto"/>
                <w:kern w:val="0"/>
                <w:sz w:val="24"/>
                <w:szCs w:val="24"/>
                <w:highlight w:val="none"/>
                <w:lang w:val="en-US" w:eastAsia="zh-CN"/>
              </w:rPr>
            </w:pPr>
            <w:r>
              <w:rPr>
                <w:rFonts w:hint="default" w:ascii="Times New Roman" w:hAnsi="Times New Roman" w:cs="Times New Roman"/>
                <w:b/>
                <w:bCs/>
                <w:color w:val="auto"/>
                <w:kern w:val="0"/>
                <w:sz w:val="24"/>
                <w:szCs w:val="24"/>
                <w:highlight w:val="none"/>
                <w:lang w:val="en-US" w:eastAsia="zh-CN"/>
              </w:rPr>
              <w:t>条款号</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color w:val="auto"/>
                <w:kern w:val="0"/>
                <w:sz w:val="24"/>
                <w:szCs w:val="24"/>
                <w:highlight w:val="none"/>
                <w:lang w:val="en-US" w:eastAsia="zh-CN"/>
              </w:rPr>
            </w:pPr>
            <w:r>
              <w:rPr>
                <w:rFonts w:hint="default" w:ascii="Times New Roman" w:hAnsi="Times New Roman" w:cs="Times New Roman"/>
                <w:b/>
                <w:bCs/>
                <w:i w:val="0"/>
                <w:iCs w:val="0"/>
                <w:color w:val="auto"/>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color w:val="auto"/>
                <w:kern w:val="0"/>
                <w:sz w:val="24"/>
                <w:szCs w:val="24"/>
                <w:highlight w:val="none"/>
                <w:u w:val="none"/>
                <w:lang w:val="en-US" w:eastAsia="zh-CN"/>
              </w:rPr>
            </w:pPr>
            <w:r>
              <w:rPr>
                <w:rFonts w:hint="default" w:ascii="Times New Roman" w:hAnsi="Times New Roman" w:cs="Times New Roman"/>
                <w:b/>
                <w:bCs/>
                <w:i w:val="0"/>
                <w:iCs w:val="0"/>
                <w:color w:val="auto"/>
                <w:kern w:val="0"/>
                <w:sz w:val="24"/>
                <w:szCs w:val="24"/>
                <w:highlight w:val="none"/>
                <w:u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7"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113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 xml:space="preserve">15 </w:t>
            </w:r>
            <w:r>
              <w:rPr>
                <w:rFonts w:hint="default" w:ascii="Times New Roman" w:hAnsi="Times New Roman" w:cs="Times New Roman"/>
                <w:i/>
                <w:iCs/>
                <w:color w:val="auto"/>
                <w:kern w:val="0"/>
                <w:sz w:val="24"/>
                <w:szCs w:val="24"/>
                <w:highlight w:val="none"/>
                <w:u w:val="single"/>
                <w:lang w:val="en-US" w:eastAsia="zh-CN"/>
              </w:rPr>
              <w:t>分）</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yellow"/>
                <w:lang w:val="en-US" w:eastAsia="zh-CN"/>
              </w:rPr>
            </w:pPr>
            <w:r>
              <w:rPr>
                <w:rFonts w:hint="eastAsia" w:ascii="Times New Roman" w:hAnsi="Times New Roman" w:cs="Times New Roman"/>
                <w:i w:val="0"/>
                <w:iCs w:val="0"/>
                <w:color w:val="auto"/>
                <w:kern w:val="0"/>
                <w:sz w:val="24"/>
                <w:szCs w:val="24"/>
                <w:highlight w:val="none"/>
                <w:lang w:val="en-US" w:eastAsia="zh-CN"/>
              </w:rPr>
              <w:t>业绩</w:t>
            </w: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9</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none"/>
                <w:shd w:val="clear" w:color="auto" w:fill="auto"/>
                <w:lang w:val="en-US" w:eastAsia="zh-CN"/>
              </w:rPr>
            </w:pPr>
            <w:r>
              <w:rPr>
                <w:rFonts w:hint="eastAsia" w:ascii="Times New Roman" w:hAnsi="Times New Roman" w:cs="Times New Roman"/>
                <w:i w:val="0"/>
                <w:iCs w:val="0"/>
                <w:color w:val="auto"/>
                <w:kern w:val="0"/>
                <w:sz w:val="24"/>
                <w:szCs w:val="24"/>
                <w:highlight w:val="none"/>
                <w:u w:val="none"/>
                <w:shd w:val="clear" w:color="auto" w:fill="auto"/>
                <w:lang w:val="en-US" w:eastAsia="zh-CN"/>
              </w:rPr>
              <w:t>除投标人资格要求外，投标人提供2020年1月1日以来投标标包相应食品原材料供货业绩，每份得3分，满分9分，多分不计。</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shd w:val="clear" w:color="auto" w:fill="auto"/>
                <w:lang w:val="en-US" w:eastAsia="zh-CN"/>
              </w:rPr>
              <w:t>注：业绩是指单项合同金额不低于50万元的投标标包相应食品原材料供货业绩。业绩时间以合同签订时间为准。提供业绩合同等相关资料复印件或扫描件装订入投标文件中。业绩合同无法体现供货金额的，投标人需提供对应供货发票复印件作为佐证材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13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企业认证</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6</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u w:val="none"/>
                <w:shd w:val="clear" w:color="auto" w:fill="auto"/>
                <w:lang w:val="en-US" w:eastAsia="zh-CN"/>
              </w:rPr>
            </w:pPr>
            <w:r>
              <w:rPr>
                <w:rFonts w:hint="eastAsia" w:ascii="Times New Roman" w:hAnsi="Times New Roman" w:cs="Times New Roman"/>
                <w:i w:val="0"/>
                <w:iCs w:val="0"/>
                <w:color w:val="auto"/>
                <w:kern w:val="0"/>
                <w:sz w:val="24"/>
                <w:szCs w:val="24"/>
                <w:highlight w:val="none"/>
                <w:u w:val="none"/>
                <w:shd w:val="clear" w:color="auto" w:fill="auto"/>
                <w:lang w:val="en-US" w:eastAsia="zh-CN"/>
              </w:rPr>
              <w:t>投标人具有有效期内且认证范围与本项目服务内容相关的食品安全管理体系认证证书、质量管理体系认证证书、环境管理体系认证证书，每提供一项得2分，满分6分。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w:t>
            </w:r>
          </w:p>
        </w:tc>
        <w:tc>
          <w:tcPr>
            <w:tcW w:w="113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i/>
                <w:iCs/>
                <w:color w:val="auto"/>
                <w:kern w:val="0"/>
                <w:sz w:val="24"/>
                <w:szCs w:val="24"/>
                <w:highlight w:val="none"/>
                <w:u w:val="single"/>
                <w:lang w:val="en-US" w:eastAsia="zh-CN"/>
              </w:rPr>
              <w:t>（</w:t>
            </w:r>
            <w:r>
              <w:rPr>
                <w:rFonts w:hint="eastAsia" w:ascii="Times New Roman" w:hAnsi="Times New Roman" w:cs="Times New Roman"/>
                <w:i/>
                <w:iCs/>
                <w:color w:val="auto"/>
                <w:kern w:val="0"/>
                <w:sz w:val="24"/>
                <w:szCs w:val="24"/>
                <w:highlight w:val="none"/>
                <w:u w:val="single"/>
                <w:lang w:val="en-US" w:eastAsia="zh-CN"/>
              </w:rPr>
              <w:t>35</w:t>
            </w:r>
            <w:r>
              <w:rPr>
                <w:rFonts w:hint="default" w:ascii="Times New Roman" w:hAnsi="Times New Roman" w:cs="Times New Roman"/>
                <w:i/>
                <w:iCs/>
                <w:color w:val="auto"/>
                <w:kern w:val="0"/>
                <w:sz w:val="24"/>
                <w:szCs w:val="24"/>
                <w:highlight w:val="none"/>
                <w:u w:val="single"/>
                <w:lang w:val="en-US" w:eastAsia="zh-CN"/>
              </w:rPr>
              <w:t>分）</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服务方案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7</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根据投标人提供的服务方案进行评审（包括不限于对采购人临时任务、节假日、重要或大型活动、雨雪天气等特别情况下的应急方案；提供的不合格产品退换方案；配送方案等；）</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投标人提供服务方案详细完善且有针对性，4-7分；</w:t>
            </w:r>
          </w:p>
          <w:p>
            <w:pPr>
              <w:keepNext w:val="0"/>
              <w:keepLines w:val="0"/>
              <w:pageBreakBefore w:val="0"/>
              <w:widowControl w:val="0"/>
              <w:kinsoku/>
              <w:wordWrap w:val="0"/>
              <w:overflowPunct/>
              <w:topLinePunct w:val="0"/>
              <w:autoSpaceDE/>
              <w:autoSpaceDN/>
              <w:bidi w:val="0"/>
              <w:adjustRightInd/>
              <w:snapToGrid/>
              <w:spacing w:line="400" w:lineRule="exact"/>
              <w:ind w:left="479" w:leftChars="228" w:firstLine="0" w:firstLineChars="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服务方案完整性、针对性欠缺，得1-4分；</w:t>
            </w:r>
          </w:p>
          <w:p>
            <w:pPr>
              <w:keepNext w:val="0"/>
              <w:keepLines w:val="0"/>
              <w:pageBreakBefore w:val="0"/>
              <w:widowControl w:val="0"/>
              <w:kinsoku/>
              <w:wordWrap w:val="0"/>
              <w:overflowPunct/>
              <w:topLinePunct w:val="0"/>
              <w:autoSpaceDE/>
              <w:autoSpaceDN/>
              <w:bidi w:val="0"/>
              <w:adjustRightInd/>
              <w:snapToGrid/>
              <w:spacing w:line="400" w:lineRule="exact"/>
              <w:ind w:left="479" w:leftChars="228" w:firstLine="0" w:firstLineChars="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服务方案不完整、没有针对性得0-1分；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未提供服务方案的不得分。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13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质量保证方案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11</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1.根据投标人提供的食材质量保证措施方案进行评分，包括但不限于食材的来源、加工、包装、检验、存储等整个供应系统的各环节的质量保证措施等进行综合评价：</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b w:val="0"/>
                <w:bCs w:val="0"/>
                <w:i w:val="0"/>
                <w:iCs w:val="0"/>
                <w:color w:val="auto"/>
                <w:kern w:val="0"/>
                <w:sz w:val="24"/>
                <w:szCs w:val="24"/>
                <w:highlight w:val="none"/>
                <w:u w:val="none"/>
                <w:lang w:val="en-US" w:eastAsia="zh-CN"/>
              </w:rPr>
            </w:pPr>
            <w:r>
              <w:rPr>
                <w:rFonts w:hint="eastAsia" w:ascii="Times New Roman" w:hAnsi="Times New Roman" w:cs="Times New Roman"/>
                <w:b w:val="0"/>
                <w:bCs w:val="0"/>
                <w:i w:val="0"/>
                <w:iCs w:val="0"/>
                <w:color w:val="auto"/>
                <w:kern w:val="0"/>
                <w:sz w:val="24"/>
                <w:szCs w:val="24"/>
                <w:highlight w:val="none"/>
                <w:u w:val="none"/>
                <w:lang w:val="en-US" w:eastAsia="zh-CN"/>
              </w:rPr>
              <w:t>方案完整合理、内容详实可行，完全满足采购人实际需求的，得3-4分；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b w:val="0"/>
                <w:bCs w:val="0"/>
                <w:i w:val="0"/>
                <w:iCs w:val="0"/>
                <w:color w:val="auto"/>
                <w:kern w:val="0"/>
                <w:sz w:val="24"/>
                <w:szCs w:val="24"/>
                <w:highlight w:val="none"/>
                <w:u w:val="none"/>
                <w:lang w:val="en-US" w:eastAsia="zh-CN"/>
              </w:rPr>
            </w:pPr>
            <w:r>
              <w:rPr>
                <w:rFonts w:hint="eastAsia" w:ascii="Times New Roman" w:hAnsi="Times New Roman" w:cs="Times New Roman"/>
                <w:b w:val="0"/>
                <w:bCs w:val="0"/>
                <w:i w:val="0"/>
                <w:iCs w:val="0"/>
                <w:color w:val="auto"/>
                <w:kern w:val="0"/>
                <w:sz w:val="24"/>
                <w:szCs w:val="24"/>
                <w:highlight w:val="none"/>
                <w:u w:val="none"/>
                <w:lang w:val="en-US" w:eastAsia="zh-CN"/>
              </w:rPr>
              <w:t>方案内容存在缺陷，基本满足采购人实际需求的，得1-3分；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b w:val="0"/>
                <w:bCs w:val="0"/>
                <w:i w:val="0"/>
                <w:iCs w:val="0"/>
                <w:color w:val="auto"/>
                <w:kern w:val="0"/>
                <w:sz w:val="24"/>
                <w:szCs w:val="24"/>
                <w:highlight w:val="none"/>
                <w:u w:val="none"/>
                <w:lang w:val="en-US" w:eastAsia="zh-CN"/>
              </w:rPr>
            </w:pPr>
            <w:r>
              <w:rPr>
                <w:rFonts w:hint="eastAsia" w:ascii="Times New Roman" w:hAnsi="Times New Roman" w:cs="Times New Roman"/>
                <w:b w:val="0"/>
                <w:bCs w:val="0"/>
                <w:i w:val="0"/>
                <w:iCs w:val="0"/>
                <w:color w:val="auto"/>
                <w:kern w:val="0"/>
                <w:sz w:val="24"/>
                <w:szCs w:val="24"/>
                <w:highlight w:val="none"/>
                <w:u w:val="none"/>
                <w:lang w:val="en-US" w:eastAsia="zh-CN"/>
              </w:rPr>
              <w:t>方案体现内容不完整，不能满足采购人实际需求的，得0-1分；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b w:val="0"/>
                <w:bCs w:val="0"/>
                <w:i w:val="0"/>
                <w:iCs w:val="0"/>
                <w:color w:val="auto"/>
                <w:kern w:val="0"/>
                <w:sz w:val="24"/>
                <w:szCs w:val="24"/>
                <w:highlight w:val="none"/>
                <w:u w:val="none"/>
                <w:lang w:val="en-US" w:eastAsia="zh-CN"/>
              </w:rPr>
            </w:pPr>
            <w:r>
              <w:rPr>
                <w:rFonts w:hint="eastAsia" w:ascii="Times New Roman" w:hAnsi="Times New Roman" w:cs="Times New Roman"/>
                <w:b w:val="0"/>
                <w:bCs w:val="0"/>
                <w:i w:val="0"/>
                <w:iCs w:val="0"/>
                <w:color w:val="auto"/>
                <w:kern w:val="0"/>
                <w:sz w:val="24"/>
                <w:szCs w:val="24"/>
                <w:highlight w:val="none"/>
                <w:u w:val="none"/>
                <w:lang w:val="en-US" w:eastAsia="zh-CN"/>
              </w:rPr>
              <w:t>未提供的不得分。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b w:val="0"/>
                <w:bCs w:val="0"/>
                <w:i w:val="0"/>
                <w:iCs w:val="0"/>
                <w:color w:val="auto"/>
                <w:kern w:val="0"/>
                <w:sz w:val="24"/>
                <w:szCs w:val="24"/>
                <w:highlight w:val="none"/>
                <w:u w:val="none"/>
                <w:lang w:val="en-US" w:eastAsia="zh-CN"/>
              </w:rPr>
              <w:t>2.评标委员会根据投标人所提供的所投产品的送检记录，并检测合格报告复印件（检测报告时间2023年3月1日至投标截止之日，且为具有法定检测资质的检测机构出具的），每有一个月提供检测记录得1分，满分7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13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投标人综合服务能力</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lang w:val="en-US" w:eastAsia="zh-CN"/>
              </w:rPr>
              <w:t>（13分）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专业技术人员配备情况</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投标人提供的服务团队中健康证、检测员、服务团队等专业技术人员的构成、配备清晰合理、科学完备，满足岗位要求并能提供优质服务。</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拟投入3人的，得3分；在此基础上，每多增加1人，得1分，本项满分5分，多分不计。</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b/>
                <w:bCs/>
                <w:i w:val="0"/>
                <w:iCs w:val="0"/>
                <w:color w:val="auto"/>
                <w:kern w:val="0"/>
                <w:sz w:val="24"/>
                <w:szCs w:val="24"/>
                <w:highlight w:val="none"/>
                <w:u w:val="none"/>
                <w:lang w:val="en-US" w:eastAsia="zh-CN"/>
              </w:rPr>
              <w:t>【须提供人员健康证等复印件及劳动合同复印件，未提供或提供不全的不得分】</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投标人提供的食品净菜加工车间或分拣车间面积500平米及以上的得2分；</w:t>
            </w:r>
            <w:r>
              <w:rPr>
                <w:rFonts w:hint="eastAsia" w:ascii="Times New Roman" w:hAnsi="Times New Roman" w:cs="Times New Roman"/>
                <w:i w:val="0"/>
                <w:iCs w:val="0"/>
                <w:color w:val="auto"/>
                <w:kern w:val="0"/>
                <w:sz w:val="24"/>
                <w:szCs w:val="24"/>
                <w:highlight w:val="none"/>
                <w:u w:val="single"/>
                <w:lang w:val="en-US" w:eastAsia="zh-CN"/>
              </w:rPr>
              <w:t>在</w:t>
            </w:r>
            <w:r>
              <w:rPr>
                <w:rFonts w:hint="eastAsia" w:ascii="Times New Roman" w:hAnsi="Times New Roman" w:cs="Times New Roman"/>
                <w:i w:val="0"/>
                <w:iCs w:val="0"/>
                <w:color w:val="auto"/>
                <w:kern w:val="0"/>
                <w:sz w:val="24"/>
                <w:szCs w:val="24"/>
                <w:highlight w:val="none"/>
                <w:u w:val="none"/>
                <w:lang w:val="en-US" w:eastAsia="zh-CN"/>
              </w:rPr>
              <w:t>此基础上，每增加250平米加1分，本项满分4分，多分不计。</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textAlignment w:val="auto"/>
              <w:rPr>
                <w:rFonts w:hint="eastAsia" w:ascii="Times New Roman" w:hAnsi="Times New Roman" w:cs="Times New Roman"/>
                <w:b/>
                <w:bCs/>
                <w:i w:val="0"/>
                <w:iCs w:val="0"/>
                <w:color w:val="auto"/>
                <w:kern w:val="0"/>
                <w:sz w:val="24"/>
                <w:szCs w:val="24"/>
                <w:highlight w:val="none"/>
                <w:u w:val="none"/>
                <w:lang w:val="en-US" w:eastAsia="zh-CN"/>
              </w:rPr>
            </w:pPr>
            <w:r>
              <w:rPr>
                <w:rFonts w:hint="eastAsia" w:ascii="Times New Roman" w:hAnsi="Times New Roman" w:cs="Times New Roman"/>
                <w:b/>
                <w:bCs/>
                <w:i w:val="0"/>
                <w:iCs w:val="0"/>
                <w:color w:val="auto"/>
                <w:kern w:val="0"/>
                <w:sz w:val="24"/>
                <w:szCs w:val="24"/>
                <w:highlight w:val="none"/>
                <w:u w:val="none"/>
                <w:lang w:val="en-US" w:eastAsia="zh-CN"/>
              </w:rPr>
              <w:t xml:space="preserve">  提供租赁合同或产权证明等材料电子文档，否则不得分。</w:t>
            </w:r>
          </w:p>
          <w:p>
            <w:pPr>
              <w:keepNext w:val="0"/>
              <w:keepLines w:val="0"/>
              <w:pageBreakBefore w:val="0"/>
              <w:widowControl w:val="0"/>
              <w:numPr>
                <w:ilvl w:val="0"/>
                <w:numId w:val="1"/>
              </w:numPr>
              <w:kinsoku/>
              <w:wordWrap w:val="0"/>
              <w:overflowPunct/>
              <w:topLinePunct w:val="0"/>
              <w:autoSpaceDE/>
              <w:autoSpaceDN/>
              <w:bidi w:val="0"/>
              <w:adjustRightInd/>
              <w:snapToGrid/>
              <w:spacing w:line="400" w:lineRule="exact"/>
              <w:ind w:left="0" w:leftChars="0" w:firstLine="480" w:firstLineChars="200"/>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为保障配送工作，投标人每自有或协议租赁2辆配送车的，得2分；在此基础上，每增加1辆得1分，本项满分4分，多分不计。</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0" w:leftChars="0" w:firstLine="482" w:firstLineChars="200"/>
              <w:textAlignment w:val="auto"/>
              <w:rPr>
                <w:rFonts w:hint="default"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b/>
                <w:bCs/>
                <w:i w:val="0"/>
                <w:iCs w:val="0"/>
                <w:color w:val="auto"/>
                <w:kern w:val="0"/>
                <w:sz w:val="24"/>
                <w:szCs w:val="24"/>
                <w:highlight w:val="none"/>
                <w:u w:val="none"/>
                <w:lang w:val="en-US" w:eastAsia="zh-CN"/>
              </w:rPr>
              <w:t>投标人自有配送车辆须提供车辆行驶证及待响应拍照车辆照片复印件；投标人协议租赁配送车辆的须提供租赁合同和车辆行驶证及带相应拍照车辆照片原件的复印件，否则不得分。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13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突发事件应急预案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4</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针对突发事件（包括但不限于配送食品中毒事件、公共卫生事件等）应急处理预案完备健全，实际可操作性强的得3-4分；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针对突发事件（包括但不限于配送食品中毒事件、公共卫生事件等）应急处理预案不够完备健全，实际可操作性欠缺的得1-3分；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针对突发事件（包括但不限于配送食品中毒事件、公共卫生事件等）没有合理的应急处理预案，实际可操作性差的得0-1分；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未提供突发事件应急处理预案的，不得分。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（3）</w:t>
            </w:r>
          </w:p>
        </w:tc>
        <w:tc>
          <w:tcPr>
            <w:tcW w:w="113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i w:val="0"/>
                <w:iCs w:val="0"/>
                <w:color w:val="auto"/>
                <w:kern w:val="0"/>
                <w:sz w:val="24"/>
                <w:szCs w:val="24"/>
                <w:highlight w:val="none"/>
                <w:u w:val="single"/>
                <w:lang w:val="en-US" w:eastAsia="zh-CN"/>
              </w:rPr>
              <w:t>分）</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single"/>
                <w:lang w:val="en-US" w:eastAsia="zh-CN"/>
              </w:rPr>
            </w:pPr>
            <w:r>
              <w:rPr>
                <w:rFonts w:hint="eastAsia" w:ascii="Times New Roman" w:hAnsi="Times New Roman" w:cs="Times New Roman"/>
                <w:i w:val="0"/>
                <w:iCs w:val="0"/>
                <w:color w:val="auto"/>
                <w:kern w:val="0"/>
                <w:sz w:val="24"/>
                <w:szCs w:val="24"/>
                <w:highlight w:val="none"/>
                <w:u w:val="singl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auto"/>
                <w:kern w:val="0"/>
                <w:sz w:val="24"/>
                <w:szCs w:val="24"/>
                <w:highlight w:val="none"/>
                <w:lang w:val="en-US" w:eastAsia="zh-CN"/>
              </w:rPr>
            </w:pPr>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i w:val="0"/>
                <w:iCs w:val="0"/>
                <w:color w:val="auto"/>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得分=（评标基准价/投标报价）×50</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注：保留得分小数点后两位，第三位四舍五入。</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1. 评标方法</w:t>
      </w:r>
      <w:r>
        <w:rPr>
          <w:rFonts w:hint="eastAsia" w:ascii="Times New Roman" w:hAnsi="Times New Roman" w:cs="Times New Roman"/>
          <w:b/>
          <w:bCs/>
          <w:kern w:val="0"/>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246996233"/>
      <w:bookmarkStart w:id="373" w:name="_Toc152045590"/>
      <w:bookmarkStart w:id="374" w:name="_Toc144974557"/>
      <w:bookmarkStart w:id="375" w:name="_Toc247085748"/>
      <w:bookmarkStart w:id="376" w:name="_Toc296602478"/>
      <w:bookmarkStart w:id="377" w:name="_Toc246996976"/>
      <w:bookmarkStart w:id="378" w:name="_Toc152042367"/>
      <w:bookmarkStart w:id="379" w:name="_Toc179632608"/>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6996977"/>
      <w:bookmarkStart w:id="381" w:name="_Toc296602479"/>
      <w:bookmarkStart w:id="382" w:name="_Toc152045591"/>
      <w:bookmarkStart w:id="383" w:name="_Toc144974558"/>
      <w:bookmarkStart w:id="384" w:name="_Toc247085749"/>
      <w:bookmarkStart w:id="385" w:name="_Toc179632609"/>
      <w:bookmarkStart w:id="386" w:name="_Toc246996234"/>
      <w:bookmarkStart w:id="387"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246996236"/>
      <w:bookmarkStart w:id="389" w:name="_Toc152045593"/>
      <w:bookmarkStart w:id="390" w:name="_Toc144974560"/>
      <w:bookmarkStart w:id="391" w:name="_Toc152042370"/>
      <w:bookmarkStart w:id="392" w:name="_Toc296602481"/>
      <w:bookmarkStart w:id="393" w:name="_Toc179632611"/>
      <w:bookmarkStart w:id="394" w:name="_Toc247085751"/>
      <w:bookmarkStart w:id="395" w:name="_Toc246996979"/>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其他评分因素</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247085752"/>
      <w:bookmarkStart w:id="397" w:name="_Toc152045594"/>
      <w:bookmarkStart w:id="398" w:name="_Toc246996237"/>
      <w:bookmarkStart w:id="399" w:name="_Toc296602482"/>
      <w:bookmarkStart w:id="400" w:name="_Toc152042371"/>
      <w:bookmarkStart w:id="401" w:name="_Toc246996980"/>
      <w:bookmarkStart w:id="402" w:name="_Toc144974561"/>
      <w:bookmarkStart w:id="403" w:name="_Toc179632612"/>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44974562"/>
      <w:bookmarkStart w:id="405" w:name="_Toc246996238"/>
      <w:bookmarkStart w:id="406" w:name="_Toc296602483"/>
      <w:bookmarkStart w:id="407" w:name="_Toc152045595"/>
      <w:bookmarkStart w:id="408" w:name="_Toc179632613"/>
      <w:bookmarkStart w:id="409" w:name="_Toc152042372"/>
      <w:bookmarkStart w:id="410" w:name="_Toc246996981"/>
      <w:bookmarkStart w:id="411" w:name="_Toc247085753"/>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152042373"/>
      <w:bookmarkStart w:id="414" w:name="_Toc296602484"/>
      <w:bookmarkStart w:id="415" w:name="_Toc179632614"/>
      <w:bookmarkStart w:id="416" w:name="_Toc247085754"/>
      <w:bookmarkStart w:id="417" w:name="_Toc246996982"/>
      <w:bookmarkStart w:id="418" w:name="_Toc152045596"/>
      <w:bookmarkStart w:id="419"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第2.2.4（4）目规定的评审因素和分值对其他部分</w:t>
      </w:r>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亳州公交餐饮有限公司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招标人、中标人双方于供应次月对上月供应情况、账款进行核对，经确认无误后，中标人向招标人提供增值税专用发票，招标人按照单位程序批准后10个工作日内据实支付款项。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违约责任</w:t>
            </w:r>
          </w:p>
        </w:tc>
        <w:tc>
          <w:tcPr>
            <w:tcW w:w="6253" w:type="dxa"/>
            <w:vAlign w:val="center"/>
          </w:tcPr>
          <w:p>
            <w:pPr>
              <w:pStyle w:val="13"/>
              <w:keepNext w:val="0"/>
              <w:keepLines w:val="0"/>
              <w:widowControl/>
              <w:suppressLineNumbers w:val="0"/>
              <w:spacing w:before="0" w:beforeAutospacing="0" w:after="0" w:afterAutospacing="0" w:line="360" w:lineRule="auto"/>
              <w:ind w:left="0" w:right="0" w:firstLine="0"/>
            </w:pPr>
            <w:r>
              <w:t>1.价格违约：当发现结算价格未</w:t>
            </w:r>
            <w:r>
              <w:rPr>
                <w:rFonts w:hint="eastAsia"/>
                <w:lang w:eastAsia="zh-CN"/>
              </w:rPr>
              <w:t>按约定执行</w:t>
            </w:r>
            <w:r>
              <w:t>，</w:t>
            </w:r>
            <w:r>
              <w:rPr>
                <w:rFonts w:hint="eastAsia"/>
                <w:lang w:eastAsia="zh-CN"/>
              </w:rPr>
              <w:t>除</w:t>
            </w:r>
            <w:r>
              <w:t>结算价格统一按本合同约定执行外，第一次按</w:t>
            </w:r>
            <w:r>
              <w:rPr>
                <w:rFonts w:hint="eastAsia"/>
                <w:lang w:eastAsia="zh-CN"/>
              </w:rPr>
              <w:t>食材</w:t>
            </w:r>
            <w:r>
              <w:t>类别相应扣除当天货款的5%;第二次按食材类别相应扣除当周货款的5%;第三次按食材类别相应扣除当月货款的5%,并立即终止合同，</w:t>
            </w:r>
            <w:r>
              <w:rPr>
                <w:rFonts w:hint="eastAsia"/>
                <w:lang w:eastAsia="zh-CN"/>
              </w:rPr>
              <w:t>中标人</w:t>
            </w:r>
            <w:r>
              <w:t>3年内不得参加</w:t>
            </w:r>
            <w:r>
              <w:rPr>
                <w:rFonts w:hint="eastAsia"/>
                <w:lang w:eastAsia="zh-CN"/>
              </w:rPr>
              <w:t>招标人</w:t>
            </w:r>
            <w:r>
              <w:t>食材招投标。</w:t>
            </w:r>
          </w:p>
          <w:p>
            <w:pPr>
              <w:pStyle w:val="13"/>
              <w:keepNext w:val="0"/>
              <w:keepLines w:val="0"/>
              <w:widowControl/>
              <w:suppressLineNumbers w:val="0"/>
              <w:spacing w:before="0" w:beforeAutospacing="0" w:after="0" w:afterAutospacing="0" w:line="360" w:lineRule="auto"/>
              <w:ind w:left="0" w:right="0" w:firstLine="0"/>
            </w:pPr>
            <w:r>
              <w:t>2.数量违约：</w:t>
            </w:r>
            <w:r>
              <w:rPr>
                <w:rFonts w:hint="eastAsia"/>
                <w:lang w:eastAsia="zh-CN"/>
              </w:rPr>
              <w:t>招标人</w:t>
            </w:r>
            <w:r>
              <w:t>验收时发现</w:t>
            </w:r>
            <w:r>
              <w:rPr>
                <w:rFonts w:hint="eastAsia"/>
                <w:lang w:eastAsia="zh-CN"/>
              </w:rPr>
              <w:t>中标人</w:t>
            </w:r>
            <w:r>
              <w:t>在自然损耗情况下存在食材数量不足时，</w:t>
            </w:r>
            <w:r>
              <w:rPr>
                <w:rFonts w:hint="eastAsia"/>
                <w:lang w:eastAsia="zh-CN"/>
              </w:rPr>
              <w:t>招标人按实际数量确认</w:t>
            </w:r>
            <w:r>
              <w:t>，并要求</w:t>
            </w:r>
            <w:r>
              <w:rPr>
                <w:rFonts w:hint="eastAsia"/>
                <w:lang w:eastAsia="zh-CN"/>
              </w:rPr>
              <w:t>中标人</w:t>
            </w:r>
            <w:r>
              <w:t>及时补足。如</w:t>
            </w:r>
            <w:r>
              <w:rPr>
                <w:rFonts w:hint="eastAsia"/>
                <w:lang w:eastAsia="zh-CN"/>
              </w:rPr>
              <w:t>招标人</w:t>
            </w:r>
            <w:r>
              <w:t>发现</w:t>
            </w:r>
            <w:r>
              <w:rPr>
                <w:rFonts w:hint="eastAsia"/>
                <w:lang w:eastAsia="zh-CN"/>
              </w:rPr>
              <w:t>中标人</w:t>
            </w:r>
            <w:r>
              <w:t>存在主观故意或不予补足的，第一次按照食材类别相应扣除当天货款的5%;第二次按照食材类别相应扣除当周货款的5%;第三次按照食材类别相应扣除当月货款的5%,并立即终止合同，</w:t>
            </w:r>
            <w:r>
              <w:rPr>
                <w:rFonts w:hint="eastAsia"/>
                <w:lang w:eastAsia="zh-CN"/>
              </w:rPr>
              <w:t>中标人</w:t>
            </w:r>
            <w:r>
              <w:t>3年内不得参加</w:t>
            </w:r>
            <w:r>
              <w:rPr>
                <w:rFonts w:hint="eastAsia"/>
                <w:lang w:eastAsia="zh-CN"/>
              </w:rPr>
              <w:t>招标人</w:t>
            </w:r>
            <w:r>
              <w:t>食材招投标。</w:t>
            </w:r>
          </w:p>
          <w:p>
            <w:pPr>
              <w:pStyle w:val="13"/>
              <w:keepNext w:val="0"/>
              <w:keepLines w:val="0"/>
              <w:widowControl/>
              <w:suppressLineNumbers w:val="0"/>
              <w:spacing w:before="0" w:beforeAutospacing="0" w:after="0" w:afterAutospacing="0" w:line="360" w:lineRule="auto"/>
              <w:ind w:left="0" w:right="0" w:firstLine="0"/>
            </w:pPr>
            <w:r>
              <w:t>3.质量违约：</w:t>
            </w:r>
            <w:r>
              <w:rPr>
                <w:rFonts w:hint="eastAsia"/>
                <w:lang w:eastAsia="zh-CN"/>
              </w:rPr>
              <w:t>中标人</w:t>
            </w:r>
            <w:r>
              <w:t>承诺提供给</w:t>
            </w:r>
            <w:r>
              <w:rPr>
                <w:rFonts w:hint="eastAsia"/>
                <w:lang w:eastAsia="zh-CN"/>
              </w:rPr>
              <w:t>招标人</w:t>
            </w:r>
            <w:r>
              <w:t>的食材应符合国家食品安全标准和招标质量要求，如</w:t>
            </w:r>
            <w:r>
              <w:rPr>
                <w:rFonts w:hint="eastAsia"/>
                <w:lang w:eastAsia="zh-CN"/>
              </w:rPr>
              <w:t>招标人</w:t>
            </w:r>
            <w:r>
              <w:t>发现食品质量问题和配送物资与招标</w:t>
            </w:r>
            <w:r>
              <w:rPr>
                <w:rFonts w:hint="eastAsia"/>
                <w:lang w:eastAsia="zh-CN"/>
              </w:rPr>
              <w:t>要求</w:t>
            </w:r>
            <w:r>
              <w:t>品质</w:t>
            </w:r>
            <w:r>
              <w:rPr>
                <w:rFonts w:hint="eastAsia"/>
                <w:lang w:eastAsia="zh-CN"/>
              </w:rPr>
              <w:t>、</w:t>
            </w:r>
            <w:r>
              <w:t>规格不一致的，除按招标</w:t>
            </w:r>
            <w:r>
              <w:rPr>
                <w:rFonts w:hint="eastAsia"/>
                <w:lang w:eastAsia="zh-CN"/>
              </w:rPr>
              <w:t>要求</w:t>
            </w:r>
            <w:r>
              <w:t>品质、规格更换外，第一次按照食材类别相应扣除当天货款的5%;第二次按照食材类别相应扣除当周货款的5%;第三次按照食材类别相应扣除当月货款的5%,并立即终止合同，</w:t>
            </w:r>
            <w:r>
              <w:rPr>
                <w:rFonts w:hint="eastAsia"/>
                <w:lang w:eastAsia="zh-CN"/>
              </w:rPr>
              <w:t>中标人</w:t>
            </w:r>
            <w:r>
              <w:t>3年内不得参加</w:t>
            </w:r>
            <w:r>
              <w:rPr>
                <w:rFonts w:hint="eastAsia"/>
                <w:lang w:eastAsia="zh-CN"/>
              </w:rPr>
              <w:t>招标人</w:t>
            </w:r>
            <w:r>
              <w:t>食材招投标。</w:t>
            </w:r>
            <w:r>
              <w:rPr>
                <w:b/>
                <w:bCs/>
              </w:rPr>
              <w:t>如因食材质量不达标造成人身损害的，</w:t>
            </w:r>
            <w:r>
              <w:rPr>
                <w:rFonts w:hint="eastAsia"/>
                <w:b/>
                <w:bCs/>
                <w:lang w:eastAsia="zh-CN"/>
              </w:rPr>
              <w:t>中标人</w:t>
            </w:r>
            <w:r>
              <w:rPr>
                <w:b/>
                <w:bCs/>
              </w:rPr>
              <w:t>承担全部赔偿责任</w:t>
            </w:r>
            <w:r>
              <w:t>。</w:t>
            </w:r>
          </w:p>
          <w:p>
            <w:pPr>
              <w:pStyle w:val="13"/>
              <w:keepNext w:val="0"/>
              <w:keepLines w:val="0"/>
              <w:widowControl/>
              <w:suppressLineNumbers w:val="0"/>
              <w:spacing w:before="0" w:beforeAutospacing="0" w:after="0" w:afterAutospacing="0" w:line="360" w:lineRule="auto"/>
              <w:ind w:left="0" w:right="0" w:firstLine="0"/>
              <w:rPr>
                <w:rFonts w:hint="eastAsia" w:ascii="Times New Roman" w:hAnsi="Times New Roman" w:cs="Times New Roman" w:eastAsiaTheme="minorEastAsia"/>
                <w:kern w:val="0"/>
                <w:sz w:val="24"/>
                <w:szCs w:val="24"/>
                <w:highlight w:val="none"/>
                <w:shd w:val="clear" w:color="auto" w:fill="auto"/>
                <w:vertAlign w:val="baseline"/>
                <w:lang w:val="en-US" w:eastAsia="zh-CN"/>
              </w:rPr>
            </w:pPr>
            <w:r>
              <w:t>4.配送违约：除不可抗力外，</w:t>
            </w:r>
            <w:r>
              <w:rPr>
                <w:rFonts w:hint="eastAsia"/>
                <w:lang w:eastAsia="zh-CN"/>
              </w:rPr>
              <w:t>中标人</w:t>
            </w:r>
            <w:r>
              <w:t>应按时将食材配送致</w:t>
            </w:r>
            <w:r>
              <w:rPr>
                <w:rFonts w:hint="eastAsia"/>
                <w:lang w:eastAsia="zh-CN"/>
              </w:rPr>
              <w:t>招标人</w:t>
            </w:r>
            <w:r>
              <w:t>指定地点，如未按时送达，影响</w:t>
            </w:r>
            <w:r>
              <w:rPr>
                <w:rFonts w:hint="eastAsia"/>
                <w:lang w:eastAsia="zh-CN"/>
              </w:rPr>
              <w:t>招标人</w:t>
            </w:r>
            <w:r>
              <w:t>伙食保障工作正常开展的，第一次按照食材类别相应扣除当天货款的5%;第二次按照食材类别相应扣除当周货款的5%;</w:t>
            </w:r>
            <w:r>
              <w:rPr>
                <w:rFonts w:hint="eastAsia"/>
              </w:rPr>
              <w:t>第三次按照食材类别相应扣除当月货款的5%，并立即终止合同，</w:t>
            </w:r>
            <w:r>
              <w:rPr>
                <w:rFonts w:hint="eastAsia"/>
                <w:lang w:eastAsia="zh-CN"/>
              </w:rPr>
              <w:t>中标人</w:t>
            </w:r>
            <w:r>
              <w:rPr>
                <w:rFonts w:hint="eastAsia"/>
              </w:rPr>
              <w:t>3年内不得参加</w:t>
            </w:r>
            <w:r>
              <w:rPr>
                <w:rFonts w:hint="eastAsia"/>
                <w:lang w:eastAsia="zh-CN"/>
              </w:rPr>
              <w:t>招标人</w:t>
            </w:r>
            <w:r>
              <w:rPr>
                <w:rFonts w:hint="eastAsia"/>
              </w:rPr>
              <w:t>食材招投标</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1.若“我家亳州APP”产品价格出现明显错误或“我家亳州APP”无所采购货物指导价格或招标人采购货物超出采购目录范围的，具体价格由招标人与供货商在不高于市场平均价格的基础上协商确定。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本项目结算价款采用浮动价格制，中标费率仅作为投标人后续报价上限标准，合同履行期间，中标人每周四向招标人提供下周主要产品的价格报价，报价不得高于“基准价格*中标费率”。招标人有权对不合理的产品报价提出异议，最终配送价由双方在不高于报价上限标准的基础上共同协商确定。</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shd w:val="clear" w:color="auto" w:fill="auto"/>
          <w:lang w:val="en-US" w:eastAsia="zh-CN"/>
        </w:rPr>
      </w:pPr>
      <w:r>
        <w:rPr>
          <w:rFonts w:hint="eastAsia" w:asciiTheme="majorEastAsia" w:hAnsiTheme="majorEastAsia" w:eastAsiaTheme="majorEastAsia" w:cstheme="majorEastAsia"/>
          <w:b/>
          <w:bCs/>
          <w:sz w:val="32"/>
          <w:szCs w:val="32"/>
          <w:highlight w:val="none"/>
          <w:shd w:val="clear" w:color="auto" w:fill="auto"/>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shd w:val="clear" w:color="auto" w:fill="auto"/>
          <w:lang w:val="en-US" w:eastAsia="zh-CN"/>
        </w:rPr>
        <w:t>供货要求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shd w:val="clear" w:color="auto" w:fill="auto"/>
          <w:lang w:val="en-US" w:eastAsia="zh-CN"/>
        </w:rPr>
      </w:pPr>
      <w:r>
        <w:rPr>
          <w:rFonts w:hint="eastAsia" w:ascii="Times New Roman" w:hAnsi="Times New Roman" w:cs="Times New Roman"/>
          <w:b/>
          <w:bCs/>
          <w:kern w:val="0"/>
          <w:sz w:val="28"/>
          <w:szCs w:val="28"/>
          <w:highlight w:val="none"/>
          <w:shd w:val="clear" w:color="auto" w:fill="auto"/>
          <w:lang w:val="en-US" w:eastAsia="zh-CN"/>
        </w:rPr>
        <w:t>1、项目概况及总体要求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shd w:val="clear" w:color="auto" w:fill="auto"/>
          <w:lang w:val="en-US" w:eastAsia="zh-CN"/>
        </w:rPr>
      </w:pPr>
      <w:r>
        <w:rPr>
          <w:rFonts w:hint="eastAsia" w:ascii="Times New Roman" w:hAnsi="Times New Roman" w:cs="Times New Roman"/>
          <w:kern w:val="0"/>
          <w:sz w:val="24"/>
          <w:szCs w:val="24"/>
          <w:highlight w:val="none"/>
          <w:shd w:val="clear" w:color="auto" w:fill="auto"/>
          <w:lang w:val="en-US" w:eastAsia="zh-CN"/>
        </w:rPr>
        <w:t>1.1</w:t>
      </w:r>
      <w:r>
        <w:rPr>
          <w:rFonts w:hint="eastAsia" w:ascii="Times New Roman" w:hAnsi="Times New Roman" w:cs="Times New Roman"/>
          <w:kern w:val="0"/>
          <w:sz w:val="24"/>
          <w:szCs w:val="24"/>
          <w:highlight w:val="none"/>
          <w:shd w:val="clear" w:color="auto" w:fill="auto"/>
          <w:lang w:val="en-US" w:eastAsia="zh-CN"/>
        </w:rPr>
        <w:tab/>
      </w:r>
      <w:r>
        <w:rPr>
          <w:rFonts w:hint="eastAsia" w:ascii="Times New Roman" w:hAnsi="Times New Roman" w:cs="Times New Roman"/>
          <w:kern w:val="0"/>
          <w:sz w:val="24"/>
          <w:szCs w:val="24"/>
          <w:highlight w:val="none"/>
          <w:shd w:val="clear" w:color="auto" w:fill="auto"/>
          <w:lang w:val="en-US" w:eastAsia="zh-CN"/>
        </w:rPr>
        <w:t>招标人可根据需要对项目的概况进行介绍，以使投标人更清晰地了解供货的总体要求和相关信息。</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shd w:val="clear" w:color="auto" w:fill="auto"/>
          <w:lang w:val="en-US" w:eastAsia="zh-CN"/>
        </w:rPr>
      </w:pPr>
      <w:r>
        <w:rPr>
          <w:rFonts w:hint="eastAsia" w:ascii="Times New Roman" w:hAnsi="Times New Roman" w:cs="Times New Roman"/>
          <w:b/>
          <w:bCs/>
          <w:kern w:val="0"/>
          <w:sz w:val="28"/>
          <w:szCs w:val="28"/>
          <w:highlight w:val="none"/>
          <w:shd w:val="clear" w:color="auto" w:fill="auto"/>
          <w:lang w:val="en-US" w:eastAsia="zh-CN"/>
        </w:rPr>
        <w:t>2、服务要求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shd w:val="clear" w:color="auto" w:fill="auto"/>
          <w:lang w:val="en-US" w:eastAsia="zh-CN"/>
        </w:rPr>
      </w:pPr>
      <w:r>
        <w:rPr>
          <w:rFonts w:hint="eastAsia" w:ascii="Times New Roman" w:hAnsi="Times New Roman" w:cs="Times New Roman"/>
          <w:kern w:val="0"/>
          <w:sz w:val="24"/>
          <w:szCs w:val="24"/>
          <w:highlight w:val="none"/>
          <w:shd w:val="clear" w:color="auto" w:fill="auto"/>
          <w:lang w:val="en-US" w:eastAsia="zh-CN"/>
        </w:rPr>
        <w:t>2.1服务内容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目主要包括但不限于：蔬菜果品类、半成品类、猪肉及牛羊肉类、禽肉禽蛋类、水产类等，具体以招标人实际采购订单为准。供应商须对所选标包进行整体报价，不允许仅对标包内部分内容进行报价，否则视为无效报价。供应商需负责食材的供应、加工、包装、送货及售后服务等。</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2.2服务要求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2.2.1投标人必须具有完善的物流配送体系及售后服务体系。</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2.2.2服务期自签署之日起有效期为6个月。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shd w:val="clear" w:color="auto" w:fill="auto"/>
          <w:lang w:val="en-US" w:eastAsia="zh-CN"/>
        </w:rPr>
      </w:pPr>
      <w:r>
        <w:rPr>
          <w:rFonts w:hint="eastAsia" w:ascii="Times New Roman" w:hAnsi="Times New Roman" w:cs="Times New Roman"/>
          <w:kern w:val="0"/>
          <w:sz w:val="24"/>
          <w:szCs w:val="24"/>
          <w:highlight w:val="none"/>
          <w:lang w:val="en-US" w:eastAsia="zh-CN"/>
        </w:rPr>
        <w:t>2.2.3投标人应确保所供应的货物、原材料等，不存在环保、安全缺陷问题。若因环保、安全问题所发</w:t>
      </w:r>
      <w:r>
        <w:rPr>
          <w:rFonts w:hint="eastAsia" w:ascii="Times New Roman" w:hAnsi="Times New Roman" w:cs="Times New Roman"/>
          <w:kern w:val="0"/>
          <w:sz w:val="24"/>
          <w:szCs w:val="24"/>
          <w:highlight w:val="none"/>
          <w:shd w:val="clear" w:color="auto" w:fill="auto"/>
          <w:lang w:val="en-US" w:eastAsia="zh-CN"/>
        </w:rPr>
        <w:t>生的责任和全部经济损失由投标人承担。</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shd w:val="clear" w:color="auto" w:fill="auto"/>
          <w:lang w:val="en-US" w:eastAsia="zh-CN"/>
        </w:rPr>
        <w:t>2.2.4投标人所提供的食品及</w:t>
      </w:r>
      <w:r>
        <w:rPr>
          <w:rFonts w:hint="eastAsia" w:ascii="Times New Roman" w:hAnsi="Times New Roman" w:cs="Times New Roman"/>
          <w:kern w:val="0"/>
          <w:sz w:val="24"/>
          <w:szCs w:val="24"/>
          <w:highlight w:val="none"/>
          <w:lang w:val="en-US" w:eastAsia="zh-CN"/>
        </w:rPr>
        <w:t>原材料须达到国家规定的食品安全法的条例要求，严谨提供使用违反添加剂、伪劣假冒、以次充好的产品或替代产品。</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2.2.5配送地点：亳州市内，招标人指定地点。</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2.2.6运输交货要求：符合国家行业相关规定，确保食材品质。货物交送到指定位置，包括但不限于仓库、货架等。</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2.2.7交货时限：全年满足供货需求，常规订单确认后次日07:00分前完成供货，紧急需求订单4小时内完成供货。</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2.3标包一肉类、禽肉禽蛋类、水产类食材采购质量要求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2.3.1供应的生鲜猪肉必须为在政府批准设立的屠宰场内当天屠杀；冷鲜猪肉屠杀时间不得超过15天；猪肉应符合《鲜、冻片猪肉国家标准》（GB9959.1 和《食品安全国家标准鲜（冻）畜、禽产品》（GB2707）。不得供应注水、未阉或漏阉的公猪、母猪、晚阉猪及死猪，排骨色泽正常，无异味，无颈骨，兽药残留按照国家标准及有关规定执行。</w:t>
      </w:r>
      <w:r>
        <w:rPr>
          <w:rFonts w:hint="eastAsia" w:ascii="Times New Roman" w:hAnsi="Times New Roman" w:cs="Times New Roman"/>
          <w:b w:val="0"/>
          <w:bCs w:val="0"/>
          <w:color w:val="auto"/>
          <w:kern w:val="0"/>
          <w:sz w:val="24"/>
          <w:szCs w:val="24"/>
          <w:highlight w:val="none"/>
          <w:u w:val="none"/>
          <w:lang w:val="en-US" w:eastAsia="zh-CN"/>
        </w:rPr>
        <w:t>每次供货</w:t>
      </w:r>
      <w:r>
        <w:rPr>
          <w:rFonts w:hint="eastAsia" w:ascii="仿宋" w:hAnsi="仿宋" w:eastAsia="仿宋" w:cs="仿宋"/>
          <w:b w:val="0"/>
          <w:bCs w:val="0"/>
          <w:color w:val="auto"/>
          <w:kern w:val="0"/>
          <w:sz w:val="28"/>
          <w:szCs w:val="28"/>
          <w:lang w:val="en-US" w:eastAsia="zh-CN" w:bidi="ar"/>
        </w:rPr>
        <w:t>须提供同</w:t>
      </w:r>
      <w:r>
        <w:rPr>
          <w:rFonts w:hint="eastAsia" w:ascii="Times New Roman" w:hAnsi="Times New Roman" w:cs="Times New Roman"/>
          <w:b w:val="0"/>
          <w:bCs w:val="0"/>
          <w:color w:val="auto"/>
          <w:kern w:val="0"/>
          <w:sz w:val="24"/>
          <w:szCs w:val="24"/>
          <w:highlight w:val="none"/>
          <w:u w:val="none"/>
          <w:lang w:val="en-US" w:eastAsia="zh-CN"/>
        </w:rPr>
        <w:t>批次畜牧兽医局、动物卫生监督所出具的检验检疫合格证明。</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2.3.2肉类（猪产品、牛羊类）应符合《GB/T17238 鲜、冻分割牛肉》标准要求，鲜肉类须来源于食品监管部门检疫合格的正规生产厂家或投标人，供货时必须有卫生防疫及合格印戳，并出具食品监管部门检疫合格等证明，屠宰场出具的肉品检验合格证。</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2.3.3禽肉禽蛋类符合现行食品安全国家标准《鲜（冻）畜、禽产品》（GB2707），鲜肉类须来源于食品监管部门检疫合格的正规生产厂家或投标人，供货时必须有卫生防疫及合格印戳，并出具食品监管部门检疫合格等证明，屠宰场出具的肉品检验合格证。</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2.3.4禽肉禽蛋类执行国家现行鲜蛋卫生标准；新鲜鸡蛋（以生产日期为准，春秋冬季三天以内、夏季两天以内），破碎率不超过 1%；必须保证新鲜，每次供货时须提供同批次产品合格证明，符合食品安全法要求，并提供养殖场合格证明，市场销售证等相应追溯证明。</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2.3.5水产类（含时令和冷冻海鲜）所供应鲜、冻动物性水产品应符合《GB2733食品安全国家标准鲜、冻动物性水产品》等要求。所有冻品必须按原装规格标准包装完整，不得提前拆封。水产品保证新鲜、色泽正常、无异味。投标人所供水产从产地到岸并加工后，送到招标人指定地点的时间不超过 12 小时（冷冻海鲜除外），且全程需专业冷链保障。所供水产品必须保证质量新鲜，且能按照招标人需要进行加工，确保不带有泥土、杂质或腐坏。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2.4</w:t>
      </w:r>
      <w:r>
        <w:rPr>
          <w:rFonts w:hint="eastAsia" w:ascii="Times New Roman" w:hAnsi="Times New Roman" w:cs="Times New Roman"/>
          <w:b/>
          <w:bCs/>
          <w:kern w:val="0"/>
          <w:sz w:val="24"/>
          <w:szCs w:val="24"/>
          <w:highlight w:val="none"/>
          <w:lang w:val="en-US" w:eastAsia="zh-CN"/>
        </w:rPr>
        <w:t>标包二蔬菜类、豆制品类、菌类食材采购质量要求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 xml:space="preserve">蔬菜主要种类：白菜、土豆、芸豆、芹菜、菠菜、西红柿、茄子、菜椒、蘑菇、茭瓜、卷心菜（大头菜）、黄瓜、冬瓜、胡萝卜 14 种常用蔬菜；油菜、白萝卜、青辣椒、 蒜苔、洋葱、苦瓜、茼蒿、豆角、芫荽 （香菜）、葱、大蒜、姜、生菜、西兰花、菜花、 豆腐（皮）、木耳、南瓜、紫薯、黄豆芽、绿豆芽、香菇、山药、芋头、辣菜丝、紫菜、 粉条等非常用蔬菜。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2.3.1供应商所供货物必须保证新鲜，无腐烂、变质，农药残留须符合《食品安全国家标准 食品中农药最大限残留限量》(GB2763 -2019) 的规定及污染物限量须符合《食品安全国家标准食品中污染物限量》(GB 2762-2017) 的规定。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2.3.2从蔬菜色泽看，各种蔬菜都应具有本品种固有的颜色，大多数有发亮的光泽，以此显示蔬菜的成熟度及鲜嫩程度；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u w:val="none"/>
          <w:lang w:val="en-US" w:eastAsia="zh-CN"/>
        </w:rPr>
        <w:t>2.3.3从蔬菜气味看，多数蔬菜具有清馨、甘辛香、甜酸香等气味，可凭嗅觉识别不同品种的质量，不允许有腐烂变质的亚硝酸盐味和其他异常气味；</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color w:val="000000"/>
          <w:kern w:val="0"/>
          <w:sz w:val="24"/>
          <w:szCs w:val="24"/>
          <w:lang w:val="en-US" w:eastAsia="zh-CN" w:bidi="ar"/>
        </w:rPr>
      </w:pPr>
      <w:r>
        <w:rPr>
          <w:rFonts w:hint="eastAsia" w:ascii="Times New Roman" w:hAnsi="Times New Roman" w:cs="Times New Roman"/>
          <w:kern w:val="0"/>
          <w:sz w:val="24"/>
          <w:szCs w:val="24"/>
          <w:highlight w:val="none"/>
          <w:u w:val="none"/>
          <w:lang w:val="en-US" w:eastAsia="zh-CN"/>
        </w:rPr>
        <w:t>2.3.4从蔬菜滋味看，因品种不同而各异，多数蔬菜滋味甘淡、甜酸、清爽鲜美，</w:t>
      </w:r>
      <w:r>
        <w:rPr>
          <w:rFonts w:hint="eastAsia" w:ascii="宋体" w:hAnsi="宋体" w:eastAsia="宋体" w:cs="宋体"/>
          <w:color w:val="000000"/>
          <w:kern w:val="0"/>
          <w:sz w:val="24"/>
          <w:szCs w:val="24"/>
          <w:lang w:val="en-US" w:eastAsia="zh-CN" w:bidi="ar"/>
        </w:rPr>
        <w:t>少数具有辛酸、苦涩等特殊风味以刺激食欲，如失去本品种原有的滋味即为异常；</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2.3.5从蔬菜形态看，应尽量避免由于客观因素而造成的各种非正常、不新鲜的蔬菜，例如萎蔫、枯塌、损伤、病变、虫害侵蚀等引起的形态异常等。</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2.3.6叶菜类：生菜、白菜、通心菜、苋菜等绿叶菜类及大白菜、椰菜等普通叶菜。</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firstLine="480" w:firstLineChars="20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属同一品种规格，肉质鲜嫩形态好，色泽正常，茎基部削平，无枯黄叶、病叶、泥土、明显机械伤和病虫害伤，无烧心焦边、腐烂等现象，无异味，结球叶菜要结球适度。</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2.3.7茄果类：西红柿、茄瓜、圆椒、尖椒等。</w:t>
      </w:r>
    </w:p>
    <w:p>
      <w:pPr>
        <w:pStyle w:val="7"/>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属同一品种规格，果实整洁，成熟度适中，无裂果及空洞现象，茄果不能有裂蒂及果皮变硬现象，无腐烂、异味，无明显机械伤。</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2.3.8瓜果类：黄瓜、冬瓜、丝瓜、苦瓜、南瓜、节瓜等。</w:t>
      </w:r>
    </w:p>
    <w:p>
      <w:pPr>
        <w:pStyle w:val="7"/>
        <w:keepNext w:val="0"/>
        <w:keepLines w:val="0"/>
        <w:pageBreakBefore w:val="0"/>
        <w:widowControl w:val="0"/>
        <w:kinsoku/>
        <w:wordWrap/>
        <w:overflowPunct/>
        <w:topLinePunct w:val="0"/>
        <w:autoSpaceDE/>
        <w:autoSpaceDN/>
        <w:bidi w:val="0"/>
        <w:adjustRightInd/>
        <w:snapToGrid/>
        <w:spacing w:after="0" w:line="360" w:lineRule="auto"/>
        <w:ind w:left="0" w:right="0" w:firstLine="480" w:firstLineChars="20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属同一品种规格，色泽一致，无疤点，无断裂，无腐烂、异味、明显机械伤，不带泥土。</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2.3.9根菜类：萝卜、胡萝卜等。</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firstLine="480" w:firstLineChars="20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属同一品种规格，皮细光滑，肉质脆嫩致密新鲜，无腐烂、裂痕、糠心、异味，不带泥沙，不带茎叶和须根。</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2.3.10薯芋类：马铃薯、芋、姜等。</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firstLine="480" w:firstLineChars="20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属同一品种规格，色泽一致，不带泥沙，不带须根、茎叶，不干瘪，无腐烂、异味、明显机械伤、病虫害斑，马铃薯无发芽，皮不变绿。</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2.3.11 葱蒜类：葱、蒜、韭菜、洋葱等。</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firstLine="480" w:firstLineChars="20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属同一品种规格，允许葱、青蒜类保留干净须根，葱、蒜、韭菜不带老叶，蒜头、洋葱去根去枯叶，可食部分新鲜幼嫩，无腐烂、异味。</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2.3.12水生菜类：藕等。</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firstLine="480" w:firstLineChars="20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属同一品种规格，肉质嫩，成熟度适中，无腐烂、异味，无明显机械伤，不带泥土和杂质，不干瘪，茭白不黑心。</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2.3.13芽苗类：绿豆芽、黄豆芽等。芽苗幼嫩，不带豆壳杂质，新鲜，不浸水，无腐烂、异味。</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2.3.14香辛类：西芹、芹菜、香菜等。</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firstLine="480" w:firstLineChars="20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属同一品种规格，肉质鲜嫩形态好，色泽正常，无枯黄叶、病叶、泥土、明显机械伤和病虫害伤，无烧心焦边、腐烂等现象，具有该品种应有的味道。</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2.3.15水果质量要求：果形端正，大小均匀，无畸形果，带果柄；果面新鲜洁净，无刺划伤，无压痕，无病虫害，重身结实，口味爽甜。</w:t>
      </w:r>
    </w:p>
    <w:p>
      <w:pPr>
        <w:pStyle w:val="7"/>
        <w:keepNext w:val="0"/>
        <w:keepLines w:val="0"/>
        <w:pageBreakBefore w:val="0"/>
        <w:widowControl w:val="0"/>
        <w:kinsoku/>
        <w:wordWrap/>
        <w:overflowPunct/>
        <w:topLinePunct w:val="0"/>
        <w:autoSpaceDE/>
        <w:autoSpaceDN/>
        <w:bidi w:val="0"/>
        <w:adjustRightInd/>
        <w:snapToGrid/>
        <w:spacing w:after="0" w:line="360" w:lineRule="auto"/>
        <w:ind w:right="0"/>
        <w:jc w:val="left"/>
        <w:textAlignment w:val="auto"/>
        <w:rPr>
          <w:rFonts w:hint="eastAsia" w:ascii="Times New Roman" w:hAnsi="Times New Roman" w:cs="Times New Roman" w:eastAsiaTheme="minorEastAsia"/>
          <w:kern w:val="0"/>
          <w:sz w:val="24"/>
          <w:szCs w:val="24"/>
          <w:highlight w:val="none"/>
          <w:u w:val="none"/>
          <w:lang w:val="en-US" w:eastAsia="zh-CN" w:bidi="ar-SA"/>
        </w:rPr>
      </w:pPr>
      <w:r>
        <w:rPr>
          <w:rFonts w:hint="eastAsia" w:ascii="Times New Roman" w:hAnsi="Times New Roman" w:cs="Times New Roman" w:eastAsiaTheme="minorEastAsia"/>
          <w:kern w:val="0"/>
          <w:sz w:val="24"/>
          <w:szCs w:val="24"/>
          <w:highlight w:val="none"/>
          <w:u w:val="none"/>
          <w:lang w:val="en-US" w:eastAsia="zh-CN" w:bidi="ar-SA"/>
        </w:rPr>
        <w:t>2.3.16蔬菜验收详细标准</w:t>
      </w:r>
    </w:p>
    <w:tbl>
      <w:tblPr>
        <w:tblStyle w:val="28"/>
        <w:tblW w:w="86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4"/>
        <w:gridCol w:w="1288"/>
        <w:gridCol w:w="3296"/>
        <w:gridCol w:w="3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1"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right="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5"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小白菜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梗白色，较嫩较短，叶子淡绿色，整棵菜水份充足，无根。</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有黄叶枯萎，虫蛀洞或小虫，腐烂， 压伤，散水太多。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6"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青菜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梗白色或浅绿色，较嫩，叶子深绿色，整棵菜水份充足，无根。</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有黄叶詰萎，虫蛀洞或小虫，腐烂，压伤，散水太多。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1"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菜秧</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梗较细较嫩，叶子细长，淡绿色，棵小似鸡毛，水份充足。</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有黄叶枯萎，虫蛀洞或小虫，腐烂， 压伤，散水太多。</w:t>
            </w:r>
          </w:p>
        </w:tc>
      </w:tr>
    </w:tbl>
    <w:p/>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br w:type="page"/>
      </w:r>
    </w:p>
    <w:tbl>
      <w:tblPr>
        <w:tblStyle w:val="28"/>
        <w:tblW w:w="86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4"/>
        <w:gridCol w:w="1288"/>
        <w:gridCol w:w="3296"/>
        <w:gridCol w:w="3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9"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油菜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梗短粗，呈淡绿色或白色，叶子厚肥大，主茎无花蕾.水份充足，无根。</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有黄叶，枯萎，小虫，腐烂，压伤，散水太多。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9"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p>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p>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韭菜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叶较宽，挺直，翠绿色，根部洁白，软嫩且有韭菜味，根株均匀，长20厘米 以内。</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有泥土，黄叶或叶上有斑，枯萎，无尖腐烂。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9"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韭黄</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叶肥挺，稍弯曲，色泽淡黄，香味 浓郁，长20厘米以内</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有泥土，黄叶，干软，有断裂，腐烂。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8"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7.</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香芹</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又旱芹，叶翠绿，无主茎分枝少，根细，茎挺直、脆，芹菜香味，水份充足， 长约30厘米。</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有泥土、黄叶、烂叶、干叶、根粗分枝多、茎老帮、弯曲、空心，有锈 斑、黄斑、断裂、腐烂。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8"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8.</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水芹</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叶嫩绿或黄绿，茎、根部呈白色，茎细 软，中间空、水份充足，有清香味，长 约30厘米。</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有泥土、烂叶、黄叶、根茎变黄、有锈斑、黄斑、断裂、腐烂、杂草。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0"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9.</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西芹</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叶茎宽厚，颜色深绿，新鲜肥嫩，爽口无渣。</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有黄叶、梗伤，水秀，腐烂，断裂枯萎。</w:t>
            </w:r>
          </w:p>
        </w:tc>
      </w:tr>
    </w:tbl>
    <w:p/>
    <w:tbl>
      <w:tblPr>
        <w:tblStyle w:val="28"/>
        <w:tblW w:w="863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4"/>
        <w:gridCol w:w="1288"/>
        <w:gridCol w:w="3296"/>
        <w:gridCol w:w="31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38"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10.</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菠菜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颜色碧绿，平嫩，叶子大、挺直，根桃红，无主茎且无柄无红色，棵株适当。</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有泥土，带穗，抽茎和黄叶，枯叶，干尖，腐烂和虫眼。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11.</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生菜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颜色鲜艳，淡绿，叶子水份充足，脆嫩薄、可竖起，棵株挺直。</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叶子发黄，有褐色边或褐斑，干软， 卷曲，脱叶。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6"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12.</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空心菜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叶薄小翠绿，有光泽，棵株挺直，梗细嫩脆、淡绿色易折断，棵株约15厘 米。</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叶子大、黄叶、烂叶和锈斑，有花蕾、虫洞、腐烂，棵株软，梗粗老，节上有白色支头。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13.</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西洋菜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颜色淡绿或深绿，茎细脆嫩，易折断，水份充足，棵株挺直。</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茎粗老，白色支头多，有黄叶、烂叶、杂草，棵株软且大。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9"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14.</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麦菜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叶淡绿、肥厚，嫩脆，无主茎，叶株挺直、水份充足，根部的切面嫩绿色， 稍有苦涩味。</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黄叶、烂叶、有叶斑，有主茎，干软。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9"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15</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芥菜</w:t>
            </w:r>
          </w:p>
        </w:tc>
        <w:tc>
          <w:tcPr>
            <w:tcW w:w="329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叶大而薄、深绿色、柄嫩绿脆，无主茎，叶株挺直，水份充足。</w:t>
            </w:r>
          </w:p>
        </w:tc>
        <w:tc>
          <w:tcPr>
            <w:tcW w:w="318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黄叶、黄叶边、有虫、干软。</w:t>
            </w:r>
          </w:p>
        </w:tc>
      </w:tr>
    </w:tbl>
    <w:tbl>
      <w:tblPr>
        <w:tblStyle w:val="28"/>
        <w:tblpPr w:leftFromText="180" w:rightFromText="180" w:vertAnchor="text" w:horzAnchor="page" w:tblpX="1685" w:tblpY="92"/>
        <w:tblOverlap w:val="never"/>
        <w:tblW w:w="8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4"/>
        <w:gridCol w:w="1288"/>
        <w:gridCol w:w="3306"/>
        <w:gridCol w:w="3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16.</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菟菜</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有红绿两种，叶子为绿色或红色，叶大薄软，有光泽，茎细短、光滑嫩脆，棵株挺直，水份充足。</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有黄叶，叶背有白点有虫，枯萎有籽， 茎粗老。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17.</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潺菜</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颜色碧绿、叶厚实，有光泽，梗细短、光滑嫩绿，掐之易断。</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有叶斑或叶子过大，枯萎，有杂质， 梗粗老。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8"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18.</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菜芯</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颜色碧绿、梗脆嫩，掐之易断，有花蕾 或无花蕾，棵株挺直，水分充足。</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有叶班、虫洞、枯萎，梗粗老，或开 花过多。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19</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芥兰</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颜色墨绿，叶短少，有白霜，挺直，梗皮有光泽、绿色、粗长、断面绿白色、 湿润。</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叶枯萎有花蕾、压伤，断面黄色、锈色、腐烂或干涩。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20.</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小葱</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叶翠绿、饱满充气，均匀细长、鳞茎洁白、挺直、香味浓郁，长15-30厘米。</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有黄叶、烂叶、干尖、叶斑。有毛根、泥土，枯萎，茎弯曲或浸水过多。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4"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21.</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胡葱</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叶翠绿、饱满充气，均匀细长、鳞茎洁白、挺直、香味浓郁，长15-30厘米。</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有黄叶、烂叶、干尖、叶斑。有毛根、泥土，枯萎，茎弯曲或浸水过多。</w:t>
            </w:r>
          </w:p>
        </w:tc>
      </w:tr>
    </w:tbl>
    <w:p/>
    <w:tbl>
      <w:tblPr>
        <w:tblStyle w:val="28"/>
        <w:tblpPr w:leftFromText="180" w:rightFromText="180" w:vertAnchor="text" w:horzAnchor="page" w:tblpX="1685" w:tblpY="1"/>
        <w:tblOverlap w:val="never"/>
        <w:tblW w:w="8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4"/>
        <w:gridCol w:w="1288"/>
        <w:gridCol w:w="3306"/>
        <w:gridCol w:w="3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22.</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青蒜</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叶翠绿、薄嫩、挺直，蒜茎洁白，水份 充足，外表无水。</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有黄叶、干尖、烂梢，有根、泥土。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23.</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香菜</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翠绿、挺直、根部无泥、香气重、水份 充足。</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黄叶、腐烂、泥土、发萬。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24.</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青椒</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长形或萝卜形，颜色碧绿，有光泽、表面光滑，饱满有一定硬度和弹性，肉 层中等有辣味。</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腐烂、干尖、表面无光泽、有皱纹、 断裂，干软、凹陷、有泥土.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25.</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西椒</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柿形或灯笼形，较大，颜色碧绿、有光 泽、表面光滑饱满有一定硬度各弹性， 肉厚少籽，味道香甜。</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腐烂、表面无光泽、有皱纹、断裂， 干软、压伤划痕。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43"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26.</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辣椒</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细长圆锥形、颜色黄绿或碧绿，有光泽、表面光滑，饱满有一定硬度和弹性，肉 薄籽多、辣味重。</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腐烂、干尖、表面无光泽、有皱纹、断裂，干软、划痕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1" w:hRule="atLeast"/>
        </w:trPr>
        <w:tc>
          <w:tcPr>
            <w:tcW w:w="87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27.</w:t>
            </w:r>
          </w:p>
        </w:tc>
        <w:tc>
          <w:tcPr>
            <w:tcW w:w="128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红椒</w:t>
            </w:r>
          </w:p>
        </w:tc>
        <w:tc>
          <w:tcPr>
            <w:tcW w:w="330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颜色红艳、有光泽、表面光滑，饱满有一定硬度和弹性</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腐烂、干尖、表面无光泽、有皱纹、 断裂，干软、划痕、颜色部分红。</w:t>
            </w:r>
          </w:p>
        </w:tc>
      </w:tr>
    </w:tbl>
    <w:tbl>
      <w:tblPr>
        <w:tblStyle w:val="28"/>
        <w:tblpPr w:leftFromText="180" w:rightFromText="180" w:vertAnchor="text" w:horzAnchor="page" w:tblpX="1668" w:tblpY="35"/>
        <w:tblOverlap w:val="never"/>
        <w:tblW w:w="8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5"/>
        <w:gridCol w:w="1147"/>
        <w:gridCol w:w="3316"/>
        <w:gridCol w:w="3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28.</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蕃茄</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颜色大红、粉红或黄色、光泽亮艳，个大圆整，饱满有弹性，至少八成熟，肉厚籽少，味甜中带酸。</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腐烂、压伤、过软或过硬，表皮有斑点或畸形果。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29.</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大白菜</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外叶淡绿色、奶黄色、帮白内叶乳白 色，叶新鲜光泽，棵株大，完整，包心坚实紧密，根部断面洁白完整。</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空心、乱心、压伤、冻伤、虫蛀、雨淋、水浸、裂缝、老帮黄叶、外叶萎 薦,包心松，有泥土。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p>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30.</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p>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苞菜</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外叶淡绿色，内叶淡黄色，叶肥厚脆嫩，棵株大，完整，包心坚实紧密，根部断面洁白完整。</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包心松散有黄叶、虫蛀，萎蔫、雨淋 水浸。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32"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31.</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大葱</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葱叶为管状、浅绿色，,葱白长、紧实、 挺直、无根、长约50厘米。</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分葱、花皮、枯萎、霉叶、黄叶、有 泥土、葱白松空、弯曲。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32.</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茄子</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色正(青、紫、白)形正(棒形、卵形、灯泡形),表面光滑有光泽，有弹性不 软，皮薄肉嫩籽少，个体均匀。</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表皮有皱，压伤、虫蛀、烂斑、籽肉 分离，太软。</w:t>
            </w:r>
          </w:p>
        </w:tc>
      </w:tr>
    </w:tbl>
    <w:p/>
    <w:tbl>
      <w:tblPr>
        <w:tblStyle w:val="28"/>
        <w:tblpPr w:leftFromText="180" w:rightFromText="180" w:vertAnchor="text" w:horzAnchor="page" w:tblpX="1668" w:tblpY="1"/>
        <w:tblOverlap w:val="never"/>
        <w:tblW w:w="862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5"/>
        <w:gridCol w:w="1147"/>
        <w:gridCol w:w="3316"/>
        <w:gridCol w:w="3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33.</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莴笋</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笋形粗壮，条直、均匀、叶绿色，茎皮光泽，绿或淡绿色，断面碧绿。嫩叶少。</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压伤、裂纹、水锈斑，空心、厚度、 黄叶、毛根、有泥土。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34.</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蒜苔</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颜色深绿、梗细滑、有光泽、挺直、鲜嫩、指甲掐之易断。</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颜色黄绿，梗粗，表面有皱纹。老掐 之不断，梗尖干黄。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35.</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花菜</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花蕾颜色洁白或乳白、功密紧实不散，球形完整、表面湿润，花梗乳白或淡绿， 紧凑，外叶绿色且少，主茎短，断面洁白 。</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花蕾发黄，有黑斑及污点，粗且松，表面发干，压伤，刀伤，虫害，主茎长。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36.</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西兰花</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花蕾颜色深绿、功密紧实不散，球形完整、表面有白霜，花梗深绿、紧凑，外 叶绿色且少，主茎短。</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花蕾有烂斑，污点、粗且松，表面发干，压伤、刀伤、主茎长。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61"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p>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37.</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p>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黄瓜</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颜色青绿，瓜身细短、条直均匀，瓜把小，顶花带刺，有白霜或光泽，肉脆甜、瓢小籽少。</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颜色黄，皮皱，有大肚或瘦尖，弯曲， 有压伤、腐烂、断裂，肉白或有空心。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995"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38.</w:t>
            </w:r>
          </w:p>
        </w:tc>
        <w:tc>
          <w:tcPr>
            <w:tcW w:w="1147"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冬瓜</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皮青翠，有白霜，肉洁白、厚嫩、紧密， 膛小，有一定硬度。</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压伤、烂斑、较软，肉有空隙，水份 少，发糠。</w:t>
            </w:r>
          </w:p>
        </w:tc>
      </w:tr>
    </w:tbl>
    <w:p>
      <w:pPr>
        <w:pStyle w:val="7"/>
        <w:keepNext w:val="0"/>
        <w:keepLines w:val="0"/>
        <w:pageBreakBefore w:val="0"/>
        <w:kinsoku/>
        <w:wordWrap/>
        <w:overflowPunct/>
        <w:topLinePunct w:val="0"/>
        <w:autoSpaceDE/>
        <w:autoSpaceDN/>
        <w:bidi w:val="0"/>
        <w:adjustRightInd/>
        <w:snapToGrid/>
        <w:spacing w:line="360" w:lineRule="auto"/>
        <w:ind w:left="0" w:right="0"/>
        <w:jc w:val="both"/>
        <w:textAlignment w:val="auto"/>
        <w:rPr>
          <w:rFonts w:hint="eastAsia" w:ascii="仿宋" w:hAnsi="仿宋" w:eastAsia="仿宋" w:cs="仿宋"/>
          <w:color w:val="000000"/>
          <w:kern w:val="0"/>
          <w:sz w:val="28"/>
          <w:szCs w:val="28"/>
          <w:lang w:val="en-US" w:eastAsia="zh-CN" w:bidi="ar"/>
        </w:rPr>
      </w:pPr>
    </w:p>
    <w:p>
      <w:pPr>
        <w:pStyle w:val="7"/>
        <w:keepNext w:val="0"/>
        <w:keepLines w:val="0"/>
        <w:pageBreakBefore w:val="0"/>
        <w:kinsoku/>
        <w:wordWrap/>
        <w:overflowPunct/>
        <w:topLinePunct w:val="0"/>
        <w:autoSpaceDE/>
        <w:autoSpaceDN/>
        <w:bidi w:val="0"/>
        <w:adjustRightInd/>
        <w:snapToGrid/>
        <w:spacing w:line="360" w:lineRule="auto"/>
        <w:ind w:right="0"/>
        <w:jc w:val="both"/>
        <w:textAlignment w:val="auto"/>
        <w:rPr>
          <w:rFonts w:hint="eastAsia" w:ascii="仿宋" w:hAnsi="仿宋" w:eastAsia="仿宋" w:cs="仿宋"/>
          <w:color w:val="000000"/>
          <w:kern w:val="0"/>
          <w:sz w:val="28"/>
          <w:szCs w:val="28"/>
          <w:lang w:val="en-US" w:eastAsia="zh-CN" w:bidi="ar"/>
        </w:rPr>
        <w:sectPr>
          <w:footerReference r:id="rId5" w:type="default"/>
          <w:pgSz w:w="11910" w:h="16840"/>
          <w:pgMar w:top="1440" w:right="1800" w:bottom="1440" w:left="1800" w:header="0" w:footer="0" w:gutter="0"/>
          <w:pgNumType w:fmt="decimal" w:start="1"/>
          <w:cols w:space="720" w:num="1"/>
        </w:sectPr>
      </w:pPr>
    </w:p>
    <w:tbl>
      <w:tblPr>
        <w:tblStyle w:val="28"/>
        <w:tblpPr w:leftFromText="180" w:rightFromText="180" w:vertAnchor="text" w:horzAnchor="page" w:tblpX="1863" w:tblpY="113"/>
        <w:tblOverlap w:val="never"/>
        <w:tblW w:w="861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8"/>
        <w:gridCol w:w="1224"/>
        <w:gridCol w:w="3315"/>
        <w:gridCol w:w="31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908" w:type="dxa"/>
            <w:vAlign w:val="top"/>
          </w:tcPr>
          <w:p>
            <w:pPr>
              <w:pStyle w:val="7"/>
              <w:keepNext w:val="0"/>
              <w:keepLines w:val="0"/>
              <w:pageBreakBefore w:val="0"/>
              <w:kinsoku/>
              <w:wordWrap/>
              <w:overflowPunct/>
              <w:topLinePunct w:val="0"/>
              <w:autoSpaceDE/>
              <w:autoSpaceDN/>
              <w:bidi w:val="0"/>
              <w:adjustRightInd/>
              <w:snapToGrid/>
              <w:spacing w:line="360" w:lineRule="auto"/>
              <w:ind w:right="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24" w:type="dxa"/>
            <w:vAlign w:val="top"/>
          </w:tcPr>
          <w:p>
            <w:pPr>
              <w:pStyle w:val="7"/>
              <w:keepNext w:val="0"/>
              <w:keepLines w:val="0"/>
              <w:pageBreakBefore w:val="0"/>
              <w:kinsoku/>
              <w:wordWrap/>
              <w:overflowPunct/>
              <w:topLinePunct w:val="0"/>
              <w:autoSpaceDE/>
              <w:autoSpaceDN/>
              <w:bidi w:val="0"/>
              <w:adjustRightInd/>
              <w:snapToGrid/>
              <w:spacing w:line="360" w:lineRule="auto"/>
              <w:ind w:left="0" w:right="0" w:firstLine="409"/>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15" w:type="dxa"/>
            <w:vAlign w:val="top"/>
          </w:tcPr>
          <w:p>
            <w:pPr>
              <w:pStyle w:val="7"/>
              <w:keepNext w:val="0"/>
              <w:keepLines w:val="0"/>
              <w:pageBreakBefore w:val="0"/>
              <w:kinsoku/>
              <w:wordWrap/>
              <w:overflowPunct/>
              <w:topLinePunct w:val="0"/>
              <w:autoSpaceDE/>
              <w:autoSpaceDN/>
              <w:bidi w:val="0"/>
              <w:adjustRightInd/>
              <w:snapToGrid/>
              <w:spacing w:line="360" w:lineRule="auto"/>
              <w:ind w:left="0" w:right="0" w:firstLine="409"/>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2" w:type="dxa"/>
            <w:vAlign w:val="top"/>
          </w:tcPr>
          <w:p>
            <w:pPr>
              <w:pStyle w:val="7"/>
              <w:keepNext w:val="0"/>
              <w:keepLines w:val="0"/>
              <w:pageBreakBefore w:val="0"/>
              <w:kinsoku/>
              <w:wordWrap/>
              <w:overflowPunct/>
              <w:topLinePunct w:val="0"/>
              <w:autoSpaceDE/>
              <w:autoSpaceDN/>
              <w:bidi w:val="0"/>
              <w:adjustRightInd/>
              <w:snapToGrid/>
              <w:spacing w:line="360" w:lineRule="auto"/>
              <w:ind w:left="0" w:right="0" w:firstLine="409"/>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p>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39.</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p>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丝瓜</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有棱和无棱两种，皮颜色翠绿、薄嫩、有白霜，条直均匀、细长挺直，易断无  弹性，肉洁白软嫩、子小。</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颜色泛黄、皮粗糙，弯曲、不均，伤疤、烂斑、黄斑，较软有弹性，肉松 软或空。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40.</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苦瓜</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颜色淡绿色有光泽，凸处明显，条直均匀，有一定硬度，瓢黄白，子小、味苦。</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腐烂、压伤、刀伤、磨损，有虫洞，斑点，颜色发黄、甚至发红，瓜身软。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41.</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毛瓜</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颜色翠绿色有光泽，有细绒毛，皮薄嫩，肉洁白子小、形正，有一定硬度。</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压伤、烂斑、凹瘪，黄斑，瓜身软， 绒毛倒伏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2"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42.</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南瓜</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颜色金黄色或橙黄色，瓜形周正，肉金黄紧密、粉甜，表面硬实。</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斑疤、破裂、虫洞、料斑、软烂、畸 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8"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43.</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蒲瓜</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颜色淡绿色、有光泽，表面光滑平整、有白色绒毛，有一定硬度无弹性，皮薄肉洁白鲜嫩，瓜形周正。</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断裂、划伤、软烂、干皱、畸形，颜 色发黄。</w:t>
            </w:r>
          </w:p>
        </w:tc>
      </w:tr>
    </w:tbl>
    <w:p/>
    <w:tbl>
      <w:tblPr>
        <w:tblStyle w:val="28"/>
        <w:tblpPr w:leftFromText="180" w:rightFromText="180" w:vertAnchor="text" w:horzAnchor="page" w:tblpX="1863" w:tblpY="1"/>
        <w:tblOverlap w:val="never"/>
        <w:tblW w:w="861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8"/>
        <w:gridCol w:w="1224"/>
        <w:gridCol w:w="3315"/>
        <w:gridCol w:w="31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08" w:type="dxa"/>
            <w:vAlign w:val="top"/>
          </w:tcPr>
          <w:p>
            <w:pPr>
              <w:pStyle w:val="7"/>
              <w:keepNext w:val="0"/>
              <w:keepLines w:val="0"/>
              <w:pageBreakBefore w:val="0"/>
              <w:kinsoku/>
              <w:wordWrap/>
              <w:overflowPunct/>
              <w:topLinePunct w:val="0"/>
              <w:autoSpaceDE/>
              <w:autoSpaceDN/>
              <w:bidi w:val="0"/>
              <w:adjustRightInd/>
              <w:snapToGrid/>
              <w:spacing w:line="360" w:lineRule="auto"/>
              <w:ind w:right="0" w:right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24" w:type="dxa"/>
            <w:vAlign w:val="top"/>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15" w:type="dxa"/>
            <w:vAlign w:val="top"/>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2" w:type="dxa"/>
            <w:vAlign w:val="top"/>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center"/>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44.</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佛手瓜</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颜色浅绿色，佛手形，有一定硬度，皮脆硬，肉晶莹透明，瓜形正。</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表皮擦伤，干皱、烂斑。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45.</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角瓜</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颜色黄绿色、表皮光滑有花纹和棱边， 皮薄肉嫩，瓢小子少，有一定硬度，尾 蒂有毛刺。</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560" w:firstLineChars="200"/>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表皮粗糙、烂斑、划伤、软烂。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46.</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新豆</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颜色淡绿有光泽，豆荚细长、均匀、挺  直、饱满、有花蒂，有弹性，折之易断。</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虫洞、黄斑、烂斑、粗细不均、豆荚 松软，有空、折之不断、筋丝较韧。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47.</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毛豆</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颜色青绿、表面有黄色绒毛，豆荚饱满，剥开后豆粒呈淡绿色、完整、有清香。</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受潮、虫洞、软烂、颜色发黄发黑， 豆粒瘪而小有异味。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48.</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青豆</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颜色青绿单一，有光泽，豆粒大，均匀 完整，较嫩。</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颜色杂，大小不均匀，碎粒、烂粒、 霉粒、杂质。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49.</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四季豆</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颜色翠绿色、表面有细绒毛，豆荚细长均匀，水分充足。饱满有韧性、能弯曲，掐之后有痕，断之容易。</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both"/>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有虫洞，斑点水锈腐烂萎蔫，纤维明显，筋丝粗韧，豆荚粗壮，难弯曲。</w:t>
            </w:r>
          </w:p>
        </w:tc>
      </w:tr>
    </w:tbl>
    <w:p/>
    <w:tbl>
      <w:tblPr>
        <w:tblStyle w:val="28"/>
        <w:tblpPr w:leftFromText="180" w:rightFromText="180" w:vertAnchor="text" w:horzAnchor="page" w:tblpX="1863" w:tblpY="1"/>
        <w:tblOverlap w:val="never"/>
        <w:tblW w:w="861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8"/>
        <w:gridCol w:w="1224"/>
        <w:gridCol w:w="3315"/>
        <w:gridCol w:w="31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50.</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荷兰豆</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颜色嫩绿有光泽，豆荚挺直，折之易断，筋丝不明显，豆粒小而无。</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枯萎、颜色黄绿色，筋丝明显，折之不断。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51.</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黄豆芽</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豆芽挺直，芽身短而粗，根须少，芽色 洁白晶莹。</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发黄、发黑、干燥、豆壳多，断芽、 烂头、烂尾：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52.</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绿豆芽</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豆芽挺直，芽身短而粗，根须少，芽色 洁白晶莹。</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发黄、发黑、干燥、豆壳多，断芽、 烂头、烂尾，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53.</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土豆</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颜色为淡黄色或奶白色，个大形正、大小整齐，表皮光滑，体硬不软，饱满。</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发芽、青斑、萎蔫、腐烂、坑眼多、 有毛根、泥土、糙皮。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54.</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洋葱</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鳞片颜色粉白或紫白，鳞片肥厚，完整 无损，抱合紧密，球茎干度适中，有一定硬度。</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腐烂、干枯、过软、裂开、发芽、发 乌、有泥土。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37"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55.</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红薯</w:t>
            </w:r>
          </w:p>
        </w:tc>
        <w:tc>
          <w:tcPr>
            <w:tcW w:w="3315"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颜色粉红或淡黄色，依品种而定，个大形正，大小整齐，表面无伤，体硬不软、饱满。</w:t>
            </w:r>
          </w:p>
        </w:tc>
        <w:tc>
          <w:tcPr>
            <w:tcW w:w="3172"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腐烂、破皮、坑眼多、畸形、泥土多发软。</w:t>
            </w:r>
          </w:p>
        </w:tc>
      </w:tr>
    </w:tbl>
    <w:p/>
    <w:tbl>
      <w:tblPr>
        <w:tblStyle w:val="28"/>
        <w:tblpPr w:leftFromText="180" w:rightFromText="180" w:vertAnchor="text" w:horzAnchor="page" w:tblpX="1863" w:tblpY="271"/>
        <w:tblOverlap w:val="never"/>
        <w:tblW w:w="861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8"/>
        <w:gridCol w:w="1224"/>
        <w:gridCol w:w="3316"/>
        <w:gridCol w:w="3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56.</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生姜</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颜色淡黄，表皮完整，姜体脆硬，肥大有姜味。</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烂斑、干硬、碰伤、毛根、泥土多。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57.</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蒜头</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颜色白色或紫色，蒜皮干燥，蒜瓣结实不散，有硬度。</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发芽、散瓣、烂瓣，瘪瓣、虫孔，须 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58.</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胡萝卜</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颜色红色可橘黄色，表面光滑、条直匀 称，粗壮、硬实不软、肉质甜脆、中心 柱细小。</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表皮争缩，刀伤、开裂、体软、褐斑， 肉质薄、发糠、泥土多。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59.</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青萝卜</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颜色青绿，皮薄且较细，肉质紧密， 形体完整，水分大份量重。</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糠心、开裂、刀伤、泥土多，局部腐烂。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60.</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白萝卜</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颜色洁白光亮，表面光滑、细腻，形体完整、份量重，底部切面洁白，水分大， 肉嫩脆、味甜适中。</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糠心、花心、灰心、断裂、压伤、虫洞、毛根、糙皮、泥土多，表面有黄 斑或褐斑。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61.</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芋头</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颜色为红褐色，表皮粗糙，个体方面军中，断面肉质洁白，且有紫色斑点。</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刀伤、根须、疤痕、泥土多、个体过小，水份蒸发、肉硬但不脆。</w:t>
            </w:r>
          </w:p>
        </w:tc>
      </w:tr>
    </w:tbl>
    <w:p/>
    <w:tbl>
      <w:tblPr>
        <w:tblStyle w:val="28"/>
        <w:tblpPr w:leftFromText="180" w:rightFromText="180" w:vertAnchor="text" w:horzAnchor="page" w:tblpX="1863" w:tblpY="1"/>
        <w:tblOverlap w:val="never"/>
        <w:tblW w:w="861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8"/>
        <w:gridCol w:w="1224"/>
        <w:gridCol w:w="3316"/>
        <w:gridCol w:w="3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62.</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莲藕</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表皮颜色白中带黄，藕节肥大，无叉，肉洁白脆嫩，藕节一般为3-4节。</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有外伤、断裂、有褐色斑，干萎颜色 发黄。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63.</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鲛白</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叶颜色青绿，完整，茎粗壮、肉肥厚较嫩，颜色洁白或淡黄色，折之易断。</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茎肉颜色青绿、有斑、较细且空、有刀伤或虫洞。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64.</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冬笋</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笋壳淡黄色，有光泽、完整清洁，壳肉紧帖、饱满，肉质洁白较嫩，根小。</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冰冻、霉烂、风干、刀伤，壳皮卷曲离肉、有黑斑，根大、肉老。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65.</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竹笋</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笋壳淡黄色，有光泽，笋体粗壮、充实、饱满，肉质洁白较嫩，水分多。</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断裂、黑斑、风干、刀伤，壳皮卷曲 壳肉有空隙，笋根变黑、肉变色。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66.</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茨前</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外包膜颜色淡黄、顶端尖芽淡黄色，形大饱满、洁净、肉乳白细腻。</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刀伤、虫洞、裂开、腐烂、冰冻、个小、多泥、顶端尖芽萎蔫。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67.</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香菇</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菌盖颜色褐色、有光泽、菌耀为淡米色或乳白色，菌身完整无损，不湿，菌盖大、有弹性、柄短小。</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560" w:firstLineChars="2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腐烂、破损、潮湿、粘手，菌身不完 整，颜色暗淡，发黑，味淡或异味。</w:t>
            </w:r>
          </w:p>
        </w:tc>
      </w:tr>
    </w:tbl>
    <w:p/>
    <w:tbl>
      <w:tblPr>
        <w:tblStyle w:val="28"/>
        <w:tblpPr w:leftFromText="180" w:rightFromText="180" w:vertAnchor="text" w:horzAnchor="page" w:tblpX="1863" w:tblpY="1"/>
        <w:tblOverlap w:val="never"/>
        <w:tblW w:w="861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08"/>
        <w:gridCol w:w="1224"/>
        <w:gridCol w:w="3316"/>
        <w:gridCol w:w="3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right="0" w:right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序号</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品名</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优质质量形态</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leftChars="0" w:right="0" w:rightChars="0" w:firstLine="409" w:firstLineChars="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劣质质量形态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68.</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平菇</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菌为洁白色或浅黑色，菌身完整、大小均匀，菌盖与柄、菌环相连未展开，根短。</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发霉、潮湿、粘手、水浸、杂质、菌盖边缘裂开，盖柄脱离，颜色发黄有黄斑。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69.</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草菇</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顶部颜色为鼠灰色，根部为乳白色，蛋或卵圆形、饱满，菌膜未破、湿度适中。</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潮湿、粘手、水浸、菌盖边缘欲裂或 腰凹陷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 w:hRule="atLeast"/>
        </w:trPr>
        <w:tc>
          <w:tcPr>
            <w:tcW w:w="908"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70.</w:t>
            </w:r>
          </w:p>
        </w:tc>
        <w:tc>
          <w:tcPr>
            <w:tcW w:w="1224" w:type="dxa"/>
            <w:vAlign w:val="center"/>
          </w:tcPr>
          <w:p>
            <w:pPr>
              <w:pStyle w:val="7"/>
              <w:keepNext w:val="0"/>
              <w:keepLines w:val="0"/>
              <w:pageBreakBefore w:val="0"/>
              <w:kinsoku/>
              <w:wordWrap/>
              <w:overflowPunct/>
              <w:topLinePunct w:val="0"/>
              <w:autoSpaceDE/>
              <w:autoSpaceDN/>
              <w:bidi w:val="0"/>
              <w:adjustRightInd/>
              <w:snapToGrid/>
              <w:spacing w:line="360" w:lineRule="auto"/>
              <w:ind w:right="0" w:firstLine="280" w:firstLineChars="100"/>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金针菇</w:t>
            </w:r>
          </w:p>
        </w:tc>
        <w:tc>
          <w:tcPr>
            <w:tcW w:w="3316"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菌盖颜色乳白、菌柄淡黄色、根部淡褐色，菌身细短，挺直。</w:t>
            </w:r>
          </w:p>
        </w:tc>
        <w:tc>
          <w:tcPr>
            <w:tcW w:w="3171" w:type="dxa"/>
            <w:vAlign w:val="center"/>
          </w:tcPr>
          <w:p>
            <w:pPr>
              <w:pStyle w:val="7"/>
              <w:keepNext w:val="0"/>
              <w:keepLines w:val="0"/>
              <w:pageBreakBefore w:val="0"/>
              <w:kinsoku/>
              <w:wordWrap/>
              <w:overflowPunct/>
              <w:topLinePunct w:val="0"/>
              <w:autoSpaceDE/>
              <w:autoSpaceDN/>
              <w:bidi w:val="0"/>
              <w:adjustRightInd/>
              <w:snapToGrid/>
              <w:spacing w:line="360" w:lineRule="auto"/>
              <w:ind w:left="0" w:right="0" w:firstLine="409"/>
              <w:jc w:val="left"/>
              <w:textAlignment w:val="auto"/>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腐烂、潮湿、枯萎、菌盖脱落，柄粗 长，颜色发黄。</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sz w:val="28"/>
          <w:szCs w:val="28"/>
        </w:rPr>
      </w:pPr>
      <w:r>
        <w:rPr>
          <w:rFonts w:hint="eastAsia" w:ascii="仿宋" w:hAnsi="仿宋" w:eastAsia="仿宋" w:cs="仿宋"/>
          <w:color w:val="000000"/>
          <w:kern w:val="0"/>
          <w:sz w:val="28"/>
          <w:szCs w:val="28"/>
          <w:lang w:val="en-US" w:eastAsia="zh-CN" w:bidi="ar"/>
        </w:rPr>
        <w:t xml:space="preserve">农药残留不超标，应按招标人要求定期提供蔬菜农药残留检测报告；蔬菜要求新鲜，蔬菜的可利用率高，达到商场零售标准要求。 </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2" w:firstLineChars="200"/>
        <w:jc w:val="left"/>
        <w:textAlignment w:val="auto"/>
        <w:rPr>
          <w:rFonts w:hint="eastAsia" w:ascii="Times New Roman" w:hAnsi="Times New Roman" w:cs="Times New Roman"/>
          <w:b/>
          <w:bCs/>
          <w:kern w:val="0"/>
          <w:sz w:val="28"/>
          <w:szCs w:val="28"/>
          <w:highlight w:val="none"/>
          <w:shd w:val="clear" w:color="FFFFFF" w:fill="D9D9D9"/>
          <w:lang w:val="en-US" w:eastAsia="zh-CN"/>
        </w:rPr>
      </w:pPr>
      <w:r>
        <w:rPr>
          <w:rFonts w:hint="eastAsia" w:ascii="仿宋" w:hAnsi="仿宋" w:eastAsia="仿宋" w:cs="仿宋"/>
          <w:b/>
          <w:bCs/>
          <w:color w:val="000000"/>
          <w:kern w:val="0"/>
          <w:sz w:val="28"/>
          <w:szCs w:val="28"/>
          <w:lang w:val="en-US" w:eastAsia="zh-CN" w:bidi="ar"/>
        </w:rPr>
        <w:t xml:space="preserve">若达不到上述标准，招标人有权拒收。一切后果由投标人承担。如中标人提供的产品被相关部门检测出达不到相关标准或者要求，因此造成的所有后果或处罚由中标人承担。 </w:t>
      </w: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default" w:ascii="Times New Roman" w:hAnsi="Times New Roman" w:cs="Times New Roman"/>
          <w:b/>
          <w:bCs/>
          <w:kern w:val="0"/>
          <w:sz w:val="28"/>
          <w:szCs w:val="28"/>
          <w:highlight w:val="none"/>
          <w:shd w:val="clear" w:color="auto" w:fill="auto"/>
          <w:lang w:val="en-US" w:eastAsia="zh-CN"/>
        </w:rPr>
      </w:pPr>
      <w:r>
        <w:rPr>
          <w:rFonts w:hint="eastAsia" w:ascii="Times New Roman" w:hAnsi="Times New Roman" w:cs="Times New Roman"/>
          <w:b/>
          <w:bCs/>
          <w:kern w:val="0"/>
          <w:sz w:val="28"/>
          <w:szCs w:val="28"/>
          <w:highlight w:val="none"/>
          <w:shd w:val="clear" w:color="auto" w:fill="auto"/>
          <w:lang w:val="en-US" w:eastAsia="zh-CN"/>
        </w:rPr>
        <w:t>3、商务条件</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3.1服务成果验收</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3.1.1采购人和配送供应商分别建立采购和供应台账，确认专人负责验收和收货，对食材数量、质量、规格、价格等进行检验。严禁提供食物成品、转基因食品或用转基因原料加工的食品及食品安全法规定的禁用产品。对于不符合规格要求、以次充好、质量问题及价格虚高等现象，采购人有权退货，供应商必须无条件退换，并保证采购人正常就餐。质量无任何问题，由采购单位安排专人验收并签字，作为付款凭证之一。</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3.1.2退换机制：供货产品不符合合同要求的，所供食材供应商须在1小时内退换完成。</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3.2服务保障</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3.2.1投标人应严格遵守《食品安全法》和《动物检疫法》等相关规定。配送企业供应不符合法律法规或食品安全标准的食品、食品添加剂、食品相关产品的，除全部退货外，将取消其供货资格，并承担由此造成的经济损失和法律责任。</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3.2.2采购人定期或不定期将对中标人供货的质量、价格、用户满意度进行抽查，抽查不合格的将中止供货协议，要求供应商整改，整改后仍不合格的，将终止供货协议。</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3.2.3落实食品安全责任。中标人与采购人签订食品安全责任书，强化食品质量检测手段。</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2" w:firstLineChars="200"/>
        <w:jc w:val="left"/>
        <w:textAlignment w:val="auto"/>
        <w:rPr>
          <w:rFonts w:hint="default" w:ascii="仿宋" w:hAnsi="仿宋" w:eastAsia="仿宋" w:cs="仿宋"/>
          <w:b/>
          <w:bCs/>
          <w:color w:val="FF0000"/>
          <w:kern w:val="0"/>
          <w:sz w:val="28"/>
          <w:szCs w:val="28"/>
          <w:lang w:val="en-US" w:eastAsia="zh-CN" w:bidi="ar"/>
        </w:rPr>
      </w:pPr>
      <w:r>
        <w:rPr>
          <w:rFonts w:hint="eastAsia" w:ascii="仿宋" w:hAnsi="仿宋" w:eastAsia="仿宋" w:cs="仿宋"/>
          <w:b/>
          <w:bCs/>
          <w:color w:val="FF0000"/>
          <w:kern w:val="0"/>
          <w:sz w:val="28"/>
          <w:szCs w:val="28"/>
          <w:lang w:val="en-US" w:eastAsia="zh-CN" w:bidi="ar"/>
        </w:rPr>
        <w:t>★3.2.4投标人须购买食品安全责任保险，并在投标文件中提供相关保险证明材料。</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3.2.5中标人因服务管理、维护不善造成的所有事故及相关设备设施的损坏，中标方须承担相应责任，对设备设施的损坏，应照价赔偿。</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2"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w:t>
      </w:r>
      <w:r>
        <w:rPr>
          <w:rFonts w:hint="eastAsia" w:ascii="仿宋" w:hAnsi="仿宋" w:eastAsia="仿宋" w:cs="仿宋"/>
          <w:b w:val="0"/>
          <w:bCs w:val="0"/>
          <w:color w:val="000000"/>
          <w:kern w:val="0"/>
          <w:sz w:val="28"/>
          <w:szCs w:val="28"/>
          <w:lang w:val="en-US" w:eastAsia="zh-CN" w:bidi="ar"/>
        </w:rPr>
        <w:t>3.2.6中标方不得将本项目分包或转包给他人，一经发现，取消其中标资格，终止合同，并追究其违约责任。</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0" w:firstLineChars="200"/>
        <w:jc w:val="left"/>
        <w:textAlignment w:val="auto"/>
        <w:rPr>
          <w:rFonts w:hint="eastAsia" w:ascii="仿宋" w:hAnsi="仿宋" w:eastAsia="仿宋" w:cs="仿宋"/>
          <w:b w:val="0"/>
          <w:bCs w:val="0"/>
          <w:color w:val="000000"/>
          <w:kern w:val="0"/>
          <w:sz w:val="28"/>
          <w:szCs w:val="28"/>
          <w:lang w:val="en-US" w:eastAsia="zh-CN" w:bidi="ar"/>
        </w:rPr>
      </w:pPr>
      <w:r>
        <w:rPr>
          <w:rFonts w:hint="eastAsia" w:ascii="仿宋" w:hAnsi="仿宋" w:eastAsia="仿宋" w:cs="仿宋"/>
          <w:b w:val="0"/>
          <w:bCs w:val="0"/>
          <w:color w:val="000000"/>
          <w:kern w:val="0"/>
          <w:sz w:val="28"/>
          <w:szCs w:val="28"/>
          <w:lang w:val="en-US" w:eastAsia="zh-CN" w:bidi="ar"/>
        </w:rPr>
        <w:t>注：上述要求中以及标注中：</w:t>
      </w:r>
    </w:p>
    <w:p>
      <w:pPr>
        <w:keepNext w:val="0"/>
        <w:keepLines w:val="0"/>
        <w:pageBreakBefore w:val="0"/>
        <w:widowControl/>
        <w:suppressLineNumbers w:val="0"/>
        <w:kinsoku/>
        <w:wordWrap/>
        <w:overflowPunct/>
        <w:topLinePunct w:val="0"/>
        <w:autoSpaceDE/>
        <w:autoSpaceDN/>
        <w:bidi w:val="0"/>
        <w:adjustRightInd/>
        <w:snapToGrid/>
        <w:spacing w:line="360" w:lineRule="auto"/>
        <w:ind w:left="0" w:right="0" w:firstLine="562" w:firstLineChars="200"/>
        <w:jc w:val="left"/>
        <w:textAlignment w:val="auto"/>
        <w:rPr>
          <w:rFonts w:hint="default" w:ascii="仿宋" w:hAnsi="仿宋" w:eastAsia="仿宋" w:cs="仿宋"/>
          <w:b/>
          <w:bCs/>
          <w:color w:val="000000"/>
          <w:kern w:val="0"/>
          <w:sz w:val="28"/>
          <w:szCs w:val="28"/>
          <w:lang w:val="en-US" w:eastAsia="zh-CN" w:bidi="ar"/>
        </w:rPr>
      </w:pPr>
      <w:r>
        <w:rPr>
          <w:rFonts w:hint="eastAsia" w:ascii="仿宋" w:hAnsi="仿宋" w:eastAsia="仿宋" w:cs="仿宋"/>
          <w:b/>
          <w:bCs/>
          <w:color w:val="000000"/>
          <w:kern w:val="0"/>
          <w:sz w:val="28"/>
          <w:szCs w:val="28"/>
          <w:lang w:val="en-US" w:eastAsia="zh-CN" w:bidi="ar"/>
        </w:rPr>
        <w:t>带“★”条款为实质性条款，投标人必须按照招标文件的要求做出实质性响应。</w:t>
      </w: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楷体" w:cs="Times New Roman"/>
          <w:kern w:val="0"/>
          <w:sz w:val="28"/>
          <w:szCs w:val="28"/>
          <w:highlight w:val="none"/>
          <w:shd w:val="clear" w:color="auto" w:fill="auto"/>
          <w:lang w:val="en-US" w:eastAsia="zh-CN"/>
        </w:rPr>
      </w:pPr>
      <w:r>
        <w:rPr>
          <w:rFonts w:hint="eastAsia" w:ascii="Times New Roman" w:hAnsi="Times New Roman" w:eastAsia="楷体" w:cs="Times New Roman"/>
          <w:kern w:val="0"/>
          <w:sz w:val="28"/>
          <w:szCs w:val="28"/>
          <w:highlight w:val="none"/>
          <w:lang w:val="en-US" w:eastAsia="zh-CN"/>
        </w:rPr>
        <w:t xml:space="preserve">   </w:t>
      </w: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ind w:firstLine="2520" w:firstLineChars="900"/>
        <w:jc w:val="both"/>
        <w:textAlignment w:val="auto"/>
        <w:outlineLvl w:val="9"/>
        <w:rPr>
          <w:rFonts w:hint="default" w:ascii="Times New Roman" w:hAnsi="Times New Roman" w:eastAsia="楷体" w:cs="Times New Roman"/>
          <w:kern w:val="0"/>
          <w:sz w:val="28"/>
          <w:szCs w:val="28"/>
          <w:highlight w:val="none"/>
          <w:u w:val="single"/>
          <w:lang w:val="en-US" w:eastAsia="zh-CN"/>
        </w:rPr>
      </w:pPr>
      <w:r>
        <w:rPr>
          <w:rFonts w:hint="eastAsia" w:ascii="Times New Roman" w:hAnsi="Times New Roman" w:eastAsia="楷体" w:cs="Times New Roman"/>
          <w:kern w:val="0"/>
          <w:sz w:val="28"/>
          <w:szCs w:val="28"/>
          <w:highlight w:val="none"/>
          <w:lang w:val="en-US" w:eastAsia="zh-CN"/>
        </w:rPr>
        <w:t>标    包：</w:t>
      </w:r>
      <w:r>
        <w:rPr>
          <w:rFonts w:hint="eastAsia" w:ascii="Times New Roman" w:hAnsi="Times New Roman" w:eastAsia="楷体" w:cs="Times New Roman"/>
          <w:kern w:val="0"/>
          <w:sz w:val="28"/>
          <w:szCs w:val="28"/>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0" w:name="_Toc152045787"/>
      <w:bookmarkStart w:id="421" w:name="_Toc152042576"/>
      <w:bookmarkStart w:id="422" w:name="_Toc144974856"/>
      <w:bookmarkStart w:id="423" w:name="_Toc300835209"/>
      <w:bookmarkStart w:id="424" w:name="_Toc247527827"/>
      <w:bookmarkStart w:id="425" w:name="_Toc247514246"/>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一、投标函</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（标包）</w:t>
      </w:r>
      <w:r>
        <w:rPr>
          <w:rFonts w:hint="eastAsia" w:ascii="Times New Roman" w:hAnsi="Times New Roman" w:cs="Times New Roman"/>
          <w:szCs w:val="21"/>
          <w:lang w:val="en-US" w:eastAsia="zh-CN"/>
        </w:rPr>
        <w:t>采购招标项目招标文件的全部内容：</w:t>
      </w:r>
    </w:p>
    <w:p>
      <w:pPr>
        <w:numPr>
          <w:ilvl w:val="-1"/>
          <w:numId w:val="0"/>
        </w:numPr>
        <w:spacing w:line="440" w:lineRule="exact"/>
        <w:ind w:firstLine="420" w:firstLineChars="200"/>
        <w:rPr>
          <w:rFonts w:hint="default" w:ascii="Times New Roman" w:hAnsi="Times New Roman" w:cs="Times New Roman"/>
          <w:szCs w:val="21"/>
          <w:u w:val="none"/>
          <w:lang w:val="en-US" w:eastAsia="zh-CN"/>
        </w:rPr>
      </w:pPr>
      <w:r>
        <w:rPr>
          <w:rFonts w:hint="eastAsia" w:ascii="Times New Roman" w:hAnsi="Times New Roman" w:cs="Times New Roman"/>
          <w:szCs w:val="21"/>
          <w:lang w:val="en-US" w:eastAsia="zh-CN"/>
        </w:rPr>
        <w:t>愿意</w:t>
      </w:r>
      <w:r>
        <w:rPr>
          <w:rFonts w:hint="eastAsia" w:ascii="Times New Roman" w:hAnsi="Times New Roman" w:cs="Times New Roman"/>
          <w:szCs w:val="21"/>
        </w:rPr>
        <w:t>以供货验收当日“我家亳州APP”中“智慧物价-菜篮子-批发</w:t>
      </w:r>
      <w:r>
        <w:rPr>
          <w:rFonts w:hint="eastAsia" w:ascii="Times New Roman" w:hAnsi="Times New Roman" w:cs="Times New Roman"/>
          <w:szCs w:val="21"/>
          <w:lang w:val="en-US" w:eastAsia="zh-CN"/>
        </w:rPr>
        <w:t>/农贸</w:t>
      </w:r>
      <w:r>
        <w:rPr>
          <w:rFonts w:hint="eastAsia" w:ascii="Times New Roman" w:hAnsi="Times New Roman" w:cs="Times New Roman"/>
          <w:szCs w:val="21"/>
        </w:rPr>
        <w:t>”对应食材价格为基准价（优先以“批发”为基准价），</w:t>
      </w:r>
      <w:r>
        <w:rPr>
          <w:rFonts w:hint="eastAsia" w:ascii="Times New Roman" w:hAnsi="Times New Roman" w:cs="Times New Roman"/>
          <w:szCs w:val="21"/>
          <w:lang w:val="en-US" w:eastAsia="zh-CN"/>
        </w:rPr>
        <w:t>投标报价</w:t>
      </w:r>
      <w:r>
        <w:rPr>
          <w:rFonts w:hint="eastAsia" w:ascii="Times New Roman" w:hAnsi="Times New Roman" w:cs="Times New Roman"/>
          <w:szCs w:val="21"/>
        </w:rPr>
        <w:t>为基准价的</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费率</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提供完成本项目食材及配送服务，</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资格审查资料；（6）投标产品性能指标的详细描述；（7）技术支持资料；（8）相关服务计划；（9）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26" w:name="_Toc152045791"/>
      <w:bookmarkStart w:id="427" w:name="_Toc144974860"/>
      <w:bookmarkStart w:id="428" w:name="_Toc152042580"/>
      <w:bookmarkStart w:id="429" w:name="_Toc300835213"/>
      <w:bookmarkStart w:id="430" w:name="_Toc247527831"/>
      <w:bookmarkStart w:id="431" w:name="_Toc24751428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26"/>
      <w:bookmarkEnd w:id="427"/>
      <w:bookmarkEnd w:id="428"/>
      <w:bookmarkEnd w:id="429"/>
      <w:bookmarkEnd w:id="430"/>
      <w:bookmarkEnd w:id="43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32" w:name="_Toc247514284"/>
      <w:bookmarkStart w:id="433" w:name="_Toc144974861"/>
      <w:bookmarkStart w:id="434" w:name="_Toc152045792"/>
      <w:bookmarkStart w:id="435" w:name="_Toc152042581"/>
      <w:bookmarkStart w:id="436" w:name="_Toc247527832"/>
      <w:bookmarkStart w:id="437" w:name="_Toc300835214"/>
      <w:r>
        <w:rPr>
          <w:rFonts w:hint="default" w:ascii="Times New Roman" w:hAnsi="Times New Roman" w:cs="Times New Roman"/>
        </w:rPr>
        <w:t>二、授权委托书</w:t>
      </w:r>
      <w:bookmarkEnd w:id="432"/>
      <w:bookmarkEnd w:id="433"/>
      <w:bookmarkEnd w:id="434"/>
      <w:bookmarkEnd w:id="435"/>
      <w:bookmarkEnd w:id="436"/>
      <w:bookmarkEnd w:id="43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（标包）</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38" w:name="_Toc247527834"/>
      <w:bookmarkStart w:id="439" w:name="_Toc152045794"/>
      <w:bookmarkStart w:id="440" w:name="_Toc300835216"/>
      <w:bookmarkStart w:id="441" w:name="_Toc144974862"/>
      <w:bookmarkStart w:id="442" w:name="_Toc247514286"/>
      <w:bookmarkStart w:id="443"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38"/>
      <w:bookmarkEnd w:id="439"/>
      <w:bookmarkEnd w:id="440"/>
      <w:bookmarkEnd w:id="441"/>
      <w:bookmarkEnd w:id="442"/>
      <w:bookmarkEnd w:id="44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4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44"/>
    <w:p>
      <w:pPr>
        <w:rPr>
          <w:rFonts w:hint="default" w:ascii="Times New Roman" w:hAnsi="Times New Roman" w:cs="Times New Roman"/>
        </w:rPr>
      </w:pPr>
      <w:bookmarkStart w:id="445" w:name="_Toc152045795"/>
      <w:bookmarkStart w:id="446" w:name="_Toc300835218"/>
      <w:bookmarkStart w:id="447" w:name="_Toc247527835"/>
      <w:bookmarkStart w:id="448" w:name="_Toc144974863"/>
      <w:bookmarkStart w:id="449" w:name="_Toc247514287"/>
      <w:bookmarkStart w:id="450"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45"/>
      <w:bookmarkEnd w:id="446"/>
      <w:bookmarkEnd w:id="447"/>
      <w:bookmarkEnd w:id="448"/>
      <w:bookmarkEnd w:id="449"/>
      <w:bookmarkEnd w:id="450"/>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51" w:name="_Toc152042585"/>
            <w:bookmarkStart w:id="452" w:name="_Toc300835221"/>
            <w:bookmarkStart w:id="453" w:name="_Toc247527836"/>
            <w:bookmarkStart w:id="454" w:name="_Toc152045796"/>
            <w:bookmarkStart w:id="455" w:name="_Toc247514288"/>
            <w:bookmarkStart w:id="456" w:name="_Toc144974864"/>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51"/>
    <w:bookmarkEnd w:id="452"/>
    <w:bookmarkEnd w:id="453"/>
    <w:bookmarkEnd w:id="454"/>
    <w:bookmarkEnd w:id="455"/>
    <w:bookmarkEnd w:id="456"/>
    <w:p>
      <w:pPr>
        <w:pStyle w:val="3"/>
        <w:jc w:val="center"/>
        <w:rPr>
          <w:rFonts w:hint="eastAsia" w:ascii="Times New Roman" w:hAnsi="Times New Roman" w:cs="Times New Roman"/>
          <w:lang w:val="en-US" w:eastAsia="zh-CN"/>
        </w:rPr>
      </w:pPr>
      <w:bookmarkStart w:id="457" w:name="_Toc179632823"/>
      <w:bookmarkStart w:id="458" w:name="_Toc246996369"/>
      <w:bookmarkStart w:id="459" w:name="_Toc152042592"/>
      <w:bookmarkStart w:id="460" w:name="_Toc247085887"/>
      <w:bookmarkStart w:id="461" w:name="_Toc246997112"/>
      <w:bookmarkStart w:id="462" w:name="_Toc296602614"/>
      <w:bookmarkStart w:id="463" w:name="_Toc144974871"/>
      <w:bookmarkStart w:id="464" w:name="_Toc152045803"/>
      <w:bookmarkStart w:id="465" w:name="_Toc247514300"/>
      <w:bookmarkStart w:id="466" w:name="_Toc247527848"/>
      <w:bookmarkStart w:id="467" w:name="_Toc300835224"/>
      <w:bookmarkStart w:id="468" w:name="_Toc152042597"/>
      <w:bookmarkStart w:id="469" w:name="_Toc144974876"/>
      <w:bookmarkStart w:id="470" w:name="_Toc152045808"/>
      <w:r>
        <w:rPr>
          <w:rFonts w:hint="eastAsia" w:ascii="Times New Roman" w:hAnsi="Times New Roman" w:cs="Times New Roman"/>
          <w:lang w:val="en-US" w:eastAsia="zh-CN"/>
        </w:rPr>
        <w:t>五、资格审查资料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“近年完成的类似项目情况表”应附合同协议书等的复印件，具体时间要求见投标人须知前附表。每张表格只填写一个项目，并标明序号。</w:t>
      </w:r>
    </w:p>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六、</w:t>
      </w:r>
      <w:bookmarkEnd w:id="457"/>
      <w:bookmarkEnd w:id="458"/>
      <w:bookmarkEnd w:id="459"/>
      <w:bookmarkEnd w:id="460"/>
      <w:bookmarkEnd w:id="461"/>
      <w:bookmarkEnd w:id="462"/>
      <w:bookmarkEnd w:id="463"/>
      <w:bookmarkEnd w:id="464"/>
      <w:r>
        <w:rPr>
          <w:rFonts w:hint="eastAsia"/>
          <w:lang w:val="en-US" w:eastAsia="zh-CN"/>
        </w:rPr>
        <w:t>投标产品技术性能指标的详细描述</w:t>
      </w:r>
    </w:p>
    <w:bookmarkEnd w:id="465"/>
    <w:bookmarkEnd w:id="466"/>
    <w:bookmarkEnd w:id="467"/>
    <w:bookmarkEnd w:id="468"/>
    <w:bookmarkEnd w:id="469"/>
    <w:bookmarkEnd w:id="470"/>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七、技术支持资料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1" w:name="_Toc247527853"/>
      <w:bookmarkStart w:id="472" w:name="_Toc247514305"/>
      <w:bookmarkStart w:id="473" w:name="_Toc247530162"/>
      <w:bookmarkStart w:id="474" w:name="_Toc152042602"/>
      <w:bookmarkStart w:id="475" w:name="_Toc152045813"/>
      <w:bookmarkStart w:id="476" w:name="_Toc144974881"/>
    </w:p>
    <w:bookmarkEnd w:id="471"/>
    <w:bookmarkEnd w:id="472"/>
    <w:bookmarkEnd w:id="473"/>
    <w:bookmarkEnd w:id="474"/>
    <w:bookmarkEnd w:id="475"/>
    <w:bookmarkEnd w:id="476"/>
    <w:p>
      <w:pPr>
        <w:pStyle w:val="3"/>
        <w:jc w:val="center"/>
        <w:rPr>
          <w:rFonts w:hint="default" w:ascii="Times New Roman" w:hAnsi="Times New Roman" w:cs="Times New Roman"/>
        </w:rPr>
      </w:pPr>
      <w:bookmarkStart w:id="477" w:name="_Toc271821942"/>
      <w:bookmarkStart w:id="478" w:name="_Toc300835233"/>
      <w:r>
        <w:rPr>
          <w:rFonts w:hint="eastAsia" w:ascii="Times New Roman" w:hAnsi="Times New Roman" w:cs="Times New Roman"/>
          <w:lang w:eastAsia="zh-CN"/>
        </w:rPr>
        <w:t>九</w:t>
      </w:r>
      <w:r>
        <w:rPr>
          <w:rFonts w:hint="default" w:ascii="Times New Roman" w:hAnsi="Times New Roman" w:cs="Times New Roman"/>
        </w:rPr>
        <w:t>、其他资料</w:t>
      </w:r>
      <w:bookmarkEnd w:id="477"/>
      <w:bookmarkEnd w:id="478"/>
    </w:p>
    <w:p>
      <w:pPr>
        <w:rPr>
          <w:rFonts w:hint="default" w:ascii="Times New Roman" w:hAnsi="Times New Roman" w:eastAsia="宋体" w:cs="Times New Roman"/>
          <w:b w:val="0"/>
          <w:bCs w:val="0"/>
          <w:kern w:val="0"/>
          <w:sz w:val="24"/>
          <w:szCs w:val="24"/>
          <w:highlight w:val="no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DD9A1BF-BCDF-4E5C-B89E-FFD9CF63296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5B9453B4-3CC6-4ACF-AF70-7BD3251FD88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B2F4641A-1E7B-4D91-AAFE-014EE15A73AD}"/>
  </w:font>
  <w:font w:name="方正小标宋简体">
    <w:panose1 w:val="03000509000000000000"/>
    <w:charset w:val="86"/>
    <w:family w:val="auto"/>
    <w:pitch w:val="default"/>
    <w:sig w:usb0="00000001" w:usb1="080E0000" w:usb2="00000000" w:usb3="00000000" w:csb0="00040000" w:csb1="00000000"/>
    <w:embedRegular r:id="rId4" w:fontKey="{F2B4E254-8F03-4533-B137-45B377C81DE9}"/>
  </w:font>
  <w:font w:name="楷体">
    <w:panose1 w:val="02010609060101010101"/>
    <w:charset w:val="86"/>
    <w:family w:val="auto"/>
    <w:pitch w:val="default"/>
    <w:sig w:usb0="800002BF" w:usb1="38CF7CFA" w:usb2="00000016" w:usb3="00000000" w:csb0="00040001" w:csb1="00000000"/>
    <w:embedRegular r:id="rId5" w:fontKey="{6DC7374F-AEAE-4DEB-B4D7-81D2207B1D5D}"/>
  </w:font>
  <w:font w:name="楷体_GB2312">
    <w:panose1 w:val="02010609030101010101"/>
    <w:charset w:val="86"/>
    <w:family w:val="modern"/>
    <w:pitch w:val="default"/>
    <w:sig w:usb0="00000001" w:usb1="080E0000" w:usb2="00000000" w:usb3="00000000" w:csb0="00040000" w:csb1="00000000"/>
    <w:embedRegular r:id="rId6" w:fontKey="{1EB11222-7427-4E9E-B326-1E0FB11561D4}"/>
  </w:font>
  <w:font w:name="仿宋">
    <w:panose1 w:val="02010609060101010101"/>
    <w:charset w:val="86"/>
    <w:family w:val="auto"/>
    <w:pitch w:val="default"/>
    <w:sig w:usb0="800002BF" w:usb1="38CF7CFA" w:usb2="00000016" w:usb3="00000000" w:csb0="00040001" w:csb1="00000000"/>
    <w:embedRegular r:id="rId7" w:fontKey="{CB19EBE4-D773-42E5-9402-491CDDB63DB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-615315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48.45pt;height:144pt;width:144pt;mso-position-horizontal:outside;mso-position-horizontal-relative:margin;mso-wrap-style:none;z-index:251659264;mso-width-relative:page;mso-height-relative:page;" filled="f" stroked="f" coordsize="21600,21600" o:gfxdata="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A1wACnYAAAACwEAAA8AAAAAAAAAAQAgAAAAIgAAAGRycy9kb3ducmV2Lnht&#10;bFBLAQIUABQAAAAIAIdO4kDhgNOOMgIAAGEEAAAOAAAAAAAAAAEAIAAAACcBAABkcnMvZTJvRG9j&#10;LnhtbFBLBQYAAAAABgAGAFkBAADLBQAAAAA=&#10;">
              <v:fill on="f" focussize="0,0"/>
              <v:stroke on="f" weight="0.5pt"/>
              <v:imagedata o:title=""/>
              <o:lock v:ext="edit" aspectratio="f"/>
              <v:textbox inset="0mm,0mm,0mm,0mm" style="mso-fit-shape-to-text:t;">
                <w:txbxContent>
                  <w:p>
                    <w:pPr>
                      <w:pStyle w:val="10"/>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50BEAE"/>
    <w:multiLevelType w:val="singleLevel"/>
    <w:tmpl w:val="C750BEA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forms"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978C2"/>
    <w:rsid w:val="002609D3"/>
    <w:rsid w:val="002C069E"/>
    <w:rsid w:val="0040224D"/>
    <w:rsid w:val="00563274"/>
    <w:rsid w:val="00733B0B"/>
    <w:rsid w:val="00764376"/>
    <w:rsid w:val="00796B76"/>
    <w:rsid w:val="00850CC0"/>
    <w:rsid w:val="00B00F2F"/>
    <w:rsid w:val="00D032BE"/>
    <w:rsid w:val="00FF308E"/>
    <w:rsid w:val="011E6004"/>
    <w:rsid w:val="0145105E"/>
    <w:rsid w:val="014A102B"/>
    <w:rsid w:val="018E53BB"/>
    <w:rsid w:val="019846E3"/>
    <w:rsid w:val="01CB0CDF"/>
    <w:rsid w:val="01CD2334"/>
    <w:rsid w:val="01E140D3"/>
    <w:rsid w:val="01EE4D0C"/>
    <w:rsid w:val="01F16263"/>
    <w:rsid w:val="02016132"/>
    <w:rsid w:val="0212370C"/>
    <w:rsid w:val="021D348F"/>
    <w:rsid w:val="02242AD4"/>
    <w:rsid w:val="022F06BD"/>
    <w:rsid w:val="024C62D4"/>
    <w:rsid w:val="026E5FAB"/>
    <w:rsid w:val="026F1774"/>
    <w:rsid w:val="02983D41"/>
    <w:rsid w:val="029F2BC9"/>
    <w:rsid w:val="02A31129"/>
    <w:rsid w:val="02A46690"/>
    <w:rsid w:val="02AC508C"/>
    <w:rsid w:val="02BE075F"/>
    <w:rsid w:val="02ED1C6E"/>
    <w:rsid w:val="02F4317E"/>
    <w:rsid w:val="03030333"/>
    <w:rsid w:val="0324584F"/>
    <w:rsid w:val="032652C7"/>
    <w:rsid w:val="033964DC"/>
    <w:rsid w:val="034877EC"/>
    <w:rsid w:val="035021B2"/>
    <w:rsid w:val="03642557"/>
    <w:rsid w:val="03696450"/>
    <w:rsid w:val="038E65F9"/>
    <w:rsid w:val="038F541B"/>
    <w:rsid w:val="03C10800"/>
    <w:rsid w:val="03C96DCC"/>
    <w:rsid w:val="03FB71CD"/>
    <w:rsid w:val="04127BBC"/>
    <w:rsid w:val="041515CF"/>
    <w:rsid w:val="04210376"/>
    <w:rsid w:val="04212D24"/>
    <w:rsid w:val="04221DEB"/>
    <w:rsid w:val="042C575E"/>
    <w:rsid w:val="04382327"/>
    <w:rsid w:val="043A6EF6"/>
    <w:rsid w:val="043F5557"/>
    <w:rsid w:val="044363A4"/>
    <w:rsid w:val="04856772"/>
    <w:rsid w:val="048760F2"/>
    <w:rsid w:val="04885B47"/>
    <w:rsid w:val="04A52387"/>
    <w:rsid w:val="04B54547"/>
    <w:rsid w:val="04C410F4"/>
    <w:rsid w:val="04CD15E8"/>
    <w:rsid w:val="04CF4810"/>
    <w:rsid w:val="04D63FDF"/>
    <w:rsid w:val="04EB08D2"/>
    <w:rsid w:val="04EC7DA2"/>
    <w:rsid w:val="050252F6"/>
    <w:rsid w:val="055625ED"/>
    <w:rsid w:val="0560706F"/>
    <w:rsid w:val="0572490A"/>
    <w:rsid w:val="057E3D65"/>
    <w:rsid w:val="058253F2"/>
    <w:rsid w:val="05872EB9"/>
    <w:rsid w:val="05933026"/>
    <w:rsid w:val="059835D0"/>
    <w:rsid w:val="05AF1F5A"/>
    <w:rsid w:val="05BA17C0"/>
    <w:rsid w:val="05C07B0D"/>
    <w:rsid w:val="05D9116E"/>
    <w:rsid w:val="05DB04A3"/>
    <w:rsid w:val="05F4145A"/>
    <w:rsid w:val="05FE66EA"/>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4267A8"/>
    <w:rsid w:val="074A7C93"/>
    <w:rsid w:val="07666E00"/>
    <w:rsid w:val="07723470"/>
    <w:rsid w:val="077965A7"/>
    <w:rsid w:val="07832BA1"/>
    <w:rsid w:val="07972327"/>
    <w:rsid w:val="079B5ED7"/>
    <w:rsid w:val="07A85930"/>
    <w:rsid w:val="07EE56D8"/>
    <w:rsid w:val="07F43A9E"/>
    <w:rsid w:val="083726B7"/>
    <w:rsid w:val="084A1910"/>
    <w:rsid w:val="08554A0D"/>
    <w:rsid w:val="08563EE1"/>
    <w:rsid w:val="086D3DA1"/>
    <w:rsid w:val="08774BE1"/>
    <w:rsid w:val="088F5820"/>
    <w:rsid w:val="08903F11"/>
    <w:rsid w:val="08932D8F"/>
    <w:rsid w:val="08BF22FE"/>
    <w:rsid w:val="08ED571D"/>
    <w:rsid w:val="08F024B8"/>
    <w:rsid w:val="08F53A28"/>
    <w:rsid w:val="08F85810"/>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CC485F"/>
    <w:rsid w:val="0ADD0DF0"/>
    <w:rsid w:val="0AEB40E8"/>
    <w:rsid w:val="0B0E131B"/>
    <w:rsid w:val="0B416906"/>
    <w:rsid w:val="0B5D1C2A"/>
    <w:rsid w:val="0B685C3C"/>
    <w:rsid w:val="0B7202E7"/>
    <w:rsid w:val="0B991D46"/>
    <w:rsid w:val="0B9F686D"/>
    <w:rsid w:val="0BDE31B0"/>
    <w:rsid w:val="0C110CA2"/>
    <w:rsid w:val="0C773477"/>
    <w:rsid w:val="0C9F113B"/>
    <w:rsid w:val="0CD3448B"/>
    <w:rsid w:val="0CF072F3"/>
    <w:rsid w:val="0D2466BD"/>
    <w:rsid w:val="0D275AB0"/>
    <w:rsid w:val="0D3A1668"/>
    <w:rsid w:val="0D3C216F"/>
    <w:rsid w:val="0D5C2246"/>
    <w:rsid w:val="0D6A3C45"/>
    <w:rsid w:val="0D7F3B4D"/>
    <w:rsid w:val="0D84383E"/>
    <w:rsid w:val="0DA13B17"/>
    <w:rsid w:val="0DA277FF"/>
    <w:rsid w:val="0DB22432"/>
    <w:rsid w:val="0DB8057F"/>
    <w:rsid w:val="0DBD75AC"/>
    <w:rsid w:val="0DC57869"/>
    <w:rsid w:val="0DD331D8"/>
    <w:rsid w:val="0DDB677F"/>
    <w:rsid w:val="0E093A81"/>
    <w:rsid w:val="0E1201C4"/>
    <w:rsid w:val="0E230C39"/>
    <w:rsid w:val="0E35096D"/>
    <w:rsid w:val="0E3C08A3"/>
    <w:rsid w:val="0E626142"/>
    <w:rsid w:val="0E6D3EE4"/>
    <w:rsid w:val="0E8168AC"/>
    <w:rsid w:val="0E9601D9"/>
    <w:rsid w:val="0EAA3109"/>
    <w:rsid w:val="0EDF4D5E"/>
    <w:rsid w:val="0EE54141"/>
    <w:rsid w:val="0EF860F0"/>
    <w:rsid w:val="0F024085"/>
    <w:rsid w:val="0F1438EF"/>
    <w:rsid w:val="0F463825"/>
    <w:rsid w:val="0F4B0F6A"/>
    <w:rsid w:val="0F575798"/>
    <w:rsid w:val="0F5F5CB1"/>
    <w:rsid w:val="0F6D192D"/>
    <w:rsid w:val="0F6E4AA0"/>
    <w:rsid w:val="0F886069"/>
    <w:rsid w:val="0FA819A2"/>
    <w:rsid w:val="0FAB7138"/>
    <w:rsid w:val="0FB3423F"/>
    <w:rsid w:val="0FCA08C0"/>
    <w:rsid w:val="0FCA14B6"/>
    <w:rsid w:val="0FE4089C"/>
    <w:rsid w:val="0FE42DE8"/>
    <w:rsid w:val="0FFA6EBC"/>
    <w:rsid w:val="101038A7"/>
    <w:rsid w:val="101E2D38"/>
    <w:rsid w:val="102758B4"/>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00C52"/>
    <w:rsid w:val="125A52C4"/>
    <w:rsid w:val="12655D96"/>
    <w:rsid w:val="128E3C38"/>
    <w:rsid w:val="12BC78AF"/>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A730B"/>
    <w:rsid w:val="136C3340"/>
    <w:rsid w:val="13810E11"/>
    <w:rsid w:val="1387094F"/>
    <w:rsid w:val="139C08EB"/>
    <w:rsid w:val="13D35238"/>
    <w:rsid w:val="13D81B1F"/>
    <w:rsid w:val="14061B66"/>
    <w:rsid w:val="142B5FE2"/>
    <w:rsid w:val="14542872"/>
    <w:rsid w:val="147E2423"/>
    <w:rsid w:val="1487273A"/>
    <w:rsid w:val="148C28CB"/>
    <w:rsid w:val="14944440"/>
    <w:rsid w:val="14A059A0"/>
    <w:rsid w:val="14B97B05"/>
    <w:rsid w:val="14C44177"/>
    <w:rsid w:val="14CD31B9"/>
    <w:rsid w:val="14DA6BBE"/>
    <w:rsid w:val="14E67563"/>
    <w:rsid w:val="14F926F4"/>
    <w:rsid w:val="15021B62"/>
    <w:rsid w:val="15055187"/>
    <w:rsid w:val="150A21BA"/>
    <w:rsid w:val="151779D1"/>
    <w:rsid w:val="1522437E"/>
    <w:rsid w:val="15283931"/>
    <w:rsid w:val="15382F40"/>
    <w:rsid w:val="158374C1"/>
    <w:rsid w:val="15A62ECC"/>
    <w:rsid w:val="15AE56B5"/>
    <w:rsid w:val="15B14179"/>
    <w:rsid w:val="15C516BD"/>
    <w:rsid w:val="16005D04"/>
    <w:rsid w:val="16021A3F"/>
    <w:rsid w:val="16026A2A"/>
    <w:rsid w:val="160550C9"/>
    <w:rsid w:val="16315EBE"/>
    <w:rsid w:val="166266B1"/>
    <w:rsid w:val="169528F0"/>
    <w:rsid w:val="16C724D4"/>
    <w:rsid w:val="16D411E7"/>
    <w:rsid w:val="16DA0303"/>
    <w:rsid w:val="16ED0036"/>
    <w:rsid w:val="170756D4"/>
    <w:rsid w:val="170F4587"/>
    <w:rsid w:val="176115DC"/>
    <w:rsid w:val="176D7525"/>
    <w:rsid w:val="17824660"/>
    <w:rsid w:val="178E1B3C"/>
    <w:rsid w:val="178F2FF8"/>
    <w:rsid w:val="179121FE"/>
    <w:rsid w:val="17915931"/>
    <w:rsid w:val="17C41ABF"/>
    <w:rsid w:val="17D825B2"/>
    <w:rsid w:val="181066D2"/>
    <w:rsid w:val="18175D56"/>
    <w:rsid w:val="18276B10"/>
    <w:rsid w:val="18930C59"/>
    <w:rsid w:val="189B5F22"/>
    <w:rsid w:val="18A70256"/>
    <w:rsid w:val="18A944F8"/>
    <w:rsid w:val="18B73074"/>
    <w:rsid w:val="18C354F3"/>
    <w:rsid w:val="18DA76F1"/>
    <w:rsid w:val="19034C2D"/>
    <w:rsid w:val="190B7F24"/>
    <w:rsid w:val="1916127C"/>
    <w:rsid w:val="193D465D"/>
    <w:rsid w:val="193D4E12"/>
    <w:rsid w:val="19565565"/>
    <w:rsid w:val="196C6238"/>
    <w:rsid w:val="198A59D6"/>
    <w:rsid w:val="199155F1"/>
    <w:rsid w:val="19A075E2"/>
    <w:rsid w:val="19A73D74"/>
    <w:rsid w:val="19AA5416"/>
    <w:rsid w:val="19CE7FF6"/>
    <w:rsid w:val="19D70C6D"/>
    <w:rsid w:val="19E2271F"/>
    <w:rsid w:val="19ED786D"/>
    <w:rsid w:val="1A075570"/>
    <w:rsid w:val="1A1C623A"/>
    <w:rsid w:val="1A270D5F"/>
    <w:rsid w:val="1A4C1518"/>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D5F8B"/>
    <w:rsid w:val="1C6E241C"/>
    <w:rsid w:val="1C7D00AF"/>
    <w:rsid w:val="1CA94A00"/>
    <w:rsid w:val="1CB07DF9"/>
    <w:rsid w:val="1CC3681B"/>
    <w:rsid w:val="1CF251D3"/>
    <w:rsid w:val="1CFF3217"/>
    <w:rsid w:val="1D0C3E62"/>
    <w:rsid w:val="1D1D0D81"/>
    <w:rsid w:val="1D4C7ADA"/>
    <w:rsid w:val="1D5835F0"/>
    <w:rsid w:val="1D594678"/>
    <w:rsid w:val="1D887A34"/>
    <w:rsid w:val="1D8C5045"/>
    <w:rsid w:val="1D9244F8"/>
    <w:rsid w:val="1D931CEA"/>
    <w:rsid w:val="1DC177D9"/>
    <w:rsid w:val="1E1A236E"/>
    <w:rsid w:val="1E225BB3"/>
    <w:rsid w:val="1E2A6113"/>
    <w:rsid w:val="1E2D212B"/>
    <w:rsid w:val="1E2E6E13"/>
    <w:rsid w:val="1E32182A"/>
    <w:rsid w:val="1E5A61EE"/>
    <w:rsid w:val="1E713E2F"/>
    <w:rsid w:val="1E8A0861"/>
    <w:rsid w:val="1E91399D"/>
    <w:rsid w:val="1E966C18"/>
    <w:rsid w:val="1E980FE4"/>
    <w:rsid w:val="1EA573D8"/>
    <w:rsid w:val="1EA77665"/>
    <w:rsid w:val="1EB0513B"/>
    <w:rsid w:val="1EB72F76"/>
    <w:rsid w:val="1EC10726"/>
    <w:rsid w:val="1EE36B2C"/>
    <w:rsid w:val="1EF21D0A"/>
    <w:rsid w:val="1EF342CB"/>
    <w:rsid w:val="1F020A44"/>
    <w:rsid w:val="1F041BC7"/>
    <w:rsid w:val="1F127B09"/>
    <w:rsid w:val="1F204D21"/>
    <w:rsid w:val="1F2354C8"/>
    <w:rsid w:val="1F2B46E9"/>
    <w:rsid w:val="1F36160E"/>
    <w:rsid w:val="1F3F33F9"/>
    <w:rsid w:val="1F417171"/>
    <w:rsid w:val="1F4D1086"/>
    <w:rsid w:val="1F5D00BF"/>
    <w:rsid w:val="1F5E5F75"/>
    <w:rsid w:val="1F640255"/>
    <w:rsid w:val="1F671677"/>
    <w:rsid w:val="1F722047"/>
    <w:rsid w:val="1F904945"/>
    <w:rsid w:val="1FAA6A2E"/>
    <w:rsid w:val="1FC11059"/>
    <w:rsid w:val="1FDC7161"/>
    <w:rsid w:val="1FE4351E"/>
    <w:rsid w:val="1FE570E2"/>
    <w:rsid w:val="1FE741BD"/>
    <w:rsid w:val="1FE7673E"/>
    <w:rsid w:val="200E38F2"/>
    <w:rsid w:val="201E585F"/>
    <w:rsid w:val="2049266D"/>
    <w:rsid w:val="20534B67"/>
    <w:rsid w:val="20557DC5"/>
    <w:rsid w:val="205A5C16"/>
    <w:rsid w:val="205B7D6A"/>
    <w:rsid w:val="205D447F"/>
    <w:rsid w:val="20661027"/>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EF3388"/>
    <w:rsid w:val="232E56FD"/>
    <w:rsid w:val="233F5F96"/>
    <w:rsid w:val="235F4D23"/>
    <w:rsid w:val="236D4028"/>
    <w:rsid w:val="238A4DFC"/>
    <w:rsid w:val="241C01AD"/>
    <w:rsid w:val="24226CC5"/>
    <w:rsid w:val="24312A4A"/>
    <w:rsid w:val="244A5E9A"/>
    <w:rsid w:val="244C4BB8"/>
    <w:rsid w:val="24691193"/>
    <w:rsid w:val="246C3A46"/>
    <w:rsid w:val="247152E7"/>
    <w:rsid w:val="24724271"/>
    <w:rsid w:val="249331E5"/>
    <w:rsid w:val="24BD0029"/>
    <w:rsid w:val="24FF7718"/>
    <w:rsid w:val="251A7612"/>
    <w:rsid w:val="25237A22"/>
    <w:rsid w:val="2529037C"/>
    <w:rsid w:val="252E0774"/>
    <w:rsid w:val="25392ECA"/>
    <w:rsid w:val="253B28B5"/>
    <w:rsid w:val="25481BCE"/>
    <w:rsid w:val="256E1E26"/>
    <w:rsid w:val="256E2C8A"/>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4A285D"/>
    <w:rsid w:val="27664F44"/>
    <w:rsid w:val="276C029F"/>
    <w:rsid w:val="27867E0A"/>
    <w:rsid w:val="27982DD4"/>
    <w:rsid w:val="27DD09CE"/>
    <w:rsid w:val="27EC553C"/>
    <w:rsid w:val="280C4BFC"/>
    <w:rsid w:val="2813394B"/>
    <w:rsid w:val="281C1F63"/>
    <w:rsid w:val="281C54D8"/>
    <w:rsid w:val="283610D5"/>
    <w:rsid w:val="284D302B"/>
    <w:rsid w:val="285F5293"/>
    <w:rsid w:val="28622D71"/>
    <w:rsid w:val="286E69FD"/>
    <w:rsid w:val="2895052E"/>
    <w:rsid w:val="28A10C81"/>
    <w:rsid w:val="28C56178"/>
    <w:rsid w:val="28FA546B"/>
    <w:rsid w:val="28FE025E"/>
    <w:rsid w:val="29245F1A"/>
    <w:rsid w:val="29366359"/>
    <w:rsid w:val="293A3409"/>
    <w:rsid w:val="294837F2"/>
    <w:rsid w:val="29586D7A"/>
    <w:rsid w:val="29772B51"/>
    <w:rsid w:val="29791894"/>
    <w:rsid w:val="2984235F"/>
    <w:rsid w:val="29967FD2"/>
    <w:rsid w:val="29A52D8F"/>
    <w:rsid w:val="29C56C3A"/>
    <w:rsid w:val="29D85278"/>
    <w:rsid w:val="29E1380C"/>
    <w:rsid w:val="29E85046"/>
    <w:rsid w:val="2A017BFD"/>
    <w:rsid w:val="2A0A71F8"/>
    <w:rsid w:val="2A41271B"/>
    <w:rsid w:val="2A4913A2"/>
    <w:rsid w:val="2A4D10C0"/>
    <w:rsid w:val="2A500BB0"/>
    <w:rsid w:val="2A9154D8"/>
    <w:rsid w:val="2AA04C57"/>
    <w:rsid w:val="2AD750C3"/>
    <w:rsid w:val="2AE77D08"/>
    <w:rsid w:val="2AEA3011"/>
    <w:rsid w:val="2AEB08D9"/>
    <w:rsid w:val="2B151AF7"/>
    <w:rsid w:val="2B252D72"/>
    <w:rsid w:val="2B3E0375"/>
    <w:rsid w:val="2B492499"/>
    <w:rsid w:val="2B652A8D"/>
    <w:rsid w:val="2B6C55DB"/>
    <w:rsid w:val="2B8D5640"/>
    <w:rsid w:val="2B9176D3"/>
    <w:rsid w:val="2BBF4A1B"/>
    <w:rsid w:val="2BF4029C"/>
    <w:rsid w:val="2C1C6937"/>
    <w:rsid w:val="2C202757"/>
    <w:rsid w:val="2C270D43"/>
    <w:rsid w:val="2C4D6B01"/>
    <w:rsid w:val="2C5030EA"/>
    <w:rsid w:val="2C6436A6"/>
    <w:rsid w:val="2C7A2A8F"/>
    <w:rsid w:val="2C8114F5"/>
    <w:rsid w:val="2C9023A5"/>
    <w:rsid w:val="2C937549"/>
    <w:rsid w:val="2C9D6A04"/>
    <w:rsid w:val="2CB62598"/>
    <w:rsid w:val="2CBC136A"/>
    <w:rsid w:val="2CD47877"/>
    <w:rsid w:val="2CFE607B"/>
    <w:rsid w:val="2D095409"/>
    <w:rsid w:val="2D3A3199"/>
    <w:rsid w:val="2D4B38E7"/>
    <w:rsid w:val="2D5470D9"/>
    <w:rsid w:val="2D551303"/>
    <w:rsid w:val="2D772574"/>
    <w:rsid w:val="2D864A37"/>
    <w:rsid w:val="2D8D31B7"/>
    <w:rsid w:val="2D8D5835"/>
    <w:rsid w:val="2DAB1C25"/>
    <w:rsid w:val="2DBF149D"/>
    <w:rsid w:val="2DCC12FC"/>
    <w:rsid w:val="2DD66E3A"/>
    <w:rsid w:val="2DF17D73"/>
    <w:rsid w:val="2E016ADE"/>
    <w:rsid w:val="2E3918CB"/>
    <w:rsid w:val="2E652B8E"/>
    <w:rsid w:val="2E66167A"/>
    <w:rsid w:val="2E6C7EF1"/>
    <w:rsid w:val="2E6D69DB"/>
    <w:rsid w:val="2E6F6584"/>
    <w:rsid w:val="2E70537D"/>
    <w:rsid w:val="2E7823B0"/>
    <w:rsid w:val="2E933BCE"/>
    <w:rsid w:val="2E9C6490"/>
    <w:rsid w:val="2EA40069"/>
    <w:rsid w:val="2EAA3B87"/>
    <w:rsid w:val="2EB66E96"/>
    <w:rsid w:val="2EBC23A0"/>
    <w:rsid w:val="2EFA0191"/>
    <w:rsid w:val="2F436846"/>
    <w:rsid w:val="2F4556CE"/>
    <w:rsid w:val="2F5C3B54"/>
    <w:rsid w:val="2F6F3C93"/>
    <w:rsid w:val="2F754A27"/>
    <w:rsid w:val="2F890E3A"/>
    <w:rsid w:val="2FA1186B"/>
    <w:rsid w:val="2FAB0637"/>
    <w:rsid w:val="2FB1448A"/>
    <w:rsid w:val="2FC802AE"/>
    <w:rsid w:val="2FE66F94"/>
    <w:rsid w:val="301C41BF"/>
    <w:rsid w:val="302369A0"/>
    <w:rsid w:val="303474C0"/>
    <w:rsid w:val="30550CCF"/>
    <w:rsid w:val="305C41A9"/>
    <w:rsid w:val="307C26FF"/>
    <w:rsid w:val="30820205"/>
    <w:rsid w:val="308E41B5"/>
    <w:rsid w:val="30924D0E"/>
    <w:rsid w:val="30952C59"/>
    <w:rsid w:val="30FF4D69"/>
    <w:rsid w:val="310E5321"/>
    <w:rsid w:val="3113559B"/>
    <w:rsid w:val="311978DB"/>
    <w:rsid w:val="312421F6"/>
    <w:rsid w:val="3127420C"/>
    <w:rsid w:val="31477BEB"/>
    <w:rsid w:val="315523B1"/>
    <w:rsid w:val="3173175F"/>
    <w:rsid w:val="3198056E"/>
    <w:rsid w:val="31CD31BF"/>
    <w:rsid w:val="31D67BED"/>
    <w:rsid w:val="31E10F55"/>
    <w:rsid w:val="31FA3D10"/>
    <w:rsid w:val="320B7F80"/>
    <w:rsid w:val="3219008D"/>
    <w:rsid w:val="32215B79"/>
    <w:rsid w:val="322241F2"/>
    <w:rsid w:val="3229379D"/>
    <w:rsid w:val="32294133"/>
    <w:rsid w:val="322D5AFA"/>
    <w:rsid w:val="32514C44"/>
    <w:rsid w:val="328916BE"/>
    <w:rsid w:val="32974C7A"/>
    <w:rsid w:val="32B53CA7"/>
    <w:rsid w:val="32BB4ABE"/>
    <w:rsid w:val="32C8549C"/>
    <w:rsid w:val="32CA16D9"/>
    <w:rsid w:val="32E83928"/>
    <w:rsid w:val="32F45590"/>
    <w:rsid w:val="331C19F3"/>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986785"/>
    <w:rsid w:val="349B5E0E"/>
    <w:rsid w:val="34A432B6"/>
    <w:rsid w:val="34AA020B"/>
    <w:rsid w:val="34BC17DA"/>
    <w:rsid w:val="34D015E3"/>
    <w:rsid w:val="34F85DA8"/>
    <w:rsid w:val="3509398E"/>
    <w:rsid w:val="3547266B"/>
    <w:rsid w:val="3554479E"/>
    <w:rsid w:val="357D63E5"/>
    <w:rsid w:val="357F00D0"/>
    <w:rsid w:val="35894506"/>
    <w:rsid w:val="35954DCB"/>
    <w:rsid w:val="35A377DB"/>
    <w:rsid w:val="35E11256"/>
    <w:rsid w:val="35E7387F"/>
    <w:rsid w:val="35E81F7A"/>
    <w:rsid w:val="35EF4AF5"/>
    <w:rsid w:val="35F52BF3"/>
    <w:rsid w:val="360530D8"/>
    <w:rsid w:val="3605698A"/>
    <w:rsid w:val="36162F1C"/>
    <w:rsid w:val="36317AE8"/>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34566E"/>
    <w:rsid w:val="38422CE2"/>
    <w:rsid w:val="38464281"/>
    <w:rsid w:val="384A6092"/>
    <w:rsid w:val="386E21B0"/>
    <w:rsid w:val="38872FA8"/>
    <w:rsid w:val="38AE496C"/>
    <w:rsid w:val="38B54D45"/>
    <w:rsid w:val="38D242CD"/>
    <w:rsid w:val="393E0C7A"/>
    <w:rsid w:val="394125EA"/>
    <w:rsid w:val="39470BCD"/>
    <w:rsid w:val="39821F75"/>
    <w:rsid w:val="398B5520"/>
    <w:rsid w:val="398C3DB7"/>
    <w:rsid w:val="39AB6275"/>
    <w:rsid w:val="39E17621"/>
    <w:rsid w:val="39E8044A"/>
    <w:rsid w:val="39F227B1"/>
    <w:rsid w:val="3A151290"/>
    <w:rsid w:val="3A201663"/>
    <w:rsid w:val="3A257964"/>
    <w:rsid w:val="3A292038"/>
    <w:rsid w:val="3A4A1178"/>
    <w:rsid w:val="3A524E6B"/>
    <w:rsid w:val="3A762A49"/>
    <w:rsid w:val="3A826354"/>
    <w:rsid w:val="3A9D28F5"/>
    <w:rsid w:val="3ACD43C9"/>
    <w:rsid w:val="3AFF2C64"/>
    <w:rsid w:val="3B135A0E"/>
    <w:rsid w:val="3B180483"/>
    <w:rsid w:val="3B2F69DB"/>
    <w:rsid w:val="3B49637F"/>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8C1024"/>
    <w:rsid w:val="3C960BC8"/>
    <w:rsid w:val="3C9848A1"/>
    <w:rsid w:val="3CA509B7"/>
    <w:rsid w:val="3CA509D1"/>
    <w:rsid w:val="3CD537E6"/>
    <w:rsid w:val="3CD93879"/>
    <w:rsid w:val="3D2571D3"/>
    <w:rsid w:val="3D29776B"/>
    <w:rsid w:val="3D7A2818"/>
    <w:rsid w:val="3D8106EA"/>
    <w:rsid w:val="3D834DF8"/>
    <w:rsid w:val="3DA352B1"/>
    <w:rsid w:val="3DAE27B1"/>
    <w:rsid w:val="3DBA0AB6"/>
    <w:rsid w:val="3DBA61E7"/>
    <w:rsid w:val="3DC14624"/>
    <w:rsid w:val="3DD55956"/>
    <w:rsid w:val="3E100FFC"/>
    <w:rsid w:val="3E201534"/>
    <w:rsid w:val="3E625352"/>
    <w:rsid w:val="3E651EE9"/>
    <w:rsid w:val="3E784A78"/>
    <w:rsid w:val="3E8554F5"/>
    <w:rsid w:val="3E9055C8"/>
    <w:rsid w:val="3EAD43CC"/>
    <w:rsid w:val="3EB65E71"/>
    <w:rsid w:val="3EC33032"/>
    <w:rsid w:val="3EC61DB3"/>
    <w:rsid w:val="3ECE4FFB"/>
    <w:rsid w:val="3EF62661"/>
    <w:rsid w:val="3F042A00"/>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05343"/>
    <w:rsid w:val="410F1967"/>
    <w:rsid w:val="41335FC7"/>
    <w:rsid w:val="415978C8"/>
    <w:rsid w:val="415C1B4D"/>
    <w:rsid w:val="417843F2"/>
    <w:rsid w:val="41807B75"/>
    <w:rsid w:val="418A1799"/>
    <w:rsid w:val="41943621"/>
    <w:rsid w:val="41A61C3F"/>
    <w:rsid w:val="41B17185"/>
    <w:rsid w:val="41DD6D76"/>
    <w:rsid w:val="41EC1CE0"/>
    <w:rsid w:val="41F05895"/>
    <w:rsid w:val="42040076"/>
    <w:rsid w:val="420C70DA"/>
    <w:rsid w:val="4226611D"/>
    <w:rsid w:val="423C1D7D"/>
    <w:rsid w:val="42465D54"/>
    <w:rsid w:val="425402BB"/>
    <w:rsid w:val="42564ADA"/>
    <w:rsid w:val="4269685C"/>
    <w:rsid w:val="42747A95"/>
    <w:rsid w:val="427E52C8"/>
    <w:rsid w:val="429D02B3"/>
    <w:rsid w:val="42CA464A"/>
    <w:rsid w:val="42EA174A"/>
    <w:rsid w:val="42FA6BD0"/>
    <w:rsid w:val="42FB4E01"/>
    <w:rsid w:val="4301585B"/>
    <w:rsid w:val="43120CA1"/>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A100BA"/>
    <w:rsid w:val="45A31600"/>
    <w:rsid w:val="45E526C2"/>
    <w:rsid w:val="45ED75B7"/>
    <w:rsid w:val="45EF5694"/>
    <w:rsid w:val="45F32D75"/>
    <w:rsid w:val="45FE4441"/>
    <w:rsid w:val="460934CE"/>
    <w:rsid w:val="461F685B"/>
    <w:rsid w:val="463926E5"/>
    <w:rsid w:val="463A35BA"/>
    <w:rsid w:val="464478D6"/>
    <w:rsid w:val="46594972"/>
    <w:rsid w:val="46763AFA"/>
    <w:rsid w:val="46A86AC5"/>
    <w:rsid w:val="46AF0ACC"/>
    <w:rsid w:val="46CD2EA3"/>
    <w:rsid w:val="46E33C2A"/>
    <w:rsid w:val="46EB5C2E"/>
    <w:rsid w:val="46F77BF9"/>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E726FC"/>
    <w:rsid w:val="47FC33A5"/>
    <w:rsid w:val="48012A31"/>
    <w:rsid w:val="48125400"/>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8A37D8"/>
    <w:rsid w:val="4A8B4AB2"/>
    <w:rsid w:val="4ABC0E71"/>
    <w:rsid w:val="4AD9595B"/>
    <w:rsid w:val="4AF93EAE"/>
    <w:rsid w:val="4AFC3A3A"/>
    <w:rsid w:val="4B232749"/>
    <w:rsid w:val="4B26353C"/>
    <w:rsid w:val="4B311212"/>
    <w:rsid w:val="4B3E6720"/>
    <w:rsid w:val="4B43535A"/>
    <w:rsid w:val="4B476348"/>
    <w:rsid w:val="4B625BF7"/>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3AAB"/>
    <w:rsid w:val="4D245FC5"/>
    <w:rsid w:val="4D2B3B2C"/>
    <w:rsid w:val="4DA943B0"/>
    <w:rsid w:val="4DC515BB"/>
    <w:rsid w:val="4DCB5984"/>
    <w:rsid w:val="4DD610A9"/>
    <w:rsid w:val="4DD64458"/>
    <w:rsid w:val="4DDD4E1A"/>
    <w:rsid w:val="4DF01BDF"/>
    <w:rsid w:val="4E135BFA"/>
    <w:rsid w:val="4E1B2DDB"/>
    <w:rsid w:val="4E250E8C"/>
    <w:rsid w:val="4E355E12"/>
    <w:rsid w:val="4E5D7C3A"/>
    <w:rsid w:val="4E8D762E"/>
    <w:rsid w:val="4E946A0E"/>
    <w:rsid w:val="4E9B1112"/>
    <w:rsid w:val="4EA06365"/>
    <w:rsid w:val="4EBD3915"/>
    <w:rsid w:val="4ECD54B1"/>
    <w:rsid w:val="4ED4046B"/>
    <w:rsid w:val="4EDF4B15"/>
    <w:rsid w:val="4EF43B16"/>
    <w:rsid w:val="4F0E1E8F"/>
    <w:rsid w:val="4F2B6C13"/>
    <w:rsid w:val="4F3153D3"/>
    <w:rsid w:val="4F5F3ED1"/>
    <w:rsid w:val="4F804E7C"/>
    <w:rsid w:val="4F85516A"/>
    <w:rsid w:val="4F91170B"/>
    <w:rsid w:val="4F944D8F"/>
    <w:rsid w:val="4FCA5221"/>
    <w:rsid w:val="4FED0FB9"/>
    <w:rsid w:val="50416722"/>
    <w:rsid w:val="507410D2"/>
    <w:rsid w:val="50A4392E"/>
    <w:rsid w:val="50A97681"/>
    <w:rsid w:val="50AE3B94"/>
    <w:rsid w:val="50AF7418"/>
    <w:rsid w:val="50E93575"/>
    <w:rsid w:val="50EE4AFC"/>
    <w:rsid w:val="50F04D4E"/>
    <w:rsid w:val="50F57385"/>
    <w:rsid w:val="50F6016F"/>
    <w:rsid w:val="50FB1FB9"/>
    <w:rsid w:val="51132FF4"/>
    <w:rsid w:val="51151213"/>
    <w:rsid w:val="5116195C"/>
    <w:rsid w:val="51226553"/>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D84E64"/>
    <w:rsid w:val="51EB5979"/>
    <w:rsid w:val="521045FE"/>
    <w:rsid w:val="521A0101"/>
    <w:rsid w:val="521F6F37"/>
    <w:rsid w:val="52241967"/>
    <w:rsid w:val="52263E21"/>
    <w:rsid w:val="522D1CB6"/>
    <w:rsid w:val="52444C58"/>
    <w:rsid w:val="5263075C"/>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41B11"/>
    <w:rsid w:val="54D93BB4"/>
    <w:rsid w:val="550E49C6"/>
    <w:rsid w:val="556E6B20"/>
    <w:rsid w:val="55A47D96"/>
    <w:rsid w:val="55BE168D"/>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A373F0"/>
    <w:rsid w:val="57C83C57"/>
    <w:rsid w:val="57FB2FB4"/>
    <w:rsid w:val="582028C2"/>
    <w:rsid w:val="582908A2"/>
    <w:rsid w:val="583D07DD"/>
    <w:rsid w:val="585F1862"/>
    <w:rsid w:val="58613E05"/>
    <w:rsid w:val="58620D26"/>
    <w:rsid w:val="58706FB1"/>
    <w:rsid w:val="587C5983"/>
    <w:rsid w:val="58E8415E"/>
    <w:rsid w:val="58ED1995"/>
    <w:rsid w:val="58FF1A45"/>
    <w:rsid w:val="591578E8"/>
    <w:rsid w:val="591C580B"/>
    <w:rsid w:val="5926497A"/>
    <w:rsid w:val="592A1893"/>
    <w:rsid w:val="595D3E12"/>
    <w:rsid w:val="59961EFB"/>
    <w:rsid w:val="59A11353"/>
    <w:rsid w:val="59B40569"/>
    <w:rsid w:val="59C97EB4"/>
    <w:rsid w:val="5A0336C4"/>
    <w:rsid w:val="5A1D0D82"/>
    <w:rsid w:val="5A20315B"/>
    <w:rsid w:val="5A4C2893"/>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D32897"/>
    <w:rsid w:val="5BF50A44"/>
    <w:rsid w:val="5BFA1D02"/>
    <w:rsid w:val="5C272C70"/>
    <w:rsid w:val="5C295CCC"/>
    <w:rsid w:val="5C381A3A"/>
    <w:rsid w:val="5C5C135C"/>
    <w:rsid w:val="5C872DAA"/>
    <w:rsid w:val="5C900E0D"/>
    <w:rsid w:val="5C974816"/>
    <w:rsid w:val="5CA97228"/>
    <w:rsid w:val="5CBA57BD"/>
    <w:rsid w:val="5CC5471C"/>
    <w:rsid w:val="5CDC5386"/>
    <w:rsid w:val="5CEE7B85"/>
    <w:rsid w:val="5CF07506"/>
    <w:rsid w:val="5CF73D69"/>
    <w:rsid w:val="5D202057"/>
    <w:rsid w:val="5D445AA3"/>
    <w:rsid w:val="5D4700C2"/>
    <w:rsid w:val="5D6C4615"/>
    <w:rsid w:val="5D7C5A81"/>
    <w:rsid w:val="5D89567D"/>
    <w:rsid w:val="5DD31E8F"/>
    <w:rsid w:val="5DDF2196"/>
    <w:rsid w:val="5DF01C4B"/>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12DAE"/>
    <w:rsid w:val="6099592B"/>
    <w:rsid w:val="60A13AB9"/>
    <w:rsid w:val="60A7744C"/>
    <w:rsid w:val="60CF04AB"/>
    <w:rsid w:val="60DB5486"/>
    <w:rsid w:val="60E82C1A"/>
    <w:rsid w:val="60EC0541"/>
    <w:rsid w:val="60ED5DBD"/>
    <w:rsid w:val="60FD245E"/>
    <w:rsid w:val="61033EA8"/>
    <w:rsid w:val="610A1613"/>
    <w:rsid w:val="610E0DD2"/>
    <w:rsid w:val="61142548"/>
    <w:rsid w:val="61157719"/>
    <w:rsid w:val="61251167"/>
    <w:rsid w:val="61432D9E"/>
    <w:rsid w:val="61683AEB"/>
    <w:rsid w:val="61897F29"/>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197334"/>
    <w:rsid w:val="632A3D0D"/>
    <w:rsid w:val="633443AB"/>
    <w:rsid w:val="6353750E"/>
    <w:rsid w:val="638857E1"/>
    <w:rsid w:val="63A802C7"/>
    <w:rsid w:val="63AB78F4"/>
    <w:rsid w:val="63C642C7"/>
    <w:rsid w:val="63C85688"/>
    <w:rsid w:val="63CD5666"/>
    <w:rsid w:val="63D01EF3"/>
    <w:rsid w:val="63D2038C"/>
    <w:rsid w:val="63E15DFA"/>
    <w:rsid w:val="63E631E1"/>
    <w:rsid w:val="63F66CE6"/>
    <w:rsid w:val="640E7E19"/>
    <w:rsid w:val="64713380"/>
    <w:rsid w:val="647527CB"/>
    <w:rsid w:val="648A0F84"/>
    <w:rsid w:val="648E4974"/>
    <w:rsid w:val="648F4377"/>
    <w:rsid w:val="64935AC5"/>
    <w:rsid w:val="64994927"/>
    <w:rsid w:val="649E65A7"/>
    <w:rsid w:val="64B70C4D"/>
    <w:rsid w:val="64D14920"/>
    <w:rsid w:val="64D21171"/>
    <w:rsid w:val="64DC3A26"/>
    <w:rsid w:val="64E738E4"/>
    <w:rsid w:val="64EA382F"/>
    <w:rsid w:val="64ED3306"/>
    <w:rsid w:val="65091AAC"/>
    <w:rsid w:val="65112EA3"/>
    <w:rsid w:val="6511603A"/>
    <w:rsid w:val="65162422"/>
    <w:rsid w:val="65206DF6"/>
    <w:rsid w:val="652763A9"/>
    <w:rsid w:val="653B0F51"/>
    <w:rsid w:val="65434194"/>
    <w:rsid w:val="65477730"/>
    <w:rsid w:val="654912E0"/>
    <w:rsid w:val="65566374"/>
    <w:rsid w:val="655F347A"/>
    <w:rsid w:val="65674A25"/>
    <w:rsid w:val="656A4332"/>
    <w:rsid w:val="65733372"/>
    <w:rsid w:val="65744876"/>
    <w:rsid w:val="657845AE"/>
    <w:rsid w:val="658D0170"/>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B70D07"/>
    <w:rsid w:val="67C40A09"/>
    <w:rsid w:val="67C47F0C"/>
    <w:rsid w:val="67D020A7"/>
    <w:rsid w:val="67D600B8"/>
    <w:rsid w:val="67E4087E"/>
    <w:rsid w:val="67E95901"/>
    <w:rsid w:val="67EC2FBF"/>
    <w:rsid w:val="6821192D"/>
    <w:rsid w:val="68337E89"/>
    <w:rsid w:val="68337EE8"/>
    <w:rsid w:val="683A6C76"/>
    <w:rsid w:val="6848352E"/>
    <w:rsid w:val="685C5B46"/>
    <w:rsid w:val="686F1486"/>
    <w:rsid w:val="688C0656"/>
    <w:rsid w:val="68AE1735"/>
    <w:rsid w:val="68B72950"/>
    <w:rsid w:val="68D60630"/>
    <w:rsid w:val="68F00432"/>
    <w:rsid w:val="68F8555D"/>
    <w:rsid w:val="691D712E"/>
    <w:rsid w:val="695D23C7"/>
    <w:rsid w:val="697E7396"/>
    <w:rsid w:val="69845BA5"/>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944A2"/>
    <w:rsid w:val="6ABC3292"/>
    <w:rsid w:val="6ABE0C43"/>
    <w:rsid w:val="6AC04F0B"/>
    <w:rsid w:val="6AD34458"/>
    <w:rsid w:val="6ADC4801"/>
    <w:rsid w:val="6ADF25FC"/>
    <w:rsid w:val="6B020CD0"/>
    <w:rsid w:val="6B1148AC"/>
    <w:rsid w:val="6B3E0351"/>
    <w:rsid w:val="6B42449D"/>
    <w:rsid w:val="6B451364"/>
    <w:rsid w:val="6B482C03"/>
    <w:rsid w:val="6B4A5562"/>
    <w:rsid w:val="6B565807"/>
    <w:rsid w:val="6B7A369F"/>
    <w:rsid w:val="6BAC2823"/>
    <w:rsid w:val="6BBD5024"/>
    <w:rsid w:val="6BF37DF1"/>
    <w:rsid w:val="6BF6265F"/>
    <w:rsid w:val="6C07486C"/>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85A21"/>
    <w:rsid w:val="6D79127B"/>
    <w:rsid w:val="6D832281"/>
    <w:rsid w:val="6DC237AE"/>
    <w:rsid w:val="6DF91502"/>
    <w:rsid w:val="6E01482E"/>
    <w:rsid w:val="6E0D1941"/>
    <w:rsid w:val="6E18292B"/>
    <w:rsid w:val="6E402C35"/>
    <w:rsid w:val="6E403BCF"/>
    <w:rsid w:val="6E424CF7"/>
    <w:rsid w:val="6E5A0C83"/>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6FF13869"/>
    <w:rsid w:val="700148B1"/>
    <w:rsid w:val="700708F2"/>
    <w:rsid w:val="70262445"/>
    <w:rsid w:val="70334A73"/>
    <w:rsid w:val="70796EB7"/>
    <w:rsid w:val="70846EFD"/>
    <w:rsid w:val="70891E2B"/>
    <w:rsid w:val="709304FC"/>
    <w:rsid w:val="70B21D55"/>
    <w:rsid w:val="70BA4068"/>
    <w:rsid w:val="70EF1D98"/>
    <w:rsid w:val="70F06D61"/>
    <w:rsid w:val="70F36F46"/>
    <w:rsid w:val="71231B23"/>
    <w:rsid w:val="71297032"/>
    <w:rsid w:val="713B214A"/>
    <w:rsid w:val="714633CE"/>
    <w:rsid w:val="714A76D4"/>
    <w:rsid w:val="716342F2"/>
    <w:rsid w:val="718621EE"/>
    <w:rsid w:val="71881FAB"/>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B74202"/>
    <w:rsid w:val="72CD2240"/>
    <w:rsid w:val="72DC19E2"/>
    <w:rsid w:val="72EC4E12"/>
    <w:rsid w:val="73373DED"/>
    <w:rsid w:val="73391B68"/>
    <w:rsid w:val="733F7A24"/>
    <w:rsid w:val="735C44F0"/>
    <w:rsid w:val="736A01CD"/>
    <w:rsid w:val="736A061B"/>
    <w:rsid w:val="736B4D35"/>
    <w:rsid w:val="73741988"/>
    <w:rsid w:val="73814929"/>
    <w:rsid w:val="7393399F"/>
    <w:rsid w:val="73984022"/>
    <w:rsid w:val="73AC26D2"/>
    <w:rsid w:val="73C11347"/>
    <w:rsid w:val="73E2421D"/>
    <w:rsid w:val="74000D97"/>
    <w:rsid w:val="74185CCF"/>
    <w:rsid w:val="741D2E7E"/>
    <w:rsid w:val="74343D24"/>
    <w:rsid w:val="74563F0C"/>
    <w:rsid w:val="74694C3B"/>
    <w:rsid w:val="746A6AAD"/>
    <w:rsid w:val="747A4FBC"/>
    <w:rsid w:val="748B466B"/>
    <w:rsid w:val="749018A2"/>
    <w:rsid w:val="74D94903"/>
    <w:rsid w:val="74DC7834"/>
    <w:rsid w:val="74E271F1"/>
    <w:rsid w:val="75096F5F"/>
    <w:rsid w:val="75326EC3"/>
    <w:rsid w:val="75371D1E"/>
    <w:rsid w:val="75474A77"/>
    <w:rsid w:val="7551327B"/>
    <w:rsid w:val="755F3E02"/>
    <w:rsid w:val="755F782E"/>
    <w:rsid w:val="75A16A9F"/>
    <w:rsid w:val="75BC6CCF"/>
    <w:rsid w:val="75E27D49"/>
    <w:rsid w:val="761867BE"/>
    <w:rsid w:val="76365AD0"/>
    <w:rsid w:val="763E2968"/>
    <w:rsid w:val="765D57EA"/>
    <w:rsid w:val="7688585F"/>
    <w:rsid w:val="76E97048"/>
    <w:rsid w:val="76F54CF0"/>
    <w:rsid w:val="76FD5906"/>
    <w:rsid w:val="77072866"/>
    <w:rsid w:val="770B684E"/>
    <w:rsid w:val="771D50F3"/>
    <w:rsid w:val="77204CB1"/>
    <w:rsid w:val="77356662"/>
    <w:rsid w:val="77364257"/>
    <w:rsid w:val="774502E9"/>
    <w:rsid w:val="777C1603"/>
    <w:rsid w:val="77A14CDE"/>
    <w:rsid w:val="77A94A29"/>
    <w:rsid w:val="77AA2F7D"/>
    <w:rsid w:val="77B37656"/>
    <w:rsid w:val="77C96BD3"/>
    <w:rsid w:val="78266CE5"/>
    <w:rsid w:val="7827421F"/>
    <w:rsid w:val="782B4A23"/>
    <w:rsid w:val="78302F8F"/>
    <w:rsid w:val="78355820"/>
    <w:rsid w:val="784117AB"/>
    <w:rsid w:val="78510397"/>
    <w:rsid w:val="78552936"/>
    <w:rsid w:val="78731F0E"/>
    <w:rsid w:val="78754CBA"/>
    <w:rsid w:val="78962FA5"/>
    <w:rsid w:val="78B611AB"/>
    <w:rsid w:val="78B6376E"/>
    <w:rsid w:val="78C148AC"/>
    <w:rsid w:val="78CA1FEE"/>
    <w:rsid w:val="78CB3FEB"/>
    <w:rsid w:val="78CF4963"/>
    <w:rsid w:val="79164340"/>
    <w:rsid w:val="793B5CE2"/>
    <w:rsid w:val="79404E92"/>
    <w:rsid w:val="795C411F"/>
    <w:rsid w:val="796834B3"/>
    <w:rsid w:val="796D0618"/>
    <w:rsid w:val="797B3C8A"/>
    <w:rsid w:val="797F45FC"/>
    <w:rsid w:val="79970647"/>
    <w:rsid w:val="79B7342D"/>
    <w:rsid w:val="79D9682C"/>
    <w:rsid w:val="79DB75C0"/>
    <w:rsid w:val="79E166FC"/>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BB7E74"/>
    <w:rsid w:val="7BCA6C86"/>
    <w:rsid w:val="7C003703"/>
    <w:rsid w:val="7C044DA1"/>
    <w:rsid w:val="7C176405"/>
    <w:rsid w:val="7C30406C"/>
    <w:rsid w:val="7C365DE1"/>
    <w:rsid w:val="7CA33449"/>
    <w:rsid w:val="7CC75B6C"/>
    <w:rsid w:val="7CCE4D69"/>
    <w:rsid w:val="7D0A0BA4"/>
    <w:rsid w:val="7D107AF3"/>
    <w:rsid w:val="7D4253C7"/>
    <w:rsid w:val="7D4C5341"/>
    <w:rsid w:val="7D4E5EE6"/>
    <w:rsid w:val="7D8901AD"/>
    <w:rsid w:val="7D8E577D"/>
    <w:rsid w:val="7D9A426A"/>
    <w:rsid w:val="7E006F08"/>
    <w:rsid w:val="7E01736D"/>
    <w:rsid w:val="7E333E03"/>
    <w:rsid w:val="7E391FE6"/>
    <w:rsid w:val="7E916762"/>
    <w:rsid w:val="7EA916FD"/>
    <w:rsid w:val="7EAB552B"/>
    <w:rsid w:val="7EE53C64"/>
    <w:rsid w:val="7F403EC5"/>
    <w:rsid w:val="7F541580"/>
    <w:rsid w:val="7F5444E7"/>
    <w:rsid w:val="7F590594"/>
    <w:rsid w:val="7F667225"/>
    <w:rsid w:val="7F7B2EF8"/>
    <w:rsid w:val="7F844A6E"/>
    <w:rsid w:val="7FAA1C29"/>
    <w:rsid w:val="7FAC4830"/>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table" w:customStyle="1" w:styleId="2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65</Pages>
  <Words>28760</Words>
  <Characters>31139</Characters>
  <Lines>0</Lines>
  <Paragraphs>0</Paragraphs>
  <TotalTime>26</TotalTime>
  <ScaleCrop>false</ScaleCrop>
  <LinksUpToDate>false</LinksUpToDate>
  <CharactersWithSpaces>32708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2023-12-22T08:36:00Z</cp:lastPrinted>
  <dcterms:modified xsi:type="dcterms:W3CDTF">2023-12-29T09:10:47Z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9F876E8D72E144AE9CC4520548A11320_13</vt:lpwstr>
  </property>
</Properties>
</file>