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0" w:edGrp="everyone"/>
      <w:r>
        <w:rPr>
          <w:rFonts w:hint="eastAsia" w:ascii="Times New Roman" w:hAnsi="Times New Roman" w:eastAsia="黑体" w:cs="Times New Roman"/>
          <w:color w:val="000000" w:themeColor="text1"/>
          <w:kern w:val="0"/>
          <w:sz w:val="32"/>
          <w:szCs w:val="32"/>
          <w14:textFill>
            <w14:solidFill>
              <w14:schemeClr w14:val="tx1"/>
            </w14:solidFill>
          </w14:textFill>
        </w:rPr>
        <w:t>亳州新能源发展有限公司亳州中心汽车站菜市场430kW分布式光伏发电项目光伏材料采购</w:t>
      </w:r>
      <w:permEnd w:id="0"/>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color w:val="FFFFFF" w:themeColor="background1"/>
          <w:kern w:val="0"/>
          <w:sz w:val="84"/>
          <w:szCs w:val="84"/>
          <w14:textFill>
            <w14:noFill/>
          </w14:textFill>
        </w:rPr>
      </w:pPr>
      <w:r>
        <w:rPr>
          <w:rFonts w:ascii="Times New Roman" w:hAnsi="Times New Roman" w:eastAsia="方正小标宋简体" w:cs="Times New Roman"/>
          <w:kern w:val="0"/>
          <w:sz w:val="84"/>
          <w:szCs w:val="84"/>
        </w:rPr>
        <w:t>招</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ascii="Times New Roman" w:hAnsi="Times New Roman" w:eastAsia="楷体" w:cs="Times New Roman"/>
          <w:kern w:val="0"/>
          <w:sz w:val="28"/>
          <w:szCs w:val="28"/>
        </w:rPr>
        <w:t>项目编号：</w:t>
      </w:r>
      <w:permStart w:id="1"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rPr>
        <w:t>051</w:t>
      </w:r>
      <w:r>
        <w:rPr>
          <w:rFonts w:ascii="Times New Roman" w:hAnsi="Times New Roman" w:eastAsia="楷体" w:cs="Times New Roman"/>
          <w:kern w:val="0"/>
          <w:sz w:val="28"/>
          <w:szCs w:val="28"/>
        </w:rPr>
        <w:t>号</w:t>
      </w:r>
      <w:permEnd w:id="1"/>
    </w:p>
    <w:p>
      <w:pPr>
        <w:wordWrap w:val="0"/>
        <w:jc w:val="center"/>
        <w:rPr>
          <w:rFonts w:ascii="Times New Roman" w:hAnsi="Times New Roman" w:eastAsia="楷体" w:cs="Times New Roman"/>
          <w:kern w:val="0"/>
          <w:sz w:val="28"/>
          <w:szCs w:val="28"/>
        </w:rPr>
      </w:pPr>
    </w:p>
    <w:p>
      <w:pPr>
        <w:wordWrap w:val="0"/>
        <w:rPr>
          <w:rFonts w:ascii="Times New Roman" w:hAnsi="Times New Roman" w:eastAsia="楷体" w:cs="Times New Roman"/>
          <w:kern w:val="0"/>
          <w:sz w:val="32"/>
          <w:szCs w:val="32"/>
        </w:rPr>
      </w:pP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招标单位：</w:t>
      </w:r>
      <w:permStart w:id="2" w:edGrp="everyone"/>
      <w:r>
        <w:rPr>
          <w:rFonts w:hint="eastAsia" w:ascii="Times New Roman" w:hAnsi="Times New Roman" w:eastAsia="楷体" w:cs="Times New Roman"/>
          <w:kern w:val="0"/>
          <w:sz w:val="32"/>
          <w:szCs w:val="32"/>
        </w:rPr>
        <w:t xml:space="preserve">安徽通康建设工程有限公司   </w:t>
      </w:r>
      <w:permEnd w:id="2"/>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编制日期：</w:t>
      </w:r>
      <w:permStart w:id="3" w:edGrp="everyone"/>
      <w:r>
        <w:rPr>
          <w:rFonts w:hint="eastAsia" w:ascii="Times New Roman" w:hAnsi="Times New Roman" w:eastAsia="楷体" w:cs="Times New Roman"/>
          <w:kern w:val="0"/>
          <w:sz w:val="32"/>
          <w:szCs w:val="32"/>
        </w:rPr>
        <w:t xml:space="preserve">  </w:t>
      </w:r>
      <w:r>
        <w:rPr>
          <w:rFonts w:hint="eastAsia" w:ascii="Times New Roman" w:hAnsi="Times New Roman" w:eastAsia="楷体" w:cs="Times New Roman"/>
          <w:kern w:val="0"/>
          <w:sz w:val="32"/>
          <w:szCs w:val="32"/>
          <w:lang w:val="en-US" w:eastAsia="zh-CN"/>
        </w:rPr>
        <w:t>2023</w:t>
      </w:r>
      <w:r>
        <w:rPr>
          <w:rFonts w:hint="eastAsia" w:ascii="Times New Roman" w:hAnsi="Times New Roman" w:eastAsia="楷体" w:cs="Times New Roman"/>
          <w:kern w:val="0"/>
          <w:sz w:val="32"/>
          <w:szCs w:val="32"/>
        </w:rPr>
        <w:t xml:space="preserve"> 年 </w:t>
      </w:r>
      <w:r>
        <w:rPr>
          <w:rFonts w:hint="eastAsia" w:ascii="Times New Roman" w:hAnsi="Times New Roman" w:eastAsia="楷体" w:cs="Times New Roman"/>
          <w:kern w:val="0"/>
          <w:sz w:val="32"/>
          <w:szCs w:val="32"/>
          <w:lang w:val="en-US" w:eastAsia="zh-CN"/>
        </w:rPr>
        <w:t>12</w:t>
      </w:r>
      <w:r>
        <w:rPr>
          <w:rFonts w:hint="eastAsia" w:ascii="Times New Roman" w:hAnsi="Times New Roman" w:eastAsia="楷体" w:cs="Times New Roman"/>
          <w:kern w:val="0"/>
          <w:sz w:val="32"/>
          <w:szCs w:val="32"/>
        </w:rPr>
        <w:t xml:space="preserve"> 月 </w:t>
      </w:r>
      <w:r>
        <w:rPr>
          <w:rFonts w:hint="eastAsia" w:ascii="Times New Roman" w:hAnsi="Times New Roman" w:eastAsia="楷体" w:cs="Times New Roman"/>
          <w:kern w:val="0"/>
          <w:sz w:val="32"/>
          <w:szCs w:val="32"/>
          <w:lang w:val="en-US" w:eastAsia="zh-CN"/>
        </w:rPr>
        <w:t>29</w:t>
      </w:r>
      <w:r>
        <w:rPr>
          <w:rFonts w:hint="eastAsia" w:ascii="Times New Roman" w:hAnsi="Times New Roman" w:eastAsia="楷体" w:cs="Times New Roman"/>
          <w:kern w:val="0"/>
          <w:sz w:val="32"/>
          <w:szCs w:val="32"/>
        </w:rPr>
        <w:t xml:space="preserve"> 日</w:t>
      </w:r>
      <w:permEnd w:id="3"/>
    </w:p>
    <w:p>
      <w:pPr>
        <w:jc w:val="center"/>
        <w:rPr>
          <w:rFonts w:ascii="Times New Roman" w:hAnsi="Times New Roman" w:eastAsia="黑体" w:cs="Times New Roman"/>
          <w:kern w:val="0"/>
          <w:sz w:val="32"/>
          <w:szCs w:val="32"/>
        </w:rPr>
      </w:pPr>
      <w:r>
        <w:rPr>
          <w:rFonts w:ascii="Times New Roman" w:hAnsi="Times New Roman" w:eastAsia="楷体" w:cs="Times New Roman"/>
          <w:kern w:val="0"/>
          <w:sz w:val="32"/>
          <w:szCs w:val="32"/>
        </w:rPr>
        <w:br w:type="page"/>
      </w:r>
      <w:r>
        <w:rPr>
          <w:rFonts w:ascii="Times New Roman" w:hAnsi="Times New Roman" w:eastAsia="黑体" w:cs="Times New Roman"/>
          <w:kern w:val="0"/>
          <w:sz w:val="32"/>
          <w:szCs w:val="32"/>
        </w:rPr>
        <w:t>目录</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ermStart w:id="4" w:edGrp="everyone"/>
      <w:r>
        <w:rPr>
          <w:rFonts w:ascii="Times New Roman" w:hAnsi="Times New Roman" w:eastAsia="黑体" w:cs="Times New Roman"/>
          <w:kern w:val="0"/>
          <w:sz w:val="32"/>
          <w:szCs w:val="32"/>
        </w:rPr>
        <w:t>第一章 招标公告.......................................................................1</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第二章 投标人须知...................................................................</w:t>
      </w:r>
      <w:r>
        <w:rPr>
          <w:rFonts w:hint="eastAsia" w:ascii="Times New Roman" w:hAnsi="Times New Roman" w:eastAsia="黑体" w:cs="Times New Roman"/>
          <w:kern w:val="0"/>
          <w:sz w:val="32"/>
          <w:szCs w:val="32"/>
        </w:rPr>
        <w:t>4</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第三章 评标办法</w:t>
      </w:r>
      <w:r>
        <w:rPr>
          <w:rFonts w:hint="eastAsia" w:ascii="Times New Roman" w:hAnsi="Times New Roman" w:eastAsia="黑体" w:cs="Times New Roman"/>
          <w:kern w:val="0"/>
          <w:sz w:val="32"/>
          <w:szCs w:val="32"/>
        </w:rPr>
        <w:t>（经评审的最低投标价法）</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22</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第四章 合同条款及格式......................................</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26</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五</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发包人要求</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27</w:t>
      </w:r>
    </w:p>
    <w:p>
      <w:pPr>
        <w:wordWrap w:val="0"/>
        <w:jc w:val="center"/>
        <w:rPr>
          <w:rFonts w:ascii="Times New Roman" w:hAnsi="Times New Roman" w:eastAsia="黑体" w:cs="Times New Roman"/>
          <w:kern w:val="0"/>
          <w:sz w:val="32"/>
          <w:szCs w:val="32"/>
        </w:rPr>
      </w:pPr>
      <w:r>
        <w:rPr>
          <w:rFonts w:ascii="Times New Roman" w:hAnsi="Times New Roman" w:eastAsia="黑体" w:cs="Times New Roman"/>
          <w:kern w:val="0"/>
          <w:sz w:val="32"/>
          <w:szCs w:val="32"/>
        </w:rPr>
        <w:t>第</w:t>
      </w:r>
      <w:r>
        <w:rPr>
          <w:rFonts w:hint="eastAsia" w:ascii="Times New Roman" w:hAnsi="Times New Roman" w:eastAsia="黑体" w:cs="Times New Roman"/>
          <w:kern w:val="0"/>
          <w:sz w:val="32"/>
          <w:szCs w:val="32"/>
        </w:rPr>
        <w:t>六</w:t>
      </w:r>
      <w:r>
        <w:rPr>
          <w:rFonts w:ascii="Times New Roman" w:hAnsi="Times New Roman" w:eastAsia="黑体" w:cs="Times New Roman"/>
          <w:kern w:val="0"/>
          <w:sz w:val="32"/>
          <w:szCs w:val="32"/>
        </w:rPr>
        <w:t xml:space="preserve">章 </w:t>
      </w:r>
      <w:r>
        <w:rPr>
          <w:rFonts w:hint="eastAsia" w:ascii="Times New Roman" w:hAnsi="Times New Roman" w:eastAsia="黑体" w:cs="Times New Roman"/>
          <w:kern w:val="0"/>
          <w:sz w:val="32"/>
          <w:szCs w:val="32"/>
        </w:rPr>
        <w:t>投标文件格式</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w:t>
      </w:r>
      <w:r>
        <w:rPr>
          <w:rFonts w:ascii="Times New Roman" w:hAnsi="Times New Roman" w:eastAsia="黑体" w:cs="Times New Roman"/>
          <w:kern w:val="0"/>
          <w:sz w:val="32"/>
          <w:szCs w:val="32"/>
        </w:rPr>
        <w:t>.......</w:t>
      </w:r>
      <w:r>
        <w:rPr>
          <w:rFonts w:hint="eastAsia" w:ascii="Times New Roman" w:hAnsi="Times New Roman" w:eastAsia="黑体" w:cs="Times New Roman"/>
          <w:kern w:val="0"/>
          <w:sz w:val="32"/>
          <w:szCs w:val="32"/>
        </w:rPr>
        <w:t>29</w:t>
      </w:r>
    </w:p>
    <w:permEnd w:id="4"/>
    <w:p>
      <w:pPr>
        <w:wordWrap w:val="0"/>
        <w:rPr>
          <w:rFonts w:ascii="Times New Roman" w:hAnsi="Times New Roman" w:eastAsia="黑体" w:cs="Times New Roman"/>
          <w:kern w:val="0"/>
          <w:sz w:val="32"/>
          <w:szCs w:val="32"/>
        </w:rPr>
      </w:pPr>
    </w:p>
    <w:p>
      <w:pPr>
        <w:wordWrap w:val="0"/>
        <w:spacing w:line="400" w:lineRule="exact"/>
        <w:jc w:val="center"/>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400" w:lineRule="exact"/>
        <w:jc w:val="left"/>
        <w:rPr>
          <w:rFonts w:ascii="Times New Roman" w:hAnsi="Times New Roman" w:eastAsia="黑体" w:cs="Times New Roman"/>
          <w:kern w:val="0"/>
          <w:sz w:val="32"/>
          <w:szCs w:val="32"/>
        </w:rPr>
      </w:pPr>
    </w:p>
    <w:p>
      <w:pPr>
        <w:wordWrap w:val="0"/>
        <w:spacing w:line="520" w:lineRule="exact"/>
        <w:ind w:firstLine="1280" w:firstLineChars="400"/>
        <w:jc w:val="left"/>
        <w:rPr>
          <w:rFonts w:ascii="Times New Roman" w:hAnsi="Times New Roman" w:eastAsia="仿宋_GB2312" w:cs="Times New Roman"/>
          <w:kern w:val="0"/>
          <w:sz w:val="32"/>
          <w:szCs w:val="32"/>
        </w:rPr>
      </w:pPr>
    </w:p>
    <w:p>
      <w:pPr>
        <w:wordWrap w:val="0"/>
        <w:spacing w:line="520" w:lineRule="exact"/>
        <w:jc w:val="center"/>
        <w:rPr>
          <w:rFonts w:ascii="Times New Roman" w:hAnsi="Times New Roman" w:eastAsia="仿宋_GB2312" w:cs="Times New Roman"/>
          <w:kern w:val="0"/>
          <w:sz w:val="32"/>
          <w:szCs w:val="32"/>
        </w:rPr>
        <w:sectPr>
          <w:footerReference r:id="rId3" w:type="default"/>
          <w:pgSz w:w="11906" w:h="16838"/>
          <w:pgMar w:top="1440" w:right="1800" w:bottom="1440" w:left="1800" w:header="851" w:footer="992" w:gutter="0"/>
          <w:pgNumType w:fmt="numberInDash"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第一章 招标公告</w:t>
      </w:r>
    </w:p>
    <w:p>
      <w:pPr>
        <w:wordWrap w:val="0"/>
        <w:spacing w:line="480" w:lineRule="exact"/>
        <w:ind w:firstLine="560" w:firstLineChars="200"/>
        <w:rPr>
          <w:rFonts w:ascii="Times New Roman" w:hAnsi="Times New Roman" w:eastAsia="仿宋_GB2312" w:cs="Times New Roman"/>
          <w:sz w:val="28"/>
          <w:szCs w:val="28"/>
        </w:rPr>
      </w:pPr>
    </w:p>
    <w:p>
      <w:pPr>
        <w:wordWrap w:val="0"/>
        <w:spacing w:line="480" w:lineRule="exact"/>
        <w:jc w:val="center"/>
        <w:rPr>
          <w:rFonts w:ascii="Times New Roman" w:hAnsi="Times New Roman" w:eastAsia="仿宋_GB2312" w:cs="Times New Roman"/>
          <w:sz w:val="28"/>
          <w:szCs w:val="28"/>
        </w:rPr>
      </w:pPr>
      <w:r>
        <w:rPr>
          <w:rFonts w:hint="eastAsia" w:ascii="Times New Roman" w:hAnsi="Times New Roman" w:eastAsia="黑体" w:cs="Times New Roman"/>
          <w:sz w:val="28"/>
          <w:szCs w:val="28"/>
        </w:rPr>
        <w:t>亳州新能源发展有限公司亳州中心汽车站菜市场430kW分布式光伏发电项目光伏材料采购招标公告</w:t>
      </w:r>
      <w:bookmarkStart w:id="0" w:name="_Toc246996166"/>
      <w:bookmarkStart w:id="1" w:name="_Toc152042295"/>
      <w:bookmarkStart w:id="2" w:name="_Toc179632536"/>
      <w:bookmarkStart w:id="3" w:name="_Toc144974487"/>
      <w:bookmarkStart w:id="4" w:name="_Toc247085680"/>
      <w:bookmarkStart w:id="5" w:name="_Toc296602410"/>
      <w:bookmarkStart w:id="6" w:name="_Toc246996909"/>
      <w:bookmarkStart w:id="7" w:name="_Toc152045519"/>
    </w:p>
    <w:bookmarkEnd w:id="0"/>
    <w:bookmarkEnd w:id="1"/>
    <w:bookmarkEnd w:id="2"/>
    <w:bookmarkEnd w:id="3"/>
    <w:bookmarkEnd w:id="4"/>
    <w:bookmarkEnd w:id="5"/>
    <w:bookmarkEnd w:id="6"/>
    <w:bookmarkEnd w:id="7"/>
    <w:p>
      <w:pPr>
        <w:wordWrap w:val="0"/>
        <w:spacing w:line="480" w:lineRule="exact"/>
        <w:ind w:firstLine="560" w:firstLineChars="200"/>
        <w:rPr>
          <w:rFonts w:ascii="Times New Roman" w:hAnsi="Times New Roman" w:eastAsia="仿宋_GB2312" w:cs="Times New Roman"/>
          <w:sz w:val="28"/>
          <w:szCs w:val="28"/>
        </w:rPr>
      </w:pPr>
      <w:r>
        <w:rPr>
          <w:rFonts w:hint="eastAsia" w:ascii="黑体" w:hAnsi="黑体" w:eastAsia="黑体" w:cs="黑体"/>
          <w:sz w:val="28"/>
          <w:szCs w:val="28"/>
        </w:rPr>
        <w:t>一、招标条件</w:t>
      </w:r>
      <w:r>
        <w:rPr>
          <w:rFonts w:ascii="Times New Roman" w:hAnsi="Times New Roman" w:eastAsia="仿宋_GB2312" w:cs="Times New Roman"/>
          <w:sz w:val="28"/>
          <w:szCs w:val="28"/>
        </w:rPr>
        <w:tab/>
      </w:r>
    </w:p>
    <w:p>
      <w:pPr>
        <w:wordWrap w:val="0"/>
        <w:spacing w:line="480" w:lineRule="exact"/>
        <w:ind w:firstLine="560" w:firstLineChars="200"/>
        <w:rPr>
          <w:rFonts w:asciiTheme="minorEastAsia" w:hAnsiTheme="minorEastAsia" w:cstheme="minorEastAsia"/>
          <w:sz w:val="28"/>
          <w:szCs w:val="28"/>
        </w:rPr>
      </w:pPr>
      <w:bookmarkStart w:id="8" w:name="_Toc152042296"/>
      <w:bookmarkStart w:id="9" w:name="_Toc152045520"/>
      <w:bookmarkStart w:id="10" w:name="_Toc144974488"/>
      <w:bookmarkStart w:id="11" w:name="_Toc246996167"/>
      <w:bookmarkStart w:id="12" w:name="_Toc247085681"/>
      <w:bookmarkStart w:id="13" w:name="_Toc296602411"/>
      <w:bookmarkStart w:id="14" w:name="_Toc246996910"/>
      <w:bookmarkStart w:id="15" w:name="_Toc179632537"/>
      <w:r>
        <w:rPr>
          <w:rFonts w:hint="eastAsia" w:asciiTheme="minorEastAsia" w:hAnsiTheme="minorEastAsia" w:cstheme="minorEastAsia"/>
          <w:sz w:val="28"/>
          <w:szCs w:val="28"/>
        </w:rPr>
        <w:t>（一）项目名称：</w:t>
      </w:r>
      <w:permStart w:id="5" w:edGrp="everyone"/>
      <w:r>
        <w:rPr>
          <w:rFonts w:hint="eastAsia" w:asciiTheme="minorEastAsia" w:hAnsiTheme="minorEastAsia" w:cstheme="minorEastAsia"/>
          <w:sz w:val="28"/>
          <w:szCs w:val="28"/>
        </w:rPr>
        <w:t xml:space="preserve">亳州新能源发展有限公司亳州中心汽车站菜市场430kW分布式光伏发电项目光伏材料采购 </w:t>
      </w:r>
    </w:p>
    <w:permEnd w:id="5"/>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（二）项目编号：</w:t>
      </w:r>
      <w:permStart w:id="6" w:edGrp="everyone"/>
      <w:r>
        <w:rPr>
          <w:rFonts w:hint="eastAsia" w:asciiTheme="minorEastAsia" w:hAnsiTheme="minorEastAsia" w:cstheme="minorEastAsia"/>
          <w:sz w:val="28"/>
          <w:szCs w:val="28"/>
        </w:rPr>
        <w:t xml:space="preserve">BZJK-2023-051号 </w:t>
      </w:r>
      <w:permEnd w:id="6"/>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（三）资金来源：</w:t>
      </w:r>
      <w:permStart w:id="7" w:edGrp="everyone"/>
      <w:r>
        <w:rPr>
          <w:rFonts w:hint="eastAsia" w:asciiTheme="minorEastAsia" w:hAnsiTheme="minorEastAsia" w:cstheme="minorEastAsia"/>
          <w:sz w:val="28"/>
          <w:szCs w:val="28"/>
        </w:rPr>
        <w:t xml:space="preserve">企业自筹 </w:t>
      </w:r>
    </w:p>
    <w:permEnd w:id="7"/>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（四）招标人：</w:t>
      </w:r>
      <w:permStart w:id="8" w:edGrp="everyone"/>
      <w:r>
        <w:rPr>
          <w:rFonts w:hint="eastAsia" w:asciiTheme="minorEastAsia" w:hAnsiTheme="minorEastAsia" w:cstheme="minorEastAsia"/>
          <w:sz w:val="28"/>
          <w:szCs w:val="28"/>
        </w:rPr>
        <w:t xml:space="preserve">安徽通康建设工程有限公司 </w:t>
      </w:r>
    </w:p>
    <w:permEnd w:id="8"/>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项目已具备招标条件，现对该项目进行公开招标。</w:t>
      </w:r>
    </w:p>
    <w:p>
      <w:pPr>
        <w:wordWrap w:val="0"/>
        <w:spacing w:line="480" w:lineRule="exact"/>
        <w:ind w:firstLine="560" w:firstLineChars="200"/>
        <w:rPr>
          <w:rFonts w:ascii="黑体" w:hAnsi="黑体" w:eastAsia="黑体" w:cs="黑体"/>
          <w:sz w:val="28"/>
          <w:szCs w:val="28"/>
        </w:rPr>
      </w:pPr>
      <w:r>
        <w:rPr>
          <w:rFonts w:ascii="黑体" w:hAnsi="黑体" w:eastAsia="黑体" w:cs="黑体"/>
          <w:sz w:val="28"/>
          <w:szCs w:val="28"/>
        </w:rPr>
        <w:t>二、项目概况与招标范围</w:t>
      </w:r>
      <w:bookmarkEnd w:id="8"/>
      <w:bookmarkEnd w:id="9"/>
      <w:bookmarkEnd w:id="10"/>
      <w:bookmarkEnd w:id="11"/>
      <w:bookmarkEnd w:id="12"/>
      <w:bookmarkEnd w:id="13"/>
      <w:bookmarkEnd w:id="14"/>
      <w:bookmarkEnd w:id="15"/>
    </w:p>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（一）项目概况：项目位于亳州市谯城区建安路和光明路交口东北角，此次共安装单块580W 2278×1134×30的N型光伏组件810块,总装机容量为469.8kWp,该系统使用110kW逆变器3台、50kW逆变器2台,并网柜2台,每8-18块光伏组件组成1串,以容配比不超1.3容量的组件接入每台光伏逆变器。混凝土屋顶组件全部采用混凝土屋顶10%倾角固定安装方式,屋顶装机容量185.6KWp，车棚采用新建车棚原有倾角固定安装方式，车棚装机容量284.2KWp。逆变器放在屋顶或车棚立柱上,并网柜放置在地面。</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招标范围：亳州新能源发展有限公司亳州中心汽车站菜市场430kW分布式光伏发电项目光伏材料采购，包含光伏板、光伏板安装附件（铝合金中压块、边压块等）、配电箱、并网柜、110kW逆变器、50kW逆变器等，具体参数及要求详见图纸及工程量清单。</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（三）质量标准：</w:t>
      </w:r>
      <w:permStart w:id="9" w:edGrp="everyone"/>
      <w:r>
        <w:rPr>
          <w:rFonts w:hint="eastAsia" w:asciiTheme="minorEastAsia" w:hAnsiTheme="minorEastAsia" w:cstheme="minorEastAsia"/>
          <w:sz w:val="28"/>
          <w:szCs w:val="28"/>
        </w:rPr>
        <w:t>满足国家、地方、行业现行相关规范合格标准</w:t>
      </w:r>
      <w:r>
        <w:rPr>
          <w:rFonts w:hint="eastAsia" w:ascii="仿宋_GB2312" w:hAnsi="仿宋_GB2312" w:cs="仿宋_GB2312"/>
          <w:color w:val="0000FF"/>
          <w:sz w:val="32"/>
          <w:szCs w:val="32"/>
        </w:rPr>
        <w:t>。</w:t>
      </w:r>
      <w:permEnd w:id="9"/>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（四）交货地点：</w:t>
      </w:r>
      <w:permStart w:id="10" w:edGrp="everyone"/>
      <w:r>
        <w:rPr>
          <w:rFonts w:hint="eastAsia" w:asciiTheme="minorEastAsia" w:hAnsiTheme="minorEastAsia" w:cstheme="minorEastAsia"/>
          <w:sz w:val="28"/>
          <w:szCs w:val="28"/>
        </w:rPr>
        <w:t>亳州市谯城区建安路和光明路交口东北角亳州中心汽车站菜市场</w:t>
      </w:r>
    </w:p>
    <w:permEnd w:id="10"/>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（四）交货期：</w:t>
      </w:r>
      <w:permStart w:id="11" w:edGrp="everyone"/>
      <w:r>
        <w:rPr>
          <w:rFonts w:hint="eastAsia" w:asciiTheme="minorEastAsia" w:hAnsiTheme="minorEastAsia" w:cstheme="minorEastAsia"/>
          <w:sz w:val="28"/>
          <w:szCs w:val="28"/>
        </w:rPr>
        <w:t>自合同签订之日起</w:t>
      </w:r>
      <w:r>
        <w:rPr>
          <w:rFonts w:hint="eastAsia" w:asciiTheme="minorEastAsia" w:hAnsiTheme="minorEastAsia" w:cstheme="minorEastAsia"/>
          <w:sz w:val="28"/>
          <w:szCs w:val="28"/>
          <w:u w:val="single"/>
        </w:rPr>
        <w:t xml:space="preserve"> 10 </w:t>
      </w:r>
      <w:r>
        <w:rPr>
          <w:rFonts w:hint="eastAsia" w:asciiTheme="minorEastAsia" w:hAnsiTheme="minorEastAsia" w:cstheme="minorEastAsia"/>
          <w:sz w:val="28"/>
          <w:szCs w:val="28"/>
        </w:rPr>
        <w:t>日历天内完成供货。</w:t>
      </w:r>
      <w:permEnd w:id="11"/>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（五）最高投标限价</w:t>
      </w:r>
      <w:permStart w:id="12" w:edGrp="everyone"/>
      <w:r>
        <w:rPr>
          <w:rFonts w:hint="eastAsia" w:asciiTheme="minorEastAsia" w:hAnsiTheme="minorEastAsia" w:cstheme="minorEastAsia"/>
          <w:color w:val="FF0000"/>
          <w:sz w:val="28"/>
          <w:szCs w:val="28"/>
        </w:rPr>
        <w:t>（含税：</w:t>
      </w:r>
      <w:r>
        <w:rPr>
          <w:rFonts w:hint="eastAsia" w:asciiTheme="minorEastAsia" w:hAnsiTheme="minorEastAsia" w:cstheme="minorEastAsia"/>
          <w:color w:val="FF0000"/>
          <w:sz w:val="28"/>
          <w:szCs w:val="28"/>
          <w:u w:val="single"/>
        </w:rPr>
        <w:t>13%</w:t>
      </w:r>
      <w:r>
        <w:rPr>
          <w:rFonts w:hint="eastAsia" w:asciiTheme="minorEastAsia" w:hAnsiTheme="minorEastAsia" w:cstheme="minorEastAsia"/>
          <w:color w:val="FF0000"/>
          <w:sz w:val="28"/>
          <w:szCs w:val="28"/>
        </w:rPr>
        <w:t>）</w:t>
      </w:r>
      <w:permEnd w:id="12"/>
      <w:r>
        <w:rPr>
          <w:rFonts w:hint="eastAsia" w:asciiTheme="minorEastAsia" w:hAnsiTheme="minorEastAsia" w:cstheme="minorEastAsia"/>
          <w:sz w:val="28"/>
          <w:szCs w:val="28"/>
        </w:rPr>
        <w:t>：</w:t>
      </w:r>
      <w:permStart w:id="13" w:edGrp="everyone"/>
      <w:r>
        <w:rPr>
          <w:rFonts w:hint="eastAsia" w:asciiTheme="minorEastAsia" w:hAnsiTheme="minorEastAsia" w:cstheme="minorEastAsia"/>
          <w:sz w:val="28"/>
          <w:szCs w:val="28"/>
          <w:u w:val="single"/>
        </w:rPr>
        <w:t xml:space="preserve">605780.00元 </w:t>
      </w:r>
      <w:permEnd w:id="13"/>
      <w:r>
        <w:rPr>
          <w:rFonts w:hint="eastAsia" w:asciiTheme="minorEastAsia" w:hAnsiTheme="minorEastAsia" w:cstheme="minorEastAsia"/>
          <w:sz w:val="28"/>
          <w:szCs w:val="28"/>
        </w:rPr>
        <w:t>，投标人按</w:t>
      </w:r>
      <w:permStart w:id="14" w:edGrp="everyone"/>
      <w:r>
        <w:rPr>
          <w:rFonts w:hint="eastAsia" w:asciiTheme="minorEastAsia" w:hAnsiTheme="minorEastAsia" w:cstheme="minorEastAsia"/>
          <w:color w:val="FF0000"/>
          <w:sz w:val="28"/>
          <w:szCs w:val="28"/>
          <w:u w:val="single"/>
        </w:rPr>
        <w:t>固定单价</w:t>
      </w:r>
      <w:permEnd w:id="14"/>
      <w:r>
        <w:rPr>
          <w:rFonts w:hint="eastAsia" w:asciiTheme="minorEastAsia" w:hAnsiTheme="minorEastAsia" w:cstheme="minorEastAsia"/>
          <w:sz w:val="28"/>
          <w:szCs w:val="28"/>
        </w:rPr>
        <w:t>报价。投标报价超出限价或低于成本价的，按无效投标处理；投标报价应包括为完成本项目招标范围内各阶段工作内容所需的全部费用及税金，中标后不予调整，其他未尽事宜应统一考虑在报价内。不含税价格不因国家税率变化而改变，在合同履行期间，如遇国家税率调整，则价税合计的价格应相应调整，以开具发票的时间为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三、投标人资格要求</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（一）</w:t>
      </w:r>
      <w:r>
        <w:rPr>
          <w:rFonts w:hint="eastAsia" w:asciiTheme="minorEastAsia" w:hAnsiTheme="minorEastAsia" w:cstheme="minorEastAsia"/>
          <w:sz w:val="28"/>
          <w:szCs w:val="28"/>
        </w:rPr>
        <w:t>具有</w:t>
      </w:r>
      <w:permStart w:id="15" w:edGrp="everyone"/>
      <w:r>
        <w:rPr>
          <w:rFonts w:hint="eastAsia" w:asciiTheme="minorEastAsia" w:hAnsiTheme="minorEastAsia" w:cstheme="minorEastAsia"/>
          <w:color w:val="FF0000"/>
          <w:sz w:val="28"/>
          <w:szCs w:val="28"/>
        </w:rPr>
        <w:t>独立法人资格</w:t>
      </w:r>
      <w:permEnd w:id="15"/>
      <w:r>
        <w:rPr>
          <w:rFonts w:hint="eastAsia" w:asciiTheme="minorEastAsia" w:hAnsiTheme="minorEastAsia" w:cstheme="minorEastAsia"/>
          <w:sz w:val="28"/>
          <w:szCs w:val="28"/>
        </w:rPr>
        <w:t>，并在人员、设备、资金等方面具有承担本项目的能力。</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（二）提供</w:t>
      </w:r>
      <w:permStart w:id="16" w:edGrp="everyone"/>
      <w:r>
        <w:rPr>
          <w:rFonts w:hint="eastAsia" w:asciiTheme="minorEastAsia" w:hAnsiTheme="minorEastAsia" w:cstheme="minorEastAsia"/>
          <w:sz w:val="28"/>
          <w:szCs w:val="28"/>
          <w:u w:val="single"/>
        </w:rPr>
        <w:t xml:space="preserve"> 2020 </w:t>
      </w:r>
      <w:permEnd w:id="16"/>
      <w:r>
        <w:rPr>
          <w:rFonts w:hint="eastAsia" w:asciiTheme="minorEastAsia" w:hAnsiTheme="minorEastAsia" w:cstheme="minorEastAsia"/>
          <w:sz w:val="28"/>
          <w:szCs w:val="28"/>
        </w:rPr>
        <w:t>年至今企业类似项目业绩</w:t>
      </w:r>
      <w:permStart w:id="17" w:edGrp="everyone"/>
      <w:r>
        <w:rPr>
          <w:rFonts w:hint="eastAsia" w:asciiTheme="minorEastAsia" w:hAnsiTheme="minorEastAsia" w:cstheme="minorEastAsia"/>
          <w:sz w:val="28"/>
          <w:szCs w:val="28"/>
          <w:u w:val="single"/>
        </w:rPr>
        <w:t xml:space="preserve"> 1 </w:t>
      </w:r>
      <w:permEnd w:id="17"/>
      <w:r>
        <w:rPr>
          <w:rFonts w:hint="eastAsia" w:asciiTheme="minorEastAsia" w:hAnsiTheme="minorEastAsia" w:cstheme="minorEastAsia"/>
          <w:sz w:val="28"/>
          <w:szCs w:val="28"/>
        </w:rPr>
        <w:t>个，以</w:t>
      </w:r>
      <w:permStart w:id="18" w:edGrp="everyone"/>
      <w:r>
        <w:rPr>
          <w:rFonts w:hint="eastAsia" w:asciiTheme="minorEastAsia" w:hAnsiTheme="minorEastAsia" w:cstheme="minorEastAsia"/>
          <w:sz w:val="28"/>
          <w:szCs w:val="28"/>
        </w:rPr>
        <w:t>合同签订时间</w:t>
      </w:r>
      <w:permEnd w:id="18"/>
      <w:r>
        <w:rPr>
          <w:rFonts w:hint="eastAsia" w:asciiTheme="minorEastAsia" w:hAnsiTheme="minorEastAsia" w:cstheme="minorEastAsia"/>
          <w:sz w:val="28"/>
          <w:szCs w:val="28"/>
        </w:rPr>
        <w:t>为准。类似项目业绩指：</w:t>
      </w:r>
      <w:permStart w:id="19" w:edGrp="everyone"/>
      <w:r>
        <w:rPr>
          <w:rFonts w:hint="eastAsia" w:asciiTheme="minorEastAsia" w:hAnsiTheme="minorEastAsia" w:cstheme="minorEastAsia"/>
          <w:sz w:val="28"/>
          <w:szCs w:val="28"/>
        </w:rPr>
        <w:t>单项合同金额不低于50万元的光伏板等材料供应业绩</w:t>
      </w:r>
      <w:r>
        <w:rPr>
          <w:rFonts w:hint="eastAsia" w:asciiTheme="minorEastAsia" w:hAnsiTheme="minorEastAsia" w:cstheme="minorEastAsia"/>
          <w:sz w:val="28"/>
          <w:szCs w:val="28"/>
          <w:u w:val="single"/>
        </w:rPr>
        <w:t xml:space="preserve"> </w:t>
      </w:r>
      <w:permEnd w:id="19"/>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注：</w:t>
      </w:r>
      <w:permStart w:id="20" w:edGrp="everyone"/>
      <w:r>
        <w:rPr>
          <w:rFonts w:asciiTheme="minorEastAsia" w:hAnsiTheme="minorEastAsia" w:cstheme="minorEastAsia"/>
          <w:sz w:val="28"/>
          <w:szCs w:val="28"/>
        </w:rPr>
        <w:t>提供业绩合同</w:t>
      </w:r>
      <w:r>
        <w:rPr>
          <w:rFonts w:hint="eastAsia" w:asciiTheme="minorEastAsia" w:hAnsiTheme="minorEastAsia" w:cstheme="minorEastAsia"/>
          <w:sz w:val="28"/>
          <w:szCs w:val="28"/>
        </w:rPr>
        <w:t>等相关资料</w:t>
      </w:r>
      <w:r>
        <w:rPr>
          <w:rFonts w:asciiTheme="minorEastAsia" w:hAnsiTheme="minorEastAsia" w:cstheme="minorEastAsia"/>
          <w:sz w:val="28"/>
          <w:szCs w:val="28"/>
        </w:rPr>
        <w:t>复印件或扫描件装订入投标文件中</w:t>
      </w:r>
      <w:permEnd w:id="20"/>
      <w:r>
        <w:rPr>
          <w:rFonts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（三）投标人（含分公司，不含子公司）存在以下不良信用记录情形之一的，不得推荐为中标候选人，不得确定为中标人。</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（1）投标人被人民法院列入失信被执行人的；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（2）投标人被市场监督管理部门列入企业经营异常名录的；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（3）投标人被税务部门列入重大税收违法案件当事人名单的；</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注：以上情形以“信用中国”（www.creditchina.gov.cn）发布的为准，有限制期限的按规定期限执行（以现场查询为准）。</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（四）投标人如在以往承接交控集团及下属企业项目过程中被记入“黑名单”，不得参加本次招标投标活动。</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（五）本次招标</w:t>
      </w:r>
      <w:permStart w:id="21" w:edGrp="everyone"/>
      <w:r>
        <w:rPr>
          <w:rFonts w:hint="eastAsia" w:asciiTheme="minorEastAsia" w:hAnsiTheme="minorEastAsia" w:cstheme="minorEastAsia"/>
          <w:color w:val="FF0000"/>
          <w:sz w:val="28"/>
          <w:szCs w:val="28"/>
        </w:rPr>
        <w:t>不接受</w:t>
      </w:r>
      <w:permEnd w:id="21"/>
      <w:r>
        <w:rPr>
          <w:rFonts w:hint="eastAsia" w:asciiTheme="minorEastAsia" w:hAnsiTheme="minorEastAsia" w:cstheme="minorEastAsia"/>
          <w:sz w:val="28"/>
          <w:szCs w:val="28"/>
        </w:rPr>
        <w:t>联合体投标。联合体投标的，应满足下列要求：</w:t>
      </w:r>
      <w:permStart w:id="22" w:edGrp="everyone"/>
      <w:r>
        <w:rPr>
          <w:rFonts w:hint="eastAsia" w:asciiTheme="minorEastAsia" w:hAnsiTheme="minorEastAsia" w:cstheme="minorEastAsia"/>
          <w:sz w:val="28"/>
          <w:szCs w:val="28"/>
        </w:rPr>
        <w:t xml:space="preserve">   /   </w:t>
      </w:r>
      <w:permEnd w:id="22"/>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（六）本项目委托代理人必须是投标单位正式人员，须提供投标单位公司为其缴纳的</w:t>
      </w:r>
      <w:permStart w:id="23" w:edGrp="everyone"/>
      <w:r>
        <w:rPr>
          <w:rFonts w:hint="eastAsia" w:asciiTheme="minorEastAsia" w:hAnsiTheme="minorEastAsia" w:cstheme="minorEastAsia"/>
          <w:color w:val="000000" w:themeColor="text1"/>
          <w:sz w:val="28"/>
          <w:szCs w:val="28"/>
          <w:u w:val="single"/>
          <w14:textFill>
            <w14:solidFill>
              <w14:schemeClr w14:val="tx1"/>
            </w14:solidFill>
          </w14:textFill>
        </w:rPr>
        <w:t xml:space="preserve">  /  </w:t>
      </w:r>
      <w:r>
        <w:rPr>
          <w:rFonts w:hint="eastAsia" w:asciiTheme="minorEastAsia" w:hAnsiTheme="minorEastAsia" w:cstheme="minorEastAsia"/>
          <w:color w:val="FF0000"/>
          <w:sz w:val="28"/>
          <w:szCs w:val="28"/>
        </w:rPr>
        <w:t>年</w:t>
      </w:r>
      <w:r>
        <w:rPr>
          <w:rFonts w:hint="eastAsia" w:asciiTheme="minorEastAsia" w:hAnsiTheme="minorEastAsia" w:cstheme="minorEastAsia"/>
          <w:color w:val="FF0000"/>
          <w:sz w:val="28"/>
          <w:szCs w:val="28"/>
          <w:u w:val="single"/>
        </w:rPr>
        <w:t xml:space="preserve">  / </w:t>
      </w:r>
      <w:r>
        <w:rPr>
          <w:rFonts w:hint="eastAsia" w:asciiTheme="minorEastAsia" w:hAnsiTheme="minorEastAsia" w:cstheme="minorEastAsia"/>
          <w:color w:val="FF0000"/>
          <w:sz w:val="28"/>
          <w:szCs w:val="28"/>
        </w:rPr>
        <w:t>月</w:t>
      </w:r>
      <w:permEnd w:id="23"/>
      <w:r>
        <w:rPr>
          <w:rFonts w:hint="eastAsia" w:asciiTheme="minorEastAsia" w:hAnsiTheme="minorEastAsia" w:cstheme="minorEastAsia"/>
          <w:color w:val="000000" w:themeColor="text1"/>
          <w:sz w:val="28"/>
          <w:szCs w:val="28"/>
          <w14:textFill>
            <w14:solidFill>
              <w14:schemeClr w14:val="tx1"/>
            </w14:solidFill>
          </w14:textFill>
        </w:rPr>
        <w:t>起任意</w:t>
      </w:r>
      <w:r>
        <w:rPr>
          <w:rFonts w:hint="eastAsia" w:asciiTheme="minorEastAsia" w:hAnsiTheme="minorEastAsia" w:cstheme="minorEastAsia"/>
          <w:color w:val="000000" w:themeColor="text1"/>
          <w:sz w:val="28"/>
          <w:szCs w:val="28"/>
          <w:u w:val="single"/>
          <w14:textFill>
            <w14:solidFill>
              <w14:schemeClr w14:val="tx1"/>
            </w14:solidFill>
          </w14:textFill>
        </w:rPr>
        <w:t xml:space="preserve"> / </w:t>
      </w:r>
      <w:r>
        <w:rPr>
          <w:rFonts w:hint="eastAsia" w:asciiTheme="minorEastAsia" w:hAnsiTheme="minorEastAsia" w:cstheme="minorEastAsia"/>
          <w:color w:val="000000" w:themeColor="text1"/>
          <w:sz w:val="28"/>
          <w:szCs w:val="28"/>
          <w14:textFill>
            <w14:solidFill>
              <w14:schemeClr w14:val="tx1"/>
            </w14:solidFill>
          </w14:textFill>
        </w:rPr>
        <w:t>个月及以上养老保险证明，否则按无效投标处理。</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四、招标文件的获取</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五、投标文件的递交</w:t>
      </w:r>
    </w:p>
    <w:p>
      <w:pPr>
        <w:spacing w:line="480" w:lineRule="exact"/>
        <w:ind w:firstLine="560" w:firstLineChars="200"/>
        <w:rPr>
          <w:rFonts w:asciiTheme="minorEastAsia" w:hAnsiTheme="minorEastAsia" w:cstheme="minorEastAsia"/>
          <w:color w:val="000000" w:themeColor="text1"/>
          <w:sz w:val="28"/>
          <w:szCs w:val="28"/>
          <w14:textFill>
            <w14:solidFill>
              <w14:schemeClr w14:val="tx1"/>
            </w14:solidFill>
          </w14:textFill>
        </w:rPr>
      </w:pPr>
      <w:r>
        <w:rPr>
          <w:rFonts w:hint="eastAsia" w:asciiTheme="minorEastAsia" w:hAnsiTheme="minorEastAsia" w:cstheme="minorEastAsia"/>
          <w:sz w:val="28"/>
          <w:szCs w:val="28"/>
        </w:rPr>
        <w:t>（一）开标时间（投标截止时间）：</w:t>
      </w:r>
      <w:permStart w:id="24" w:edGrp="everyone"/>
      <w:r>
        <w:rPr>
          <w:rFonts w:hint="eastAsia" w:asciiTheme="minorEastAsia" w:hAnsiTheme="minorEastAsia" w:eastAsiaTheme="minorEastAsia" w:cstheme="minorEastAsia"/>
          <w:i/>
          <w:iCs/>
          <w:color w:val="auto"/>
          <w:sz w:val="28"/>
          <w:szCs w:val="28"/>
          <w:u w:val="single"/>
        </w:rPr>
        <w:t xml:space="preserve"> </w:t>
      </w:r>
      <w:r>
        <w:rPr>
          <w:rFonts w:hint="eastAsia" w:asciiTheme="minorEastAsia" w:hAnsiTheme="minorEastAsia" w:eastAsiaTheme="minorEastAsia" w:cstheme="minorEastAsia"/>
          <w:color w:val="auto"/>
          <w:sz w:val="28"/>
          <w:szCs w:val="28"/>
          <w:u w:val="single"/>
        </w:rPr>
        <w:t>2024年1月5 日</w:t>
      </w:r>
      <w:r>
        <w:rPr>
          <w:rFonts w:hint="eastAsia" w:asciiTheme="minorEastAsia" w:hAnsiTheme="minorEastAsia" w:eastAsiaTheme="minorEastAsia" w:cstheme="minorEastAsia"/>
          <w:color w:val="auto"/>
          <w:sz w:val="28"/>
          <w:szCs w:val="28"/>
          <w:u w:val="single"/>
          <w:lang w:val="en-US" w:eastAsia="zh-CN"/>
        </w:rPr>
        <w:t>11</w:t>
      </w:r>
      <w:r>
        <w:rPr>
          <w:rFonts w:hint="eastAsia" w:asciiTheme="minorEastAsia" w:hAnsiTheme="minorEastAsia" w:eastAsiaTheme="minorEastAsia" w:cstheme="minorEastAsia"/>
          <w:color w:val="auto"/>
          <w:sz w:val="28"/>
          <w:szCs w:val="28"/>
          <w:u w:val="single"/>
        </w:rPr>
        <w:t xml:space="preserve"> 时00分</w:t>
      </w:r>
      <w:permEnd w:id="24"/>
      <w:r>
        <w:rPr>
          <w:rFonts w:hint="eastAsia" w:asciiTheme="minorEastAsia" w:hAnsiTheme="minorEastAsia" w:cstheme="minorEastAsia"/>
          <w:color w:val="000000" w:themeColor="text1"/>
          <w:sz w:val="28"/>
          <w:szCs w:val="28"/>
          <w14:textFill>
            <w14:solidFill>
              <w14:schemeClr w14:val="tx1"/>
            </w14:solidFill>
          </w14:textFill>
        </w:rPr>
        <w:t>（北京时间）；</w:t>
      </w:r>
    </w:p>
    <w:p>
      <w:pPr>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color w:val="000000" w:themeColor="text1"/>
          <w:sz w:val="28"/>
          <w:szCs w:val="28"/>
          <w14:textFill>
            <w14:solidFill>
              <w14:schemeClr w14:val="tx1"/>
            </w14:solidFill>
          </w14:textFill>
        </w:rPr>
        <w:t>（二）开标地点：</w:t>
      </w:r>
      <w:r>
        <w:rPr>
          <w:rFonts w:hint="eastAsia" w:asciiTheme="minorEastAsia" w:hAnsiTheme="minorEastAsia" w:cstheme="minorEastAsia"/>
          <w:color w:val="000000" w:themeColor="text1"/>
          <w:sz w:val="28"/>
          <w:szCs w:val="28"/>
          <w:u w:val="single"/>
          <w14:textFill>
            <w14:solidFill>
              <w14:schemeClr w14:val="tx1"/>
            </w14:solidFill>
          </w14:textFill>
        </w:rPr>
        <w:t>亳州交通投资控股集团有限公司15楼开标室（药都大道与希夷大道交叉口东北角15楼）</w:t>
      </w:r>
      <w:r>
        <w:rPr>
          <w:rFonts w:hint="eastAsia" w:asciiTheme="minorEastAsia" w:hAnsiTheme="minorEastAsia" w:cstheme="minorEastAsia"/>
          <w:sz w:val="28"/>
          <w:szCs w:val="28"/>
        </w:rPr>
        <w:t>；</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（三）逾期送达的、未送达指定地点的或者不按照招标文件要求密封的投标文件，招标人将予以拒收；</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（四）</w:t>
      </w:r>
      <w:r>
        <w:rPr>
          <w:rFonts w:asciiTheme="minorEastAsia" w:hAnsiTheme="minorEastAsia" w:cstheme="minorEastAsia"/>
          <w:sz w:val="28"/>
          <w:szCs w:val="28"/>
        </w:rPr>
        <w:t>本次招标</w:t>
      </w:r>
      <w:permStart w:id="25" w:edGrp="everyone"/>
      <w:r>
        <w:rPr>
          <w:rFonts w:asciiTheme="minorEastAsia" w:hAnsiTheme="minorEastAsia" w:cstheme="minorEastAsia"/>
          <w:color w:val="FF0000"/>
          <w:sz w:val="28"/>
          <w:szCs w:val="28"/>
        </w:rPr>
        <w:t>允许</w:t>
      </w:r>
      <w:permEnd w:id="25"/>
      <w:r>
        <w:rPr>
          <w:rFonts w:asciiTheme="minorEastAsia" w:hAnsiTheme="minorEastAsia" w:cstheme="minorEastAsia"/>
          <w:sz w:val="28"/>
          <w:szCs w:val="28"/>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六、投标担保</w:t>
      </w:r>
    </w:p>
    <w:p>
      <w:pPr>
        <w:wordWrap w:val="0"/>
        <w:spacing w:line="480" w:lineRule="exact"/>
        <w:ind w:firstLine="560" w:firstLineChars="200"/>
        <w:rPr>
          <w:rFonts w:ascii="Times New Roman" w:hAnsi="Times New Roman" w:eastAsia="仿宋_GB2312" w:cs="Times New Roman"/>
          <w:sz w:val="28"/>
          <w:szCs w:val="28"/>
        </w:rPr>
      </w:pPr>
      <w:r>
        <w:rPr>
          <w:rFonts w:asciiTheme="minorEastAsia" w:hAnsiTheme="minorEastAsia" w:cstheme="minorEastAsia"/>
          <w:sz w:val="28"/>
          <w:szCs w:val="28"/>
        </w:rPr>
        <w:t>本项目投标保证金：</w:t>
      </w:r>
      <w:permStart w:id="26" w:edGrp="everyone"/>
      <w:r>
        <w:rPr>
          <w:rFonts w:hint="eastAsia" w:asciiTheme="minorEastAsia" w:hAnsiTheme="minorEastAsia" w:cstheme="minorEastAsia"/>
          <w:sz w:val="28"/>
          <w:szCs w:val="28"/>
          <w:u w:val="single"/>
        </w:rPr>
        <w:t>12000元</w:t>
      </w:r>
      <w:r>
        <w:rPr>
          <w:rFonts w:asciiTheme="minorEastAsia" w:hAnsiTheme="minorEastAsia" w:cstheme="minorEastAsia"/>
          <w:sz w:val="28"/>
          <w:szCs w:val="28"/>
        </w:rPr>
        <w:t>（人民币）</w:t>
      </w:r>
      <w:permEnd w:id="26"/>
      <w:r>
        <w:rPr>
          <w:rFonts w:asciiTheme="minorEastAsia" w:hAnsiTheme="minorEastAsia" w:cstheme="minorEastAsia"/>
          <w:sz w:val="28"/>
          <w:szCs w:val="28"/>
        </w:rPr>
        <w:t>，缴纳方式详见招标文件。</w:t>
      </w:r>
    </w:p>
    <w:p>
      <w:pPr>
        <w:wordWrap w:val="0"/>
        <w:spacing w:line="480" w:lineRule="exact"/>
        <w:ind w:firstLine="560" w:firstLineChars="200"/>
        <w:rPr>
          <w:rFonts w:ascii="黑体" w:hAnsi="黑体" w:eastAsia="黑体" w:cs="黑体"/>
          <w:sz w:val="28"/>
          <w:szCs w:val="28"/>
        </w:rPr>
      </w:pPr>
      <w:r>
        <w:rPr>
          <w:rFonts w:hint="eastAsia" w:ascii="黑体" w:hAnsi="黑体" w:eastAsia="黑体" w:cs="黑体"/>
          <w:sz w:val="28"/>
          <w:szCs w:val="28"/>
        </w:rPr>
        <w:t>七、联系方式</w:t>
      </w:r>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招</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标</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7" w:edGrp="everyone"/>
      <w:r>
        <w:rPr>
          <w:rFonts w:asciiTheme="minorEastAsia" w:hAnsiTheme="minorEastAsia" w:cstheme="minorEastAsia"/>
          <w:sz w:val="28"/>
          <w:szCs w:val="28"/>
        </w:rPr>
        <w:t>安徽通康建设工程有限公司</w:t>
      </w:r>
    </w:p>
    <w:permEnd w:id="27"/>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地</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址：</w:t>
      </w:r>
      <w:permStart w:id="28" w:edGrp="everyone"/>
      <w:r>
        <w:rPr>
          <w:rFonts w:hint="eastAsia" w:asciiTheme="minorEastAsia" w:hAnsiTheme="minorEastAsia" w:cstheme="minorEastAsia"/>
          <w:color w:val="000000" w:themeColor="text1"/>
          <w:sz w:val="28"/>
          <w:szCs w:val="28"/>
          <w14:textFill>
            <w14:solidFill>
              <w14:schemeClr w14:val="tx1"/>
            </w14:solidFill>
          </w14:textFill>
        </w:rPr>
        <w:t>安徽省亳州市谯城区大杨镇省道309线亳州收费站</w:t>
      </w:r>
      <w:r>
        <w:rPr>
          <w:rFonts w:hint="eastAsia" w:asciiTheme="minorEastAsia" w:hAnsiTheme="minorEastAsia" w:cstheme="minorEastAsia"/>
          <w:sz w:val="28"/>
          <w:szCs w:val="28"/>
        </w:rPr>
        <w:t xml:space="preserve"> </w:t>
      </w:r>
      <w:permEnd w:id="28"/>
    </w:p>
    <w:p>
      <w:pPr>
        <w:wordWrap w:val="0"/>
        <w:spacing w:line="480" w:lineRule="exact"/>
        <w:ind w:firstLine="560" w:firstLineChars="200"/>
        <w:rPr>
          <w:rFonts w:asciiTheme="minorEastAsia" w:hAnsiTheme="minorEastAsia" w:cstheme="minorEastAsia"/>
          <w:sz w:val="28"/>
          <w:szCs w:val="28"/>
        </w:rPr>
      </w:pPr>
      <w:r>
        <w:rPr>
          <w:rFonts w:asciiTheme="minorEastAsia" w:hAnsiTheme="minorEastAsia" w:cstheme="minorEastAsia"/>
          <w:sz w:val="28"/>
          <w:szCs w:val="28"/>
        </w:rPr>
        <w:t>联</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系</w:t>
      </w:r>
      <w:r>
        <w:rPr>
          <w:rFonts w:hint="eastAsia" w:asciiTheme="minorEastAsia" w:hAnsiTheme="minorEastAsia" w:cstheme="minorEastAsia"/>
          <w:sz w:val="28"/>
          <w:szCs w:val="28"/>
        </w:rPr>
        <w:t xml:space="preserve"> </w:t>
      </w:r>
      <w:r>
        <w:rPr>
          <w:rFonts w:asciiTheme="minorEastAsia" w:hAnsiTheme="minorEastAsia" w:cstheme="minorEastAsia"/>
          <w:sz w:val="28"/>
          <w:szCs w:val="28"/>
        </w:rPr>
        <w:t>人：</w:t>
      </w:r>
      <w:permStart w:id="29" w:edGrp="everyone"/>
      <w:r>
        <w:rPr>
          <w:rFonts w:hint="eastAsia" w:asciiTheme="minorEastAsia" w:hAnsiTheme="minorEastAsia" w:cstheme="minorEastAsia"/>
          <w:sz w:val="28"/>
          <w:szCs w:val="28"/>
        </w:rPr>
        <w:t xml:space="preserve">李尔康      </w:t>
      </w:r>
      <w:permEnd w:id="29"/>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电    话</w:t>
      </w:r>
      <w:r>
        <w:rPr>
          <w:rFonts w:asciiTheme="minorEastAsia" w:hAnsiTheme="minorEastAsia" w:cstheme="minorEastAsia"/>
          <w:sz w:val="28"/>
          <w:szCs w:val="28"/>
        </w:rPr>
        <w:t>：</w:t>
      </w:r>
      <w:permStart w:id="30" w:edGrp="everyone"/>
      <w:r>
        <w:rPr>
          <w:rFonts w:hint="eastAsia" w:asciiTheme="minorEastAsia" w:hAnsiTheme="minorEastAsia" w:cstheme="minorEastAsia"/>
          <w:sz w:val="28"/>
          <w:szCs w:val="28"/>
        </w:rPr>
        <w:t xml:space="preserve">18906343943 </w:t>
      </w:r>
      <w:permEnd w:id="30"/>
    </w:p>
    <w:p>
      <w:pPr>
        <w:wordWrap w:val="0"/>
        <w:spacing w:line="480" w:lineRule="exact"/>
        <w:rPr>
          <w:rFonts w:asciiTheme="minorEastAsia" w:hAnsiTheme="minorEastAsia" w:cstheme="minorEastAsia"/>
          <w:sz w:val="28"/>
          <w:szCs w:val="28"/>
        </w:rPr>
      </w:pP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招标平台：亳州交控集团招投标中心</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地    址：亳州市谯城区药都大道1289号</w:t>
      </w:r>
    </w:p>
    <w:p>
      <w:pPr>
        <w:wordWrap w:val="0"/>
        <w:spacing w:line="480" w:lineRule="exact"/>
        <w:ind w:firstLine="560" w:firstLineChars="200"/>
        <w:rPr>
          <w:rFonts w:asciiTheme="minorEastAsia" w:hAnsiTheme="minorEastAsia" w:cstheme="minorEastAsia"/>
          <w:sz w:val="28"/>
          <w:szCs w:val="28"/>
        </w:rPr>
      </w:pPr>
      <w:r>
        <w:rPr>
          <w:rFonts w:hint="eastAsia" w:asciiTheme="minorEastAsia" w:hAnsiTheme="minorEastAsia" w:cstheme="minorEastAsia"/>
          <w:sz w:val="28"/>
          <w:szCs w:val="28"/>
        </w:rPr>
        <w:t>联 系 人：田工、张工</w:t>
      </w:r>
    </w:p>
    <w:p>
      <w:pPr>
        <w:wordWrap w:val="0"/>
        <w:spacing w:line="480" w:lineRule="exact"/>
        <w:ind w:firstLine="560" w:firstLineChars="200"/>
        <w:rPr>
          <w:rFonts w:ascii="Times New Roman" w:hAnsi="Times New Roman" w:eastAsia="仿宋_GB2312" w:cs="Times New Roman"/>
          <w:sz w:val="28"/>
          <w:szCs w:val="28"/>
        </w:rPr>
      </w:pPr>
      <w:r>
        <w:rPr>
          <w:rFonts w:hint="eastAsia" w:asciiTheme="minorEastAsia" w:hAnsiTheme="minorEastAsia" w:cstheme="minorEastAsia"/>
          <w:sz w:val="28"/>
          <w:szCs w:val="28"/>
        </w:rPr>
        <w:t>电    话：0558-5190035</w:t>
      </w:r>
    </w:p>
    <w:p>
      <w:pPr>
        <w:wordWrap w:val="0"/>
        <w:spacing w:line="480" w:lineRule="exact"/>
        <w:ind w:firstLine="560" w:firstLineChars="200"/>
        <w:jc w:val="right"/>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color w:val="FF0000"/>
          <w:sz w:val="28"/>
          <w:szCs w:val="28"/>
        </w:rPr>
        <w:t xml:space="preserve"> </w:t>
      </w:r>
      <w:permStart w:id="31" w:edGrp="everyone"/>
      <w:r>
        <w:rPr>
          <w:rFonts w:hint="eastAsia" w:asciiTheme="minorEastAsia" w:hAnsiTheme="minorEastAsia" w:cstheme="minorEastAsia"/>
          <w:color w:val="FF0000"/>
          <w:sz w:val="28"/>
          <w:szCs w:val="28"/>
        </w:rPr>
        <w:t>安徽通康建设工程有限公司</w:t>
      </w:r>
    </w:p>
    <w:p>
      <w:pPr>
        <w:spacing w:line="480" w:lineRule="exact"/>
        <w:ind w:firstLine="560" w:firstLineChars="200"/>
        <w:jc w:val="right"/>
        <w:rPr>
          <w:rFonts w:ascii="Times New Roman" w:hAnsi="Times New Roman" w:eastAsia="仿宋_GB2312" w:cs="Times New Roman"/>
          <w:kern w:val="0"/>
          <w:sz w:val="32"/>
          <w:szCs w:val="32"/>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lang w:val="en-US" w:eastAsia="zh-CN"/>
        </w:rPr>
        <w:t>2023</w:t>
      </w:r>
      <w:r>
        <w:rPr>
          <w:rFonts w:hint="eastAsia" w:asciiTheme="minorEastAsia" w:hAnsiTheme="minorEastAsia" w:cstheme="minorEastAsia"/>
          <w:sz w:val="28"/>
          <w:szCs w:val="28"/>
        </w:rPr>
        <w:t xml:space="preserve"> 年 </w:t>
      </w:r>
      <w:r>
        <w:rPr>
          <w:rFonts w:hint="eastAsia" w:asciiTheme="minorEastAsia" w:hAnsiTheme="minorEastAsia" w:cstheme="minorEastAsia"/>
          <w:sz w:val="28"/>
          <w:szCs w:val="28"/>
          <w:lang w:val="en-US" w:eastAsia="zh-CN"/>
        </w:rPr>
        <w:t>12</w:t>
      </w:r>
      <w:r>
        <w:rPr>
          <w:rFonts w:hint="eastAsia" w:asciiTheme="minorEastAsia" w:hAnsiTheme="minorEastAsia" w:cstheme="minorEastAsia"/>
          <w:sz w:val="28"/>
          <w:szCs w:val="28"/>
        </w:rPr>
        <w:t xml:space="preserve"> 月 </w:t>
      </w:r>
      <w:r>
        <w:rPr>
          <w:rFonts w:hint="eastAsia" w:asciiTheme="minorEastAsia" w:hAnsiTheme="minorEastAsia" w:cstheme="minorEastAsia"/>
          <w:sz w:val="28"/>
          <w:szCs w:val="28"/>
          <w:lang w:val="en-US" w:eastAsia="zh-CN"/>
        </w:rPr>
        <w:t>29</w:t>
      </w:r>
      <w:r>
        <w:rPr>
          <w:rFonts w:hint="eastAsia" w:asciiTheme="minorEastAsia" w:hAnsiTheme="minorEastAsia" w:cstheme="minorEastAsia"/>
          <w:sz w:val="28"/>
          <w:szCs w:val="28"/>
        </w:rPr>
        <w:t>日</w:t>
      </w:r>
      <w:permEnd w:id="31"/>
      <w:r>
        <w:rPr>
          <w:rFonts w:ascii="Times New Roman" w:hAnsi="Times New Roman" w:eastAsia="仿宋_GB2312" w:cs="Times New Roman"/>
          <w:kern w:val="0"/>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第二章 投标人须知</w:t>
      </w:r>
    </w:p>
    <w:p>
      <w:pPr>
        <w:spacing w:line="480" w:lineRule="exact"/>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投标人须知前附表</w:t>
      </w:r>
    </w:p>
    <w:tbl>
      <w:tblPr>
        <w:tblStyle w:val="18"/>
        <w:tblW w:w="8522" w:type="dxa"/>
        <w:tblInd w:w="0" w:type="dxa"/>
        <w:tblLayout w:type="fixed"/>
        <w:tblCellMar>
          <w:top w:w="0" w:type="dxa"/>
          <w:left w:w="108" w:type="dxa"/>
          <w:bottom w:w="0" w:type="dxa"/>
          <w:right w:w="108" w:type="dxa"/>
        </w:tblCellMar>
      </w:tblPr>
      <w:tblGrid>
        <w:gridCol w:w="1008"/>
        <w:gridCol w:w="2481"/>
        <w:gridCol w:w="5033"/>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条款号</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条  款  名  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b/>
                <w:szCs w:val="21"/>
              </w:rPr>
            </w:pPr>
            <w:r>
              <w:rPr>
                <w:rFonts w:ascii="Times New Roman" w:hAnsi="Times New Roman" w:cs="Times New Roman"/>
                <w:b/>
                <w:szCs w:val="21"/>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w:t>
            </w:r>
            <w:r>
              <w:rPr>
                <w:rFonts w:hint="eastAsia" w:ascii="Times New Roman" w:hAnsi="Times New Roman" w:cs="Times New Roman"/>
                <w:szCs w:val="21"/>
              </w:rPr>
              <w:t>平台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1.1.4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w:t>
            </w:r>
            <w:r>
              <w:rPr>
                <w:rFonts w:ascii="Times New Roman" w:hAnsi="Times New Roman" w:cs="Times New Roman"/>
                <w:szCs w:val="21"/>
              </w:rPr>
              <w:t>项目名称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资金来源</w:t>
            </w:r>
            <w:r>
              <w:rPr>
                <w:rFonts w:hint="eastAsia" w:ascii="Times New Roman" w:hAnsi="Times New Roman" w:cs="Times New Roman"/>
                <w:szCs w:val="21"/>
              </w:rPr>
              <w:t>及比例</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1.2.</w:t>
            </w:r>
            <w:r>
              <w:rPr>
                <w:rFonts w:hint="eastAsia" w:ascii="Times New Roman" w:hAnsi="Times New Roman" w:cs="Times New Roman"/>
                <w:szCs w:val="21"/>
              </w:rPr>
              <w:t>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资金落实情况</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招标范围</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交货期</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2" w:edGrp="everyone"/>
            <w:r>
              <w:rPr>
                <w:rFonts w:hint="eastAsia" w:ascii="Times New Roman" w:hAnsi="Times New Roman" w:cs="Times New Roman"/>
                <w:szCs w:val="21"/>
              </w:rPr>
              <w:t>交货期：自合同签订之日起10日历天内完成供货。</w:t>
            </w:r>
          </w:p>
          <w:p>
            <w:pPr>
              <w:wordWrap w:val="0"/>
              <w:spacing w:line="400" w:lineRule="exact"/>
              <w:rPr>
                <w:rFonts w:ascii="Times New Roman" w:hAnsi="Times New Roman" w:cs="Times New Roman"/>
                <w:szCs w:val="21"/>
              </w:rPr>
            </w:pPr>
            <w:r>
              <w:rPr>
                <w:rFonts w:hint="eastAsia" w:ascii="Times New Roman" w:hAnsi="Times New Roman" w:cs="Times New Roman"/>
                <w:szCs w:val="21"/>
              </w:rPr>
              <w:t>计划开始交货日期：  2024 年 1 月 12日</w:t>
            </w:r>
            <w:permEnd w:id="32"/>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交货地点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技术性能指标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符合国家、地方、行业现行相关规范合格标准。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1.3.4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质量标准</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1.4.1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投标人资质条件、能力</w:t>
            </w:r>
            <w:r>
              <w:rPr>
                <w:rFonts w:hint="eastAsia" w:ascii="Times New Roman" w:hAnsi="Times New Roman" w:cs="Times New Roman"/>
                <w:szCs w:val="21"/>
              </w:rPr>
              <w:t>、信誉</w:t>
            </w:r>
          </w:p>
        </w:tc>
        <w:tc>
          <w:tcPr>
            <w:tcW w:w="503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napToGrid w:val="0"/>
              <w:spacing w:line="440" w:lineRule="exact"/>
              <w:jc w:val="left"/>
              <w:rPr>
                <w:rFonts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Ansi="宋体"/>
                <w:color w:val="FF0000"/>
                <w:szCs w:val="21"/>
              </w:rPr>
            </w:pPr>
            <w:permStart w:id="33" w:edGrp="everyone"/>
            <w:r>
              <w:rPr>
                <w:rFonts w:hint="eastAsia" w:hAnsi="宋体"/>
                <w:color w:val="FF0000"/>
                <w:szCs w:val="21"/>
              </w:rPr>
              <w:t>2、财务要求：</w:t>
            </w:r>
          </w:p>
          <w:p>
            <w:pPr>
              <w:autoSpaceDE w:val="0"/>
              <w:autoSpaceDN w:val="0"/>
              <w:adjustRightInd w:val="0"/>
              <w:snapToGrid w:val="0"/>
              <w:spacing w:line="440" w:lineRule="exact"/>
              <w:ind w:firstLine="308" w:firstLineChars="147"/>
              <w:jc w:val="left"/>
              <w:rPr>
                <w:rFonts w:hAnsi="宋体"/>
                <w:color w:val="FF0000"/>
                <w:szCs w:val="21"/>
              </w:rPr>
            </w:pPr>
            <w:r>
              <w:rPr>
                <w:rFonts w:hint="eastAsia" w:hAnsi="宋体"/>
                <w:color w:val="FF0000"/>
                <w:szCs w:val="21"/>
              </w:rPr>
              <w:t>不需要☑</w:t>
            </w:r>
          </w:p>
          <w:p>
            <w:pPr>
              <w:autoSpaceDE w:val="0"/>
              <w:autoSpaceDN w:val="0"/>
              <w:adjustRightInd w:val="0"/>
              <w:snapToGrid w:val="0"/>
              <w:spacing w:line="440" w:lineRule="exact"/>
              <w:rPr>
                <w:rFonts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  </w:t>
            </w:r>
            <w:r>
              <w:rPr>
                <w:rFonts w:hint="eastAsia" w:hAnsi="宋体"/>
                <w:color w:val="FF0000"/>
                <w:szCs w:val="21"/>
              </w:rPr>
              <w:t>年至</w:t>
            </w:r>
            <w:r>
              <w:rPr>
                <w:rFonts w:hint="eastAsia" w:hAnsi="宋体"/>
                <w:snapToGrid w:val="0"/>
                <w:color w:val="FF0000"/>
                <w:spacing w:val="-4"/>
                <w:kern w:val="0"/>
                <w:sz w:val="24"/>
                <w:u w:val="single"/>
              </w:rPr>
              <w:t xml:space="preserve"> /  </w:t>
            </w:r>
            <w:r>
              <w:rPr>
                <w:rFonts w:hint="eastAsia" w:hAnsi="宋体"/>
                <w:color w:val="FF0000"/>
                <w:szCs w:val="21"/>
              </w:rPr>
              <w:t>年经审计的财务状况表。</w:t>
            </w:r>
          </w:p>
          <w:permEnd w:id="33"/>
          <w:p>
            <w:pPr>
              <w:autoSpaceDE w:val="0"/>
              <w:autoSpaceDN w:val="0"/>
              <w:adjustRightInd w:val="0"/>
              <w:snapToGrid w:val="0"/>
              <w:spacing w:line="440" w:lineRule="exact"/>
              <w:jc w:val="left"/>
            </w:pPr>
            <w:r>
              <w:rPr>
                <w:rFonts w:hint="eastAsia"/>
              </w:rPr>
              <w:t>3、其他要求：</w:t>
            </w:r>
          </w:p>
          <w:p>
            <w:pPr>
              <w:wordWrap w:val="0"/>
              <w:spacing w:line="400" w:lineRule="exact"/>
              <w:rPr>
                <w:rFonts w:ascii="Times New Roman" w:hAnsi="Times New Roman" w:cs="Times New Roman"/>
                <w:szCs w:val="21"/>
              </w:rPr>
            </w:pPr>
            <w:permStart w:id="34" w:edGrp="everyone"/>
            <w:r>
              <w:rPr>
                <w:rFonts w:hint="eastAsia" w:hAnsi="宋体"/>
                <w:szCs w:val="21"/>
              </w:rPr>
              <w:t xml:space="preserve">       /                 </w:t>
            </w:r>
            <w:permEnd w:id="3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是否接受联合体投标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permStart w:id="35"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w:t>
            </w:r>
            <w:r>
              <w:rPr>
                <w:rFonts w:hint="eastAsia" w:ascii="Times New Roman" w:hAnsi="Times New Roman" w:cs="Times New Roman"/>
                <w:color w:val="FF0000"/>
                <w:szCs w:val="21"/>
              </w:rPr>
              <w:t xml:space="preserve">接受 </w:t>
            </w:r>
          </w:p>
          <w:p>
            <w:pPr>
              <w:wordWrap w:val="0"/>
              <w:spacing w:line="400" w:lineRule="exact"/>
              <w:rPr>
                <w:rFonts w:ascii="Times New Roman" w:hAnsi="Times New Roman" w:cs="Times New Roman"/>
                <w:szCs w:val="21"/>
              </w:rPr>
            </w:pPr>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 xml:space="preserve">  </w:t>
            </w:r>
            <w:r>
              <w:rPr>
                <w:rFonts w:hint="eastAsia" w:ascii="Times New Roman" w:hAnsi="Times New Roman" w:cs="Times New Roman"/>
                <w:color w:val="FF0000"/>
                <w:szCs w:val="21"/>
              </w:rPr>
              <w:t xml:space="preserve">接受  </w:t>
            </w:r>
            <w:permEnd w:id="3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1.4.3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投标人不得存在的其他情形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6" w:edGrp="everyone"/>
            <w:r>
              <w:rPr>
                <w:rFonts w:hint="eastAsia" w:hAnsi="宋体"/>
                <w:szCs w:val="21"/>
              </w:rPr>
              <w:t xml:space="preserve">         /               </w:t>
            </w:r>
            <w:permEnd w:id="36"/>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投标预备会</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7"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不召开</w:t>
            </w:r>
            <w:r>
              <w:rPr>
                <w:rFonts w:hint="eastAsia" w:ascii="Times New Roman" w:hAnsi="Times New Roman" w:cs="Times New Roman"/>
                <w:color w:val="FF0000"/>
                <w:szCs w:val="21"/>
              </w:rPr>
              <w:t xml:space="preserve">         </w:t>
            </w:r>
            <w:r>
              <w:rPr>
                <w:rFonts w:ascii="Times New Roman" w:hAnsi="Times New Roman" w:eastAsia="仿宋_GB2312" w:cs="Times New Roman"/>
                <w:color w:val="FF0000"/>
                <w:sz w:val="24"/>
              </w:rPr>
              <w:sym w:font="Wingdings" w:char="00A8"/>
            </w:r>
            <w:r>
              <w:rPr>
                <w:rFonts w:ascii="Times New Roman" w:hAnsi="Times New Roman" w:cs="Times New Roman"/>
                <w:color w:val="FF0000"/>
                <w:szCs w:val="21"/>
              </w:rPr>
              <w:t>召开</w:t>
            </w:r>
            <w:r>
              <w:rPr>
                <w:rFonts w:hint="eastAsia" w:ascii="Times New Roman" w:hAnsi="Times New Roman" w:cs="Times New Roman"/>
                <w:color w:val="FF0000"/>
                <w:szCs w:val="21"/>
              </w:rPr>
              <w:t xml:space="preserve"> </w:t>
            </w:r>
            <w:permEnd w:id="37"/>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1.9.2</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hint="eastAsia" w:ascii="Times New Roman" w:hAnsi="Times New Roman" w:cs="Times New Roman"/>
                <w:i/>
                <w:iCs/>
                <w:color w:val="FF0000"/>
                <w:szCs w:val="21"/>
                <w:u w:val="single"/>
              </w:rPr>
              <w:t>不适用</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hint="eastAsia" w:ascii="Times New Roman" w:hAnsi="Times New Roman" w:cs="Times New Roman"/>
                <w:i/>
                <w:iCs/>
                <w:color w:val="FF0000"/>
                <w:szCs w:val="21"/>
                <w:u w:val="singl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1.9.3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i/>
                <w:iCs/>
                <w:color w:val="FF0000"/>
                <w:szCs w:val="21"/>
                <w:u w:val="single"/>
              </w:rPr>
              <w:t>不适用</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1.10.1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分包</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permStart w:id="38" w:edGrp="everyone"/>
            <w:r>
              <w:rPr>
                <w:rFonts w:ascii="Times New Roman" w:hAnsi="Times New Roman" w:eastAsia="仿宋_GB2312" w:cs="Times New Roman"/>
                <w:color w:val="FF0000"/>
                <w:sz w:val="24"/>
              </w:rPr>
              <w:sym w:font="Wingdings" w:char="00FE"/>
            </w:r>
            <w:r>
              <w:rPr>
                <w:rFonts w:ascii="Times New Roman" w:hAnsi="Times New Roman" w:cs="Times New Roman"/>
                <w:color w:val="FF0000"/>
                <w:szCs w:val="21"/>
              </w:rPr>
              <w:t>不</w:t>
            </w:r>
            <w:r>
              <w:rPr>
                <w:rFonts w:hint="eastAsia" w:ascii="Times New Roman" w:hAnsi="Times New Roman" w:cs="Times New Roman"/>
                <w:color w:val="FF0000"/>
                <w:szCs w:val="21"/>
              </w:rPr>
              <w:t>允许</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A8"/>
            </w:r>
            <w:r>
              <w:rPr>
                <w:rFonts w:hint="eastAsia" w:ascii="Times New Roman" w:hAnsi="Times New Roman" w:cs="Times New Roman"/>
                <w:color w:val="FF0000"/>
                <w:szCs w:val="21"/>
              </w:rPr>
              <w:t>允许，分包内容要求：</w:t>
            </w:r>
          </w:p>
          <w:p>
            <w:pPr>
              <w:wordWrap w:val="0"/>
              <w:spacing w:line="400" w:lineRule="exact"/>
              <w:ind w:firstLine="840" w:firstLineChars="400"/>
              <w:rPr>
                <w:rFonts w:ascii="Times New Roman" w:hAnsi="Times New Roman" w:cs="Times New Roman"/>
                <w:color w:val="FF0000"/>
                <w:szCs w:val="21"/>
              </w:rPr>
            </w:pPr>
            <w:r>
              <w:rPr>
                <w:rFonts w:hint="eastAsia" w:ascii="Times New Roman" w:hAnsi="Times New Roman" w:cs="Times New Roman"/>
                <w:color w:val="FF0000"/>
                <w:szCs w:val="21"/>
              </w:rPr>
              <w:t>分包金额要求：/</w:t>
            </w:r>
          </w:p>
          <w:p>
            <w:pPr>
              <w:wordWrap w:val="0"/>
              <w:spacing w:line="400" w:lineRule="exact"/>
              <w:ind w:firstLine="840" w:firstLineChars="400"/>
              <w:rPr>
                <w:rFonts w:ascii="Times New Roman" w:hAnsi="Times New Roman" w:cs="Times New Roman"/>
                <w:szCs w:val="21"/>
              </w:rPr>
            </w:pPr>
            <w:r>
              <w:rPr>
                <w:rFonts w:hint="eastAsia" w:ascii="Times New Roman" w:hAnsi="Times New Roman" w:cs="Times New Roman"/>
                <w:color w:val="FF0000"/>
                <w:szCs w:val="21"/>
              </w:rPr>
              <w:t>对分包人的资质要求：/</w:t>
            </w:r>
            <w:permEnd w:id="3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1.11.1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实质性要求和条件</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hAnsi="宋体"/>
                <w:szCs w:val="21"/>
              </w:rPr>
              <w:t>详见第一章招标公告、第四章合同条款及格式、第五章供货要求。</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1.11.3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permStart w:id="39" w:edGrp="everyone"/>
            <w:r>
              <w:rPr>
                <w:rFonts w:hint="eastAsia" w:hAnsi="宋体"/>
                <w:szCs w:val="21"/>
              </w:rPr>
              <w:t xml:space="preserve">技术支持资料以制造商公开发布的印刷资料，政府部门出具的证明材料，或检测机构出具的检测报告为准，其他形式的技术支持资料视为无效。 </w:t>
            </w:r>
            <w:permEnd w:id="39"/>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1.11.4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偏差</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执行《评标委员会和评标方法暂行规定》（国家计委等七部令第12号）第二十四条、第二十五条、第二十六条有关投标偏差（细微偏差、重大偏差）的规定。</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构成招标文件的其他材料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rPr>
            </w:pPr>
            <w:r>
              <w:rPr>
                <w:rFonts w:ascii="Times New Roman" w:hAnsi="Times New Roman" w:cs="Times New Roman"/>
                <w:szCs w:val="21"/>
              </w:rPr>
              <w:t>招标人发出的澄清、修改及补充文件等。</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2.2.1</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投标人要求澄清招标文件</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时间：距投标截止时间止3日前，投标人应仔细阅读和检查招标文件的全部内容。如发现缺页或附件不全，应及时向招标人提出，以便补齐。</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招标文件澄清发出的形式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投标截止时间前，招标文件的澄清将在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2.2.3</w:t>
            </w:r>
          </w:p>
        </w:tc>
        <w:tc>
          <w:tcPr>
            <w:tcW w:w="2481" w:type="dxa"/>
            <w:vMerge w:val="restart"/>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时间：</w:t>
            </w:r>
            <w:r>
              <w:rPr>
                <w:rFonts w:ascii="Times New Roman" w:hAnsi="Times New Roman" w:cs="Times New Roman"/>
                <w:szCs w:val="21"/>
              </w:rPr>
              <w:t>招标文件的澄清在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上的发布时间，视为投标人确认收到招标文件澄清的时间。</w:t>
            </w:r>
          </w:p>
        </w:tc>
      </w:tr>
      <w:tr>
        <w:tblPrEx>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招标文件修改发出的形式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投标截止时间前，招标文件的</w:t>
            </w:r>
            <w:r>
              <w:rPr>
                <w:rFonts w:hint="eastAsia" w:ascii="Times New Roman" w:hAnsi="Times New Roman" w:cs="Times New Roman"/>
                <w:szCs w:val="21"/>
              </w:rPr>
              <w:t>修改</w:t>
            </w:r>
            <w:r>
              <w:rPr>
                <w:rFonts w:ascii="Times New Roman" w:hAnsi="Times New Roman" w:cs="Times New Roman"/>
                <w:szCs w:val="21"/>
              </w:rPr>
              <w:t>将在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上进行发布。</w:t>
            </w:r>
          </w:p>
        </w:tc>
      </w:tr>
      <w:tr>
        <w:tblPrEx>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2.3.2</w:t>
            </w:r>
          </w:p>
        </w:tc>
        <w:tc>
          <w:tcPr>
            <w:tcW w:w="2481" w:type="dxa"/>
            <w:vMerge w:val="restart"/>
            <w:tcBorders>
              <w:top w:val="single" w:color="auto" w:sz="4" w:space="0"/>
              <w:left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时间：</w:t>
            </w:r>
            <w:r>
              <w:rPr>
                <w:rFonts w:ascii="Times New Roman" w:hAnsi="Times New Roman" w:cs="Times New Roman"/>
                <w:szCs w:val="21"/>
              </w:rPr>
              <w:t>招标文件的</w:t>
            </w:r>
            <w:r>
              <w:rPr>
                <w:rFonts w:hint="eastAsia" w:ascii="Times New Roman" w:hAnsi="Times New Roman" w:cs="Times New Roman"/>
                <w:szCs w:val="21"/>
              </w:rPr>
              <w:t>修改</w:t>
            </w:r>
            <w:r>
              <w:rPr>
                <w:rFonts w:ascii="Times New Roman" w:hAnsi="Times New Roman" w:cs="Times New Roman"/>
                <w:szCs w:val="21"/>
              </w:rPr>
              <w:t>在</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上的发布时间，视为投标人确认收到招标文件</w:t>
            </w:r>
            <w:r>
              <w:rPr>
                <w:rFonts w:hint="eastAsia" w:ascii="Times New Roman" w:hAnsi="Times New Roman" w:cs="Times New Roman"/>
                <w:szCs w:val="21"/>
              </w:rPr>
              <w:t>修改</w:t>
            </w:r>
            <w:r>
              <w:rPr>
                <w:rFonts w:ascii="Times New Roman" w:hAnsi="Times New Roman" w:cs="Times New Roman"/>
                <w:szCs w:val="21"/>
              </w:rPr>
              <w:t>的时间。</w:t>
            </w:r>
          </w:p>
        </w:tc>
      </w:tr>
      <w:tr>
        <w:tblPrEx>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2481" w:type="dxa"/>
            <w:vMerge w:val="continue"/>
            <w:tcBorders>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形式：</w:t>
            </w:r>
            <w:r>
              <w:rPr>
                <w:rFonts w:ascii="Times New Roman" w:hAnsi="Times New Roman" w:cs="Times New Roman"/>
                <w:szCs w:val="21"/>
              </w:rPr>
              <w:t>所有参加本次项目招标的投标人须在网上自行查询，无需以纸质形式回复。如遇系统故障等原因不能进入</w:t>
            </w:r>
            <w:r>
              <w:rPr>
                <w:rFonts w:hint="eastAsia" w:ascii="Times New Roman" w:hAnsi="Times New Roman" w:cs="Times New Roman"/>
                <w:szCs w:val="21"/>
              </w:rPr>
              <w:t>亳州交通投资控股集团有限公司官网（www.bzjkjt.com）、安徽省招标投标信息网（www.ahtba.org.cn）及优质采云采购平台（www.youzhicai.com）</w:t>
            </w:r>
            <w:r>
              <w:rPr>
                <w:rFonts w:ascii="Times New Roman" w:hAnsi="Times New Roman" w:cs="Times New Roman"/>
                <w:szCs w:val="21"/>
              </w:rPr>
              <w:t>，请及时与招标人联系。否则，造成的一切后果由投标人自行承担。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构成投标文件的其他资料</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ascii="Times New Roman" w:hAnsi="Times New Roman" w:cs="Times New Roman"/>
                <w:szCs w:val="21"/>
              </w:rPr>
              <w:t>投标人的书面澄清、说明和补正（但</w:t>
            </w:r>
            <w:r>
              <w:rPr>
                <w:rFonts w:hint="eastAsia" w:ascii="Times New Roman" w:hAnsi="Times New Roman" w:cs="Times New Roman"/>
                <w:szCs w:val="21"/>
              </w:rPr>
              <w:t>不得超出投标文件的范围且不得改变投标文件的实质性内容）。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增值税税金的计算方法</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3.2.4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最高投标限价</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eastAsia="仿宋_GB2312" w:cs="Times New Roman"/>
                <w:szCs w:val="21"/>
                <w:u w:val="single"/>
              </w:rPr>
            </w:pPr>
            <w:r>
              <w:rPr>
                <w:rFonts w:ascii="Times New Roman" w:hAnsi="Times New Roman" w:eastAsia="仿宋_GB2312" w:cs="Times New Roman"/>
                <w:sz w:val="24"/>
              </w:rPr>
              <w:sym w:font="Wingdings" w:char="00FE"/>
            </w:r>
            <w:r>
              <w:rPr>
                <w:rFonts w:hint="eastAsia" w:asciiTheme="minorEastAsia" w:hAnsiTheme="minorEastAsia" w:cstheme="minorEastAsia"/>
                <w:szCs w:val="21"/>
              </w:rPr>
              <w:t>有，最高投标限价：</w:t>
            </w:r>
            <w:r>
              <w:rPr>
                <w:rFonts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3.2.5</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highlight w:val="yellow"/>
              </w:rPr>
            </w:pPr>
            <w:r>
              <w:rPr>
                <w:rFonts w:hint="eastAsia" w:ascii="Times New Roman" w:hAnsi="Times New Roman" w:cs="Times New Roman"/>
                <w:szCs w:val="21"/>
                <w:highlight w:val="yellow"/>
              </w:rPr>
              <w:t>投标报价的其他要求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permStart w:id="40" w:edGrp="everyone"/>
            <w:r>
              <w:rPr>
                <w:rFonts w:hint="eastAsia" w:ascii="Times New Roman" w:hAnsi="Times New Roman" w:cs="Times New Roman"/>
                <w:szCs w:val="21"/>
                <w:u w:val="single"/>
              </w:rPr>
              <w:t xml:space="preserve">详见第一章招标公告。 </w:t>
            </w:r>
            <w:permEnd w:id="40"/>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3.3.1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投标有效期</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投标截止之日起</w:t>
            </w:r>
            <w:r>
              <w:rPr>
                <w:rFonts w:hint="eastAsia" w:ascii="Times New Roman" w:hAnsi="Times New Roman" w:cs="Times New Roman"/>
                <w:szCs w:val="21"/>
                <w:u w:val="single"/>
              </w:rPr>
              <w:t>90</w:t>
            </w:r>
            <w:r>
              <w:rPr>
                <w:rFonts w:ascii="Times New Roman" w:hAnsi="Times New Roman" w:cs="Times New Roman"/>
                <w:szCs w:val="21"/>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3.4.1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投标保证金</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hint="eastAsia" w:ascii="Times New Roman" w:hAnsi="Times New Roman" w:cs="Times New Roman"/>
                <w:szCs w:val="21"/>
              </w:rPr>
              <w:t>是否要求</w:t>
            </w:r>
            <w:r>
              <w:rPr>
                <w:rFonts w:ascii="Times New Roman" w:hAnsi="Times New Roman" w:cs="Times New Roman"/>
                <w:szCs w:val="21"/>
              </w:rPr>
              <w:t>递交投标保证金</w:t>
            </w:r>
          </w:p>
          <w:p>
            <w:pPr>
              <w:autoSpaceDE w:val="0"/>
              <w:autoSpaceDN w:val="0"/>
              <w:adjustRightInd w:val="0"/>
              <w:snapToGrid w:val="0"/>
              <w:spacing w:line="440" w:lineRule="exact"/>
              <w:ind w:firstLine="308" w:firstLineChars="147"/>
              <w:jc w:val="left"/>
              <w:rPr>
                <w:rFonts w:ascii="Times New Roman" w:hAnsi="Times New Roman" w:cs="Times New Roman"/>
                <w:color w:val="FF0000"/>
                <w:szCs w:val="21"/>
              </w:rPr>
            </w:pPr>
            <w:permStart w:id="41"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rPr>
              <w:t xml:space="preserve">       需 要☑</w:t>
            </w:r>
          </w:p>
          <w:permEnd w:id="41"/>
          <w:p>
            <w:pPr>
              <w:wordWrap w:val="0"/>
              <w:spacing w:line="430" w:lineRule="exact"/>
              <w:rPr>
                <w:rFonts w:ascii="Times New Roman" w:hAnsi="Times New Roman" w:cs="Times New Roman"/>
                <w:szCs w:val="21"/>
              </w:rPr>
            </w:pPr>
            <w:r>
              <w:rPr>
                <w:rFonts w:ascii="Times New Roman" w:hAnsi="Times New Roman" w:cs="Times New Roman"/>
                <w:szCs w:val="21"/>
              </w:rPr>
              <w:t>投标保证金的形式：银行汇款或转账</w:t>
            </w:r>
          </w:p>
          <w:p>
            <w:pPr>
              <w:wordWrap w:val="0"/>
              <w:spacing w:line="430" w:lineRule="exact"/>
              <w:ind w:left="210" w:hanging="210" w:hangingChars="100"/>
              <w:rPr>
                <w:rFonts w:ascii="Times New Roman" w:hAnsi="Times New Roman" w:cs="Times New Roman"/>
                <w:szCs w:val="21"/>
              </w:rPr>
            </w:pPr>
            <w:r>
              <w:rPr>
                <w:rFonts w:ascii="Times New Roman" w:hAnsi="Times New Roman" w:cs="Times New Roman"/>
                <w:color w:val="FF0000"/>
                <w:szCs w:val="21"/>
              </w:rPr>
              <w:t>投标保证金的金额</w:t>
            </w:r>
            <w:r>
              <w:rPr>
                <w:rFonts w:ascii="Times New Roman" w:hAnsi="Times New Roman" w:cs="Times New Roman"/>
                <w:szCs w:val="21"/>
              </w:rPr>
              <w:t>：</w:t>
            </w:r>
            <w:r>
              <w:rPr>
                <w:rFonts w:hint="eastAsia" w:ascii="Times New Roman" w:hAnsi="Times New Roman" w:cs="Times New Roman"/>
                <w:szCs w:val="21"/>
              </w:rPr>
              <w:t>12000元</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收取投标保证金的账号信息：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开户名称：亳州交通投资控股集团有限公司</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开户银行：中国农业银行亳州分行营业部</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银行账号：12670801040009482</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其他要求：</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rPr>
              <w:t>“</w:t>
            </w:r>
            <w:permStart w:id="42" w:edGrp="everyone"/>
            <w:r>
              <w:rPr>
                <w:rFonts w:hint="eastAsia" w:ascii="Times New Roman" w:hAnsi="Times New Roman" w:cs="Times New Roman"/>
                <w:color w:val="FF0000"/>
                <w:szCs w:val="21"/>
              </w:rPr>
              <w:t>BZJK-2023-051号保证金</w:t>
            </w:r>
            <w:permEnd w:id="42"/>
            <w:r>
              <w:rPr>
                <w:rFonts w:hint="eastAsia" w:ascii="Times New Roman" w:hAnsi="Times New Roman" w:cs="Times New Roman"/>
                <w:szCs w:val="21"/>
              </w:rPr>
              <w:t>”</w:t>
            </w:r>
            <w:r>
              <w:rPr>
                <w:rFonts w:ascii="Times New Roman" w:hAnsi="Times New Roman" w:cs="Times New Roman"/>
                <w:szCs w:val="21"/>
              </w:rPr>
              <w:t>，否则</w:t>
            </w:r>
            <w:r>
              <w:rPr>
                <w:rFonts w:hint="eastAsia" w:ascii="Times New Roman" w:hAnsi="Times New Roman" w:cs="Times New Roman"/>
                <w:szCs w:val="21"/>
              </w:rPr>
              <w:t>，</w:t>
            </w:r>
            <w:r>
              <w:rPr>
                <w:rFonts w:ascii="Times New Roman" w:hAnsi="Times New Roman" w:cs="Times New Roman"/>
                <w:szCs w:val="21"/>
              </w:rPr>
              <w:t>责任自负。</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rPr>
                <w:rFonts w:ascii="Times New Roman" w:hAnsi="Times New Roman" w:cs="Times New Roman"/>
                <w:b/>
                <w:bCs/>
                <w:szCs w:val="21"/>
              </w:rPr>
            </w:pPr>
            <w:r>
              <w:rPr>
                <w:rFonts w:ascii="Times New Roman" w:hAnsi="Times New Roman" w:cs="Times New Roman"/>
                <w:b/>
                <w:bCs/>
                <w:szCs w:val="21"/>
              </w:rPr>
              <w:t>投标保证金</w:t>
            </w:r>
            <w:r>
              <w:rPr>
                <w:rFonts w:hint="eastAsia" w:ascii="Times New Roman" w:hAnsi="Times New Roman" w:cs="Times New Roman"/>
                <w:b/>
                <w:bCs/>
                <w:szCs w:val="21"/>
              </w:rPr>
              <w:t>的</w:t>
            </w:r>
            <w:r>
              <w:rPr>
                <w:rFonts w:ascii="Times New Roman" w:hAnsi="Times New Roman" w:cs="Times New Roman"/>
                <w:b/>
                <w:bCs/>
                <w:szCs w:val="21"/>
              </w:rPr>
              <w:t>退还（本金无息）：</w:t>
            </w:r>
          </w:p>
          <w:p>
            <w:pPr>
              <w:wordWrap w:val="0"/>
              <w:spacing w:line="430" w:lineRule="exact"/>
              <w:ind w:firstLine="420" w:firstLineChars="200"/>
              <w:rPr>
                <w:rFonts w:ascii="Times New Roman" w:hAnsi="Times New Roman" w:cs="Times New Roman"/>
                <w:szCs w:val="21"/>
              </w:rPr>
            </w:pPr>
            <w:r>
              <w:rPr>
                <w:rFonts w:ascii="Times New Roman" w:hAnsi="Times New Roman" w:cs="Times New Roman"/>
                <w:szCs w:val="21"/>
              </w:rPr>
              <w:t>（1）招标不成功（或开标现场拒收投标文件）的，5日内直接退还至该投标人汇出帐户。</w:t>
            </w:r>
          </w:p>
          <w:p>
            <w:pPr>
              <w:wordWrap w:val="0"/>
              <w:spacing w:line="400" w:lineRule="exact"/>
              <w:ind w:firstLine="420" w:firstLineChars="200"/>
              <w:rPr>
                <w:rFonts w:ascii="Times New Roman" w:hAnsi="Times New Roman" w:cs="Times New Roman"/>
                <w:szCs w:val="21"/>
                <w:u w:val="single"/>
              </w:rPr>
            </w:pPr>
            <w:r>
              <w:rPr>
                <w:rFonts w:ascii="Times New Roman" w:hAnsi="Times New Roman" w:cs="Times New Roman"/>
                <w:szCs w:val="21"/>
              </w:rPr>
              <w:t>（2）中标侯选人公示期满且确定中标人后，未中标人的投标保证金</w:t>
            </w:r>
            <w:r>
              <w:rPr>
                <w:rFonts w:hint="eastAsia" w:ascii="Times New Roman" w:hAnsi="Times New Roman" w:cs="Times New Roman"/>
                <w:szCs w:val="21"/>
              </w:rPr>
              <w:t>在</w:t>
            </w:r>
            <w:r>
              <w:rPr>
                <w:rFonts w:ascii="Times New Roman" w:hAnsi="Times New Roman" w:cs="Times New Roman"/>
                <w:szCs w:val="21"/>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3.4.4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增加：</w:t>
            </w:r>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投标人采用不正当手段（串通投标、弄虚作假、行贿等）骗取中标的；</w:t>
            </w:r>
          </w:p>
          <w:p>
            <w:pPr>
              <w:wordWrap w:val="0"/>
              <w:spacing w:line="400" w:lineRule="exact"/>
              <w:ind w:firstLine="420" w:firstLineChars="200"/>
              <w:rPr>
                <w:rFonts w:ascii="Times New Roman" w:hAnsi="Times New Roman" w:cs="Times New Roman"/>
                <w:szCs w:val="21"/>
              </w:rPr>
            </w:pPr>
            <w:r>
              <w:rPr>
                <w:rFonts w:hint="eastAsia" w:ascii="Times New Roman" w:hAnsi="Times New Roman" w:cs="Times New Roman"/>
                <w:szCs w:val="21"/>
              </w:rPr>
              <w:t>（5）</w:t>
            </w:r>
            <w:r>
              <w:rPr>
                <w:rFonts w:ascii="Times New Roman" w:hAnsi="Times New Roman" w:cs="Times New Roman"/>
                <w:szCs w:val="21"/>
              </w:rPr>
              <w:t>投标人经评标委员会认定为异常低价竞标或不以中标为目的的投标的；</w:t>
            </w:r>
          </w:p>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szCs w:val="21"/>
              </w:rPr>
              <w:t>（6）</w:t>
            </w:r>
            <w:r>
              <w:rPr>
                <w:rFonts w:ascii="Times New Roman" w:hAnsi="Times New Roman" w:cs="Times New Roman"/>
                <w:szCs w:val="21"/>
              </w:rPr>
              <w:t>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资格审查资料的特殊要求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color w:val="FF0000"/>
                <w:szCs w:val="21"/>
                <w:u w:val="single"/>
              </w:rPr>
            </w:pPr>
            <w:permStart w:id="43" w:edGrp="everyone"/>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无</w:t>
            </w:r>
          </w:p>
          <w:p>
            <w:pPr>
              <w:wordWrap w:val="0"/>
              <w:spacing w:line="400" w:lineRule="exact"/>
              <w:rPr>
                <w:rFonts w:asciiTheme="minorEastAsia" w:hAnsiTheme="minorEastAsia" w:cstheme="minorEastAsia"/>
                <w:i/>
                <w:iCs/>
                <w:color w:val="FF0000"/>
                <w:szCs w:val="21"/>
                <w:u w:val="single"/>
              </w:rPr>
            </w:pP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有，具体要求：</w:t>
            </w:r>
            <w:permEnd w:id="43"/>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近年财务状况的年份要求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color w:val="FF0000"/>
                <w:szCs w:val="21"/>
                <w:u w:val="single"/>
              </w:rPr>
            </w:pPr>
            <w:permStart w:id="44" w:edGrp="everyone"/>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无</w:t>
            </w:r>
          </w:p>
          <w:p>
            <w:pPr>
              <w:wordWrap w:val="0"/>
              <w:spacing w:line="400" w:lineRule="exact"/>
              <w:rPr>
                <w:rFonts w:ascii="Times New Roman" w:hAnsi="Times New Roman" w:cs="Times New Roman"/>
                <w:szCs w:val="21"/>
                <w:u w:val="single"/>
              </w:rPr>
            </w:pP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有，具体要求：</w:t>
            </w:r>
            <w:permEnd w:id="44"/>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3.5.3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3.6.1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是否允许递交备选投标方案</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color w:val="FF0000"/>
                <w:szCs w:val="21"/>
                <w:u w:val="single"/>
              </w:rPr>
            </w:pPr>
            <w:permStart w:id="45" w:edGrp="everyone"/>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不允许</w:t>
            </w:r>
          </w:p>
          <w:p>
            <w:pPr>
              <w:wordWrap w:val="0"/>
              <w:spacing w:line="400" w:lineRule="exact"/>
              <w:rPr>
                <w:rFonts w:ascii="Times New Roman" w:hAnsi="Times New Roman" w:cs="Times New Roman"/>
                <w:szCs w:val="21"/>
                <w:u w:val="single"/>
              </w:rPr>
            </w:pP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 xml:space="preserve">允许   </w:t>
            </w:r>
            <w:permEnd w:id="45"/>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投标文件签字或盖章要求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00" w:lineRule="exact"/>
              <w:rPr>
                <w:rFonts w:ascii="Times New Roman" w:hAnsi="Times New Roman" w:cs="Times New Roman"/>
                <w:szCs w:val="21"/>
              </w:rPr>
            </w:pPr>
            <w:r>
              <w:rPr>
                <w:rFonts w:ascii="Times New Roman" w:hAnsi="Times New Roman" w:cs="Times New Roman"/>
                <w:szCs w:val="21"/>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3.7.3A（2）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投标文件份数及其他要求</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投标文件份数：正本1份、副本4份</w:t>
            </w:r>
          </w:p>
          <w:p>
            <w:pPr>
              <w:wordWrap w:val="0"/>
              <w:spacing w:line="400" w:lineRule="exact"/>
              <w:rPr>
                <w:rFonts w:ascii="Times New Roman" w:hAnsi="Times New Roman" w:cs="Times New Roman"/>
                <w:color w:val="FF0000"/>
                <w:szCs w:val="21"/>
              </w:rPr>
            </w:pPr>
            <w:permStart w:id="46" w:edGrp="everyone"/>
            <w:r>
              <w:rPr>
                <w:rFonts w:hint="eastAsia" w:ascii="Times New Roman" w:hAnsi="Times New Roman" w:cs="Times New Roman"/>
                <w:color w:val="FF0000"/>
                <w:szCs w:val="21"/>
              </w:rPr>
              <w:t xml:space="preserve">是否要求述标：    </w:t>
            </w: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不要求   </w:t>
            </w: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要求</w:t>
            </w:r>
          </w:p>
          <w:p>
            <w:pPr>
              <w:wordWrap w:val="0"/>
              <w:spacing w:line="400" w:lineRule="exact"/>
              <w:rPr>
                <w:rFonts w:ascii="Times New Roman" w:hAnsi="Times New Roman" w:cs="Times New Roman"/>
                <w:szCs w:val="21"/>
              </w:rPr>
            </w:pPr>
            <w:r>
              <w:rPr>
                <w:rFonts w:hint="eastAsia" w:ascii="Times New Roman" w:hAnsi="Times New Roman" w:cs="Times New Roman"/>
                <w:color w:val="FF0000"/>
                <w:szCs w:val="21"/>
              </w:rPr>
              <w:t>是否要求提交电子版文件：</w:t>
            </w: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 xml:space="preserve">不要求   </w:t>
            </w:r>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 xml:space="preserve">要求 </w:t>
            </w:r>
            <w:permEnd w:id="46"/>
          </w:p>
          <w:p>
            <w:pPr>
              <w:wordWrap w:val="0"/>
              <w:spacing w:line="400" w:lineRule="exact"/>
              <w:rPr>
                <w:rFonts w:ascii="Times New Roman" w:hAnsi="Times New Roman" w:cs="Times New Roman"/>
                <w:szCs w:val="21"/>
              </w:rPr>
            </w:pPr>
            <w:r>
              <w:rPr>
                <w:rFonts w:hint="eastAsia" w:ascii="Times New Roman" w:hAnsi="Times New Roman" w:cs="Times New Roman"/>
                <w:szCs w:val="21"/>
              </w:rPr>
              <w:t>其他要求：</w:t>
            </w:r>
          </w:p>
          <w:p>
            <w:pPr>
              <w:wordWrap w:val="0"/>
              <w:spacing w:line="400" w:lineRule="exact"/>
              <w:rPr>
                <w:rFonts w:ascii="Times New Roman" w:hAnsi="Times New Roman" w:cs="Times New Roman"/>
                <w:szCs w:val="21"/>
              </w:rPr>
            </w:pPr>
            <w:r>
              <w:rPr>
                <w:rFonts w:hint="eastAsia" w:ascii="Times New Roman" w:hAnsi="Times New Roman" w:cs="Times New Roman"/>
                <w:szCs w:val="21"/>
              </w:rPr>
              <w:t>（1）所有正本与副本封装在一个密封袋中，且在投标文件封面标明“正本”或“副本”的字样；</w:t>
            </w:r>
          </w:p>
          <w:p>
            <w:pPr>
              <w:wordWrap w:val="0"/>
              <w:spacing w:line="400" w:lineRule="exact"/>
              <w:rPr>
                <w:rFonts w:ascii="Times New Roman" w:hAnsi="Times New Roman" w:cs="Times New Roman"/>
                <w:szCs w:val="21"/>
              </w:rPr>
            </w:pPr>
            <w:r>
              <w:rPr>
                <w:rFonts w:hint="eastAsia" w:ascii="Times New Roman" w:hAnsi="Times New Roman" w:cs="Times New Roman"/>
                <w:szCs w:val="21"/>
              </w:rPr>
              <w:t>（2）投标文件应按要求密封，密封袋封口加盖投标单位印章；</w:t>
            </w:r>
          </w:p>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3.7.3A（3）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投标文件是否需分册装订</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heme="minorEastAsia" w:hAnsiTheme="minorEastAsia" w:cstheme="minorEastAsia"/>
                <w:i/>
                <w:iCs/>
                <w:color w:val="FF0000"/>
                <w:szCs w:val="21"/>
                <w:u w:val="single"/>
              </w:rPr>
            </w:pPr>
            <w:permStart w:id="47" w:edGrp="everyone"/>
            <w:r>
              <w:rPr>
                <w:rFonts w:ascii="Times New Roman" w:hAnsi="Times New Roman" w:eastAsia="仿宋_GB2312" w:cs="Times New Roman"/>
                <w:color w:val="FF0000"/>
                <w:sz w:val="24"/>
              </w:rPr>
              <w:sym w:font="Wingdings" w:char="00A8"/>
            </w:r>
            <w:r>
              <w:rPr>
                <w:rFonts w:hint="eastAsia" w:asciiTheme="minorEastAsia" w:hAnsiTheme="minorEastAsia" w:cstheme="minorEastAsia"/>
                <w:color w:val="FF0000"/>
                <w:szCs w:val="21"/>
              </w:rPr>
              <w:t>不需要</w:t>
            </w:r>
          </w:p>
          <w:p>
            <w:pPr>
              <w:wordWrap w:val="0"/>
              <w:spacing w:line="400" w:lineRule="exact"/>
              <w:rPr>
                <w:rFonts w:ascii="Times New Roman" w:hAnsi="Times New Roman" w:cs="Times New Roman"/>
                <w:szCs w:val="21"/>
                <w:u w:val="single"/>
              </w:rPr>
            </w:pPr>
            <w:r>
              <w:rPr>
                <w:rFonts w:ascii="Times New Roman" w:hAnsi="Times New Roman" w:eastAsia="仿宋_GB2312" w:cs="Times New Roman"/>
                <w:color w:val="FF0000"/>
                <w:sz w:val="24"/>
              </w:rPr>
              <w:sym w:font="Wingdings" w:char="00FE"/>
            </w:r>
            <w:r>
              <w:rPr>
                <w:rFonts w:hint="eastAsia" w:asciiTheme="minorEastAsia" w:hAnsiTheme="minorEastAsia" w:cstheme="minorEastAsia"/>
                <w:color w:val="FF0000"/>
                <w:szCs w:val="21"/>
              </w:rPr>
              <w:t>需要，分册装订要求：</w:t>
            </w:r>
            <w:permEnd w:id="47"/>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封套上应载明的信息</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color w:val="FF0000"/>
                <w:szCs w:val="21"/>
              </w:rPr>
            </w:pPr>
            <w:permStart w:id="48"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rPr>
              <w:t>亳州新能源发展有限公司亳州中心汽车站菜市场430kW分布式光伏发电项目光伏材料采购</w:t>
            </w:r>
            <w:r>
              <w:rPr>
                <w:rFonts w:hint="eastAsia" w:ascii="Times New Roman" w:hAnsi="Times New Roman" w:cs="Times New Roman"/>
                <w:color w:val="FF0000"/>
                <w:szCs w:val="21"/>
              </w:rPr>
              <w:t>投标文件</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项目编号：BZJK-2023-</w:t>
            </w:r>
            <w:r>
              <w:rPr>
                <w:rFonts w:hint="eastAsia" w:ascii="Times New Roman" w:hAnsi="Times New Roman" w:cs="Times New Roman"/>
                <w:color w:val="FF0000"/>
                <w:szCs w:val="21"/>
                <w:u w:val="single"/>
              </w:rPr>
              <w:t>051</w:t>
            </w:r>
            <w:r>
              <w:rPr>
                <w:rFonts w:hint="eastAsia" w:ascii="Times New Roman" w:hAnsi="Times New Roman" w:cs="Times New Roman"/>
                <w:color w:val="FF0000"/>
                <w:szCs w:val="21"/>
              </w:rPr>
              <w:t>号</w:t>
            </w:r>
          </w:p>
          <w:p>
            <w:pPr>
              <w:wordWrap w:val="0"/>
              <w:spacing w:line="400" w:lineRule="exact"/>
              <w:ind w:firstLine="420" w:firstLineChars="200"/>
              <w:rPr>
                <w:rFonts w:ascii="Times New Roman" w:hAnsi="Times New Roman" w:cs="Times New Roman"/>
                <w:szCs w:val="21"/>
                <w:u w:val="single"/>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rPr>
              <w:t xml:space="preserve">   年 </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u w:val="single"/>
              </w:rPr>
              <w:t xml:space="preserve"> 月 </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u w:val="single"/>
              </w:rPr>
              <w:t xml:space="preserve">日 </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u w:val="single"/>
              </w:rPr>
              <w:t xml:space="preserve">时 </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分前不得开启</w:t>
            </w:r>
            <w:permEnd w:id="48"/>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投标截止时间</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4.2.2（A）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递交投标文件地点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4.2.3</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投标文件是否退还</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5.1（A）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开标时间和地点</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hint="eastAsia" w:ascii="Times New Roman" w:hAnsi="Times New Roman" w:cs="Times New Roman"/>
                <w:szCs w:val="21"/>
              </w:rPr>
              <w:t>开标时间：同投标截止时间</w:t>
            </w:r>
          </w:p>
          <w:p>
            <w:pPr>
              <w:wordWrap w:val="0"/>
              <w:spacing w:line="400" w:lineRule="exact"/>
              <w:rPr>
                <w:rFonts w:ascii="Times New Roman" w:hAnsi="Times New Roman" w:cs="Times New Roman"/>
                <w:szCs w:val="21"/>
              </w:rPr>
            </w:pPr>
            <w:r>
              <w:rPr>
                <w:rFonts w:hint="eastAsia" w:ascii="Times New Roman" w:hAnsi="Times New Roman" w:cs="Times New Roman"/>
                <w:szCs w:val="21"/>
              </w:rPr>
              <w:t>开标地点：同递交投标文件地点</w:t>
            </w:r>
          </w:p>
          <w:p>
            <w:pPr>
              <w:wordWrap w:val="0"/>
              <w:spacing w:line="400" w:lineRule="exact"/>
              <w:ind w:firstLine="422" w:firstLineChars="200"/>
              <w:rPr>
                <w:rFonts w:ascii="Times New Roman" w:hAnsi="Times New Roman" w:cs="Times New Roman"/>
                <w:szCs w:val="21"/>
              </w:rPr>
            </w:pPr>
            <w:r>
              <w:rPr>
                <w:rFonts w:ascii="Times New Roman" w:hAnsi="Times New Roman" w:cs="Times New Roman"/>
                <w:b/>
                <w:bCs/>
                <w:szCs w:val="21"/>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5.2（4）（A）</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开标程序</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密封情况检查：</w:t>
            </w:r>
            <w:r>
              <w:rPr>
                <w:rFonts w:hint="eastAsia" w:ascii="Times New Roman" w:hAnsi="Times New Roman" w:cs="Times New Roman"/>
                <w:szCs w:val="21"/>
              </w:rPr>
              <w:t>由投标人代表、招标平台工作人员、监标人共同检查确认。</w:t>
            </w:r>
          </w:p>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开标顺序：</w:t>
            </w:r>
            <w:r>
              <w:rPr>
                <w:rFonts w:ascii="Times New Roman" w:hAnsi="Times New Roman" w:cs="Times New Roman"/>
                <w:szCs w:val="21"/>
              </w:rPr>
              <w:t>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6.1.1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评标委员会的组建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ascii="Times New Roman" w:hAnsi="Times New Roman" w:cs="Times New Roman"/>
                <w:szCs w:val="21"/>
              </w:rPr>
              <w:t>评标委员会组建：按有关规定组建。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6.3.2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u w:val="single"/>
              </w:rPr>
            </w:pPr>
            <w:r>
              <w:rPr>
                <w:rFonts w:hint="eastAsia" w:ascii="Times New Roman" w:hAnsi="Times New Roman" w:cs="Times New Roman"/>
                <w:szCs w:val="21"/>
              </w:rPr>
              <w:t>1-3人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中标候选人公示媒介及期限</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rPr>
            </w:pPr>
            <w:r>
              <w:rPr>
                <w:rFonts w:ascii="Times New Roman" w:hAnsi="Times New Roman" w:cs="Times New Roman"/>
                <w:szCs w:val="21"/>
              </w:rPr>
              <w:t>公示媒介：</w:t>
            </w:r>
            <w:r>
              <w:rPr>
                <w:rFonts w:hint="eastAsia" w:ascii="Times New Roman" w:hAnsi="Times New Roman" w:cs="Times New Roman"/>
                <w:szCs w:val="21"/>
              </w:rPr>
              <w:t>亳州交通投资控股集团有限公司官网（www.bzjkjt.com）、安徽省招标投标信息网（www.ahtba.org.cn）等网站上发布。</w:t>
            </w:r>
          </w:p>
          <w:p>
            <w:pPr>
              <w:wordWrap w:val="0"/>
              <w:spacing w:line="400" w:lineRule="exact"/>
              <w:rPr>
                <w:rFonts w:ascii="Times New Roman" w:hAnsi="Times New Roman" w:cs="Times New Roman"/>
                <w:szCs w:val="21"/>
                <w:u w:val="single"/>
              </w:rPr>
            </w:pPr>
            <w:r>
              <w:rPr>
                <w:rFonts w:ascii="Times New Roman" w:hAnsi="Times New Roman" w:cs="Times New Roman"/>
                <w:szCs w:val="21"/>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7.4</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hint="eastAsia"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7.6.1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履约保证金</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color w:val="FF0000"/>
                <w:szCs w:val="21"/>
              </w:rPr>
            </w:pPr>
            <w:r>
              <w:rPr>
                <w:rFonts w:hint="eastAsia" w:ascii="Times New Roman" w:hAnsi="Times New Roman" w:cs="Times New Roman"/>
                <w:color w:val="FF0000"/>
                <w:szCs w:val="21"/>
              </w:rPr>
              <w:t>是否要求中标人提交履约保证金：</w:t>
            </w:r>
          </w:p>
          <w:p>
            <w:pPr>
              <w:wordWrap w:val="0"/>
              <w:spacing w:line="400" w:lineRule="exact"/>
              <w:rPr>
                <w:rFonts w:ascii="Times New Roman" w:hAnsi="Times New Roman" w:cs="Times New Roman"/>
                <w:color w:val="FF0000"/>
                <w:szCs w:val="21"/>
              </w:rPr>
            </w:pPr>
            <w:permStart w:id="49" w:edGrp="everyone"/>
            <w:r>
              <w:rPr>
                <w:rFonts w:ascii="Times New Roman" w:hAnsi="Times New Roman" w:eastAsia="仿宋_GB2312" w:cs="Times New Roman"/>
                <w:color w:val="FF0000"/>
                <w:sz w:val="24"/>
              </w:rPr>
              <w:sym w:font="Wingdings" w:char="00A8"/>
            </w:r>
            <w:r>
              <w:rPr>
                <w:rFonts w:hint="eastAsia" w:ascii="Times New Roman" w:hAnsi="Times New Roman" w:eastAsia="仿宋_GB2312" w:cs="Times New Roman"/>
                <w:color w:val="FF0000"/>
                <w:sz w:val="24"/>
              </w:rPr>
              <w:t>不</w:t>
            </w:r>
            <w:r>
              <w:rPr>
                <w:rFonts w:hint="eastAsia" w:ascii="Times New Roman" w:hAnsi="Times New Roman" w:cs="Times New Roman"/>
                <w:color w:val="FF0000"/>
                <w:szCs w:val="21"/>
              </w:rPr>
              <w:t>要求</w:t>
            </w:r>
          </w:p>
          <w:p>
            <w:pPr>
              <w:wordWrap w:val="0"/>
              <w:spacing w:line="400" w:lineRule="exact"/>
              <w:rPr>
                <w:rFonts w:ascii="Times New Roman" w:hAnsi="Times New Roman" w:cs="Times New Roman"/>
                <w:color w:val="FF0000"/>
                <w:szCs w:val="21"/>
              </w:rPr>
            </w:pPr>
            <w:r>
              <w:rPr>
                <w:rFonts w:ascii="Times New Roman" w:hAnsi="Times New Roman" w:eastAsia="仿宋_GB2312" w:cs="Times New Roman"/>
                <w:color w:val="FF0000"/>
                <w:sz w:val="24"/>
              </w:rPr>
              <w:sym w:font="Wingdings" w:char="00FE"/>
            </w:r>
            <w:r>
              <w:rPr>
                <w:rFonts w:hint="eastAsia" w:ascii="Times New Roman" w:hAnsi="Times New Roman" w:cs="Times New Roman"/>
                <w:color w:val="FF0000"/>
                <w:szCs w:val="21"/>
              </w:rPr>
              <w:t xml:space="preserve">要求  </w:t>
            </w:r>
          </w:p>
          <w:permEnd w:id="49"/>
          <w:p>
            <w:pPr>
              <w:wordWrap w:val="0"/>
              <w:spacing w:line="430" w:lineRule="exact"/>
              <w:rPr>
                <w:rFonts w:ascii="Times New Roman" w:hAnsi="Times New Roman" w:cs="Times New Roman"/>
                <w:szCs w:val="21"/>
              </w:rPr>
            </w:pPr>
            <w:r>
              <w:rPr>
                <w:rFonts w:ascii="Times New Roman" w:hAnsi="Times New Roman" w:cs="Times New Roman"/>
                <w:szCs w:val="21"/>
              </w:rPr>
              <w:t>履约担保的形式：</w:t>
            </w:r>
            <w:permStart w:id="50" w:edGrp="everyone"/>
            <w:r>
              <w:rPr>
                <w:rFonts w:ascii="Times New Roman" w:hAnsi="Times New Roman" w:cs="Times New Roman"/>
                <w:color w:val="FF0000"/>
                <w:szCs w:val="21"/>
              </w:rPr>
              <w:t>中标后，投标保证金自动转为履约保证金，履约保证金不足部分由中标人在收到中标通知书</w:t>
            </w:r>
            <w:r>
              <w:rPr>
                <w:rFonts w:hint="eastAsia" w:ascii="Times New Roman" w:hAnsi="Times New Roman" w:cs="Times New Roman"/>
                <w:color w:val="FF0000"/>
                <w:szCs w:val="21"/>
              </w:rPr>
              <w:t>后</w:t>
            </w:r>
            <w:r>
              <w:rPr>
                <w:rFonts w:ascii="Times New Roman" w:hAnsi="Times New Roman" w:cs="Times New Roman"/>
                <w:color w:val="FF0000"/>
                <w:szCs w:val="21"/>
              </w:rPr>
              <w:t>1</w:t>
            </w:r>
            <w:r>
              <w:rPr>
                <w:rFonts w:hint="eastAsia" w:ascii="Times New Roman" w:hAnsi="Times New Roman" w:cs="Times New Roman"/>
                <w:color w:val="FF0000"/>
                <w:szCs w:val="21"/>
              </w:rPr>
              <w:t>0</w:t>
            </w:r>
            <w:r>
              <w:rPr>
                <w:rFonts w:ascii="Times New Roman" w:hAnsi="Times New Roman" w:cs="Times New Roman"/>
                <w:color w:val="FF0000"/>
                <w:szCs w:val="21"/>
              </w:rPr>
              <w:t>日内从其基本账户开户行银行汇款。</w:t>
            </w:r>
            <w:permEnd w:id="50"/>
          </w:p>
          <w:p>
            <w:pPr>
              <w:wordWrap w:val="0"/>
              <w:spacing w:line="430" w:lineRule="exact"/>
              <w:rPr>
                <w:rFonts w:ascii="Times New Roman" w:hAnsi="Times New Roman" w:cs="Times New Roman"/>
                <w:color w:val="FF0000"/>
                <w:szCs w:val="21"/>
              </w:rPr>
            </w:pPr>
            <w:r>
              <w:rPr>
                <w:rFonts w:ascii="Times New Roman" w:hAnsi="Times New Roman" w:cs="Times New Roman"/>
                <w:szCs w:val="21"/>
              </w:rPr>
              <w:t>履约担保的金额：</w:t>
            </w:r>
            <w:r>
              <w:rPr>
                <w:rFonts w:hint="eastAsia" w:ascii="Times New Roman" w:hAnsi="Times New Roman" w:cs="Times New Roman"/>
                <w:color w:val="FF0000"/>
                <w:szCs w:val="21"/>
              </w:rPr>
              <w:t>同投标保证金</w:t>
            </w:r>
          </w:p>
          <w:p>
            <w:pPr>
              <w:wordWrap w:val="0"/>
              <w:spacing w:line="400" w:lineRule="exact"/>
              <w:rPr>
                <w:rFonts w:ascii="Times New Roman" w:hAnsi="Times New Roman" w:cs="Times New Roman"/>
                <w:szCs w:val="21"/>
              </w:rPr>
            </w:pPr>
            <w:r>
              <w:rPr>
                <w:rFonts w:ascii="Times New Roman" w:hAnsi="Times New Roman" w:cs="Times New Roman"/>
                <w:szCs w:val="21"/>
              </w:rPr>
              <w:t>履约保证金的退还：</w:t>
            </w:r>
            <w:permStart w:id="51" w:edGrp="everyone"/>
            <w:r>
              <w:rPr>
                <w:rFonts w:ascii="Times New Roman" w:hAnsi="Times New Roman" w:cs="Times New Roman"/>
                <w:szCs w:val="21"/>
              </w:rPr>
              <w:t>无违约行为发生或违约行为已处理的情况下</w:t>
            </w:r>
            <w:r>
              <w:rPr>
                <w:rFonts w:hint="eastAsia" w:ascii="Times New Roman" w:hAnsi="Times New Roman" w:cs="Times New Roman"/>
                <w:szCs w:val="21"/>
              </w:rPr>
              <w:t>，</w:t>
            </w:r>
            <w:r>
              <w:rPr>
                <w:rFonts w:hint="eastAsia" w:ascii="Times New Roman" w:hAnsi="Times New Roman" w:cs="Times New Roman"/>
                <w:color w:val="FF0000"/>
                <w:szCs w:val="21"/>
              </w:rPr>
              <w:t>设备或材料</w:t>
            </w:r>
            <w:r>
              <w:rPr>
                <w:rFonts w:hint="eastAsia" w:ascii="Times New Roman" w:hAnsi="Times New Roman" w:cs="Times New Roman"/>
                <w:szCs w:val="21"/>
              </w:rPr>
              <w:t>验收合格后返还全部履约保证金（本金无息）</w:t>
            </w:r>
            <w:r>
              <w:rPr>
                <w:rFonts w:ascii="Times New Roman" w:hAnsi="Times New Roman" w:cs="Times New Roman"/>
                <w:szCs w:val="21"/>
              </w:rPr>
              <w:t>。</w:t>
            </w:r>
            <w:permEnd w:id="51"/>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9</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是否采用电子招标投标</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eastAsia="仿宋_GB2312" w:cs="Times New Roman"/>
                <w:sz w:val="24"/>
              </w:rPr>
              <w:sym w:font="Wingdings" w:char="00FE"/>
            </w:r>
            <w:r>
              <w:rPr>
                <w:rFonts w:ascii="Times New Roman" w:hAnsi="Times New Roman" w:cs="Times New Roman"/>
                <w:szCs w:val="21"/>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10</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b/>
                <w:bCs/>
                <w:szCs w:val="21"/>
              </w:rPr>
              <w:t>需要补充的其他内容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10.1</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hint="eastAsia" w:ascii="Times New Roman" w:hAnsi="Times New Roman" w:cs="Times New Roman"/>
                <w:szCs w:val="21"/>
              </w:rPr>
              <w:t>解释权</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szCs w:val="21"/>
              </w:rPr>
            </w:pPr>
            <w:r>
              <w:rPr>
                <w:rFonts w:ascii="Times New Roman" w:hAnsi="Times New Roman" w:cs="Times New Roman"/>
                <w:szCs w:val="21"/>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增11.2</w:t>
            </w:r>
          </w:p>
        </w:tc>
        <w:tc>
          <w:tcPr>
            <w:tcW w:w="2481"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szCs w:val="21"/>
              </w:rPr>
            </w:pPr>
            <w:r>
              <w:rPr>
                <w:rFonts w:hint="eastAsia" w:ascii="Times New Roman" w:hAnsi="Times New Roman" w:cs="Times New Roman"/>
                <w:szCs w:val="21"/>
              </w:rPr>
              <w:t>不良行为记录</w:t>
            </w:r>
          </w:p>
        </w:tc>
        <w:tc>
          <w:tcPr>
            <w:tcW w:w="5033"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为加强供应商信用信息管理，投标人存在以下情形的，招标人将对其采取限制投标措施，在2年内禁止其参与亳州交控集团采购项目，并在亳州交通投资控股集团有限公司官网（www.bzjkjt.com）进行公示。</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常见的供应商不良行为有：</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（一）无正当理由放弃中标、成交、入围的；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（二）在法定或约定期限内拒绝签订采购合同的；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（三）非不可抗力原因不能履行采购合同的；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（四）不按照招标文件、谈判文件、询价通知书要求提供履约担保的；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（五）违法转包、分包的；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（六）克扣、无故拖欠农民工工资报酬的；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（七）提供虚假材料谋取中标、成交、入围的；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（八）采取不正当手段诋毁、排挤其他供应商的；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（九）与其他采购参加人恶意串通的；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（十）向集团工作人员及其他采购参加人行贿或者提供其他不正当利益的；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（十一）在签订采购合同时提出附加条件的；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（十二）进行虚假、恶意投诉的；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（十三）在有关部门、子公司实施争议处理、监督检查、审计监督过程中拒绝配合、提供虚假情况或隐瞒真实情况的；</w:t>
            </w:r>
          </w:p>
          <w:p>
            <w:pPr>
              <w:wordWrap w:val="0"/>
              <w:spacing w:line="440" w:lineRule="exact"/>
              <w:ind w:firstLine="420" w:firstLineChars="200"/>
              <w:rPr>
                <w:rFonts w:ascii="Times New Roman" w:hAnsi="Times New Roman" w:cs="Times New Roman"/>
                <w:szCs w:val="21"/>
              </w:rPr>
            </w:pPr>
            <w:r>
              <w:rPr>
                <w:rFonts w:ascii="Times New Roman" w:hAnsi="Times New Roman" w:cs="Times New Roman"/>
                <w:szCs w:val="21"/>
              </w:rPr>
              <w:t>（十四）其他不良行为。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w:t>
            </w:r>
          </w:p>
        </w:tc>
        <w:tc>
          <w:tcPr>
            <w:tcW w:w="7514" w:type="dxa"/>
            <w:gridSpan w:val="2"/>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szCs w:val="21"/>
              </w:rPr>
            </w:pPr>
            <w:r>
              <w:rPr>
                <w:rFonts w:ascii="Times New Roman" w:hAnsi="Times New Roman" w:cs="Times New Roman"/>
                <w:szCs w:val="21"/>
              </w:rPr>
              <w:t>……</w:t>
            </w:r>
          </w:p>
        </w:tc>
      </w:tr>
    </w:tbl>
    <w:p>
      <w:pPr>
        <w:spacing w:line="480" w:lineRule="exact"/>
        <w:rPr>
          <w:rFonts w:ascii="黑体" w:hAnsi="黑体" w:eastAsia="黑体" w:cs="黑体"/>
          <w:color w:val="000000"/>
        </w:rPr>
      </w:pPr>
      <w:r>
        <w:rPr>
          <w:rFonts w:hint="eastAsia" w:ascii="黑体" w:hAnsi="黑体" w:eastAsia="黑体" w:cs="黑体"/>
          <w:color w:val="000000"/>
        </w:rPr>
        <w:t>说明：</w:t>
      </w:r>
    </w:p>
    <w:p>
      <w:pPr>
        <w:spacing w:line="480" w:lineRule="exact"/>
        <w:rPr>
          <w:rFonts w:ascii="黑体" w:hAnsi="黑体" w:eastAsia="黑体" w:cs="黑体"/>
          <w:color w:val="000000"/>
        </w:rPr>
      </w:pPr>
    </w:p>
    <w:p>
      <w:pPr>
        <w:pStyle w:val="4"/>
        <w:spacing w:line="240" w:lineRule="auto"/>
      </w:pPr>
      <w:r>
        <w:rPr>
          <w:rFonts w:hint="eastAsia"/>
        </w:rPr>
        <w:t>1. 总则</w:t>
      </w:r>
    </w:p>
    <w:p>
      <w:pPr>
        <w:pStyle w:val="5"/>
        <w:spacing w:line="240" w:lineRule="auto"/>
      </w:pPr>
      <w:bookmarkStart w:id="16" w:name="_Toc152042306"/>
      <w:bookmarkStart w:id="17" w:name="_Toc152045530"/>
      <w:bookmarkStart w:id="18" w:name="_Toc246996919"/>
      <w:bookmarkStart w:id="19" w:name="_Toc179632547"/>
      <w:bookmarkStart w:id="20" w:name="_Toc246996176"/>
      <w:bookmarkStart w:id="21" w:name="_Toc296602421"/>
      <w:bookmarkStart w:id="22" w:name="_Toc144974498"/>
      <w:bookmarkStart w:id="23" w:name="_Toc247085690"/>
      <w:r>
        <w:rPr>
          <w:rFonts w:hint="eastAsia"/>
        </w:rPr>
        <w:t>1.1 招标项目概况</w:t>
      </w:r>
      <w:bookmarkEnd w:id="16"/>
      <w:bookmarkEnd w:id="17"/>
      <w:bookmarkEnd w:id="18"/>
      <w:bookmarkEnd w:id="19"/>
      <w:bookmarkEnd w:id="20"/>
      <w:bookmarkEnd w:id="21"/>
      <w:bookmarkEnd w:id="22"/>
      <w:bookmarkEnd w:id="23"/>
    </w:p>
    <w:p>
      <w:pPr>
        <w:ind w:firstLine="420" w:firstLineChars="200"/>
      </w:pPr>
      <w:r>
        <w:rPr>
          <w:rFonts w:hint="eastAsia"/>
        </w:rPr>
        <w:t>1.1.1根据《中华人民共和国招标投标法》等有关法律、法规和规章的规定，本招标项目已具备招标条件，现对材料进行招标。</w:t>
      </w:r>
    </w:p>
    <w:p>
      <w:pPr>
        <w:ind w:firstLine="420" w:firstLineChars="200"/>
      </w:pPr>
      <w:r>
        <w:rPr>
          <w:rFonts w:hint="eastAsia"/>
        </w:rPr>
        <w:t>1.1.2 招标人：见投标人须知前附表。</w:t>
      </w:r>
    </w:p>
    <w:p>
      <w:pPr>
        <w:ind w:firstLine="420" w:firstLineChars="200"/>
      </w:pPr>
      <w:r>
        <w:rPr>
          <w:rFonts w:hint="eastAsia"/>
        </w:rPr>
        <w:t>1.1.3 招标平台：见投标人须知前附表。</w:t>
      </w:r>
    </w:p>
    <w:p>
      <w:pPr>
        <w:ind w:firstLine="420" w:firstLineChars="200"/>
      </w:pPr>
      <w:r>
        <w:rPr>
          <w:rFonts w:hint="eastAsia"/>
        </w:rPr>
        <w:t>1.1.4 招标项目名称：见投标人须知前附表。</w:t>
      </w:r>
    </w:p>
    <w:p>
      <w:pPr>
        <w:ind w:firstLine="420" w:firstLineChars="200"/>
      </w:pPr>
      <w:r>
        <w:rPr>
          <w:rFonts w:hint="eastAsia"/>
        </w:rPr>
        <w:t>1.1.5 工程项目名称：即招标项目所属的工程建设项目，见投标人须知前附表。</w:t>
      </w:r>
    </w:p>
    <w:p>
      <w:pPr>
        <w:pStyle w:val="5"/>
        <w:spacing w:line="240" w:lineRule="auto"/>
      </w:pPr>
      <w:bookmarkStart w:id="24" w:name="_Toc152045531"/>
      <w:bookmarkStart w:id="25" w:name="_Toc152042307"/>
      <w:bookmarkStart w:id="26" w:name="_Toc144974499"/>
      <w:bookmarkStart w:id="27" w:name="_Toc296602422"/>
      <w:bookmarkStart w:id="28" w:name="_Toc179632548"/>
      <w:bookmarkStart w:id="29" w:name="_Toc246996920"/>
      <w:bookmarkStart w:id="30" w:name="_Toc246996177"/>
      <w:bookmarkStart w:id="31" w:name="_Toc247085691"/>
      <w:r>
        <w:rPr>
          <w:rFonts w:hint="eastAsia"/>
        </w:rPr>
        <w:t>1.2 招标项目的资金来源和落实情况</w:t>
      </w:r>
      <w:bookmarkEnd w:id="24"/>
      <w:bookmarkEnd w:id="25"/>
      <w:bookmarkEnd w:id="26"/>
      <w:bookmarkEnd w:id="27"/>
      <w:bookmarkEnd w:id="28"/>
      <w:bookmarkEnd w:id="29"/>
      <w:bookmarkEnd w:id="30"/>
      <w:bookmarkEnd w:id="31"/>
    </w:p>
    <w:p>
      <w:pPr>
        <w:ind w:firstLine="420" w:firstLineChars="200"/>
      </w:pPr>
      <w:r>
        <w:rPr>
          <w:rFonts w:hint="eastAsia"/>
        </w:rPr>
        <w:t>1.2.1 资金来源及出资比例：见投标人须知前附表。</w:t>
      </w:r>
    </w:p>
    <w:p>
      <w:pPr>
        <w:ind w:firstLine="420" w:firstLineChars="200"/>
      </w:pPr>
      <w:r>
        <w:rPr>
          <w:rFonts w:hint="eastAsia"/>
        </w:rPr>
        <w:t>1.2.2 资金落实情况：见投标人须知前附表。</w:t>
      </w:r>
    </w:p>
    <w:p>
      <w:pPr>
        <w:pStyle w:val="5"/>
        <w:spacing w:line="240" w:lineRule="auto"/>
      </w:pPr>
      <w:bookmarkStart w:id="32" w:name="_Toc246996178"/>
      <w:bookmarkStart w:id="33" w:name="_Toc246996921"/>
      <w:bookmarkStart w:id="34" w:name="_Toc179632549"/>
      <w:bookmarkStart w:id="35" w:name="_Toc296602423"/>
      <w:bookmarkStart w:id="36" w:name="_Toc144974500"/>
      <w:bookmarkStart w:id="37" w:name="_Toc152042308"/>
      <w:bookmarkStart w:id="38" w:name="_Toc247085692"/>
      <w:bookmarkStart w:id="39" w:name="_Toc152045532"/>
      <w:r>
        <w:rPr>
          <w:rFonts w:hint="eastAsia"/>
        </w:rPr>
        <w:t>1.3 招标范围、计划工期、质量要求</w:t>
      </w:r>
      <w:bookmarkEnd w:id="32"/>
      <w:bookmarkEnd w:id="33"/>
      <w:bookmarkEnd w:id="34"/>
      <w:bookmarkEnd w:id="35"/>
      <w:bookmarkEnd w:id="36"/>
      <w:bookmarkEnd w:id="37"/>
      <w:bookmarkEnd w:id="38"/>
      <w:bookmarkEnd w:id="39"/>
    </w:p>
    <w:p>
      <w:pPr>
        <w:ind w:firstLine="420" w:firstLineChars="200"/>
      </w:pPr>
      <w:r>
        <w:rPr>
          <w:rFonts w:hint="eastAsia"/>
        </w:rPr>
        <w:t>1.3.1  招标范围：见投标人须知前附表。</w:t>
      </w:r>
    </w:p>
    <w:p>
      <w:pPr>
        <w:ind w:firstLine="420" w:firstLineChars="200"/>
      </w:pPr>
      <w:r>
        <w:rPr>
          <w:rFonts w:hint="eastAsia"/>
        </w:rPr>
        <w:t>1.3.2  交货期：见投标人须知前附表。</w:t>
      </w:r>
    </w:p>
    <w:p>
      <w:pPr>
        <w:ind w:firstLine="420" w:firstLineChars="200"/>
      </w:pPr>
      <w:r>
        <w:rPr>
          <w:rFonts w:hint="eastAsia"/>
        </w:rPr>
        <w:t>1.3.3  交货地点：见投标人须知前附表。</w:t>
      </w:r>
    </w:p>
    <w:p>
      <w:pPr>
        <w:ind w:firstLine="420" w:firstLineChars="200"/>
      </w:pPr>
      <w:r>
        <w:rPr>
          <w:rFonts w:hint="eastAsia"/>
        </w:rPr>
        <w:t>1.3.4  质量标准：见投标人须知前附表。</w:t>
      </w:r>
    </w:p>
    <w:p>
      <w:pPr>
        <w:pStyle w:val="5"/>
        <w:spacing w:line="240" w:lineRule="auto"/>
      </w:pPr>
      <w:bookmarkStart w:id="40" w:name="_Toc152045534"/>
      <w:bookmarkStart w:id="41" w:name="_Toc144974502"/>
      <w:bookmarkStart w:id="42" w:name="_Toc296602424"/>
      <w:bookmarkStart w:id="43" w:name="_Toc152042310"/>
      <w:bookmarkStart w:id="44" w:name="_Toc246996922"/>
      <w:bookmarkStart w:id="45" w:name="_Toc247085693"/>
      <w:bookmarkStart w:id="46" w:name="_Toc179632551"/>
      <w:bookmarkStart w:id="47" w:name="_Toc246996179"/>
      <w:r>
        <w:rPr>
          <w:rFonts w:hint="eastAsia"/>
        </w:rPr>
        <w:t>1.4 投标人资格要求</w:t>
      </w:r>
      <w:bookmarkEnd w:id="40"/>
      <w:bookmarkEnd w:id="41"/>
      <w:bookmarkEnd w:id="42"/>
      <w:bookmarkEnd w:id="43"/>
      <w:bookmarkEnd w:id="44"/>
      <w:bookmarkEnd w:id="45"/>
      <w:bookmarkEnd w:id="46"/>
      <w:bookmarkEnd w:id="47"/>
    </w:p>
    <w:p>
      <w:pPr>
        <w:ind w:firstLine="420" w:firstLineChars="200"/>
      </w:pPr>
      <w:r>
        <w:rPr>
          <w:rFonts w:hint="eastAsia"/>
        </w:rPr>
        <w:t>1.4. 1  投标人应具备承担本招标项目资质条件、能力和信誉：</w:t>
      </w:r>
    </w:p>
    <w:p>
      <w:pPr>
        <w:ind w:firstLine="420" w:firstLineChars="200"/>
      </w:pPr>
      <w:r>
        <w:rPr>
          <w:rFonts w:hint="eastAsia"/>
        </w:rPr>
        <w:t>（1）资质要求：见投标人须知前附表；</w:t>
      </w:r>
    </w:p>
    <w:p>
      <w:pPr>
        <w:ind w:firstLine="420" w:firstLineChars="200"/>
      </w:pPr>
      <w:r>
        <w:rPr>
          <w:rFonts w:hint="eastAsia"/>
        </w:rPr>
        <w:t>（2）财务要求：见投标人须知前附表；</w:t>
      </w:r>
    </w:p>
    <w:p>
      <w:pPr>
        <w:ind w:firstLine="420" w:firstLineChars="200"/>
      </w:pPr>
      <w:r>
        <w:rPr>
          <w:rFonts w:hint="eastAsia"/>
        </w:rPr>
        <w:t>（3）业绩要求：见投标人须知前附表；</w:t>
      </w:r>
    </w:p>
    <w:p>
      <w:pPr>
        <w:ind w:firstLine="420" w:firstLineChars="200"/>
      </w:pPr>
      <w:r>
        <w:rPr>
          <w:rFonts w:hint="eastAsia"/>
        </w:rPr>
        <w:t>（4）信誉要求：见投标人须知前附表；</w:t>
      </w:r>
    </w:p>
    <w:p>
      <w:pPr>
        <w:ind w:firstLine="420" w:firstLineChars="200"/>
      </w:pPr>
      <w:r>
        <w:rPr>
          <w:rFonts w:hint="eastAsia"/>
        </w:rPr>
        <w:t>（5）其他要求：见投标人须知前附表。</w:t>
      </w:r>
    </w:p>
    <w:p>
      <w:pPr>
        <w:ind w:firstLine="420" w:firstLineChars="200"/>
      </w:pPr>
      <w:r>
        <w:rPr>
          <w:rFonts w:hint="eastAsia"/>
        </w:rPr>
        <w:t>投标人为代理经销商的， 对投标人的资质要求包含对制造商的资质要求，对投标人的业绩要求包含对投标材料的业绩要求。需要提交的相关证明材料见本章第 3.5 款的规定。</w:t>
      </w:r>
    </w:p>
    <w:p>
      <w:pPr>
        <w:ind w:firstLine="420" w:firstLineChars="200"/>
      </w:pPr>
      <w:r>
        <w:rPr>
          <w:rFonts w:hint="eastAsia"/>
        </w:rPr>
        <w:t>1.4.2 投标人须知前附表规定接受联合体投标的，联合体除应符合本章第 1.4.1 项和投标人须知前附表的要求外，还应遵守以下规定：</w:t>
      </w:r>
    </w:p>
    <w:p>
      <w:pPr>
        <w:ind w:firstLine="420" w:firstLineChars="200"/>
      </w:pPr>
      <w:r>
        <w:rPr>
          <w:rFonts w:hint="eastAsia"/>
        </w:rPr>
        <w:t>（1）联合体各方应按招标文件提供的格式签订联合体协议书，明确联合体牵头人和各方权利义务，并承诺就中标项目向招标人承担连带责任；</w:t>
      </w:r>
    </w:p>
    <w:p>
      <w:pPr>
        <w:ind w:firstLine="420" w:firstLineChars="200"/>
      </w:pPr>
      <w:r>
        <w:rPr>
          <w:rFonts w:hint="eastAsia"/>
        </w:rPr>
        <w:t>（2）由同一专业的单位组成的联合体，按照资质等级较低的单位确定资质等级；</w:t>
      </w:r>
    </w:p>
    <w:p>
      <w:pPr>
        <w:ind w:firstLine="420" w:firstLineChars="200"/>
      </w:pPr>
      <w:r>
        <w:rPr>
          <w:rFonts w:hint="eastAsia"/>
        </w:rPr>
        <w:t>（3）联合体各方不得再以自己名义单独或参加其他联合体在本招标项目中投标，否则各相关投标均无效。</w:t>
      </w:r>
    </w:p>
    <w:p>
      <w:pPr>
        <w:ind w:firstLine="420" w:firstLineChars="200"/>
      </w:pPr>
      <w:r>
        <w:rPr>
          <w:rFonts w:hint="eastAsia"/>
        </w:rPr>
        <w:t>1.4.3  投标人不得存在下列情形之一：</w:t>
      </w:r>
    </w:p>
    <w:p>
      <w:pPr>
        <w:ind w:firstLine="420" w:firstLineChars="200"/>
      </w:pPr>
      <w:r>
        <w:rPr>
          <w:rFonts w:hint="eastAsia"/>
        </w:rPr>
        <w:t>（1）与招标人存在利害关系且可能影响招标公正性；</w:t>
      </w:r>
    </w:p>
    <w:p>
      <w:pPr>
        <w:ind w:firstLine="420" w:firstLineChars="200"/>
      </w:pPr>
      <w:r>
        <w:rPr>
          <w:rFonts w:hint="eastAsia"/>
        </w:rPr>
        <w:t>（2）与本招标项目的其他投标人为同一个单位负责人；</w:t>
      </w:r>
    </w:p>
    <w:p>
      <w:pPr>
        <w:ind w:firstLine="420" w:firstLineChars="200"/>
      </w:pPr>
      <w:r>
        <w:rPr>
          <w:rFonts w:hint="eastAsia"/>
        </w:rPr>
        <w:t>（3）与本招标项目的其他投标人存在控股、管理关系；</w:t>
      </w:r>
    </w:p>
    <w:p>
      <w:pPr>
        <w:ind w:firstLine="420" w:firstLineChars="200"/>
      </w:pPr>
      <w:r>
        <w:rPr>
          <w:rFonts w:hint="eastAsia"/>
        </w:rPr>
        <w:t>（4）与本招标项目其他投标人代理同一个制造商同一品牌同一型号的材料投标；</w:t>
      </w:r>
    </w:p>
    <w:p>
      <w:pPr>
        <w:ind w:firstLine="420" w:firstLineChars="200"/>
      </w:pPr>
      <w:r>
        <w:rPr>
          <w:rFonts w:hint="eastAsia"/>
        </w:rPr>
        <w:t>（5）为本招标项目提供过设计、编制技术规范和其他文件的咨询服务；</w:t>
      </w:r>
    </w:p>
    <w:p>
      <w:pPr>
        <w:ind w:firstLine="420" w:firstLineChars="200"/>
      </w:pPr>
      <w:r>
        <w:rPr>
          <w:rFonts w:hint="eastAsia"/>
        </w:rPr>
        <w:t>（6）为本工程项目的相关监理人，或者与本工程项目的相关监理人存在隶属关系或者其他利害关系；</w:t>
      </w:r>
    </w:p>
    <w:p>
      <w:pPr>
        <w:ind w:firstLine="420" w:firstLineChars="200"/>
      </w:pPr>
      <w:r>
        <w:rPr>
          <w:rFonts w:hint="eastAsia"/>
        </w:rPr>
        <w:t>（7）为本招标项目的代建人；</w:t>
      </w:r>
    </w:p>
    <w:p>
      <w:pPr>
        <w:ind w:firstLine="420" w:firstLineChars="200"/>
      </w:pPr>
      <w:r>
        <w:rPr>
          <w:rFonts w:hint="eastAsia"/>
        </w:rPr>
        <w:t>（8）为本招标项目的招标代理机构；</w:t>
      </w:r>
    </w:p>
    <w:p>
      <w:pPr>
        <w:ind w:firstLine="420" w:firstLineChars="200"/>
      </w:pPr>
      <w:r>
        <w:rPr>
          <w:rFonts w:hint="eastAsia"/>
        </w:rPr>
        <w:t>（9）与本招标项目的监理人或代建人或招标代理机构同为一个法定代表人；</w:t>
      </w:r>
    </w:p>
    <w:p>
      <w:pPr>
        <w:ind w:firstLine="420" w:firstLineChars="200"/>
      </w:pPr>
      <w:r>
        <w:rPr>
          <w:rFonts w:hint="eastAsia"/>
        </w:rPr>
        <w:t>（10）与本招标项目的监理人或代建人或招标代理机构存在控股或参股关系；</w:t>
      </w:r>
    </w:p>
    <w:p>
      <w:pPr>
        <w:ind w:firstLine="420" w:firstLineChars="200"/>
      </w:pPr>
      <w:r>
        <w:rPr>
          <w:rFonts w:hint="eastAsia"/>
        </w:rPr>
        <w:t>（11）被依法暂停或者取消投标资格；</w:t>
      </w:r>
    </w:p>
    <w:p>
      <w:pPr>
        <w:ind w:firstLine="420" w:firstLineChars="200"/>
      </w:pPr>
      <w:r>
        <w:rPr>
          <w:rFonts w:hint="eastAsia"/>
        </w:rPr>
        <w:t>（12）被责令停产停业、暂扣或者吊销许可证、暂扣或者吊销执照；</w:t>
      </w:r>
    </w:p>
    <w:p>
      <w:pPr>
        <w:ind w:firstLine="420" w:firstLineChars="200"/>
      </w:pPr>
      <w:r>
        <w:rPr>
          <w:rFonts w:hint="eastAsia"/>
        </w:rPr>
        <w:t>（13）进入清算程序，或被宣告破产，或其他丧失履约能力的情形；</w:t>
      </w:r>
    </w:p>
    <w:p>
      <w:pPr>
        <w:ind w:firstLine="420" w:firstLineChars="200"/>
      </w:pPr>
      <w:r>
        <w:rPr>
          <w:rFonts w:hint="eastAsia"/>
        </w:rPr>
        <w:t>（14）在最近三年内发生重大产品质量问题（以相关行业主管部门的行政处罚决定或司法机关出具的有关法律文书为准）；</w:t>
      </w:r>
    </w:p>
    <w:p>
      <w:pPr>
        <w:ind w:firstLine="420" w:firstLineChars="200"/>
      </w:pPr>
      <w:r>
        <w:rPr>
          <w:rFonts w:hint="eastAsia"/>
        </w:rPr>
        <w:t>（15）被工商行政管理机关在全国企业信用信息公示系统中列入严重违法失信企业名单；</w:t>
      </w:r>
    </w:p>
    <w:p>
      <w:pPr>
        <w:ind w:firstLine="420" w:firstLineChars="200"/>
      </w:pPr>
      <w:r>
        <w:rPr>
          <w:rFonts w:hint="eastAsia"/>
        </w:rPr>
        <w:t>（16）被最高人民法院在“信用中国” 网站（www.creditchina.gov.cn）或各级信用信息共享平台中列入失信被执行人名单；</w:t>
      </w:r>
    </w:p>
    <w:p>
      <w:pPr>
        <w:ind w:firstLine="420" w:firstLineChars="200"/>
      </w:pPr>
      <w:r>
        <w:rPr>
          <w:rFonts w:hint="eastAsia"/>
        </w:rPr>
        <w:t>（17）在近三年内投标人或其法定代表人、拟委任的项目负责人有行贿犯罪行为的（以检察机关职务犯罪预防部门出具的查询结果为准）；</w:t>
      </w:r>
    </w:p>
    <w:p>
      <w:pPr>
        <w:ind w:firstLine="420" w:firstLineChars="200"/>
      </w:pPr>
      <w:r>
        <w:rPr>
          <w:rFonts w:hint="eastAsia"/>
        </w:rPr>
        <w:t>（18）法律法规或投标人须知前附表规定的其他情形。</w:t>
      </w:r>
    </w:p>
    <w:p>
      <w:pPr>
        <w:pStyle w:val="5"/>
        <w:spacing w:line="240" w:lineRule="auto"/>
      </w:pPr>
      <w:bookmarkStart w:id="48" w:name="_Toc246996180"/>
      <w:bookmarkStart w:id="49" w:name="_Toc246996923"/>
      <w:bookmarkStart w:id="50" w:name="_Toc144974503"/>
      <w:bookmarkStart w:id="51" w:name="_Toc179632552"/>
      <w:bookmarkStart w:id="52" w:name="_Toc152045535"/>
      <w:bookmarkStart w:id="53" w:name="_Toc152042311"/>
      <w:bookmarkStart w:id="54" w:name="_Toc296602425"/>
      <w:bookmarkStart w:id="55" w:name="_Toc247085694"/>
      <w:r>
        <w:rPr>
          <w:rFonts w:hint="eastAsia"/>
        </w:rPr>
        <w:t>1.5 费用承担</w:t>
      </w:r>
      <w:bookmarkEnd w:id="48"/>
      <w:bookmarkEnd w:id="49"/>
      <w:bookmarkEnd w:id="50"/>
      <w:bookmarkEnd w:id="51"/>
      <w:bookmarkEnd w:id="52"/>
      <w:bookmarkEnd w:id="53"/>
      <w:bookmarkEnd w:id="54"/>
      <w:bookmarkEnd w:id="55"/>
    </w:p>
    <w:p>
      <w:pPr>
        <w:ind w:firstLine="420" w:firstLineChars="200"/>
      </w:pPr>
      <w:r>
        <w:rPr>
          <w:rFonts w:hint="eastAsia"/>
        </w:rPr>
        <w:t>投标人准备和参加投标活动发生的费用自理。</w:t>
      </w:r>
    </w:p>
    <w:p>
      <w:pPr>
        <w:pStyle w:val="5"/>
        <w:spacing w:line="240" w:lineRule="auto"/>
      </w:pPr>
      <w:bookmarkStart w:id="56" w:name="_Toc144974504"/>
      <w:bookmarkStart w:id="57" w:name="_Toc179632553"/>
      <w:bookmarkStart w:id="58" w:name="_Toc152042312"/>
      <w:bookmarkStart w:id="59" w:name="_Toc152045536"/>
      <w:bookmarkStart w:id="60" w:name="_Toc296602426"/>
      <w:bookmarkStart w:id="61" w:name="_Toc247085695"/>
      <w:bookmarkStart w:id="62" w:name="_Toc246996181"/>
      <w:bookmarkStart w:id="63" w:name="_Toc246996924"/>
      <w:r>
        <w:rPr>
          <w:rFonts w:hint="eastAsia"/>
        </w:rPr>
        <w:t>1.6 保密</w:t>
      </w:r>
      <w:bookmarkEnd w:id="56"/>
      <w:bookmarkEnd w:id="57"/>
      <w:bookmarkEnd w:id="58"/>
      <w:bookmarkEnd w:id="59"/>
      <w:bookmarkEnd w:id="60"/>
      <w:bookmarkEnd w:id="61"/>
      <w:bookmarkEnd w:id="62"/>
      <w:bookmarkEnd w:id="63"/>
    </w:p>
    <w:p>
      <w:pPr>
        <w:ind w:firstLine="420" w:firstLineChars="200"/>
      </w:pPr>
      <w:r>
        <w:rPr>
          <w:rFonts w:hint="eastAsia"/>
        </w:rPr>
        <w:t xml:space="preserve">参与招标投标活动的各方应对招标文件和投标文件中的商业和技术等秘密保密，违者应对由此造成的后果承担法律责任。 </w:t>
      </w:r>
    </w:p>
    <w:p>
      <w:pPr>
        <w:pStyle w:val="5"/>
        <w:spacing w:line="240" w:lineRule="auto"/>
      </w:pPr>
      <w:bookmarkStart w:id="64" w:name="_Toc144974505"/>
      <w:bookmarkStart w:id="65" w:name="_Toc246996182"/>
      <w:bookmarkStart w:id="66" w:name="_Toc152042313"/>
      <w:bookmarkStart w:id="67" w:name="_Toc179632554"/>
      <w:bookmarkStart w:id="68" w:name="_Toc296602427"/>
      <w:bookmarkStart w:id="69" w:name="_Toc152045537"/>
      <w:bookmarkStart w:id="70" w:name="_Toc247085696"/>
      <w:bookmarkStart w:id="71" w:name="_Toc246996925"/>
      <w:r>
        <w:rPr>
          <w:rFonts w:hint="eastAsia"/>
        </w:rPr>
        <w:t>1.7 语言</w:t>
      </w:r>
      <w:bookmarkEnd w:id="64"/>
      <w:r>
        <w:rPr>
          <w:rFonts w:hint="eastAsia"/>
        </w:rPr>
        <w:t>文字</w:t>
      </w:r>
      <w:bookmarkEnd w:id="65"/>
      <w:bookmarkEnd w:id="66"/>
      <w:bookmarkEnd w:id="67"/>
      <w:bookmarkEnd w:id="68"/>
      <w:bookmarkEnd w:id="69"/>
      <w:bookmarkEnd w:id="70"/>
      <w:bookmarkEnd w:id="71"/>
    </w:p>
    <w:p>
      <w:pPr>
        <w:ind w:firstLine="420" w:firstLineChars="200"/>
      </w:pPr>
      <w:bookmarkStart w:id="72" w:name="_Toc152045538"/>
      <w:bookmarkStart w:id="73" w:name="_Toc247085697"/>
      <w:bookmarkStart w:id="74" w:name="_Toc246996926"/>
      <w:bookmarkStart w:id="75" w:name="_Toc179632555"/>
      <w:bookmarkStart w:id="76" w:name="_Toc246996183"/>
      <w:bookmarkStart w:id="77" w:name="_Toc144974506"/>
      <w:bookmarkStart w:id="78" w:name="_Toc152042314"/>
      <w:r>
        <w:rPr>
          <w:rFonts w:hint="eastAsia"/>
        </w:rPr>
        <w:t>招标投标文件使用的语言文字为中文。专用术语使用外文的，应附有中文注释。</w:t>
      </w:r>
    </w:p>
    <w:p>
      <w:pPr>
        <w:pStyle w:val="5"/>
        <w:spacing w:line="240" w:lineRule="auto"/>
      </w:pPr>
      <w:bookmarkStart w:id="79" w:name="_Toc296602428"/>
      <w:r>
        <w:rPr>
          <w:rFonts w:hint="eastAsia"/>
        </w:rPr>
        <w:t>1.8 计量单位</w:t>
      </w:r>
      <w:bookmarkEnd w:id="72"/>
      <w:bookmarkEnd w:id="73"/>
      <w:bookmarkEnd w:id="74"/>
      <w:bookmarkEnd w:id="75"/>
      <w:bookmarkEnd w:id="76"/>
      <w:bookmarkEnd w:id="77"/>
      <w:bookmarkEnd w:id="78"/>
      <w:bookmarkEnd w:id="79"/>
    </w:p>
    <w:p>
      <w:pPr>
        <w:ind w:firstLine="420" w:firstLineChars="200"/>
      </w:pPr>
      <w:r>
        <w:rPr>
          <w:rFonts w:hint="eastAsia"/>
        </w:rPr>
        <w:t>所有计量均采用中华人民共和国法定计量单位。</w:t>
      </w:r>
    </w:p>
    <w:p>
      <w:pPr>
        <w:pStyle w:val="5"/>
        <w:spacing w:line="240" w:lineRule="auto"/>
      </w:pPr>
      <w:bookmarkStart w:id="80" w:name="_Toc247592876"/>
      <w:bookmarkStart w:id="81" w:name="_Toc247527563"/>
      <w:bookmarkStart w:id="82" w:name="_Toc152042315"/>
      <w:bookmarkStart w:id="83" w:name="_Toc247513962"/>
      <w:bookmarkStart w:id="84" w:name="_Toc296602429"/>
      <w:bookmarkStart w:id="85" w:name="_Toc152045539"/>
      <w:bookmarkStart w:id="86" w:name="_Toc144974507"/>
      <w:r>
        <w:rPr>
          <w:rFonts w:hint="eastAsia"/>
        </w:rPr>
        <w:t>1.9 踏勘现场</w:t>
      </w:r>
      <w:bookmarkEnd w:id="80"/>
      <w:bookmarkEnd w:id="81"/>
      <w:bookmarkEnd w:id="82"/>
      <w:bookmarkEnd w:id="83"/>
      <w:bookmarkEnd w:id="84"/>
      <w:bookmarkEnd w:id="85"/>
      <w:bookmarkEnd w:id="86"/>
    </w:p>
    <w:p>
      <w:pPr>
        <w:ind w:firstLine="420" w:firstLineChars="200"/>
      </w:pPr>
      <w:r>
        <w:rPr>
          <w:rFonts w:hint="eastAsia"/>
        </w:rPr>
        <w:t>1.9.1  投标人须知前附表规定召开投标预备会的，招标人按投标人须知前附表规定的时间和地点召开投标预备会，澄清投标人提出的问题。</w:t>
      </w:r>
    </w:p>
    <w:p>
      <w:pPr>
        <w:ind w:firstLine="420" w:firstLineChars="200"/>
      </w:pPr>
      <w:r>
        <w:rPr>
          <w:rFonts w:hint="eastAsia"/>
        </w:rPr>
        <w:t>1.9.2  投标人应按投标人须知前附表规定的时间和形式将提出的问题送达招标人，以便招标人在会议期间澄清。</w:t>
      </w:r>
    </w:p>
    <w:p>
      <w:pPr>
        <w:ind w:firstLine="420" w:firstLineChars="200"/>
      </w:pPr>
      <w:r>
        <w:rPr>
          <w:rFonts w:hint="eastAsia"/>
        </w:rPr>
        <w:t>1.9.3  投标预备会后， 招标人将对投标人所提问题的澄清， 以投标人须知前附表规定的形式通知所有购买招标文件的投标人。该澄清内容为招标文件的组成部分。</w:t>
      </w:r>
    </w:p>
    <w:p>
      <w:pPr>
        <w:pStyle w:val="5"/>
        <w:spacing w:line="240" w:lineRule="auto"/>
      </w:pPr>
      <w:bookmarkStart w:id="87" w:name="_Toc152045540"/>
      <w:bookmarkStart w:id="88" w:name="_Toc152042316"/>
      <w:bookmarkStart w:id="89" w:name="_Toc144974508"/>
      <w:bookmarkStart w:id="90" w:name="_Toc296602430"/>
      <w:bookmarkStart w:id="91" w:name="_Toc247513963"/>
      <w:bookmarkStart w:id="92" w:name="_Toc247527564"/>
      <w:bookmarkStart w:id="93" w:name="_Toc247592877"/>
      <w:r>
        <w:rPr>
          <w:rFonts w:hint="eastAsia"/>
        </w:rPr>
        <w:t xml:space="preserve">1.10 </w:t>
      </w:r>
      <w:bookmarkEnd w:id="87"/>
      <w:bookmarkEnd w:id="88"/>
      <w:bookmarkEnd w:id="89"/>
      <w:bookmarkEnd w:id="90"/>
      <w:bookmarkEnd w:id="91"/>
      <w:bookmarkEnd w:id="92"/>
      <w:bookmarkEnd w:id="93"/>
      <w:r>
        <w:rPr>
          <w:rFonts w:hint="eastAsia"/>
        </w:rPr>
        <w:t>分包</w:t>
      </w:r>
    </w:p>
    <w:p>
      <w:pPr>
        <w:ind w:firstLine="420" w:firstLineChars="200"/>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ind w:firstLine="420" w:firstLineChars="200"/>
      </w:pPr>
      <w:r>
        <w:rPr>
          <w:rFonts w:hint="eastAsia"/>
        </w:rPr>
        <w:t>1.10.2  中标人不得向他人转让中标项目，接受分包的人不得再次分包。中标人应当就分包项目向招标人负责， 接受分包的人就分包项目承担连带责任。</w:t>
      </w:r>
    </w:p>
    <w:p>
      <w:pPr>
        <w:pStyle w:val="5"/>
        <w:spacing w:line="240" w:lineRule="auto"/>
      </w:pPr>
      <w:bookmarkStart w:id="94" w:name="_Toc296602431"/>
      <w:r>
        <w:rPr>
          <w:rFonts w:hint="eastAsia"/>
        </w:rPr>
        <w:t>1.11 响应和偏</w:t>
      </w:r>
      <w:bookmarkEnd w:id="94"/>
      <w:r>
        <w:rPr>
          <w:rFonts w:hint="eastAsia"/>
        </w:rPr>
        <w:t>差</w:t>
      </w:r>
    </w:p>
    <w:p>
      <w:pPr>
        <w:ind w:firstLine="420" w:firstLineChars="200"/>
      </w:pPr>
      <w:r>
        <w:rPr>
          <w:rFonts w:hint="eastAsia"/>
        </w:rPr>
        <w:t>1.11.1 投标文件应当对招标文件的实质性要求和条件作出满足性或更有利于招标人的响应，否则， 投标人的投标将被否决。实质性要求和条件见投标人须知前附表。</w:t>
      </w:r>
    </w:p>
    <w:p>
      <w:pPr>
        <w:ind w:firstLine="420" w:firstLineChars="200"/>
      </w:pPr>
      <w:r>
        <w:rPr>
          <w:rFonts w:hint="eastAsia"/>
        </w:rPr>
        <w:t>1.11.2  投标人应根据招标文件的要求提供投标材料质量标准的详细描述、技术支持资料及相关服务计划等内容以对招标文件作出响应。</w:t>
      </w:r>
    </w:p>
    <w:p>
      <w:pPr>
        <w:ind w:firstLine="420" w:firstLineChars="200"/>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ind w:firstLine="420" w:firstLineChars="200"/>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ind w:firstLine="420" w:firstLineChars="200"/>
      </w:pPr>
      <w:r>
        <w:rPr>
          <w:rFonts w:hint="eastAsia"/>
        </w:rPr>
        <w:t>1.11.5  投标文件对招标文件的全部偏差，均应在投标文件的商务和技术偏差表中列明，除列明的内容外， 视为投标人响应招标文件的全部要求。</w:t>
      </w:r>
    </w:p>
    <w:p>
      <w:pPr>
        <w:pStyle w:val="4"/>
        <w:spacing w:line="240" w:lineRule="auto"/>
      </w:pPr>
      <w:bookmarkStart w:id="95" w:name="_Toc152042318"/>
      <w:bookmarkStart w:id="96" w:name="_Toc144974510"/>
      <w:bookmarkStart w:id="97" w:name="_Toc152045542"/>
      <w:bookmarkStart w:id="98" w:name="_Toc179632560"/>
      <w:bookmarkStart w:id="99" w:name="_Toc296602432"/>
      <w:bookmarkStart w:id="100" w:name="_Toc246996187"/>
      <w:bookmarkStart w:id="101" w:name="_Toc247085701"/>
      <w:bookmarkStart w:id="102" w:name="_Toc246996930"/>
      <w:r>
        <w:rPr>
          <w:rFonts w:hint="eastAsia"/>
        </w:rPr>
        <w:t>2. 招标文件</w:t>
      </w:r>
      <w:bookmarkEnd w:id="95"/>
      <w:bookmarkEnd w:id="96"/>
      <w:bookmarkEnd w:id="97"/>
      <w:bookmarkEnd w:id="98"/>
      <w:bookmarkEnd w:id="99"/>
      <w:bookmarkEnd w:id="100"/>
      <w:bookmarkEnd w:id="101"/>
      <w:bookmarkEnd w:id="102"/>
    </w:p>
    <w:p>
      <w:pPr>
        <w:pStyle w:val="5"/>
        <w:spacing w:line="240" w:lineRule="auto"/>
      </w:pPr>
      <w:bookmarkStart w:id="103" w:name="_Toc152042319"/>
      <w:bookmarkStart w:id="104" w:name="_Toc246996188"/>
      <w:bookmarkStart w:id="105" w:name="_Toc179632561"/>
      <w:bookmarkStart w:id="106" w:name="_Toc296602433"/>
      <w:bookmarkStart w:id="107" w:name="_Toc152045543"/>
      <w:bookmarkStart w:id="108" w:name="_Toc246996931"/>
      <w:bookmarkStart w:id="109" w:name="_Toc247085702"/>
      <w:bookmarkStart w:id="110" w:name="_Toc144974511"/>
      <w:r>
        <w:rPr>
          <w:rFonts w:hint="eastAsia"/>
        </w:rPr>
        <w:t>2.1 招标文件的组成</w:t>
      </w:r>
      <w:bookmarkEnd w:id="103"/>
      <w:bookmarkEnd w:id="104"/>
      <w:bookmarkEnd w:id="105"/>
      <w:bookmarkEnd w:id="106"/>
      <w:bookmarkEnd w:id="107"/>
      <w:bookmarkEnd w:id="108"/>
      <w:bookmarkEnd w:id="109"/>
      <w:bookmarkEnd w:id="110"/>
    </w:p>
    <w:p>
      <w:pPr>
        <w:ind w:firstLine="420" w:firstLineChars="200"/>
      </w:pPr>
      <w:r>
        <w:rPr>
          <w:rFonts w:hint="eastAsia"/>
        </w:rPr>
        <w:t>　　本招标文件包括：</w:t>
      </w:r>
    </w:p>
    <w:p>
      <w:pPr>
        <w:ind w:firstLine="420" w:firstLineChars="200"/>
      </w:pPr>
      <w:r>
        <w:rPr>
          <w:rFonts w:hint="eastAsia"/>
        </w:rPr>
        <w:t>（1）招标公告（或投标邀请书）；</w:t>
      </w:r>
    </w:p>
    <w:p>
      <w:pPr>
        <w:ind w:firstLine="420" w:firstLineChars="200"/>
      </w:pPr>
      <w:r>
        <w:rPr>
          <w:rFonts w:hint="eastAsia"/>
        </w:rPr>
        <w:t>（2）投标人须知；</w:t>
      </w:r>
    </w:p>
    <w:p>
      <w:pPr>
        <w:ind w:firstLine="420" w:firstLineChars="200"/>
      </w:pPr>
      <w:r>
        <w:rPr>
          <w:rFonts w:hint="eastAsia"/>
        </w:rPr>
        <w:t>（3）评标办法；</w:t>
      </w:r>
    </w:p>
    <w:p>
      <w:pPr>
        <w:ind w:firstLine="420" w:firstLineChars="200"/>
      </w:pPr>
      <w:r>
        <w:rPr>
          <w:rFonts w:hint="eastAsia"/>
        </w:rPr>
        <w:t>（4）合同条款及格式；</w:t>
      </w:r>
    </w:p>
    <w:p>
      <w:pPr>
        <w:ind w:firstLine="420" w:firstLineChars="200"/>
      </w:pPr>
      <w:r>
        <w:rPr>
          <w:rFonts w:hint="eastAsia"/>
        </w:rPr>
        <w:t>（5）供货要求；</w:t>
      </w:r>
    </w:p>
    <w:p>
      <w:pPr>
        <w:ind w:firstLine="420" w:firstLineChars="200"/>
      </w:pPr>
      <w:r>
        <w:rPr>
          <w:rFonts w:hint="eastAsia"/>
        </w:rPr>
        <w:t>（6）投标文件格式。</w:t>
      </w:r>
    </w:p>
    <w:p>
      <w:pPr>
        <w:ind w:firstLine="420" w:firstLineChars="200"/>
      </w:pPr>
      <w:r>
        <w:rPr>
          <w:rFonts w:hint="eastAsia"/>
        </w:rPr>
        <w:t>根据本章第 1.9 款、第 2.2 款和第 2.3 款对招标文件所作的澄清、修改，构成招标文件的组成部分。</w:t>
      </w:r>
    </w:p>
    <w:p>
      <w:pPr>
        <w:pStyle w:val="5"/>
        <w:spacing w:line="240" w:lineRule="auto"/>
      </w:pPr>
      <w:bookmarkStart w:id="111" w:name="_Toc144974512"/>
      <w:bookmarkStart w:id="112" w:name="_Toc247085703"/>
      <w:bookmarkStart w:id="113" w:name="_Toc246996189"/>
      <w:bookmarkStart w:id="114" w:name="_Toc152045544"/>
      <w:bookmarkStart w:id="115" w:name="_Toc246996932"/>
      <w:bookmarkStart w:id="116" w:name="_Toc296602434"/>
      <w:bookmarkStart w:id="117" w:name="_Toc152042320"/>
      <w:bookmarkStart w:id="118" w:name="_Toc179632562"/>
      <w:r>
        <w:rPr>
          <w:rFonts w:hint="eastAsia"/>
        </w:rPr>
        <w:t>2.2 招标文件的澄清</w:t>
      </w:r>
      <w:bookmarkEnd w:id="111"/>
      <w:bookmarkEnd w:id="112"/>
      <w:bookmarkEnd w:id="113"/>
      <w:bookmarkEnd w:id="114"/>
      <w:bookmarkEnd w:id="115"/>
      <w:bookmarkEnd w:id="116"/>
      <w:bookmarkEnd w:id="117"/>
      <w:bookmarkEnd w:id="118"/>
      <w:r>
        <w:rPr>
          <w:rFonts w:hint="eastAsia"/>
        </w:rPr>
        <w:t xml:space="preserve"> </w:t>
      </w:r>
    </w:p>
    <w:p>
      <w:pPr>
        <w:ind w:firstLine="420" w:firstLineChars="200"/>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ind w:firstLine="420" w:firstLineChars="200"/>
        <w:rPr>
          <w:rFonts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3天，并且澄清内容影响投标文件编制的，将相应延长投标截止时间。</w:t>
      </w:r>
      <w:r>
        <w:rPr>
          <w:rFonts w:hint="eastAsia" w:ascii="仿宋_GB2312" w:hAnsi="仿宋_GB2312" w:eastAsia="仿宋_GB2312"/>
          <w:sz w:val="32"/>
          <w:szCs w:val="32"/>
        </w:rPr>
        <w:t xml:space="preserve"> </w:t>
      </w:r>
    </w:p>
    <w:p>
      <w:pPr>
        <w:ind w:firstLine="420" w:firstLineChars="200"/>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5"/>
        <w:spacing w:line="240" w:lineRule="auto"/>
      </w:pPr>
      <w:bookmarkStart w:id="119" w:name="_Toc152045545"/>
      <w:bookmarkStart w:id="120" w:name="_Toc296602435"/>
      <w:bookmarkStart w:id="121" w:name="_Toc152042321"/>
      <w:bookmarkStart w:id="122" w:name="_Toc144974513"/>
      <w:bookmarkStart w:id="123" w:name="_Toc246996190"/>
      <w:bookmarkStart w:id="124" w:name="_Toc179632563"/>
      <w:bookmarkStart w:id="125" w:name="_Toc246996933"/>
      <w:bookmarkStart w:id="126" w:name="_Toc247085704"/>
      <w:r>
        <w:rPr>
          <w:rFonts w:hint="eastAsia"/>
        </w:rPr>
        <w:t>2.3 招标文件的修改</w:t>
      </w:r>
      <w:bookmarkEnd w:id="119"/>
      <w:bookmarkEnd w:id="120"/>
      <w:bookmarkEnd w:id="121"/>
      <w:bookmarkEnd w:id="122"/>
      <w:bookmarkEnd w:id="123"/>
      <w:bookmarkEnd w:id="124"/>
      <w:bookmarkEnd w:id="125"/>
      <w:bookmarkEnd w:id="126"/>
    </w:p>
    <w:p>
      <w:pPr>
        <w:ind w:firstLine="420" w:firstLineChars="200"/>
      </w:pPr>
      <w:r>
        <w:rPr>
          <w:rFonts w:hint="eastAsia"/>
        </w:rPr>
        <w:t>2.3.1招标人可以书面形式修改招标文件，并通知所有已购买招标文件的投标人。但如果修改招标文件的时间距投标截止时间不足3天，并且修改内容影响投标文件编制的，将相应延长投标截止时间。</w:t>
      </w:r>
    </w:p>
    <w:p>
      <w:pPr>
        <w:ind w:firstLine="420" w:firstLineChars="200"/>
      </w:pPr>
      <w:r>
        <w:rPr>
          <w:rFonts w:hint="eastAsia"/>
        </w:rPr>
        <w:t>2.3.2 投标人收到修改内容后，应在投标人须知前附表规定的时间内以书面形式通知招标人，确认已收到该修改。</w:t>
      </w:r>
    </w:p>
    <w:p>
      <w:pPr>
        <w:pStyle w:val="4"/>
        <w:spacing w:line="240" w:lineRule="auto"/>
      </w:pPr>
      <w:bookmarkStart w:id="127" w:name="_Toc246996934"/>
      <w:bookmarkStart w:id="128" w:name="_Toc246996191"/>
      <w:bookmarkStart w:id="129" w:name="_Toc152042322"/>
      <w:bookmarkStart w:id="130" w:name="_Toc152045546"/>
      <w:bookmarkStart w:id="131" w:name="_Toc144974514"/>
      <w:bookmarkStart w:id="132" w:name="_Toc296602436"/>
      <w:bookmarkStart w:id="133" w:name="_Toc247085705"/>
      <w:bookmarkStart w:id="134" w:name="_Toc179632564"/>
      <w:r>
        <w:rPr>
          <w:rFonts w:hint="eastAsia"/>
        </w:rPr>
        <w:t>3. 投标文件</w:t>
      </w:r>
      <w:bookmarkEnd w:id="127"/>
      <w:bookmarkEnd w:id="128"/>
      <w:bookmarkEnd w:id="129"/>
      <w:bookmarkEnd w:id="130"/>
      <w:bookmarkEnd w:id="131"/>
      <w:bookmarkEnd w:id="132"/>
      <w:bookmarkEnd w:id="133"/>
      <w:bookmarkEnd w:id="134"/>
    </w:p>
    <w:p>
      <w:pPr>
        <w:pStyle w:val="5"/>
        <w:spacing w:line="240" w:lineRule="auto"/>
      </w:pPr>
      <w:bookmarkStart w:id="135" w:name="_Toc247085706"/>
      <w:bookmarkStart w:id="136" w:name="_Toc179632565"/>
      <w:bookmarkStart w:id="137" w:name="_Toc246996935"/>
      <w:bookmarkStart w:id="138" w:name="_Toc144974515"/>
      <w:bookmarkStart w:id="139" w:name="_Toc152045547"/>
      <w:bookmarkStart w:id="140" w:name="_Toc246996192"/>
      <w:bookmarkStart w:id="141" w:name="_Toc152042323"/>
      <w:bookmarkStart w:id="142" w:name="_Toc296602437"/>
      <w:r>
        <w:rPr>
          <w:rFonts w:hint="eastAsia"/>
        </w:rPr>
        <w:t>3.1 投标文件的组成</w:t>
      </w:r>
      <w:bookmarkEnd w:id="135"/>
      <w:bookmarkEnd w:id="136"/>
      <w:bookmarkEnd w:id="137"/>
      <w:bookmarkEnd w:id="138"/>
      <w:bookmarkEnd w:id="139"/>
      <w:bookmarkEnd w:id="140"/>
      <w:bookmarkEnd w:id="141"/>
      <w:bookmarkEnd w:id="142"/>
    </w:p>
    <w:p>
      <w:pPr>
        <w:ind w:firstLine="359" w:firstLineChars="171"/>
      </w:pPr>
      <w:r>
        <w:rPr>
          <w:rFonts w:hint="eastAsia"/>
        </w:rPr>
        <w:t>3.1  投标文件的组成</w:t>
      </w:r>
    </w:p>
    <w:p>
      <w:pPr>
        <w:ind w:firstLine="359" w:firstLineChars="171"/>
      </w:pPr>
    </w:p>
    <w:p>
      <w:pPr>
        <w:ind w:firstLine="359" w:firstLineChars="171"/>
      </w:pPr>
      <w:r>
        <w:rPr>
          <w:rFonts w:hint="eastAsia"/>
        </w:rPr>
        <w:t>3.1.1  投标文件应包括下列内容：</w:t>
      </w:r>
    </w:p>
    <w:p>
      <w:pPr>
        <w:ind w:firstLine="359" w:firstLineChars="171"/>
      </w:pPr>
      <w:r>
        <w:rPr>
          <w:rFonts w:hint="eastAsia"/>
        </w:rPr>
        <w:t>一、投标函</w:t>
      </w:r>
    </w:p>
    <w:p>
      <w:pPr>
        <w:ind w:firstLine="359" w:firstLineChars="171"/>
      </w:pPr>
      <w:r>
        <w:rPr>
          <w:rFonts w:hint="eastAsia"/>
        </w:rPr>
        <w:t>二、法定代表人（单位负责人）身份证明（适用于无委托代理人的情况）</w:t>
      </w:r>
    </w:p>
    <w:p>
      <w:pPr>
        <w:ind w:firstLine="359" w:firstLineChars="171"/>
      </w:pPr>
      <w:r>
        <w:rPr>
          <w:rFonts w:hint="eastAsia"/>
        </w:rPr>
        <w:t>二、授权委托书（适用于有委托代理人的情况）</w:t>
      </w:r>
    </w:p>
    <w:p>
      <w:pPr>
        <w:ind w:firstLine="359" w:firstLineChars="171"/>
      </w:pPr>
      <w:r>
        <w:rPr>
          <w:rFonts w:hint="eastAsia"/>
        </w:rPr>
        <w:t xml:space="preserve">三、投标保证金 </w:t>
      </w:r>
    </w:p>
    <w:p>
      <w:pPr>
        <w:ind w:firstLine="359" w:firstLineChars="171"/>
      </w:pPr>
      <w:r>
        <w:rPr>
          <w:rFonts w:hint="eastAsia"/>
        </w:rPr>
        <w:t>四、商务和技术偏差表</w:t>
      </w:r>
    </w:p>
    <w:p>
      <w:pPr>
        <w:ind w:firstLine="359" w:firstLineChars="171"/>
      </w:pPr>
      <w:r>
        <w:rPr>
          <w:rFonts w:hint="eastAsia"/>
        </w:rPr>
        <w:t>五、分项报价表</w:t>
      </w:r>
    </w:p>
    <w:p>
      <w:pPr>
        <w:ind w:firstLine="359" w:firstLineChars="171"/>
      </w:pPr>
      <w:r>
        <w:rPr>
          <w:rFonts w:hint="eastAsia"/>
        </w:rPr>
        <w:t>六、资格审查资料</w:t>
      </w:r>
    </w:p>
    <w:p>
      <w:pPr>
        <w:ind w:firstLine="359" w:firstLineChars="171"/>
      </w:pPr>
      <w:r>
        <w:rPr>
          <w:rFonts w:hint="eastAsia"/>
        </w:rPr>
        <w:t>七、投标产品性能指标的详细描述</w:t>
      </w:r>
    </w:p>
    <w:p>
      <w:pPr>
        <w:ind w:firstLine="359" w:firstLineChars="171"/>
      </w:pPr>
      <w:r>
        <w:rPr>
          <w:rFonts w:hint="eastAsia"/>
        </w:rPr>
        <w:t>八、技术支持资料</w:t>
      </w:r>
    </w:p>
    <w:p>
      <w:pPr>
        <w:ind w:firstLine="359" w:firstLineChars="171"/>
      </w:pPr>
      <w:r>
        <w:rPr>
          <w:rFonts w:hint="eastAsia"/>
        </w:rPr>
        <w:t>九、相关服务计划</w:t>
      </w:r>
    </w:p>
    <w:p>
      <w:pPr>
        <w:ind w:firstLine="359" w:firstLineChars="171"/>
      </w:pPr>
      <w:r>
        <w:rPr>
          <w:rFonts w:hint="eastAsia"/>
        </w:rPr>
        <w:t>十、其他资料</w:t>
      </w:r>
    </w:p>
    <w:p>
      <w:pPr>
        <w:ind w:firstLine="359" w:firstLineChars="171"/>
      </w:pPr>
      <w:r>
        <w:rPr>
          <w:rFonts w:hint="eastAsia"/>
        </w:rPr>
        <w:t>投标人在评标过程中作出的符合法律法规和招标文件规定的澄清确认， 构成投标文件的组成部分。</w:t>
      </w:r>
    </w:p>
    <w:p>
      <w:pPr>
        <w:ind w:firstLine="359" w:firstLineChars="171"/>
      </w:pPr>
      <w:r>
        <w:rPr>
          <w:rFonts w:hint="eastAsia"/>
        </w:rPr>
        <w:t>3.1.2  投标人须知前附表规定不接受联合体投标的， 或投标人没有组成联合体的， 投标文件不包括本章第 3.1.1（3） 目所指的联合体协议书。</w:t>
      </w:r>
    </w:p>
    <w:p>
      <w:pPr>
        <w:ind w:firstLine="359" w:firstLineChars="171"/>
      </w:pPr>
      <w:r>
        <w:rPr>
          <w:rFonts w:hint="eastAsia"/>
        </w:rPr>
        <w:t>3.1.3  投标人须知前附表未要求提交投标保证金的， 投标文件不包括本章第 3.1.1（4）目所指的投标保证金。</w:t>
      </w:r>
    </w:p>
    <w:p>
      <w:pPr>
        <w:pStyle w:val="5"/>
        <w:spacing w:line="240" w:lineRule="auto"/>
        <w:rPr>
          <w:rFonts w:ascii="宋体" w:hAnsi="宋体"/>
          <w:sz w:val="21"/>
          <w:szCs w:val="21"/>
        </w:rPr>
      </w:pPr>
      <w:bookmarkStart w:id="143" w:name="_Toc144974516"/>
      <w:bookmarkStart w:id="144" w:name="_Toc179632566"/>
      <w:bookmarkStart w:id="145" w:name="_Toc152045548"/>
      <w:bookmarkStart w:id="146" w:name="_Toc296602438"/>
      <w:bookmarkStart w:id="147" w:name="_Toc152042324"/>
      <w:bookmarkStart w:id="148" w:name="_Toc246996936"/>
      <w:bookmarkStart w:id="149" w:name="_Toc247085707"/>
      <w:bookmarkStart w:id="150" w:name="_Toc246996193"/>
      <w:r>
        <w:rPr>
          <w:rFonts w:hint="eastAsia"/>
        </w:rPr>
        <w:t>3.2 投标报价</w:t>
      </w:r>
      <w:bookmarkEnd w:id="143"/>
      <w:bookmarkEnd w:id="144"/>
      <w:bookmarkEnd w:id="145"/>
      <w:bookmarkEnd w:id="146"/>
      <w:bookmarkEnd w:id="147"/>
      <w:bookmarkEnd w:id="148"/>
      <w:bookmarkEnd w:id="149"/>
      <w:bookmarkEnd w:id="150"/>
    </w:p>
    <w:p>
      <w:pPr>
        <w:ind w:firstLine="420" w:firstLineChars="200"/>
      </w:pPr>
      <w:bookmarkStart w:id="151" w:name="_Toc144974517"/>
      <w:bookmarkStart w:id="152" w:name="_Toc179632567"/>
      <w:bookmarkStart w:id="153" w:name="_Toc152042325"/>
      <w:bookmarkStart w:id="154" w:name="_Toc152045549"/>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ind w:firstLine="420" w:firstLineChars="200"/>
      </w:pPr>
      <w:r>
        <w:rPr>
          <w:rFonts w:hint="eastAsia"/>
        </w:rPr>
        <w:t>3.2.2  投标人应充分了解该项目的总体情况以及影响投标报价的其他要素。</w:t>
      </w:r>
    </w:p>
    <w:p>
      <w:pPr>
        <w:ind w:firstLine="420" w:firstLineChars="200"/>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ind w:firstLine="420" w:firstLineChars="200"/>
      </w:pPr>
      <w:r>
        <w:rPr>
          <w:rFonts w:hint="eastAsia"/>
        </w:rPr>
        <w:t>3.2.4  招标人设有最高投标限价的，投标人的投标报价不得超过最高投标限价，最高投标限价在投标人须知前附表中载明。</w:t>
      </w:r>
    </w:p>
    <w:p>
      <w:pPr>
        <w:ind w:firstLine="420" w:firstLineChars="200"/>
      </w:pPr>
      <w:r>
        <w:rPr>
          <w:rFonts w:hint="eastAsia"/>
        </w:rPr>
        <w:t>3.2.5  投标报价的其他要求见投标人须知前附表。</w:t>
      </w:r>
    </w:p>
    <w:p>
      <w:pPr>
        <w:pStyle w:val="5"/>
        <w:spacing w:line="240" w:lineRule="auto"/>
      </w:pPr>
      <w:bookmarkStart w:id="155" w:name="_Toc246996937"/>
      <w:bookmarkStart w:id="156" w:name="_Toc247085708"/>
      <w:bookmarkStart w:id="157" w:name="_Toc296602439"/>
      <w:bookmarkStart w:id="158" w:name="_Toc246996194"/>
      <w:r>
        <w:rPr>
          <w:rFonts w:hint="eastAsia"/>
        </w:rPr>
        <w:t>3.3 投标有效期</w:t>
      </w:r>
      <w:bookmarkEnd w:id="151"/>
      <w:bookmarkEnd w:id="152"/>
      <w:bookmarkEnd w:id="153"/>
      <w:bookmarkEnd w:id="154"/>
      <w:bookmarkEnd w:id="155"/>
      <w:bookmarkEnd w:id="156"/>
      <w:bookmarkEnd w:id="157"/>
      <w:bookmarkEnd w:id="158"/>
    </w:p>
    <w:p>
      <w:pPr>
        <w:ind w:firstLine="420" w:firstLineChars="200"/>
      </w:pPr>
      <w:r>
        <w:rPr>
          <w:rFonts w:hint="eastAsia"/>
        </w:rPr>
        <w:t>3.3.1 除投标人须知前附表另有规定外，投标有效期为90天。</w:t>
      </w:r>
    </w:p>
    <w:p>
      <w:pPr>
        <w:ind w:firstLine="420" w:firstLineChars="200"/>
      </w:pPr>
      <w:r>
        <w:rPr>
          <w:rFonts w:hint="eastAsia"/>
        </w:rPr>
        <w:t>3.3.2在投标有效期内，投标人撤销或修改其投标文件的，应承担招标文件和法律规定的责任。</w:t>
      </w:r>
    </w:p>
    <w:p>
      <w:pPr>
        <w:ind w:firstLine="420" w:firstLineChars="200"/>
        <w:rPr>
          <w:rFonts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5"/>
        <w:spacing w:line="240" w:lineRule="auto"/>
      </w:pPr>
      <w:bookmarkStart w:id="159" w:name="_Toc152042326"/>
      <w:bookmarkStart w:id="160" w:name="_Toc246996938"/>
      <w:bookmarkStart w:id="161" w:name="_Toc296602440"/>
      <w:bookmarkStart w:id="162" w:name="_Toc247085709"/>
      <w:bookmarkStart w:id="163" w:name="_Toc144974518"/>
      <w:bookmarkStart w:id="164" w:name="_Toc246996195"/>
      <w:bookmarkStart w:id="165" w:name="_Toc152045550"/>
      <w:bookmarkStart w:id="166" w:name="_Toc179632568"/>
      <w:r>
        <w:rPr>
          <w:rFonts w:hint="eastAsia"/>
        </w:rPr>
        <w:t>3.4 投标保证金</w:t>
      </w:r>
      <w:bookmarkEnd w:id="159"/>
      <w:bookmarkEnd w:id="160"/>
      <w:bookmarkEnd w:id="161"/>
      <w:bookmarkEnd w:id="162"/>
      <w:bookmarkEnd w:id="163"/>
      <w:bookmarkEnd w:id="164"/>
      <w:bookmarkEnd w:id="165"/>
      <w:bookmarkEnd w:id="166"/>
    </w:p>
    <w:p>
      <w:pPr>
        <w:ind w:firstLine="420" w:firstLineChars="200"/>
      </w:pPr>
      <w:r>
        <w:rPr>
          <w:rFonts w:hint="eastAsia"/>
        </w:rPr>
        <w:t>3.4.1 投标人须知前附表规定递交投标保证金的，投标人在递交投标文件的同时，应按投标人须知前附表规定的金额、担保形式和第六章“投标文件格式”规定的或者事先经过招标人认可的投标保证金格式递交投标保证金，并作为其投标文件的组成部分。</w:t>
      </w:r>
    </w:p>
    <w:p>
      <w:pPr>
        <w:ind w:firstLine="420" w:firstLineChars="200"/>
      </w:pPr>
      <w:r>
        <w:rPr>
          <w:rFonts w:hint="eastAsia"/>
        </w:rPr>
        <w:t>3.4.2 投标人不按本章第3.4.1项要求提交投标保证金的，评标委员会将否决其投标。</w:t>
      </w:r>
    </w:p>
    <w:p>
      <w:pPr>
        <w:ind w:firstLine="420" w:firstLineChars="200"/>
        <w:rPr>
          <w:b/>
        </w:rPr>
      </w:pPr>
      <w:r>
        <w:rPr>
          <w:rFonts w:hint="eastAsia"/>
        </w:rPr>
        <w:t xml:space="preserve">3.4.3 </w:t>
      </w:r>
      <w:r>
        <w:rPr>
          <w:rFonts w:hint="eastAsia" w:ascii="宋体" w:hAnsi="宋体" w:cs="宋体"/>
          <w:b/>
          <w:kern w:val="0"/>
          <w:szCs w:val="21"/>
        </w:rPr>
        <w:t>退还投标保证金的具体要求详见投标须知前附表。</w:t>
      </w:r>
    </w:p>
    <w:p>
      <w:pPr>
        <w:ind w:firstLine="420" w:firstLineChars="200"/>
      </w:pPr>
      <w:r>
        <w:rPr>
          <w:rFonts w:hint="eastAsia"/>
        </w:rPr>
        <w:t>3.4.4 有下列情形之一的，投标保证金将不予退还：</w:t>
      </w:r>
    </w:p>
    <w:p>
      <w:pPr>
        <w:ind w:firstLine="420" w:firstLineChars="200"/>
      </w:pPr>
      <w:r>
        <w:rPr>
          <w:rFonts w:hint="eastAsia"/>
        </w:rPr>
        <w:t>（1）投标人在规定的投标有效期内撤销或修改其投标文件；</w:t>
      </w:r>
    </w:p>
    <w:p>
      <w:pPr>
        <w:ind w:firstLine="420" w:firstLineChars="200"/>
      </w:pPr>
      <w:r>
        <w:rPr>
          <w:rFonts w:hint="eastAsia"/>
        </w:rPr>
        <w:t>（2）中标人在收到中标通知书后，无正当理由拒签合同协议书或未按招标文件规定提交履约担保；</w:t>
      </w:r>
    </w:p>
    <w:p>
      <w:pPr>
        <w:ind w:firstLine="420" w:firstLineChars="200"/>
      </w:pPr>
      <w:r>
        <w:rPr>
          <w:rFonts w:hint="eastAsia"/>
        </w:rPr>
        <w:t>（3）其他不予退还投标保证金的情形。</w:t>
      </w:r>
    </w:p>
    <w:p>
      <w:pPr>
        <w:pStyle w:val="5"/>
        <w:spacing w:line="240" w:lineRule="auto"/>
      </w:pPr>
      <w:bookmarkStart w:id="167" w:name="_Toc296602441"/>
      <w:bookmarkStart w:id="168" w:name="_Toc247085710"/>
      <w:bookmarkStart w:id="169" w:name="_Toc144974520"/>
      <w:bookmarkStart w:id="170" w:name="_Toc152045552"/>
      <w:bookmarkStart w:id="171" w:name="_Toc179632570"/>
      <w:bookmarkStart w:id="172" w:name="_Toc152042328"/>
      <w:bookmarkStart w:id="173" w:name="_Toc246996939"/>
      <w:bookmarkStart w:id="174" w:name="_Toc246996196"/>
      <w:r>
        <w:rPr>
          <w:rFonts w:hint="eastAsia"/>
        </w:rPr>
        <w:t>3.5 资格审查资料</w:t>
      </w:r>
      <w:bookmarkEnd w:id="167"/>
      <w:bookmarkEnd w:id="168"/>
      <w:bookmarkEnd w:id="169"/>
      <w:bookmarkEnd w:id="170"/>
      <w:bookmarkEnd w:id="171"/>
      <w:bookmarkEnd w:id="172"/>
      <w:bookmarkEnd w:id="173"/>
      <w:bookmarkEnd w:id="174"/>
    </w:p>
    <w:p>
      <w:pPr>
        <w:ind w:firstLine="420" w:firstLineChars="200"/>
      </w:pPr>
      <w:r>
        <w:rPr>
          <w:rFonts w:hint="eastAsia"/>
        </w:rPr>
        <w:t>除投标人须知前附表另有规定外，投标人应按下列规定提供资格审查资料，以证明其满足本章第 1.4 款规定的资质、财务、业绩、信誉等要求。</w:t>
      </w:r>
    </w:p>
    <w:p>
      <w:pPr>
        <w:ind w:firstLine="420" w:firstLineChars="200"/>
      </w:pPr>
      <w:r>
        <w:rPr>
          <w:rFonts w:hint="eastAsia"/>
        </w:rPr>
        <w:t>3.5.1 “投标人基本情况表”应附投标人及其制造商（适用于代理经销商投标的情形） 资格或者资质证书副本和投标材料检验或认证等材料的复印件以及：</w:t>
      </w:r>
    </w:p>
    <w:p>
      <w:pPr>
        <w:ind w:firstLine="420" w:firstLineChars="200"/>
      </w:pPr>
      <w:r>
        <w:rPr>
          <w:rFonts w:hint="eastAsia"/>
        </w:rPr>
        <w:t>（1）投标人为企业的，应提交营业执照和组织机构代码证的复印件（按照“三证合一”或“五证合一”登记制度进行登记的，可仅提供营业执照复印件）；</w:t>
      </w:r>
    </w:p>
    <w:p>
      <w:pPr>
        <w:ind w:firstLine="420" w:firstLineChars="200"/>
      </w:pPr>
      <w:r>
        <w:rPr>
          <w:rFonts w:hint="eastAsia"/>
        </w:rPr>
        <w:t>（2）投标人为依法允许经营的事业单位的，应提交事业单位法人证书和组织机构代码证的复印件。</w:t>
      </w:r>
    </w:p>
    <w:p>
      <w:pPr>
        <w:ind w:firstLine="420" w:firstLineChars="200"/>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ind w:firstLine="420" w:firstLineChars="200"/>
      </w:pPr>
      <w:r>
        <w:rPr>
          <w:rFonts w:hint="eastAsia"/>
        </w:rPr>
        <w:t>3.5.3 “近年完成的类似项目情况表”应附中标通知书和（或）合同协议书、材料进场验收证书等的复印件， 具体时间要求见投标人须知前附表。每张表格只填写一个项目，并标明序号。</w:t>
      </w:r>
    </w:p>
    <w:p>
      <w:pPr>
        <w:ind w:firstLine="420" w:firstLineChars="200"/>
      </w:pPr>
      <w:r>
        <w:rPr>
          <w:rFonts w:hint="eastAsia"/>
        </w:rPr>
        <w:t>3.5.4 “正在供货和新承接的项目情况表”应附中标通知书和（或）合同协议书复印件。每张表格只填写一个项目，并标明序号。</w:t>
      </w:r>
    </w:p>
    <w:p>
      <w:pPr>
        <w:ind w:firstLine="420" w:firstLineChars="200"/>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ind w:firstLine="420" w:firstLineChars="200"/>
      </w:pPr>
      <w:r>
        <w:rPr>
          <w:rFonts w:hint="eastAsia"/>
        </w:rPr>
        <w:t>3.5.6  投标人须知前附表规定接受联合体投标的，本章第 3.5.1 项至第 3.5.5 项规定的表格和资料应包括联合体各方相关情况。</w:t>
      </w:r>
    </w:p>
    <w:p>
      <w:pPr>
        <w:pStyle w:val="5"/>
        <w:spacing w:line="240" w:lineRule="auto"/>
      </w:pPr>
      <w:bookmarkStart w:id="175" w:name="_Toc296602442"/>
      <w:bookmarkStart w:id="176" w:name="_Toc179632571"/>
      <w:bookmarkStart w:id="177" w:name="_Toc152045553"/>
      <w:bookmarkStart w:id="178" w:name="_Toc152042329"/>
      <w:bookmarkStart w:id="179" w:name="_Toc246996197"/>
      <w:bookmarkStart w:id="180" w:name="_Toc246996940"/>
      <w:bookmarkStart w:id="181" w:name="_Toc144974521"/>
      <w:bookmarkStart w:id="182" w:name="_Toc247085711"/>
      <w:r>
        <w:rPr>
          <w:rFonts w:hint="eastAsia"/>
        </w:rPr>
        <w:t>3.6</w:t>
      </w:r>
      <w:bookmarkEnd w:id="175"/>
      <w:r>
        <w:rPr>
          <w:rFonts w:hint="eastAsia"/>
        </w:rPr>
        <w:t>备选投标方案</w:t>
      </w:r>
    </w:p>
    <w:p>
      <w:pPr>
        <w:ind w:firstLine="420" w:firstLineChars="200"/>
      </w:pPr>
      <w:r>
        <w:rPr>
          <w:rFonts w:hint="eastAsia"/>
        </w:rPr>
        <w:t>3.6.1  除投标人须知前附表规定允许外，投标人不得递交备选投标方案， 否则其投标将被否决。</w:t>
      </w:r>
    </w:p>
    <w:p>
      <w:pPr>
        <w:ind w:firstLine="420" w:firstLineChars="200"/>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ind w:firstLine="420" w:firstLineChars="200"/>
      </w:pPr>
      <w:r>
        <w:rPr>
          <w:rFonts w:hint="eastAsia"/>
        </w:rPr>
        <w:t>3.6.3  投标人提供两个或两个以上投标报价，或者在投标文件中提供一个报价，但同时提供两个或两个以上供货方案的， 视为提供备选方案。</w:t>
      </w:r>
    </w:p>
    <w:p>
      <w:pPr>
        <w:pStyle w:val="5"/>
        <w:spacing w:line="240" w:lineRule="auto"/>
      </w:pPr>
      <w:r>
        <w:rPr>
          <w:rFonts w:hint="eastAsia"/>
        </w:rPr>
        <w:t>3.7  投标文件的编制</w:t>
      </w:r>
    </w:p>
    <w:p>
      <w:pPr>
        <w:ind w:firstLine="420" w:firstLineChars="200"/>
      </w:pPr>
      <w:r>
        <w:rPr>
          <w:rFonts w:hint="eastAsia"/>
        </w:rPr>
        <w:t>3.7.1  投标文件应按第六章“投标文件格式”进行编写，如有必要， 可以增加附页， 作为投标文件的组成部分。</w:t>
      </w:r>
    </w:p>
    <w:p>
      <w:pPr>
        <w:ind w:firstLine="420" w:firstLineChars="200"/>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ind w:firstLine="420" w:firstLineChars="200"/>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ind w:firstLine="420" w:firstLineChars="200"/>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ind w:firstLine="420" w:firstLineChars="200"/>
      </w:pPr>
      <w:r>
        <w:rPr>
          <w:rFonts w:hint="eastAsia"/>
        </w:rPr>
        <w:t>（3）投标文件的正本与副本应分别装订， 并编制目录， 投标文件需分册装订的， 具体分册装订要求见投标人须知前附表规定。</w:t>
      </w:r>
      <w:bookmarkEnd w:id="176"/>
      <w:bookmarkEnd w:id="177"/>
      <w:bookmarkEnd w:id="178"/>
      <w:bookmarkEnd w:id="179"/>
      <w:bookmarkEnd w:id="180"/>
      <w:bookmarkEnd w:id="181"/>
      <w:bookmarkEnd w:id="182"/>
      <w:bookmarkStart w:id="183" w:name="_Toc152045555"/>
      <w:bookmarkStart w:id="184" w:name="_Toc246996199"/>
      <w:bookmarkStart w:id="185" w:name="_Toc179632573"/>
      <w:bookmarkStart w:id="186" w:name="_Toc247085713"/>
      <w:bookmarkStart w:id="187" w:name="_Toc246996942"/>
      <w:bookmarkStart w:id="188" w:name="_Toc144974523"/>
      <w:bookmarkStart w:id="189" w:name="_Toc152042331"/>
    </w:p>
    <w:p>
      <w:pPr>
        <w:pStyle w:val="4"/>
        <w:spacing w:line="240" w:lineRule="auto"/>
      </w:pPr>
      <w:bookmarkStart w:id="190" w:name="_Toc296602443"/>
      <w:r>
        <w:rPr>
          <w:rFonts w:hint="eastAsia"/>
        </w:rPr>
        <w:t>4. 投标</w:t>
      </w:r>
      <w:bookmarkEnd w:id="183"/>
      <w:bookmarkEnd w:id="184"/>
      <w:bookmarkEnd w:id="185"/>
      <w:bookmarkEnd w:id="186"/>
      <w:bookmarkEnd w:id="187"/>
      <w:bookmarkEnd w:id="188"/>
      <w:bookmarkEnd w:id="189"/>
      <w:bookmarkEnd w:id="190"/>
    </w:p>
    <w:p>
      <w:pPr>
        <w:pStyle w:val="5"/>
        <w:spacing w:line="240" w:lineRule="auto"/>
      </w:pPr>
      <w:bookmarkStart w:id="191" w:name="_Toc152045556"/>
      <w:bookmarkStart w:id="192" w:name="_Toc152042332"/>
      <w:bookmarkStart w:id="193" w:name="_Toc144974524"/>
      <w:bookmarkStart w:id="194" w:name="_Toc247085714"/>
      <w:bookmarkStart w:id="195" w:name="_Toc246996200"/>
      <w:bookmarkStart w:id="196" w:name="_Toc179632574"/>
      <w:bookmarkStart w:id="197" w:name="_Toc246996943"/>
      <w:bookmarkStart w:id="198" w:name="_Toc296602444"/>
      <w:r>
        <w:rPr>
          <w:rFonts w:hint="eastAsia"/>
        </w:rPr>
        <w:t>4.1 投标文件的密封和标记</w:t>
      </w:r>
      <w:bookmarkEnd w:id="191"/>
      <w:bookmarkEnd w:id="192"/>
      <w:bookmarkEnd w:id="193"/>
      <w:bookmarkEnd w:id="194"/>
      <w:bookmarkEnd w:id="195"/>
      <w:bookmarkEnd w:id="196"/>
      <w:bookmarkEnd w:id="197"/>
      <w:bookmarkEnd w:id="198"/>
    </w:p>
    <w:p>
      <w:pPr>
        <w:ind w:firstLine="420" w:firstLineChars="200"/>
      </w:pPr>
      <w:bookmarkStart w:id="199" w:name="_Toc246996944"/>
      <w:bookmarkStart w:id="200" w:name="_Toc152045557"/>
      <w:bookmarkStart w:id="201" w:name="_Toc247085715"/>
      <w:bookmarkStart w:id="202" w:name="_Toc179632575"/>
      <w:bookmarkStart w:id="203" w:name="_Toc246996201"/>
      <w:bookmarkStart w:id="204" w:name="_Toc144974525"/>
      <w:bookmarkStart w:id="205" w:name="_Toc152042333"/>
      <w:r>
        <w:rPr>
          <w:rFonts w:hint="eastAsia"/>
        </w:rPr>
        <w:t>4.1.1 （A）投标文件应密封包装，并在封套的封口处加盖投标人单位章或由投标人的法定代表人（单位负责人）或其授权的代理人签字。</w:t>
      </w:r>
    </w:p>
    <w:p>
      <w:pPr>
        <w:ind w:firstLine="420" w:firstLineChars="200"/>
      </w:pPr>
      <w:r>
        <w:rPr>
          <w:rFonts w:hint="eastAsia"/>
        </w:rPr>
        <w:t>4.1.2  投标文件封套上应写明的内容见投标人须知前附表。</w:t>
      </w:r>
    </w:p>
    <w:p>
      <w:pPr>
        <w:ind w:firstLine="420" w:firstLineChars="200"/>
      </w:pPr>
      <w:r>
        <w:rPr>
          <w:rFonts w:hint="eastAsia"/>
        </w:rPr>
        <w:t>4.1.3  未按本章第 4.1.1 项要求密封的投标文件，招标人将予以拒收。</w:t>
      </w:r>
    </w:p>
    <w:p>
      <w:pPr>
        <w:pStyle w:val="5"/>
        <w:spacing w:line="240" w:lineRule="auto"/>
      </w:pPr>
      <w:bookmarkStart w:id="206" w:name="_Toc296602445"/>
      <w:r>
        <w:rPr>
          <w:rFonts w:hint="eastAsia"/>
        </w:rPr>
        <w:t>4.2 投标文件的递交</w:t>
      </w:r>
      <w:bookmarkEnd w:id="199"/>
      <w:bookmarkEnd w:id="200"/>
      <w:bookmarkEnd w:id="201"/>
      <w:bookmarkEnd w:id="202"/>
      <w:bookmarkEnd w:id="203"/>
      <w:bookmarkEnd w:id="204"/>
      <w:bookmarkEnd w:id="205"/>
      <w:bookmarkEnd w:id="206"/>
    </w:p>
    <w:p>
      <w:pPr>
        <w:ind w:firstLine="420" w:firstLineChars="200"/>
      </w:pPr>
      <w:r>
        <w:rPr>
          <w:rFonts w:hint="eastAsia"/>
        </w:rPr>
        <w:t>4.2.1  投标人应在投标人须知前附表规定的投标截止时间前递交投标文件。</w:t>
      </w:r>
    </w:p>
    <w:p>
      <w:pPr>
        <w:ind w:firstLine="420" w:firstLineChars="200"/>
      </w:pPr>
      <w:r>
        <w:rPr>
          <w:rFonts w:hint="eastAsia"/>
        </w:rPr>
        <w:t>4.2.2  投标人递交投标文件的地点： 见投标人须知前附表。</w:t>
      </w:r>
    </w:p>
    <w:p>
      <w:pPr>
        <w:ind w:firstLine="420" w:firstLineChars="200"/>
      </w:pPr>
      <w:r>
        <w:rPr>
          <w:rFonts w:hint="eastAsia"/>
        </w:rPr>
        <w:t>4.2.3  除投标人须知前附表另有规定外，投标人所递交的投标文件不予退还。</w:t>
      </w:r>
    </w:p>
    <w:p>
      <w:pPr>
        <w:ind w:firstLine="420" w:firstLineChars="200"/>
      </w:pPr>
      <w:r>
        <w:rPr>
          <w:rFonts w:hint="eastAsia"/>
        </w:rPr>
        <w:t>4.2.4  逾期送达的投标文件，招标人将予以拒收。</w:t>
      </w:r>
    </w:p>
    <w:p>
      <w:pPr>
        <w:pStyle w:val="5"/>
        <w:spacing w:line="240" w:lineRule="auto"/>
      </w:pPr>
      <w:bookmarkStart w:id="207" w:name="_Toc144974526"/>
      <w:bookmarkStart w:id="208" w:name="_Toc246996945"/>
      <w:bookmarkStart w:id="209" w:name="_Toc152045558"/>
      <w:bookmarkStart w:id="210" w:name="_Toc179632576"/>
      <w:bookmarkStart w:id="211" w:name="_Toc246996202"/>
      <w:bookmarkStart w:id="212" w:name="_Toc152042334"/>
      <w:bookmarkStart w:id="213" w:name="_Toc247085716"/>
      <w:bookmarkStart w:id="214" w:name="_Toc296602446"/>
      <w:r>
        <w:rPr>
          <w:rFonts w:hint="eastAsia"/>
        </w:rPr>
        <w:t>4.3 投标文件的修改与撤回</w:t>
      </w:r>
      <w:bookmarkEnd w:id="207"/>
      <w:bookmarkEnd w:id="208"/>
      <w:bookmarkEnd w:id="209"/>
      <w:bookmarkEnd w:id="210"/>
      <w:bookmarkEnd w:id="211"/>
      <w:bookmarkEnd w:id="212"/>
      <w:bookmarkEnd w:id="213"/>
      <w:bookmarkEnd w:id="214"/>
    </w:p>
    <w:p>
      <w:pPr>
        <w:ind w:firstLine="420" w:firstLineChars="200"/>
      </w:pPr>
      <w:r>
        <w:rPr>
          <w:rFonts w:hint="eastAsia"/>
        </w:rPr>
        <w:t>4.3.1  在本章第 4.2.1 项规定的投标截止时间前，投标人可以修改或撤回已递交的投标文件，但应以书面形式通知招标人。</w:t>
      </w:r>
    </w:p>
    <w:p>
      <w:pPr>
        <w:ind w:firstLine="420" w:firstLineChars="200"/>
      </w:pPr>
      <w:r>
        <w:rPr>
          <w:rFonts w:hint="eastAsia"/>
        </w:rPr>
        <w:t>4.3.2  投标人修改或撤回已递交投标文件的书面通知应按照本章第 3.7.3（A）项的要</w:t>
      </w:r>
    </w:p>
    <w:p>
      <w:pPr>
        <w:ind w:firstLine="420" w:firstLineChars="200"/>
      </w:pPr>
      <w:r>
        <w:rPr>
          <w:rFonts w:hint="eastAsia"/>
        </w:rPr>
        <w:t>求签字或盖章。招标人收到书面通知后， 向投标人出具签收凭证。</w:t>
      </w:r>
    </w:p>
    <w:p>
      <w:pPr>
        <w:ind w:firstLine="420" w:firstLineChars="200"/>
      </w:pPr>
      <w:r>
        <w:rPr>
          <w:rFonts w:hint="eastAsia"/>
        </w:rPr>
        <w:t>4.3.3  投标人撤回投标文件的，招标人自收到投标人书面撤回通知之日起 5 日内退还已收取的投标保证金。</w:t>
      </w:r>
    </w:p>
    <w:p>
      <w:pPr>
        <w:ind w:firstLine="420" w:firstLineChars="200"/>
      </w:pPr>
      <w:r>
        <w:rPr>
          <w:rFonts w:hint="eastAsia"/>
        </w:rPr>
        <w:t>4.3.4  修改的内容为投标文件的组成部分。修改的投标文件应按照本章第 3 条、第 4 条的规定进行编制、密封、标记和递交，并标明“修改”字样。</w:t>
      </w:r>
    </w:p>
    <w:p>
      <w:pPr>
        <w:pStyle w:val="4"/>
        <w:spacing w:line="240" w:lineRule="auto"/>
      </w:pPr>
      <w:bookmarkStart w:id="215" w:name="_Toc179632577"/>
      <w:bookmarkStart w:id="216" w:name="_Toc246996946"/>
      <w:bookmarkStart w:id="217" w:name="_Toc152042335"/>
      <w:bookmarkStart w:id="218" w:name="_Toc144974527"/>
      <w:bookmarkStart w:id="219" w:name="_Toc152045559"/>
      <w:bookmarkStart w:id="220" w:name="_Toc247085717"/>
      <w:bookmarkStart w:id="221" w:name="_Toc296602447"/>
      <w:bookmarkStart w:id="222" w:name="_Toc246996203"/>
      <w:r>
        <w:rPr>
          <w:rFonts w:hint="eastAsia"/>
        </w:rPr>
        <w:t>5. 开标</w:t>
      </w:r>
      <w:bookmarkEnd w:id="215"/>
      <w:bookmarkEnd w:id="216"/>
      <w:bookmarkEnd w:id="217"/>
      <w:bookmarkEnd w:id="218"/>
      <w:bookmarkEnd w:id="219"/>
      <w:bookmarkEnd w:id="220"/>
      <w:bookmarkEnd w:id="221"/>
      <w:bookmarkEnd w:id="222"/>
    </w:p>
    <w:p>
      <w:pPr>
        <w:pStyle w:val="5"/>
        <w:spacing w:line="240" w:lineRule="auto"/>
      </w:pPr>
      <w:bookmarkStart w:id="223" w:name="_Toc152042336"/>
      <w:bookmarkStart w:id="224" w:name="_Toc152045560"/>
      <w:bookmarkStart w:id="225" w:name="_Toc296602448"/>
      <w:bookmarkStart w:id="226" w:name="_Toc144974528"/>
      <w:bookmarkStart w:id="227" w:name="_Toc246996204"/>
      <w:bookmarkStart w:id="228" w:name="_Toc247085718"/>
      <w:bookmarkStart w:id="229" w:name="_Toc246996947"/>
      <w:bookmarkStart w:id="230" w:name="_Toc179632578"/>
      <w:r>
        <w:rPr>
          <w:rFonts w:hint="eastAsia"/>
        </w:rPr>
        <w:t>5.1 开标时间和地点</w:t>
      </w:r>
      <w:bookmarkEnd w:id="223"/>
      <w:bookmarkEnd w:id="224"/>
      <w:bookmarkEnd w:id="225"/>
      <w:bookmarkEnd w:id="226"/>
      <w:bookmarkEnd w:id="227"/>
      <w:bookmarkEnd w:id="228"/>
      <w:bookmarkEnd w:id="229"/>
      <w:bookmarkEnd w:id="230"/>
    </w:p>
    <w:p>
      <w:pPr>
        <w:ind w:firstLine="420" w:firstLineChars="200"/>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5"/>
        <w:spacing w:line="240" w:lineRule="auto"/>
      </w:pPr>
      <w:bookmarkStart w:id="231" w:name="_Toc246996205"/>
      <w:bookmarkStart w:id="232" w:name="_Toc179632579"/>
      <w:bookmarkStart w:id="233" w:name="_Toc144974529"/>
      <w:bookmarkStart w:id="234" w:name="_Toc152042337"/>
      <w:bookmarkStart w:id="235" w:name="_Toc247085719"/>
      <w:bookmarkStart w:id="236" w:name="_Toc152045561"/>
      <w:bookmarkStart w:id="237" w:name="_Toc296602449"/>
      <w:bookmarkStart w:id="238" w:name="_Toc246996948"/>
      <w:r>
        <w:rPr>
          <w:rFonts w:hint="eastAsia"/>
        </w:rPr>
        <w:t>5.2 开标程序</w:t>
      </w:r>
      <w:bookmarkEnd w:id="231"/>
      <w:bookmarkEnd w:id="232"/>
      <w:bookmarkEnd w:id="233"/>
      <w:bookmarkEnd w:id="234"/>
      <w:bookmarkEnd w:id="235"/>
      <w:bookmarkEnd w:id="236"/>
      <w:bookmarkEnd w:id="237"/>
      <w:bookmarkEnd w:id="238"/>
    </w:p>
    <w:p>
      <w:pPr>
        <w:ind w:firstLine="359" w:firstLineChars="171"/>
      </w:pPr>
      <w:r>
        <w:rPr>
          <w:rFonts w:hint="eastAsia"/>
        </w:rPr>
        <w:t>5.2.1主持人按下列程序进行开标：</w:t>
      </w:r>
    </w:p>
    <w:p>
      <w:pPr>
        <w:ind w:firstLine="359" w:firstLineChars="171"/>
      </w:pPr>
      <w:r>
        <w:rPr>
          <w:rFonts w:hint="eastAsia"/>
        </w:rPr>
        <w:t>（1）宣布开标纪律；</w:t>
      </w:r>
    </w:p>
    <w:p>
      <w:pPr>
        <w:ind w:firstLine="359" w:firstLineChars="171"/>
      </w:pPr>
      <w:r>
        <w:rPr>
          <w:rFonts w:hint="eastAsia"/>
        </w:rPr>
        <w:t>（2）公布在投标截止时间前递交投标文件的投标人名称；</w:t>
      </w:r>
    </w:p>
    <w:p>
      <w:pPr>
        <w:ind w:firstLine="359" w:firstLineChars="171"/>
      </w:pPr>
      <w:r>
        <w:rPr>
          <w:rFonts w:hint="eastAsia"/>
        </w:rPr>
        <w:t>（3）宣布开标人、唱标人、记录人、监标人等有关人员（如有）姓名；</w:t>
      </w:r>
    </w:p>
    <w:p>
      <w:pPr>
        <w:ind w:firstLine="359" w:firstLineChars="171"/>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ind w:firstLine="359" w:firstLineChars="171"/>
      </w:pPr>
      <w:r>
        <w:rPr>
          <w:rFonts w:hint="eastAsia"/>
        </w:rPr>
        <w:t>（5）投标人代表、招标人代表、监标人、记录人等有关人员（如有）在开标记录上签字确认；</w:t>
      </w:r>
    </w:p>
    <w:p>
      <w:pPr>
        <w:ind w:firstLine="359" w:firstLineChars="171"/>
      </w:pPr>
      <w:r>
        <w:rPr>
          <w:rFonts w:hint="eastAsia"/>
        </w:rPr>
        <w:t>（6）开标结束。</w:t>
      </w:r>
    </w:p>
    <w:p>
      <w:pPr>
        <w:ind w:firstLine="359" w:firstLineChars="171"/>
      </w:pPr>
      <w:r>
        <w:rPr>
          <w:rFonts w:hint="eastAsia"/>
        </w:rPr>
        <w:t>5.2.2如有询标事宜，评标委员会向投标人发起询标。投标人应在规定的时间内（从评标委员会发起询标起不超过30分钟）对询标内容进行答复，否则视为放弃答复。</w:t>
      </w:r>
    </w:p>
    <w:p>
      <w:pPr>
        <w:pStyle w:val="5"/>
        <w:spacing w:line="240" w:lineRule="auto"/>
      </w:pPr>
      <w:bookmarkStart w:id="239" w:name="_Toc296602450"/>
      <w:r>
        <w:rPr>
          <w:rFonts w:hint="eastAsia"/>
        </w:rPr>
        <w:t>5.3 开标异议</w:t>
      </w:r>
      <w:bookmarkEnd w:id="239"/>
    </w:p>
    <w:p>
      <w:pPr>
        <w:ind w:firstLine="359" w:firstLineChars="171"/>
      </w:pPr>
      <w:r>
        <w:rPr>
          <w:rFonts w:hint="eastAsia"/>
        </w:rPr>
        <w:t>投标人对开标有异议的，应当在开标现场提出，招标人当场作出答复，并制作记录。</w:t>
      </w:r>
    </w:p>
    <w:p>
      <w:pPr>
        <w:pStyle w:val="4"/>
        <w:spacing w:line="240" w:lineRule="auto"/>
      </w:pPr>
      <w:bookmarkStart w:id="240" w:name="_Toc247085720"/>
      <w:bookmarkStart w:id="241" w:name="_Toc144974530"/>
      <w:bookmarkStart w:id="242" w:name="_Toc246996206"/>
      <w:bookmarkStart w:id="243" w:name="_Toc246996949"/>
      <w:bookmarkStart w:id="244" w:name="_Toc179632580"/>
      <w:bookmarkStart w:id="245" w:name="_Toc296602451"/>
      <w:bookmarkStart w:id="246" w:name="_Toc152045562"/>
      <w:bookmarkStart w:id="247" w:name="_Toc152042338"/>
      <w:r>
        <w:rPr>
          <w:rFonts w:hint="eastAsia"/>
        </w:rPr>
        <w:t>6. 评标</w:t>
      </w:r>
      <w:bookmarkEnd w:id="240"/>
      <w:bookmarkEnd w:id="241"/>
      <w:bookmarkEnd w:id="242"/>
      <w:bookmarkEnd w:id="243"/>
      <w:bookmarkEnd w:id="244"/>
      <w:bookmarkEnd w:id="245"/>
      <w:bookmarkEnd w:id="246"/>
      <w:bookmarkEnd w:id="247"/>
    </w:p>
    <w:p>
      <w:pPr>
        <w:pStyle w:val="5"/>
        <w:spacing w:line="240" w:lineRule="auto"/>
      </w:pPr>
      <w:bookmarkStart w:id="248" w:name="_Toc247085721"/>
      <w:bookmarkStart w:id="249" w:name="_Toc246996207"/>
      <w:bookmarkStart w:id="250" w:name="_Toc144974531"/>
      <w:bookmarkStart w:id="251" w:name="_Toc179632581"/>
      <w:bookmarkStart w:id="252" w:name="_Toc246996950"/>
      <w:bookmarkStart w:id="253" w:name="_Toc152045563"/>
      <w:bookmarkStart w:id="254" w:name="_Toc152042339"/>
      <w:bookmarkStart w:id="255" w:name="_Toc296602452"/>
      <w:r>
        <w:rPr>
          <w:rFonts w:hint="eastAsia"/>
        </w:rPr>
        <w:t>6.1 评标委员会</w:t>
      </w:r>
      <w:bookmarkEnd w:id="248"/>
      <w:bookmarkEnd w:id="249"/>
      <w:bookmarkEnd w:id="250"/>
      <w:bookmarkEnd w:id="251"/>
      <w:bookmarkEnd w:id="252"/>
      <w:bookmarkEnd w:id="253"/>
      <w:bookmarkEnd w:id="254"/>
      <w:bookmarkEnd w:id="255"/>
    </w:p>
    <w:p>
      <w:pPr>
        <w:ind w:firstLine="359" w:firstLineChars="171"/>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ind w:firstLine="359" w:firstLineChars="171"/>
      </w:pPr>
      <w:r>
        <w:rPr>
          <w:rFonts w:hint="eastAsia"/>
        </w:rPr>
        <w:t>6.1.2  评标委员会成员有下列情形之一的， 应当回避：</w:t>
      </w:r>
    </w:p>
    <w:p>
      <w:pPr>
        <w:ind w:firstLine="359" w:firstLineChars="171"/>
      </w:pPr>
      <w:r>
        <w:rPr>
          <w:rFonts w:hint="eastAsia"/>
        </w:rPr>
        <w:t>（1）投标人或投标人主要负责人的近亲属；</w:t>
      </w:r>
    </w:p>
    <w:p>
      <w:pPr>
        <w:ind w:firstLine="359" w:firstLineChars="171"/>
      </w:pPr>
      <w:r>
        <w:rPr>
          <w:rFonts w:hint="eastAsia"/>
        </w:rPr>
        <w:t>（2）项目主管部门或者行政监督部门的人员；</w:t>
      </w:r>
    </w:p>
    <w:p>
      <w:pPr>
        <w:ind w:firstLine="359" w:firstLineChars="171"/>
      </w:pPr>
      <w:r>
        <w:rPr>
          <w:rFonts w:hint="eastAsia"/>
        </w:rPr>
        <w:t>（3）与投标人有经济利益关系， 可能影响对投标公正评审的；</w:t>
      </w:r>
    </w:p>
    <w:p>
      <w:pPr>
        <w:ind w:firstLine="359" w:firstLineChars="171"/>
      </w:pPr>
      <w:r>
        <w:rPr>
          <w:rFonts w:hint="eastAsia"/>
        </w:rPr>
        <w:t>（4）曾因在招标、评标以及其他与招标投标有关活动中从事违法行为而受过行政处罚</w:t>
      </w:r>
    </w:p>
    <w:p>
      <w:r>
        <w:rPr>
          <w:rFonts w:hint="eastAsia"/>
        </w:rPr>
        <w:t>或刑事处罚的；</w:t>
      </w:r>
    </w:p>
    <w:p>
      <w:pPr>
        <w:ind w:firstLine="359" w:firstLineChars="171"/>
      </w:pPr>
      <w:r>
        <w:rPr>
          <w:rFonts w:hint="eastAsia"/>
        </w:rPr>
        <w:t>（5）与投标人有其他利害关系。</w:t>
      </w:r>
    </w:p>
    <w:p>
      <w:pPr>
        <w:ind w:firstLine="359" w:firstLineChars="171"/>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5"/>
        <w:spacing w:line="240" w:lineRule="auto"/>
      </w:pPr>
      <w:bookmarkStart w:id="256" w:name="_Toc246996951"/>
      <w:bookmarkStart w:id="257" w:name="_Toc296602453"/>
      <w:bookmarkStart w:id="258" w:name="_Toc144974532"/>
      <w:bookmarkStart w:id="259" w:name="_Toc152042340"/>
      <w:bookmarkStart w:id="260" w:name="_Toc247085722"/>
      <w:bookmarkStart w:id="261" w:name="_Toc152045564"/>
      <w:bookmarkStart w:id="262" w:name="_Toc179632582"/>
      <w:bookmarkStart w:id="263" w:name="_Toc246996208"/>
      <w:r>
        <w:rPr>
          <w:rFonts w:hint="eastAsia"/>
        </w:rPr>
        <w:t>6.2 评标原则</w:t>
      </w:r>
      <w:bookmarkEnd w:id="256"/>
      <w:bookmarkEnd w:id="257"/>
      <w:bookmarkEnd w:id="258"/>
      <w:bookmarkEnd w:id="259"/>
      <w:bookmarkEnd w:id="260"/>
      <w:bookmarkEnd w:id="261"/>
      <w:bookmarkEnd w:id="262"/>
      <w:bookmarkEnd w:id="263"/>
    </w:p>
    <w:p>
      <w:pPr>
        <w:ind w:firstLine="420" w:firstLineChars="200"/>
      </w:pPr>
      <w:r>
        <w:rPr>
          <w:rFonts w:hint="eastAsia"/>
        </w:rPr>
        <w:t>评标活动遵循公平、公正、科学和择优的原则。</w:t>
      </w:r>
    </w:p>
    <w:p>
      <w:pPr>
        <w:pStyle w:val="5"/>
        <w:spacing w:line="240" w:lineRule="auto"/>
      </w:pPr>
      <w:bookmarkStart w:id="264" w:name="_Toc246996209"/>
      <w:bookmarkStart w:id="265" w:name="_Toc179632583"/>
      <w:bookmarkStart w:id="266" w:name="_Toc247085723"/>
      <w:bookmarkStart w:id="267" w:name="_Toc152045565"/>
      <w:bookmarkStart w:id="268" w:name="_Toc144974533"/>
      <w:bookmarkStart w:id="269" w:name="_Toc296602454"/>
      <w:bookmarkStart w:id="270" w:name="_Toc152042341"/>
      <w:bookmarkStart w:id="271" w:name="_Toc246996952"/>
      <w:r>
        <w:rPr>
          <w:rFonts w:hint="eastAsia"/>
        </w:rPr>
        <w:t>6.3 评标</w:t>
      </w:r>
      <w:bookmarkEnd w:id="264"/>
      <w:bookmarkEnd w:id="265"/>
      <w:bookmarkEnd w:id="266"/>
      <w:bookmarkEnd w:id="267"/>
      <w:bookmarkEnd w:id="268"/>
      <w:bookmarkEnd w:id="269"/>
      <w:bookmarkEnd w:id="270"/>
      <w:bookmarkEnd w:id="271"/>
    </w:p>
    <w:p>
      <w:pPr>
        <w:ind w:firstLine="420" w:firstLineChars="200"/>
      </w:pPr>
      <w:r>
        <w:rPr>
          <w:rFonts w:hint="eastAsia"/>
        </w:rPr>
        <w:t>6.3.1 评标委员会按照第三章“评标办法”规定的方法、评审因素、标准和程序对投标文件进行评审。第三章“评标办法”没有规定的方法、评审因素和标准， 不作为评标依据。</w:t>
      </w:r>
    </w:p>
    <w:p>
      <w:pPr>
        <w:ind w:firstLine="420" w:firstLineChars="200"/>
      </w:pPr>
      <w:r>
        <w:rPr>
          <w:rFonts w:hint="eastAsia"/>
        </w:rPr>
        <w:t>6.3.2 评标完成后， 评标委员会应当向招标人提交书面评标报告和中标候选人名单。评标委员会推荐中标候选人的人数见投标人须知前附表。</w:t>
      </w:r>
    </w:p>
    <w:p>
      <w:pPr>
        <w:pStyle w:val="4"/>
        <w:spacing w:line="240" w:lineRule="auto"/>
      </w:pPr>
      <w:bookmarkStart w:id="272" w:name="_Toc144974534"/>
      <w:bookmarkStart w:id="273" w:name="_Toc152042342"/>
      <w:bookmarkStart w:id="274" w:name="_Toc246996210"/>
      <w:bookmarkStart w:id="275" w:name="_Toc179632584"/>
      <w:bookmarkStart w:id="276" w:name="_Toc296602455"/>
      <w:bookmarkStart w:id="277" w:name="_Toc246996953"/>
      <w:bookmarkStart w:id="278" w:name="_Toc152045566"/>
      <w:bookmarkStart w:id="279" w:name="_Toc247085724"/>
      <w:r>
        <w:rPr>
          <w:rFonts w:hint="eastAsia"/>
        </w:rPr>
        <w:t>7. 合同授予</w:t>
      </w:r>
      <w:bookmarkEnd w:id="272"/>
      <w:bookmarkEnd w:id="273"/>
      <w:bookmarkEnd w:id="274"/>
      <w:bookmarkEnd w:id="275"/>
      <w:bookmarkEnd w:id="276"/>
      <w:bookmarkEnd w:id="277"/>
      <w:bookmarkEnd w:id="278"/>
      <w:bookmarkEnd w:id="279"/>
    </w:p>
    <w:p>
      <w:pPr>
        <w:pStyle w:val="5"/>
        <w:spacing w:line="240" w:lineRule="auto"/>
      </w:pPr>
      <w:bookmarkStart w:id="280" w:name="_Toc296602457"/>
      <w:r>
        <w:rPr>
          <w:rFonts w:hint="eastAsia"/>
        </w:rPr>
        <w:t>7.1 中标候选人公示</w:t>
      </w:r>
      <w:bookmarkEnd w:id="280"/>
    </w:p>
    <w:p>
      <w:pPr>
        <w:ind w:firstLine="420" w:firstLineChars="200"/>
      </w:pPr>
      <w:r>
        <w:rPr>
          <w:rFonts w:hint="eastAsia"/>
        </w:rPr>
        <w:t>招标人在收到评标报告之日起 3 日内， 按照投标人须知前附表规定的公示媒介和期限公示中标候选人，公示期不得少于 3 天。</w:t>
      </w:r>
    </w:p>
    <w:p>
      <w:pPr>
        <w:pStyle w:val="5"/>
        <w:spacing w:line="240" w:lineRule="auto"/>
      </w:pPr>
      <w:bookmarkStart w:id="281" w:name="_Toc152045568"/>
      <w:bookmarkStart w:id="282" w:name="_Toc246996955"/>
      <w:bookmarkStart w:id="283" w:name="_Toc152042344"/>
      <w:bookmarkStart w:id="284" w:name="_Toc179632586"/>
      <w:bookmarkStart w:id="285" w:name="_Toc296602458"/>
      <w:bookmarkStart w:id="286" w:name="_Toc247085726"/>
      <w:bookmarkStart w:id="287" w:name="_Toc246996212"/>
      <w:bookmarkStart w:id="288" w:name="_Toc144974536"/>
      <w:r>
        <w:rPr>
          <w:rFonts w:hint="eastAsia"/>
        </w:rPr>
        <w:t xml:space="preserve">7.2 </w:t>
      </w:r>
      <w:bookmarkEnd w:id="281"/>
      <w:bookmarkEnd w:id="282"/>
      <w:bookmarkEnd w:id="283"/>
      <w:bookmarkEnd w:id="284"/>
      <w:bookmarkEnd w:id="285"/>
      <w:bookmarkEnd w:id="286"/>
      <w:bookmarkEnd w:id="287"/>
      <w:bookmarkEnd w:id="288"/>
      <w:r>
        <w:rPr>
          <w:rFonts w:hint="eastAsia"/>
        </w:rPr>
        <w:t>评标结果异议</w:t>
      </w:r>
    </w:p>
    <w:p>
      <w:pPr>
        <w:ind w:firstLine="420" w:firstLineChars="200"/>
      </w:pPr>
      <w:r>
        <w:rPr>
          <w:rFonts w:hint="eastAsia"/>
        </w:rPr>
        <w:t>投标人或者其他利害关系人对评标结果有异议的， 应当在中标候选人公示期间提出。招标人将在收到异议之日起 3 日内作出答复； 作出答复前，将暂停招标投标活动。</w:t>
      </w:r>
    </w:p>
    <w:p>
      <w:pPr>
        <w:pStyle w:val="5"/>
        <w:spacing w:line="240" w:lineRule="auto"/>
      </w:pPr>
      <w:bookmarkStart w:id="289" w:name="_Toc247085727"/>
      <w:bookmarkStart w:id="290" w:name="_Toc152042345"/>
      <w:bookmarkStart w:id="291" w:name="_Toc179632587"/>
      <w:bookmarkStart w:id="292" w:name="_Toc246996213"/>
      <w:bookmarkStart w:id="293" w:name="_Toc296602459"/>
      <w:bookmarkStart w:id="294" w:name="_Toc152045569"/>
      <w:bookmarkStart w:id="295" w:name="_Toc144974537"/>
      <w:bookmarkStart w:id="296" w:name="_Toc246996956"/>
      <w:r>
        <w:rPr>
          <w:rFonts w:hint="eastAsia"/>
        </w:rPr>
        <w:t xml:space="preserve">7.3 </w:t>
      </w:r>
      <w:bookmarkEnd w:id="289"/>
      <w:bookmarkEnd w:id="290"/>
      <w:bookmarkEnd w:id="291"/>
      <w:bookmarkEnd w:id="292"/>
      <w:bookmarkEnd w:id="293"/>
      <w:bookmarkEnd w:id="294"/>
      <w:bookmarkEnd w:id="295"/>
      <w:bookmarkEnd w:id="296"/>
      <w:r>
        <w:rPr>
          <w:rFonts w:hint="eastAsia"/>
        </w:rPr>
        <w:t>中标候选人履约能力审查</w:t>
      </w:r>
    </w:p>
    <w:p>
      <w:pPr>
        <w:ind w:firstLine="420" w:firstLineChars="200"/>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5"/>
        <w:spacing w:line="240" w:lineRule="auto"/>
      </w:pPr>
      <w:bookmarkStart w:id="297" w:name="_Toc296602460"/>
      <w:bookmarkStart w:id="298" w:name="_Toc246996957"/>
      <w:bookmarkStart w:id="299" w:name="_Toc152045570"/>
      <w:bookmarkStart w:id="300" w:name="_Toc152042346"/>
      <w:bookmarkStart w:id="301" w:name="_Toc144974538"/>
      <w:bookmarkStart w:id="302" w:name="_Toc179632588"/>
      <w:bookmarkStart w:id="303" w:name="_Toc246996214"/>
      <w:bookmarkStart w:id="304" w:name="_Toc247085728"/>
      <w:r>
        <w:rPr>
          <w:rFonts w:hint="eastAsia"/>
        </w:rPr>
        <w:t xml:space="preserve">7.4 </w:t>
      </w:r>
      <w:bookmarkEnd w:id="297"/>
      <w:bookmarkEnd w:id="298"/>
      <w:bookmarkEnd w:id="299"/>
      <w:bookmarkEnd w:id="300"/>
      <w:bookmarkEnd w:id="301"/>
      <w:bookmarkEnd w:id="302"/>
      <w:bookmarkEnd w:id="303"/>
      <w:bookmarkEnd w:id="304"/>
      <w:r>
        <w:rPr>
          <w:rFonts w:hint="eastAsia"/>
        </w:rPr>
        <w:t>定标</w:t>
      </w:r>
    </w:p>
    <w:p>
      <w:pPr>
        <w:ind w:firstLine="420" w:firstLineChars="200"/>
      </w:pPr>
      <w:r>
        <w:rPr>
          <w:rFonts w:hint="eastAsia"/>
        </w:rPr>
        <w:t>按照投标人须知前附表的规定， 招标人或招标人授权的评标委员会依法确定中标人。</w:t>
      </w:r>
    </w:p>
    <w:p>
      <w:pPr>
        <w:pStyle w:val="5"/>
        <w:spacing w:line="240" w:lineRule="auto"/>
      </w:pPr>
      <w:r>
        <w:rPr>
          <w:rFonts w:hint="eastAsia"/>
        </w:rPr>
        <w:t>7.5 中标通知</w:t>
      </w:r>
    </w:p>
    <w:p>
      <w:pPr>
        <w:ind w:firstLine="420" w:firstLineChars="200"/>
      </w:pPr>
      <w:r>
        <w:rPr>
          <w:rFonts w:hint="eastAsia"/>
        </w:rPr>
        <w:t>在本章第 3.3 款规定的投标有效期内，招标人以书面形式向中标人发出中标通知书，同时将中标结果通知未中标的投标人。</w:t>
      </w:r>
    </w:p>
    <w:p>
      <w:pPr>
        <w:pStyle w:val="5"/>
        <w:spacing w:line="240" w:lineRule="auto"/>
      </w:pPr>
      <w:r>
        <w:rPr>
          <w:rFonts w:hint="eastAsia"/>
        </w:rPr>
        <w:t>7.6 履约保证金</w:t>
      </w:r>
    </w:p>
    <w:p>
      <w:pPr>
        <w:ind w:firstLine="420" w:firstLineChars="200"/>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ind w:firstLine="420" w:firstLineChars="200"/>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5"/>
        <w:spacing w:line="240" w:lineRule="auto"/>
      </w:pPr>
      <w:r>
        <w:rPr>
          <w:rFonts w:hint="eastAsia"/>
        </w:rPr>
        <w:t>7.7 签订合同</w:t>
      </w:r>
    </w:p>
    <w:p>
      <w:pPr>
        <w:ind w:firstLine="420" w:firstLineChars="200"/>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ind w:firstLine="420" w:firstLineChars="200"/>
      </w:pPr>
      <w:r>
        <w:rPr>
          <w:rFonts w:hint="eastAsia"/>
        </w:rPr>
        <w:t>7.7.2  发出中标通知书后， 招标人无正当理由拒签合同， 或者在签订合同时向中标人提出附加条件的， 招标人向中标人退还投标保证金； 给中标人造成损失的，还应当赔偿损失。</w:t>
      </w:r>
    </w:p>
    <w:p>
      <w:pPr>
        <w:ind w:firstLine="420" w:firstLineChars="200"/>
      </w:pPr>
      <w:r>
        <w:rPr>
          <w:rFonts w:hint="eastAsia"/>
        </w:rPr>
        <w:t>7.7.3 联合体中标的， 联合体各方应当共同与招标人签订合同， 就中标项目向招标人承担连带责任。</w:t>
      </w:r>
    </w:p>
    <w:p>
      <w:pPr>
        <w:ind w:firstLine="420" w:firstLineChars="200"/>
      </w:pPr>
    </w:p>
    <w:p>
      <w:pPr>
        <w:pStyle w:val="4"/>
        <w:spacing w:line="240" w:lineRule="auto"/>
      </w:pPr>
      <w:bookmarkStart w:id="305" w:name="_Toc296602461"/>
      <w:r>
        <w:rPr>
          <w:rFonts w:hint="eastAsia"/>
        </w:rPr>
        <w:t>8. 纪律和监督</w:t>
      </w:r>
      <w:bookmarkEnd w:id="305"/>
    </w:p>
    <w:p>
      <w:pPr>
        <w:pStyle w:val="5"/>
        <w:spacing w:line="240" w:lineRule="auto"/>
      </w:pPr>
      <w:bookmarkStart w:id="306" w:name="_Toc246996219"/>
      <w:bookmarkStart w:id="307" w:name="_Toc179632593"/>
      <w:bookmarkStart w:id="308" w:name="_Toc152045575"/>
      <w:bookmarkStart w:id="309" w:name="_Toc247085733"/>
      <w:bookmarkStart w:id="310" w:name="_Toc144974543"/>
      <w:bookmarkStart w:id="311" w:name="_Toc152042351"/>
      <w:bookmarkStart w:id="312" w:name="_Toc296602462"/>
      <w:bookmarkStart w:id="313" w:name="_Toc246996962"/>
      <w:bookmarkStart w:id="314" w:name="_Toc296590983"/>
      <w:r>
        <w:rPr>
          <w:rFonts w:hint="eastAsia"/>
        </w:rPr>
        <w:t>8.1 对招标人的纪律要求</w:t>
      </w:r>
      <w:bookmarkEnd w:id="306"/>
      <w:bookmarkEnd w:id="307"/>
      <w:bookmarkEnd w:id="308"/>
      <w:bookmarkEnd w:id="309"/>
      <w:bookmarkEnd w:id="310"/>
      <w:bookmarkEnd w:id="311"/>
      <w:bookmarkEnd w:id="312"/>
      <w:bookmarkEnd w:id="313"/>
      <w:bookmarkEnd w:id="314"/>
    </w:p>
    <w:p>
      <w:pPr>
        <w:ind w:firstLine="420" w:firstLineChars="200"/>
      </w:pPr>
      <w:r>
        <w:rPr>
          <w:rFonts w:hint="eastAsia"/>
        </w:rPr>
        <w:t>招标人不得泄漏招标投标活动中应当保密的情况和资料，不得与投标人串通损害国家利益、社会公共利益或者他人合法权益。</w:t>
      </w:r>
    </w:p>
    <w:p>
      <w:pPr>
        <w:pStyle w:val="4"/>
      </w:pPr>
      <w:bookmarkStart w:id="315" w:name="_Toc246996220"/>
      <w:bookmarkStart w:id="316" w:name="_Toc152042352"/>
      <w:bookmarkStart w:id="317" w:name="_Toc179632594"/>
      <w:bookmarkStart w:id="318" w:name="_Toc152045576"/>
      <w:bookmarkStart w:id="319" w:name="_Toc246996963"/>
      <w:bookmarkStart w:id="320" w:name="_Toc144974544"/>
      <w:bookmarkStart w:id="321" w:name="_Toc247085734"/>
      <w:bookmarkStart w:id="322" w:name="_Toc296602463"/>
      <w:r>
        <w:rPr>
          <w:rFonts w:hint="eastAsia"/>
        </w:rPr>
        <w:t>8.2 对投标人的纪律要求</w:t>
      </w:r>
      <w:bookmarkEnd w:id="315"/>
      <w:bookmarkEnd w:id="316"/>
      <w:bookmarkEnd w:id="317"/>
      <w:bookmarkEnd w:id="318"/>
      <w:bookmarkEnd w:id="319"/>
      <w:bookmarkEnd w:id="320"/>
      <w:bookmarkEnd w:id="321"/>
      <w:bookmarkEnd w:id="322"/>
    </w:p>
    <w:p>
      <w:pPr>
        <w:ind w:firstLine="420" w:firstLineChars="200"/>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5"/>
        <w:spacing w:line="240" w:lineRule="auto"/>
      </w:pPr>
      <w:bookmarkStart w:id="323" w:name="_Toc144974545"/>
      <w:bookmarkStart w:id="324" w:name="_Toc152045577"/>
      <w:bookmarkStart w:id="325" w:name="_Toc246996964"/>
      <w:bookmarkStart w:id="326" w:name="_Toc247085735"/>
      <w:bookmarkStart w:id="327" w:name="_Toc179632595"/>
      <w:bookmarkStart w:id="328" w:name="_Toc296602464"/>
      <w:bookmarkStart w:id="329" w:name="_Toc152042353"/>
      <w:bookmarkStart w:id="330" w:name="_Toc246996221"/>
      <w:r>
        <w:rPr>
          <w:rFonts w:hint="eastAsia"/>
        </w:rPr>
        <w:t>8.3 对评标委员会成员的纪律要求</w:t>
      </w:r>
      <w:bookmarkEnd w:id="323"/>
      <w:bookmarkEnd w:id="324"/>
      <w:bookmarkEnd w:id="325"/>
      <w:bookmarkEnd w:id="326"/>
      <w:bookmarkEnd w:id="327"/>
      <w:bookmarkEnd w:id="328"/>
      <w:bookmarkEnd w:id="329"/>
      <w:bookmarkEnd w:id="330"/>
    </w:p>
    <w:p>
      <w:pPr>
        <w:ind w:firstLine="420" w:firstLineChars="200"/>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5"/>
        <w:spacing w:line="240" w:lineRule="auto"/>
      </w:pPr>
      <w:bookmarkStart w:id="331" w:name="_Toc247085736"/>
      <w:bookmarkStart w:id="332" w:name="_Toc246996965"/>
      <w:bookmarkStart w:id="333" w:name="_Toc179632596"/>
      <w:bookmarkStart w:id="334" w:name="_Toc296602465"/>
      <w:bookmarkStart w:id="335" w:name="_Toc152042354"/>
      <w:bookmarkStart w:id="336" w:name="_Toc152045578"/>
      <w:bookmarkStart w:id="337" w:name="_Toc246996222"/>
      <w:bookmarkStart w:id="338" w:name="_Toc144974546"/>
      <w:r>
        <w:rPr>
          <w:rFonts w:hint="eastAsia"/>
        </w:rPr>
        <w:t>8.4 对与评标活动有关的工作人员的纪律要求</w:t>
      </w:r>
      <w:bookmarkEnd w:id="331"/>
      <w:bookmarkEnd w:id="332"/>
      <w:bookmarkEnd w:id="333"/>
      <w:bookmarkEnd w:id="334"/>
      <w:bookmarkEnd w:id="335"/>
      <w:bookmarkEnd w:id="336"/>
      <w:bookmarkEnd w:id="337"/>
    </w:p>
    <w:p>
      <w:pPr>
        <w:ind w:firstLine="420" w:firstLineChars="200"/>
      </w:pPr>
      <w:bookmarkStart w:id="339"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39"/>
    </w:p>
    <w:p>
      <w:pPr>
        <w:pStyle w:val="5"/>
        <w:spacing w:line="240" w:lineRule="auto"/>
      </w:pPr>
      <w:bookmarkStart w:id="340" w:name="_Toc246996966"/>
      <w:bookmarkStart w:id="341" w:name="_Toc152045579"/>
      <w:bookmarkStart w:id="342" w:name="_Toc179632597"/>
      <w:bookmarkStart w:id="343" w:name="_Toc152042356"/>
      <w:bookmarkStart w:id="344" w:name="_Toc247085737"/>
      <w:bookmarkStart w:id="345" w:name="_Toc296602466"/>
      <w:bookmarkStart w:id="346" w:name="_Toc246996223"/>
      <w:r>
        <w:rPr>
          <w:rFonts w:hint="eastAsia"/>
        </w:rPr>
        <w:t>8.5 投诉</w:t>
      </w:r>
      <w:bookmarkEnd w:id="338"/>
      <w:bookmarkEnd w:id="340"/>
      <w:bookmarkEnd w:id="341"/>
      <w:bookmarkEnd w:id="342"/>
      <w:bookmarkEnd w:id="343"/>
      <w:bookmarkEnd w:id="344"/>
      <w:bookmarkEnd w:id="345"/>
      <w:bookmarkEnd w:id="346"/>
    </w:p>
    <w:p>
      <w:pPr>
        <w:ind w:firstLine="420" w:firstLineChars="200"/>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ind w:firstLine="420" w:firstLineChars="200"/>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4"/>
        <w:spacing w:line="240" w:lineRule="auto"/>
      </w:pPr>
      <w:bookmarkStart w:id="347" w:name="_Toc296602468"/>
      <w:r>
        <w:rPr>
          <w:rFonts w:hint="eastAsia"/>
        </w:rPr>
        <w:t>9．电子招标投标</w:t>
      </w:r>
      <w:bookmarkEnd w:id="347"/>
    </w:p>
    <w:p>
      <w:r>
        <w:rPr>
          <w:rFonts w:hint="eastAsia"/>
        </w:rPr>
        <w:t>本招标项目是否采用电子招标投标方式， 见投标人须知前附表。</w:t>
      </w:r>
    </w:p>
    <w:p>
      <w:pPr>
        <w:pStyle w:val="4"/>
        <w:spacing w:line="240" w:lineRule="auto"/>
      </w:pPr>
      <w:bookmarkStart w:id="348" w:name="_Toc296602467"/>
      <w:bookmarkStart w:id="349" w:name="_Toc179632598"/>
      <w:bookmarkStart w:id="350" w:name="_Toc246996224"/>
      <w:bookmarkStart w:id="351" w:name="_Toc246996967"/>
      <w:bookmarkStart w:id="352" w:name="_Toc247085738"/>
      <w:bookmarkStart w:id="353" w:name="_Toc152042357"/>
      <w:bookmarkStart w:id="354" w:name="_Toc144974547"/>
      <w:bookmarkStart w:id="355" w:name="_Toc152045580"/>
      <w:r>
        <w:rPr>
          <w:rFonts w:hint="eastAsia"/>
        </w:rPr>
        <w:t>10. 需要补充的其他内容</w:t>
      </w:r>
      <w:bookmarkEnd w:id="348"/>
      <w:bookmarkEnd w:id="349"/>
      <w:bookmarkEnd w:id="350"/>
      <w:bookmarkEnd w:id="351"/>
      <w:bookmarkEnd w:id="352"/>
      <w:bookmarkEnd w:id="353"/>
      <w:bookmarkEnd w:id="354"/>
      <w:bookmarkEnd w:id="355"/>
    </w:p>
    <w:p>
      <w:pPr>
        <w:ind w:firstLine="420" w:firstLineChars="200"/>
      </w:pPr>
      <w:r>
        <w:rPr>
          <w:rFonts w:hint="eastAsia"/>
        </w:rPr>
        <w:t>需要补充的其他内容：见投标人须知前附表。</w:t>
      </w:r>
    </w:p>
    <w:p>
      <w:pPr>
        <w:ind w:firstLine="420" w:firstLineChars="200"/>
      </w:pPr>
    </w:p>
    <w:p>
      <w:pPr>
        <w:spacing w:line="480" w:lineRule="exact"/>
        <w:rPr>
          <w:rFonts w:ascii="黑体" w:hAnsi="黑体" w:eastAsia="黑体" w:cs="黑体"/>
          <w:color w:val="000000"/>
        </w:rPr>
      </w:pPr>
    </w:p>
    <w:p>
      <w:pP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asciiTheme="majorEastAsia" w:hAnsiTheme="majorEastAsia" w:eastAsiaTheme="majorEastAsia" w:cstheme="majorEastAsia"/>
          <w:b/>
          <w:bCs/>
          <w:sz w:val="32"/>
          <w:szCs w:val="32"/>
        </w:rPr>
        <w:t>第三章 评标办法</w:t>
      </w:r>
      <w:r>
        <w:rPr>
          <w:rFonts w:hint="eastAsia" w:asciiTheme="majorEastAsia" w:hAnsiTheme="majorEastAsia" w:eastAsiaTheme="majorEastAsia" w:cstheme="majorEastAsia"/>
          <w:b/>
          <w:bCs/>
          <w:sz w:val="32"/>
          <w:szCs w:val="32"/>
        </w:rPr>
        <w:t>（</w:t>
      </w:r>
      <w:r>
        <w:rPr>
          <w:rFonts w:hint="eastAsia" w:ascii="Times New Roman" w:hAnsi="Times New Roman" w:eastAsia="黑体" w:cs="Times New Roman"/>
          <w:kern w:val="0"/>
          <w:sz w:val="32"/>
          <w:szCs w:val="32"/>
        </w:rPr>
        <w:t>经评审的最低投标价法</w:t>
      </w:r>
      <w:r>
        <w:rPr>
          <w:rFonts w:hint="eastAsia" w:asciiTheme="majorEastAsia" w:hAnsiTheme="majorEastAsia" w:eastAsiaTheme="majorEastAsia" w:cstheme="majorEastAsia"/>
          <w:b/>
          <w:bCs/>
          <w:sz w:val="32"/>
          <w:szCs w:val="32"/>
        </w:rPr>
        <w:t>）</w:t>
      </w:r>
    </w:p>
    <w:p>
      <w:pPr>
        <w:spacing w:line="480" w:lineRule="exact"/>
        <w:jc w:val="center"/>
        <w:rPr>
          <w:rFonts w:asciiTheme="majorEastAsia" w:hAnsiTheme="majorEastAsia" w:eastAsiaTheme="majorEastAsia" w:cstheme="majorEastAsia"/>
          <w:b/>
          <w:bCs/>
          <w:sz w:val="28"/>
          <w:szCs w:val="28"/>
        </w:rPr>
      </w:pPr>
    </w:p>
    <w:p>
      <w:pPr>
        <w:spacing w:line="480" w:lineRule="exact"/>
        <w:rPr>
          <w:rFonts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评标办法前附表</w:t>
      </w:r>
    </w:p>
    <w:p>
      <w:pPr>
        <w:spacing w:line="480" w:lineRule="exact"/>
        <w:rPr>
          <w:rFonts w:asciiTheme="majorEastAsia" w:hAnsiTheme="majorEastAsia" w:eastAsiaTheme="majorEastAsia" w:cstheme="majorEastAsia"/>
          <w:b/>
          <w:bCs/>
          <w:sz w:val="28"/>
          <w:szCs w:val="28"/>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条款号</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评审因素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b/>
                <w:kern w:val="0"/>
                <w:sz w:val="24"/>
              </w:rPr>
            </w:pPr>
            <w:r>
              <w:rPr>
                <w:rFonts w:ascii="Times New Roman" w:hAnsi="Times New Roman" w:cs="Times New Roman"/>
                <w:b/>
                <w:kern w:val="0"/>
                <w:sz w:val="24"/>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2.1.1</w:t>
            </w:r>
          </w:p>
        </w:tc>
        <w:tc>
          <w:tcPr>
            <w:tcW w:w="997" w:type="dxa"/>
            <w:vMerge w:val="restart"/>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形式评审标准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投标人名称</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投标函及投标函附录</w:t>
            </w:r>
            <w:r>
              <w:rPr>
                <w:rFonts w:ascii="Times New Roman" w:hAnsi="Times New Roman" w:cs="Times New Roman"/>
                <w:kern w:val="0"/>
                <w:sz w:val="24"/>
              </w:rPr>
              <w:t>签字盖章</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有法定代表人</w:t>
            </w:r>
            <w:r>
              <w:rPr>
                <w:rFonts w:hint="eastAsia" w:ascii="Times New Roman" w:hAnsi="Times New Roman" w:cs="Times New Roman"/>
                <w:kern w:val="0"/>
                <w:sz w:val="24"/>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投标文件格式</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w:t>
            </w:r>
            <w:r>
              <w:rPr>
                <w:rFonts w:hint="eastAsia" w:ascii="Times New Roman" w:hAnsi="Times New Roman" w:cs="Times New Roman"/>
                <w:kern w:val="0"/>
                <w:sz w:val="24"/>
              </w:rPr>
              <w:t>六</w:t>
            </w:r>
            <w:r>
              <w:rPr>
                <w:rFonts w:ascii="Times New Roman" w:hAnsi="Times New Roman" w:cs="Times New Roman"/>
                <w:kern w:val="0"/>
                <w:sz w:val="24"/>
              </w:rPr>
              <w:t>章</w:t>
            </w:r>
            <w:r>
              <w:rPr>
                <w:rFonts w:hint="eastAsia" w:ascii="Times New Roman" w:hAnsi="Times New Roman" w:cs="Times New Roman"/>
                <w:kern w:val="0"/>
                <w:sz w:val="24"/>
              </w:rPr>
              <w:t>“</w:t>
            </w:r>
            <w:r>
              <w:rPr>
                <w:rFonts w:ascii="Times New Roman" w:hAnsi="Times New Roman" w:cs="Times New Roman"/>
                <w:kern w:val="0"/>
                <w:sz w:val="24"/>
              </w:rPr>
              <w:t>投标文件格式</w:t>
            </w:r>
            <w:r>
              <w:rPr>
                <w:rFonts w:hint="eastAsia" w:ascii="Times New Roman" w:hAnsi="Times New Roman" w:cs="Times New Roman"/>
                <w:kern w:val="0"/>
                <w:sz w:val="24"/>
              </w:rPr>
              <w:t>”</w:t>
            </w:r>
            <w:r>
              <w:rPr>
                <w:rFonts w:ascii="Times New Roman" w:hAnsi="Times New Roman" w:cs="Times New Roman"/>
                <w:kern w:val="0"/>
                <w:sz w:val="24"/>
              </w:rPr>
              <w:t>的</w:t>
            </w:r>
            <w:r>
              <w:rPr>
                <w:rFonts w:hint="eastAsia" w:ascii="Times New Roman" w:hAnsi="Times New Roman" w:cs="Times New Roman"/>
                <w:kern w:val="0"/>
                <w:sz w:val="24"/>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vMerge w:val="continue"/>
            <w:tcBorders>
              <w:top w:val="nil"/>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报价唯一</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52" w:edGrp="everyone" w:colFirst="3" w:colLast="3"/>
            <w:r>
              <w:rPr>
                <w:rFonts w:hint="eastAsia" w:ascii="Times New Roman" w:hAnsi="Times New Roman" w:cs="Times New Roman"/>
                <w:kern w:val="0"/>
                <w:sz w:val="24"/>
              </w:rPr>
              <w:t>2.1.2</w:t>
            </w:r>
          </w:p>
        </w:tc>
        <w:tc>
          <w:tcPr>
            <w:tcW w:w="997"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资格评审标准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营业执照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3"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资质等级</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4"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财务要求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5"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业绩要求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符合第二章“投标人须知”第1.4.1项规定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信誉要求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56" w:edGrp="everyone"/>
            <w:r>
              <w:rPr>
                <w:rFonts w:hint="eastAsia" w:ascii="Times New Roman" w:hAnsi="Times New Roman" w:cs="Times New Roman"/>
                <w:kern w:val="0"/>
                <w:sz w:val="24"/>
              </w:rPr>
              <w:t>符合第二章“投标人须知”第1.4.1项规定</w:t>
            </w:r>
            <w:permEnd w:id="56"/>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7"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联合体投标人</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符合第二章“投标人须知”第1.4.2项规定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58"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不存在禁止投标的情形</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不存在第二章“投标人须知”第1.4.3项规定的任何一种情形</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permStart w:id="59" w:edGrp="everyone"/>
            <w:r>
              <w:rPr>
                <w:rFonts w:hint="eastAsia" w:ascii="Times New Roman" w:hAnsi="Times New Roman" w:cs="Times New Roman"/>
                <w:kern w:val="0"/>
                <w:sz w:val="24"/>
              </w:rPr>
              <w:t>符合第二章“投标人须知”第1.4.1项规定</w:t>
            </w:r>
            <w:permEnd w:id="59"/>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0" w:edGrp="everyone" w:colFirst="3" w:colLast="3"/>
            <w:r>
              <w:rPr>
                <w:rFonts w:hint="eastAsia" w:ascii="Times New Roman" w:hAnsi="Times New Roman" w:cs="Times New Roman"/>
                <w:kern w:val="0"/>
                <w:sz w:val="24"/>
              </w:rPr>
              <w:t>2.1.3</w:t>
            </w:r>
          </w:p>
        </w:tc>
        <w:tc>
          <w:tcPr>
            <w:tcW w:w="997" w:type="dxa"/>
            <w:vMerge w:val="restart"/>
            <w:tcBorders>
              <w:top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响应性评审标准</w:t>
            </w: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投标报价</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”第3.2.3项</w:t>
            </w:r>
            <w:r>
              <w:rPr>
                <w:rFonts w:ascii="Times New Roman" w:hAnsi="Times New Roman" w:cs="Times New Roman"/>
                <w:kern w:val="0"/>
                <w:sz w:val="24"/>
              </w:rPr>
              <w:t>规定</w:t>
            </w:r>
          </w:p>
        </w:tc>
      </w:tr>
      <w:permEnd w:id="6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1"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投标内容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”第1.3.1项</w:t>
            </w:r>
            <w:r>
              <w:rPr>
                <w:rFonts w:ascii="Times New Roman" w:hAnsi="Times New Roman" w:cs="Times New Roman"/>
                <w:kern w:val="0"/>
                <w:sz w:val="24"/>
              </w:rPr>
              <w:t>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2"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交货期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”第1.3.2项</w:t>
            </w:r>
            <w:r>
              <w:rPr>
                <w:rFonts w:ascii="Times New Roman" w:hAnsi="Times New Roman" w:cs="Times New Roman"/>
                <w:kern w:val="0"/>
                <w:sz w:val="24"/>
              </w:rPr>
              <w:t>规定</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3"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交货地点</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”第1.3.3项</w:t>
            </w:r>
            <w:r>
              <w:rPr>
                <w:rFonts w:ascii="Times New Roman" w:hAnsi="Times New Roman" w:cs="Times New Roman"/>
                <w:kern w:val="0"/>
                <w:sz w:val="24"/>
              </w:rPr>
              <w:t>规定</w:t>
            </w:r>
          </w:p>
        </w:tc>
      </w:tr>
      <w:permEnd w:id="6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技术性能指标</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”第1.3.4项</w:t>
            </w:r>
            <w:r>
              <w:rPr>
                <w:rFonts w:ascii="Times New Roman" w:hAnsi="Times New Roman" w:cs="Times New Roman"/>
                <w:kern w:val="0"/>
                <w:sz w:val="24"/>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4"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投标有效期</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”第3.3.1项</w:t>
            </w:r>
            <w:r>
              <w:rPr>
                <w:rFonts w:ascii="Times New Roman" w:hAnsi="Times New Roman" w:cs="Times New Roman"/>
                <w:kern w:val="0"/>
                <w:sz w:val="24"/>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5"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投标保证金</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ascii="Times New Roman" w:hAnsi="Times New Roman" w:cs="Times New Roman"/>
                <w:kern w:val="0"/>
                <w:sz w:val="24"/>
              </w:rPr>
              <w:t>符合第二章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”第3.4.1项</w:t>
            </w:r>
            <w:r>
              <w:rPr>
                <w:rFonts w:ascii="Times New Roman" w:hAnsi="Times New Roman" w:cs="Times New Roman"/>
                <w:kern w:val="0"/>
                <w:sz w:val="24"/>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ermStart w:id="66" w:edGrp="everyone" w:colFirst="3" w:colLast="3"/>
          </w:p>
        </w:tc>
        <w:tc>
          <w:tcPr>
            <w:tcW w:w="997" w:type="dxa"/>
            <w:vMerge w:val="continue"/>
            <w:tcBorders>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权利义务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符合第二章“投标人须知”第1.11.1项规定和第四章“合同条款及格式”中的实质性要求和条件</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r>
              <w:rPr>
                <w:rFonts w:hint="eastAsia" w:ascii="Times New Roman" w:hAnsi="Times New Roman" w:cs="Times New Roman"/>
                <w:kern w:val="0"/>
                <w:sz w:val="24"/>
              </w:rPr>
              <w:t>符合第五章“供货要求”中的实质性要求和条件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997"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highlight w:val="yellow"/>
              </w:rPr>
            </w:pPr>
            <w:r>
              <w:rPr>
                <w:rFonts w:hint="eastAsia" w:ascii="Times New Roman" w:hAnsi="Times New Roman" w:cs="Times New Roman"/>
                <w:kern w:val="0"/>
                <w:sz w:val="24"/>
              </w:rPr>
              <w:t>技术支持资料</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rPr>
                <w:rFonts w:ascii="Times New Roman" w:hAnsi="Times New Roman" w:cs="Times New Roman"/>
                <w:kern w:val="0"/>
                <w:sz w:val="24"/>
              </w:rPr>
            </w:pPr>
            <w:permStart w:id="67" w:edGrp="everyone"/>
            <w:r>
              <w:rPr>
                <w:rFonts w:hint="eastAsia" w:ascii="Times New Roman" w:hAnsi="Times New Roman" w:cs="Times New Roman"/>
                <w:kern w:val="0"/>
                <w:sz w:val="24"/>
              </w:rPr>
              <w:t>符合第二章“投标人须知”第1.11.3项规定</w:t>
            </w:r>
            <w:permEnd w:id="67"/>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703"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ermStart w:id="68" w:edGrp="everyone" w:colFirst="3" w:colLast="3"/>
          </w:p>
        </w:tc>
        <w:tc>
          <w:tcPr>
            <w:tcW w:w="997" w:type="dxa"/>
            <w:vMerge w:val="continue"/>
            <w:tcBorders>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rPr>
            </w:pPr>
          </w:p>
        </w:tc>
        <w:tc>
          <w:tcPr>
            <w:tcW w:w="1984"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center"/>
              <w:rPr>
                <w:rFonts w:ascii="Times New Roman" w:hAnsi="Times New Roman" w:cs="Times New Roman"/>
                <w:kern w:val="0"/>
                <w:sz w:val="24"/>
              </w:rPr>
            </w:pPr>
            <w:r>
              <w:rPr>
                <w:rFonts w:hint="eastAsia" w:ascii="Times New Roman" w:hAnsi="Times New Roman" w:cs="Times New Roman"/>
                <w:kern w:val="0"/>
                <w:sz w:val="24"/>
              </w:rPr>
              <w:t>其他要求</w:t>
            </w:r>
          </w:p>
        </w:tc>
        <w:tc>
          <w:tcPr>
            <w:tcW w:w="4836" w:type="dxa"/>
            <w:tcBorders>
              <w:top w:val="single" w:color="auto" w:sz="4" w:space="0"/>
              <w:left w:val="single" w:color="auto" w:sz="4" w:space="0"/>
              <w:bottom w:val="single" w:color="auto" w:sz="4" w:space="0"/>
              <w:right w:val="single" w:color="auto" w:sz="4" w:space="0"/>
            </w:tcBorders>
            <w:vAlign w:val="center"/>
          </w:tcPr>
          <w:p>
            <w:pPr>
              <w:wordWrap w:val="0"/>
              <w:spacing w:line="400" w:lineRule="exact"/>
              <w:jc w:val="left"/>
              <w:rPr>
                <w:rFonts w:ascii="Times New Roman" w:hAnsi="Times New Roman" w:cs="Times New Roman"/>
                <w:kern w:val="0"/>
                <w:sz w:val="24"/>
              </w:rPr>
            </w:pPr>
            <w:r>
              <w:rPr>
                <w:rFonts w:hint="eastAsia" w:ascii="Times New Roman" w:hAnsi="Times New Roman" w:cs="Times New Roman"/>
                <w:kern w:val="0"/>
                <w:sz w:val="24"/>
              </w:rPr>
              <w:t xml:space="preserve">       /         </w:t>
            </w:r>
          </w:p>
        </w:tc>
      </w:tr>
      <w:permEnd w:id="68"/>
    </w:tbl>
    <w:p>
      <w:pPr>
        <w:wordWrap w:val="0"/>
        <w:spacing w:line="440" w:lineRule="exact"/>
        <w:rPr>
          <w:rFonts w:ascii="Times New Roman" w:hAnsi="Times New Roman" w:cs="Times New Roman"/>
          <w:b/>
          <w:bCs/>
          <w:kern w:val="0"/>
          <w:sz w:val="28"/>
          <w:szCs w:val="28"/>
        </w:rPr>
      </w:pPr>
      <w:bookmarkStart w:id="356" w:name="_Toc144974556"/>
      <w:bookmarkStart w:id="357" w:name="_Toc152045589"/>
      <w:bookmarkStart w:id="358" w:name="_Toc152042366"/>
      <w:bookmarkStart w:id="359" w:name="_Toc246996975"/>
      <w:bookmarkStart w:id="360" w:name="_Toc247085747"/>
      <w:bookmarkStart w:id="361" w:name="_Toc246996232"/>
      <w:bookmarkStart w:id="362" w:name="_Toc179632607"/>
      <w:bookmarkStart w:id="363" w:name="_Toc296602477"/>
      <w:r>
        <w:rPr>
          <w:rFonts w:ascii="Times New Roman" w:hAnsi="Times New Roman" w:eastAsia="黑体" w:cs="Times New Roman"/>
          <w:szCs w:val="21"/>
        </w:rPr>
        <w:t>说明</w:t>
      </w:r>
      <w:r>
        <w:rPr>
          <w:rFonts w:ascii="Times New Roman" w:hAnsi="Times New Roman" w:cs="Times New Roman"/>
          <w:szCs w:val="21"/>
        </w:rPr>
        <w:t>：</w:t>
      </w:r>
    </w:p>
    <w:p>
      <w:pPr>
        <w:wordWrap w:val="0"/>
        <w:spacing w:line="440" w:lineRule="exact"/>
        <w:rPr>
          <w:rFonts w:ascii="Times New Roman" w:hAnsi="Times New Roman" w:cs="Times New Roman"/>
          <w:b/>
          <w:bCs/>
          <w:kern w:val="0"/>
          <w:sz w:val="28"/>
          <w:szCs w:val="28"/>
        </w:rPr>
      </w:pP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1. 评标方法</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本次评标采用</w:t>
      </w:r>
      <w:r>
        <w:rPr>
          <w:rFonts w:hint="eastAsia" w:ascii="Times New Roman" w:hAnsi="Times New Roman" w:cs="Times New Roman"/>
          <w:kern w:val="0"/>
          <w:sz w:val="24"/>
        </w:rPr>
        <w:t>经评审的最低投标价法。评标委员会对满足招标文件实质要求的投标文件，根据本章第2.2.款规定的量化因素及量化标准进行价格折算（如有），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 评审标准</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2.1 初步评审标准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2.1.1 形式评审标准：见评标办法前附表。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2.1.2 资格评审标准：见评标办法前附表。</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2.1.3 响应性评审标准：见评标办法前附表。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 xml:space="preserve">2.2 </w:t>
      </w:r>
      <w:r>
        <w:rPr>
          <w:rFonts w:hint="eastAsia" w:ascii="Times New Roman" w:hAnsi="Times New Roman" w:cs="Times New Roman"/>
          <w:b/>
          <w:bCs/>
          <w:kern w:val="0"/>
          <w:sz w:val="28"/>
          <w:szCs w:val="28"/>
        </w:rPr>
        <w:t>详细评审标准</w:t>
      </w:r>
    </w:p>
    <w:p>
      <w:pPr>
        <w:wordWrap w:val="0"/>
        <w:spacing w:line="42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详细评审标准：见评标办法前附表。</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 评标程序</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3.1 初步评审</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3.1.1评标委员会可以要求投标人提交第二章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”第3.5.1项至第3.5.4项规定的有关证明和证件的原件，以便核验。评标委员会依据本章第2.1款规定的标准对投标文件进行初步评审。有一项不符合评审标准的，评标委员会应当否决其投标。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3.1.2 投标人有以下情形之一的，</w:t>
      </w:r>
      <w:r>
        <w:rPr>
          <w:rFonts w:hint="eastAsia" w:ascii="Times New Roman" w:hAnsi="Times New Roman" w:cs="Times New Roman"/>
          <w:kern w:val="0"/>
          <w:sz w:val="24"/>
        </w:rPr>
        <w:t>评标委员会应当否决其投标：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（1）第二章“投标人须知”第1.4.2项、第1.4.3项规定的任何一种情形的；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（2）串通投标或弄虚作假或有其他违法行为的；</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（3）不按评标委员会要求澄清、说明或补正的。</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3.1.3投标报价有算术错误</w:t>
      </w:r>
      <w:r>
        <w:rPr>
          <w:rFonts w:hint="eastAsia" w:ascii="Times New Roman" w:hAnsi="Times New Roman" w:cs="Times New Roman"/>
          <w:kern w:val="0"/>
          <w:sz w:val="24"/>
        </w:rPr>
        <w:t>的，</w:t>
      </w:r>
      <w:r>
        <w:rPr>
          <w:rFonts w:ascii="Times New Roman" w:hAnsi="Times New Roman" w:cs="Times New Roman"/>
          <w:kern w:val="0"/>
          <w:sz w:val="24"/>
        </w:rPr>
        <w:t>评标委员会按以下原则</w:t>
      </w:r>
      <w:r>
        <w:rPr>
          <w:rFonts w:hint="eastAsia" w:ascii="Times New Roman" w:hAnsi="Times New Roman" w:cs="Times New Roman"/>
          <w:kern w:val="0"/>
          <w:sz w:val="24"/>
        </w:rPr>
        <w:t>对投标报价进行修正，修正的价格经投标人书面确认后具有约束力。投标人不接受修正价格的，评标委员会应当否决其投标。</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（2）总价金额与</w:t>
      </w:r>
      <w:r>
        <w:rPr>
          <w:rFonts w:hint="eastAsia" w:ascii="Times New Roman" w:hAnsi="Times New Roman" w:cs="Times New Roman"/>
          <w:kern w:val="0"/>
          <w:sz w:val="24"/>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3.2 详细评审</w:t>
      </w:r>
    </w:p>
    <w:p>
      <w:pPr>
        <w:wordWrap w:val="0"/>
        <w:spacing w:line="420" w:lineRule="exact"/>
        <w:ind w:firstLine="480" w:firstLineChars="200"/>
        <w:rPr>
          <w:rFonts w:ascii="Times New Roman" w:hAnsi="Times New Roman" w:cs="Times New Roman"/>
          <w:kern w:val="0"/>
          <w:sz w:val="24"/>
        </w:rPr>
      </w:pPr>
      <w:r>
        <w:rPr>
          <w:rFonts w:ascii="Times New Roman" w:hAnsi="Times New Roman" w:cs="Times New Roman"/>
          <w:kern w:val="0"/>
          <w:sz w:val="24"/>
        </w:rPr>
        <w:t>3.2.1 评标委员会</w:t>
      </w:r>
      <w:r>
        <w:rPr>
          <w:rFonts w:hint="eastAsia" w:ascii="Times New Roman" w:hAnsi="Times New Roman" w:cs="Times New Roman"/>
          <w:kern w:val="0"/>
          <w:sz w:val="24"/>
        </w:rPr>
        <w:t>按本章第2.2.款规定的量化因素和标准进行价格折算，计算出评标价，并编制价格比较一览表。</w:t>
      </w:r>
    </w:p>
    <w:p>
      <w:pPr>
        <w:wordWrap w:val="0"/>
        <w:spacing w:line="42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3.3 投标文件的澄清和补正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3.3.1 在评标过程中，评标委员会可以书面形式要求投标人对</w:t>
      </w:r>
      <w:r>
        <w:rPr>
          <w:rFonts w:hint="eastAsia" w:ascii="Times New Roman" w:hAnsi="Times New Roman" w:cs="Times New Roman"/>
          <w:kern w:val="0"/>
          <w:sz w:val="24"/>
        </w:rPr>
        <w:t>所提交的投标文件中不明确的内容进行书面澄清或说明，或者对细微偏差进行补正。评标委员会不接受投标人主动提出的澄清、说明或补正。</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3.3.2 澄清、说明</w:t>
      </w:r>
      <w:r>
        <w:rPr>
          <w:rFonts w:hint="eastAsia" w:ascii="Times New Roman" w:hAnsi="Times New Roman" w:cs="Times New Roman"/>
          <w:kern w:val="0"/>
          <w:sz w:val="24"/>
        </w:rPr>
        <w:t>和</w:t>
      </w:r>
      <w:r>
        <w:rPr>
          <w:rFonts w:ascii="Times New Roman" w:hAnsi="Times New Roman" w:cs="Times New Roman"/>
          <w:kern w:val="0"/>
          <w:sz w:val="24"/>
        </w:rPr>
        <w:t>补正不得</w:t>
      </w:r>
      <w:r>
        <w:rPr>
          <w:rFonts w:hint="eastAsia" w:ascii="Times New Roman" w:hAnsi="Times New Roman" w:cs="Times New Roman"/>
          <w:kern w:val="0"/>
          <w:sz w:val="24"/>
        </w:rPr>
        <w:t>改变投标文件的实质性内容。投标人的书面澄清、说明和补正属于投标文件的组成部分。</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3.4 特殊情况处理</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（一）房屋建筑（装饰装修）、水利、交通工程项目：所有有效投标报价低于招标控制价的95%；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（二）市政公用工程、市政道路工程、相关配套工程、土地整理工程、农业综合开发工程项目：所有有效投标报价低于招标控制价的 90%；</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（三）绿化工程项目：所有有效投标报价低于招标控制价的 85%。</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（四）其他项目：所有有效投标报价低于招标控制价，且竞标人报价没有明显高于市场价或采购人预期。</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3.4.2 投标截止时间前递交投标文件的投标人数量少于三个或者所有投标被否决的，招标人应当依法重新招标。</w:t>
      </w:r>
    </w:p>
    <w:p>
      <w:pPr>
        <w:wordWrap w:val="0"/>
        <w:spacing w:line="440" w:lineRule="exact"/>
        <w:rPr>
          <w:rFonts w:ascii="Times New Roman" w:hAnsi="Times New Roman" w:cs="Times New Roman"/>
          <w:b/>
          <w:bCs/>
          <w:kern w:val="0"/>
          <w:sz w:val="28"/>
          <w:szCs w:val="28"/>
        </w:rPr>
      </w:pPr>
      <w:r>
        <w:rPr>
          <w:rFonts w:ascii="Times New Roman" w:hAnsi="Times New Roman" w:cs="Times New Roman"/>
          <w:b/>
          <w:bCs/>
          <w:kern w:val="0"/>
          <w:sz w:val="28"/>
          <w:szCs w:val="28"/>
        </w:rPr>
        <w:t>3.</w:t>
      </w:r>
      <w:r>
        <w:rPr>
          <w:rFonts w:hint="eastAsia" w:ascii="Times New Roman" w:hAnsi="Times New Roman" w:cs="Times New Roman"/>
          <w:b/>
          <w:bCs/>
          <w:kern w:val="0"/>
          <w:sz w:val="28"/>
          <w:szCs w:val="28"/>
        </w:rPr>
        <w:t>5</w:t>
      </w:r>
      <w:r>
        <w:rPr>
          <w:rFonts w:ascii="Times New Roman" w:hAnsi="Times New Roman" w:cs="Times New Roman"/>
          <w:b/>
          <w:bCs/>
          <w:kern w:val="0"/>
          <w:sz w:val="28"/>
          <w:szCs w:val="28"/>
        </w:rPr>
        <w:t xml:space="preserve"> 评标结果</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3.</w:t>
      </w:r>
      <w:r>
        <w:rPr>
          <w:rFonts w:hint="eastAsia" w:ascii="Times New Roman" w:hAnsi="Times New Roman" w:cs="Times New Roman"/>
          <w:kern w:val="0"/>
          <w:sz w:val="24"/>
        </w:rPr>
        <w:t>5</w:t>
      </w:r>
      <w:r>
        <w:rPr>
          <w:rFonts w:ascii="Times New Roman" w:hAnsi="Times New Roman" w:cs="Times New Roman"/>
          <w:kern w:val="0"/>
          <w:sz w:val="24"/>
        </w:rPr>
        <w:t>.1 除第二章</w:t>
      </w:r>
      <w:r>
        <w:rPr>
          <w:rFonts w:hint="eastAsia" w:ascii="Times New Roman" w:hAnsi="Times New Roman" w:cs="Times New Roman"/>
          <w:kern w:val="0"/>
          <w:sz w:val="24"/>
        </w:rPr>
        <w:t>“</w:t>
      </w:r>
      <w:r>
        <w:rPr>
          <w:rFonts w:ascii="Times New Roman" w:hAnsi="Times New Roman" w:cs="Times New Roman"/>
          <w:kern w:val="0"/>
          <w:sz w:val="24"/>
        </w:rPr>
        <w:t>投标人须知</w:t>
      </w:r>
      <w:r>
        <w:rPr>
          <w:rFonts w:hint="eastAsia" w:ascii="Times New Roman" w:hAnsi="Times New Roman" w:cs="Times New Roman"/>
          <w:kern w:val="0"/>
          <w:sz w:val="24"/>
        </w:rPr>
        <w:t>”</w:t>
      </w:r>
      <w:r>
        <w:rPr>
          <w:rFonts w:ascii="Times New Roman" w:hAnsi="Times New Roman" w:cs="Times New Roman"/>
          <w:kern w:val="0"/>
          <w:sz w:val="24"/>
        </w:rPr>
        <w:t>前附表授权直接确定中标人外，评标委员会按照</w:t>
      </w:r>
      <w:r>
        <w:rPr>
          <w:rFonts w:hint="eastAsia" w:ascii="Times New Roman" w:hAnsi="Times New Roman" w:cs="Times New Roman"/>
          <w:kern w:val="0"/>
          <w:sz w:val="24"/>
        </w:rPr>
        <w:t>本招标文件的规定推荐中标候选人。</w:t>
      </w:r>
    </w:p>
    <w:p>
      <w:pPr>
        <w:rPr>
          <w:rFonts w:ascii="宋体" w:hAnsi="宋体" w:eastAsia="宋体" w:cs="宋体"/>
          <w:sz w:val="24"/>
        </w:rPr>
      </w:pPr>
      <w:r>
        <w:rPr>
          <w:rFonts w:hint="eastAsia" w:ascii="Times New Roman" w:hAnsi="Times New Roman" w:cs="Times New Roman"/>
          <w:kern w:val="0"/>
          <w:sz w:val="24"/>
        </w:rPr>
        <w:t>3.5.2 评标委员会完成评标后，应当向招标人提交书面评标报告。</w:t>
      </w:r>
      <w:r>
        <w:rPr>
          <w:rFonts w:hint="eastAsia" w:ascii="宋体" w:hAnsi="宋体" w:eastAsia="宋体" w:cs="宋体"/>
          <w:sz w:val="24"/>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第四章 </w:t>
      </w:r>
      <w:r>
        <w:rPr>
          <w:rFonts w:asciiTheme="majorEastAsia" w:hAnsiTheme="majorEastAsia" w:eastAsiaTheme="majorEastAsia" w:cstheme="majorEastAsia"/>
          <w:b/>
          <w:bCs/>
          <w:sz w:val="32"/>
          <w:szCs w:val="32"/>
        </w:rPr>
        <w:t>合同条款及格式</w:t>
      </w:r>
    </w:p>
    <w:p>
      <w:pPr>
        <w:spacing w:line="480" w:lineRule="exact"/>
        <w:jc w:val="center"/>
        <w:rPr>
          <w:rFonts w:asciiTheme="majorEastAsia" w:hAnsiTheme="majorEastAsia" w:eastAsiaTheme="majorEastAsia" w:cstheme="majorEastAsia"/>
          <w:b/>
          <w:bCs/>
          <w:sz w:val="32"/>
          <w:szCs w:val="32"/>
        </w:rPr>
      </w:pPr>
    </w:p>
    <w:p>
      <w:pPr>
        <w:spacing w:before="159" w:beforeLines="50" w:after="159" w:afterLines="50" w:line="480" w:lineRule="exact"/>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序号</w:t>
            </w:r>
          </w:p>
        </w:tc>
        <w:tc>
          <w:tcPr>
            <w:tcW w:w="1417"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条款名称</w:t>
            </w:r>
          </w:p>
        </w:tc>
        <w:tc>
          <w:tcPr>
            <w:tcW w:w="6253" w:type="dxa"/>
            <w:vAlign w:val="center"/>
          </w:tcPr>
          <w:p>
            <w:pPr>
              <w:wordWrap w:val="0"/>
              <w:spacing w:line="440" w:lineRule="exact"/>
              <w:jc w:val="center"/>
              <w:rPr>
                <w:rFonts w:ascii="Times New Roman" w:hAnsi="Times New Roman" w:cs="Times New Roman"/>
                <w:b/>
                <w:bCs/>
                <w:kern w:val="0"/>
                <w:sz w:val="24"/>
              </w:rPr>
            </w:pPr>
            <w:r>
              <w:rPr>
                <w:rFonts w:ascii="Times New Roman" w:hAnsi="Times New Roman" w:cs="Times New Roman"/>
                <w:b/>
                <w:bCs/>
                <w:kern w:val="0"/>
                <w:sz w:val="24"/>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1</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付款人</w:t>
            </w:r>
          </w:p>
        </w:tc>
        <w:tc>
          <w:tcPr>
            <w:tcW w:w="6253" w:type="dxa"/>
            <w:vAlign w:val="center"/>
          </w:tcPr>
          <w:p>
            <w:pPr>
              <w:wordWrap w:val="0"/>
              <w:spacing w:line="440" w:lineRule="exact"/>
              <w:jc w:val="left"/>
              <w:rPr>
                <w:rFonts w:ascii="Times New Roman" w:hAnsi="Times New Roman" w:cs="Times New Roman"/>
                <w:kern w:val="0"/>
                <w:sz w:val="24"/>
              </w:rPr>
            </w:pPr>
            <w:permStart w:id="69" w:edGrp="everyone"/>
            <w:r>
              <w:rPr>
                <w:rFonts w:hint="eastAsia" w:ascii="Times New Roman" w:hAnsi="Times New Roman" w:cs="Times New Roman"/>
                <w:kern w:val="0"/>
                <w:sz w:val="24"/>
              </w:rPr>
              <w:t>安徽通康建设工程有限公司</w:t>
            </w:r>
            <w:permEnd w:id="6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2</w:t>
            </w:r>
          </w:p>
        </w:tc>
        <w:tc>
          <w:tcPr>
            <w:tcW w:w="1417" w:type="dxa"/>
            <w:vAlign w:val="center"/>
          </w:tcPr>
          <w:p>
            <w:pPr>
              <w:wordWrap w:val="0"/>
              <w:spacing w:line="440" w:lineRule="exact"/>
              <w:jc w:val="center"/>
              <w:rPr>
                <w:rFonts w:ascii="Times New Roman" w:hAnsi="Times New Roman" w:cs="Times New Roman"/>
                <w:kern w:val="0"/>
                <w:sz w:val="24"/>
              </w:rPr>
            </w:pPr>
            <w:r>
              <w:rPr>
                <w:rFonts w:ascii="Times New Roman" w:hAnsi="Times New Roman" w:cs="Times New Roman"/>
                <w:kern w:val="0"/>
                <w:sz w:val="24"/>
              </w:rPr>
              <w:t>付款方式</w:t>
            </w:r>
          </w:p>
        </w:tc>
        <w:tc>
          <w:tcPr>
            <w:tcW w:w="6253" w:type="dxa"/>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无预付款；工程竣工验收、并网发电，付至合格货物价款的95%；工程结算</w:t>
            </w:r>
            <w:r>
              <w:rPr>
                <w:rFonts w:hint="eastAsia" w:ascii="Times New Roman" w:hAnsi="Times New Roman" w:cs="Times New Roman"/>
                <w:kern w:val="0"/>
                <w:sz w:val="24"/>
              </w:rPr>
              <w:t>审核完成</w:t>
            </w:r>
            <w:r>
              <w:rPr>
                <w:rFonts w:ascii="Times New Roman" w:hAnsi="Times New Roman" w:cs="Times New Roman"/>
                <w:kern w:val="0"/>
                <w:sz w:val="24"/>
              </w:rPr>
              <w:t>后30日内，支付至</w:t>
            </w:r>
            <w:r>
              <w:rPr>
                <w:rFonts w:hint="eastAsia" w:ascii="Times New Roman" w:hAnsi="Times New Roman" w:cs="Times New Roman"/>
                <w:kern w:val="0"/>
                <w:sz w:val="24"/>
              </w:rPr>
              <w:t>审定</w:t>
            </w:r>
            <w:r>
              <w:rPr>
                <w:rFonts w:ascii="Times New Roman" w:hAnsi="Times New Roman" w:cs="Times New Roman"/>
                <w:kern w:val="0"/>
                <w:sz w:val="24"/>
              </w:rPr>
              <w:t>价款的100%</w:t>
            </w:r>
            <w:r>
              <w:rPr>
                <w:rFonts w:hint="eastAsia" w:ascii="Times New Roman" w:hAnsi="Times New Roman" w:cs="Times New Roman"/>
                <w:kern w:val="0"/>
                <w:sz w:val="24"/>
              </w:rPr>
              <w:t>。</w:t>
            </w:r>
          </w:p>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注：</w:t>
            </w:r>
            <w:r>
              <w:rPr>
                <w:rFonts w:hint="eastAsia" w:ascii="Times New Roman" w:hAnsi="Times New Roman" w:cs="Times New Roman"/>
                <w:kern w:val="0"/>
                <w:sz w:val="24"/>
              </w:rPr>
              <w:t>招标人</w:t>
            </w:r>
            <w:r>
              <w:rPr>
                <w:rFonts w:ascii="Times New Roman" w:hAnsi="Times New Roman" w:cs="Times New Roman"/>
                <w:kern w:val="0"/>
                <w:sz w:val="24"/>
              </w:rPr>
              <w:t>付款前，</w:t>
            </w:r>
            <w:r>
              <w:rPr>
                <w:rFonts w:hint="eastAsia" w:ascii="Times New Roman" w:hAnsi="Times New Roman" w:cs="Times New Roman"/>
                <w:kern w:val="0"/>
                <w:sz w:val="24"/>
              </w:rPr>
              <w:t>中标人</w:t>
            </w:r>
            <w:r>
              <w:rPr>
                <w:rFonts w:ascii="Times New Roman" w:hAnsi="Times New Roman" w:cs="Times New Roman"/>
                <w:kern w:val="0"/>
                <w:sz w:val="24"/>
              </w:rPr>
              <w:t>应按照国家税收有关规定开具等额增值税专用发票</w:t>
            </w:r>
            <w:r>
              <w:rPr>
                <w:rFonts w:hint="eastAsia" w:ascii="Times New Roman" w:hAnsi="Times New Roman" w:cs="Times New Roman"/>
                <w:kern w:val="0"/>
                <w:sz w:val="24"/>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质保期</w:t>
            </w:r>
          </w:p>
        </w:tc>
        <w:tc>
          <w:tcPr>
            <w:tcW w:w="6253" w:type="dxa"/>
            <w:vAlign w:val="center"/>
          </w:tcPr>
          <w:p>
            <w:pPr>
              <w:wordWrap w:val="0"/>
              <w:spacing w:line="440" w:lineRule="exact"/>
              <w:ind w:firstLine="480" w:firstLineChars="200"/>
              <w:rPr>
                <w:rFonts w:ascii="Times New Roman" w:hAnsi="Times New Roman" w:cs="Times New Roman"/>
                <w:kern w:val="0"/>
                <w:sz w:val="24"/>
              </w:rPr>
            </w:pPr>
            <w:r>
              <w:rPr>
                <w:rFonts w:ascii="Times New Roman" w:hAnsi="Times New Roman" w:cs="Times New Roman"/>
                <w:kern w:val="0"/>
                <w:sz w:val="24"/>
              </w:rPr>
              <w:t>工程验收合格之日起，其中，光伏逆变器产品质保5年；发电量质保为25年，发电量25年内衰减率为：组件1年功率衰降≤2%，5年功率衰降≤4.75%，10年功率衰降≤7.5%，25年功率衰降≤15.7。若衰减率超过以上指标和质保期限达不到以上指标，由材料及设备供应单位免费进行维修更换，并承担相应的损失，并向招标人赔偿相应的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1417"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其他</w:t>
            </w:r>
          </w:p>
        </w:tc>
        <w:tc>
          <w:tcPr>
            <w:tcW w:w="6253" w:type="dxa"/>
            <w:vAlign w:val="center"/>
          </w:tcPr>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1.供货人运至现场的材料，需确保材料符合国标及图纸要求，如因材料不符合国标及图纸要求造成材料退场的，每次罚款1万元；</w:t>
            </w:r>
          </w:p>
          <w:p>
            <w:pPr>
              <w:pStyle w:val="2"/>
              <w:spacing w:before="0" w:after="0" w:line="240" w:lineRule="auto"/>
              <w:ind w:firstLine="480" w:firstLineChars="200"/>
              <w:jc w:val="both"/>
              <w:rPr>
                <w:rFonts w:ascii="Times New Roman" w:hAnsi="Times New Roman" w:eastAsiaTheme="minorEastAsia"/>
                <w:b w:val="0"/>
                <w:bCs w:val="0"/>
                <w:kern w:val="0"/>
                <w:sz w:val="24"/>
                <w:szCs w:val="24"/>
              </w:rPr>
            </w:pPr>
            <w:r>
              <w:rPr>
                <w:rFonts w:hint="eastAsia" w:ascii="Times New Roman" w:hAnsi="Times New Roman" w:eastAsiaTheme="minorEastAsia"/>
                <w:b w:val="0"/>
                <w:bCs w:val="0"/>
                <w:kern w:val="0"/>
                <w:sz w:val="24"/>
                <w:szCs w:val="24"/>
              </w:rPr>
              <w:t>2.材料进场前需先提供样品，后期材料需与样品一致，如发现弄虚作假，以次充好等现象，发现一次罚款1万元，三次以上解除合同；</w:t>
            </w:r>
          </w:p>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3.招标人一般提前三天通知中标人供货，如因中标人原因未能按期供货，造成项目工期延误，</w:t>
            </w:r>
            <w:r>
              <w:rPr>
                <w:rFonts w:ascii="Times New Roman" w:hAnsi="Times New Roman" w:cs="Times New Roman"/>
                <w:kern w:val="0"/>
                <w:sz w:val="24"/>
              </w:rPr>
              <w:t>误期赔偿费按照</w:t>
            </w:r>
            <w:r>
              <w:rPr>
                <w:rFonts w:hint="eastAsia" w:ascii="Times New Roman" w:hAnsi="Times New Roman" w:cs="Times New Roman"/>
                <w:kern w:val="0"/>
                <w:sz w:val="24"/>
              </w:rPr>
              <w:t>5000元/天从结算价款中予以扣除（特殊加工定制的材料除外）。</w:t>
            </w:r>
          </w:p>
          <w:p>
            <w:pPr>
              <w:wordWrap w:val="0"/>
              <w:spacing w:line="440" w:lineRule="exact"/>
              <w:ind w:firstLine="480" w:firstLineChars="200"/>
            </w:pPr>
            <w:r>
              <w:rPr>
                <w:rFonts w:hint="eastAsia" w:ascii="Times New Roman" w:hAnsi="Times New Roman" w:cs="Times New Roman"/>
                <w:kern w:val="0"/>
                <w:sz w:val="24"/>
              </w:rPr>
              <w:t>4.工程量清单数量为预估数量，供货人按工程量清单数量供货，如发生货物剩余，由供货人回收，所产生的装卸运输费用由供货人承担，采购人按照实际用量进行结算。</w:t>
            </w:r>
          </w:p>
        </w:tc>
      </w:tr>
    </w:tbl>
    <w:p>
      <w:pPr>
        <w:wordWrap w:val="0"/>
        <w:spacing w:line="440" w:lineRule="exact"/>
        <w:ind w:firstLine="480" w:firstLineChars="200"/>
        <w:rPr>
          <w:rFonts w:ascii="Times New Roman" w:hAnsi="Times New Roman" w:cs="Times New Roman"/>
          <w:kern w:val="0"/>
          <w:sz w:val="24"/>
        </w:rPr>
      </w:pPr>
      <w:r>
        <w:rPr>
          <w:rFonts w:hint="eastAsia" w:ascii="Times New Roman" w:hAnsi="Times New Roman" w:cs="Times New Roman"/>
          <w:kern w:val="0"/>
          <w:sz w:val="24"/>
        </w:rPr>
        <w:t>说明：合同具体条款</w:t>
      </w:r>
      <w:r>
        <w:rPr>
          <w:rFonts w:ascii="Times New Roman" w:hAnsi="Times New Roman" w:cs="Times New Roman"/>
          <w:kern w:val="0"/>
          <w:sz w:val="24"/>
        </w:rPr>
        <w:t>由</w:t>
      </w:r>
      <w:r>
        <w:rPr>
          <w:rFonts w:hint="eastAsia" w:ascii="Times New Roman" w:hAnsi="Times New Roman" w:cs="Times New Roman"/>
          <w:kern w:val="0"/>
          <w:sz w:val="24"/>
        </w:rPr>
        <w:t>招标</w:t>
      </w:r>
      <w:r>
        <w:rPr>
          <w:rFonts w:ascii="Times New Roman" w:hAnsi="Times New Roman" w:cs="Times New Roman"/>
          <w:kern w:val="0"/>
          <w:sz w:val="24"/>
        </w:rPr>
        <w:t>人与</w:t>
      </w:r>
      <w:r>
        <w:rPr>
          <w:rFonts w:hint="eastAsia" w:ascii="Times New Roman" w:hAnsi="Times New Roman" w:cs="Times New Roman"/>
          <w:kern w:val="0"/>
          <w:sz w:val="24"/>
        </w:rPr>
        <w:t>中标单</w:t>
      </w:r>
      <w:r>
        <w:rPr>
          <w:rFonts w:ascii="Times New Roman" w:hAnsi="Times New Roman" w:cs="Times New Roman"/>
          <w:kern w:val="0"/>
          <w:sz w:val="24"/>
        </w:rPr>
        <w:t>位在不违背</w:t>
      </w:r>
      <w:r>
        <w:rPr>
          <w:rFonts w:hint="eastAsia" w:ascii="Times New Roman" w:hAnsi="Times New Roman" w:cs="Times New Roman"/>
          <w:kern w:val="0"/>
          <w:sz w:val="24"/>
        </w:rPr>
        <w:t>招标文件</w:t>
      </w:r>
      <w:r>
        <w:rPr>
          <w:rFonts w:ascii="Times New Roman" w:hAnsi="Times New Roman" w:cs="Times New Roman"/>
          <w:kern w:val="0"/>
          <w:sz w:val="24"/>
        </w:rPr>
        <w:t>内容和</w:t>
      </w:r>
      <w:r>
        <w:rPr>
          <w:rFonts w:hint="eastAsia" w:ascii="Times New Roman" w:hAnsi="Times New Roman" w:cs="Times New Roman"/>
          <w:kern w:val="0"/>
          <w:sz w:val="24"/>
        </w:rPr>
        <w:t>投标</w:t>
      </w:r>
      <w:r>
        <w:rPr>
          <w:rFonts w:ascii="Times New Roman" w:hAnsi="Times New Roman" w:cs="Times New Roman"/>
          <w:kern w:val="0"/>
          <w:sz w:val="24"/>
        </w:rPr>
        <w:t>文件承诺的条件下友好协商签订。</w:t>
      </w:r>
    </w:p>
    <w:p>
      <w:pP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br w:type="page"/>
      </w:r>
    </w:p>
    <w:p>
      <w:pPr>
        <w:spacing w:line="480" w:lineRule="exact"/>
        <w:jc w:val="center"/>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 xml:space="preserve">第五章 </w:t>
      </w:r>
      <w:bookmarkEnd w:id="356"/>
      <w:bookmarkEnd w:id="357"/>
      <w:bookmarkEnd w:id="358"/>
      <w:bookmarkEnd w:id="359"/>
      <w:bookmarkEnd w:id="360"/>
      <w:bookmarkEnd w:id="361"/>
      <w:bookmarkEnd w:id="362"/>
      <w:bookmarkEnd w:id="363"/>
      <w:r>
        <w:rPr>
          <w:rFonts w:hint="eastAsia" w:asciiTheme="majorEastAsia" w:hAnsiTheme="majorEastAsia" w:eastAsiaTheme="majorEastAsia" w:cstheme="majorEastAsia"/>
          <w:b/>
          <w:bCs/>
          <w:sz w:val="32"/>
          <w:szCs w:val="32"/>
        </w:rPr>
        <w:t>供货要求</w:t>
      </w:r>
    </w:p>
    <w:p>
      <w:pPr>
        <w:spacing w:line="480" w:lineRule="exact"/>
        <w:jc w:val="center"/>
        <w:rPr>
          <w:rFonts w:asciiTheme="majorEastAsia" w:hAnsiTheme="majorEastAsia" w:eastAsiaTheme="majorEastAsia" w:cstheme="majorEastAsia"/>
          <w:b/>
          <w:bCs/>
          <w:sz w:val="32"/>
          <w:szCs w:val="32"/>
        </w:rPr>
      </w:pPr>
    </w:p>
    <w:p>
      <w:pPr>
        <w:widowControl/>
        <w:jc w:val="left"/>
        <w:rPr>
          <w:rFonts w:ascii="宋体" w:hAnsi="宋体" w:eastAsia="宋体" w:cs="宋体"/>
          <w:b/>
          <w:bCs/>
          <w:color w:val="000000"/>
          <w:kern w:val="0"/>
          <w:sz w:val="28"/>
          <w:szCs w:val="28"/>
          <w:lang w:bidi="ar"/>
        </w:rPr>
      </w:pPr>
      <w:r>
        <w:rPr>
          <w:rFonts w:hint="eastAsia" w:ascii="宋体" w:hAnsi="宋体" w:eastAsia="宋体" w:cs="宋体"/>
          <w:b/>
          <w:bCs/>
          <w:color w:val="000000"/>
          <w:kern w:val="0"/>
          <w:sz w:val="28"/>
          <w:szCs w:val="28"/>
          <w:lang w:bidi="ar"/>
        </w:rPr>
        <w:t>一、品牌推荐</w:t>
      </w:r>
    </w:p>
    <w:p>
      <w:pPr>
        <w:widowControl/>
        <w:ind w:firstLine="562" w:firstLineChars="200"/>
        <w:jc w:val="left"/>
        <w:rPr>
          <w:rFonts w:ascii="宋体" w:hAnsi="宋体" w:eastAsia="宋体" w:cs="宋体"/>
          <w:b/>
          <w:bCs/>
          <w:color w:val="FF0000"/>
          <w:sz w:val="28"/>
          <w:szCs w:val="28"/>
        </w:rPr>
      </w:pPr>
      <w:r>
        <w:rPr>
          <w:rFonts w:hint="eastAsia" w:ascii="宋体" w:hAnsi="宋体" w:eastAsia="宋体" w:cs="宋体"/>
          <w:b/>
          <w:bCs/>
          <w:color w:val="FF0000"/>
          <w:kern w:val="0"/>
          <w:sz w:val="28"/>
          <w:szCs w:val="28"/>
          <w:lang w:bidi="ar"/>
        </w:rPr>
        <w:t xml:space="preserve">（1）光伏组件:隆基、天合、晶科、晶澳； </w:t>
      </w:r>
    </w:p>
    <w:p>
      <w:pPr>
        <w:widowControl/>
        <w:ind w:firstLine="562" w:firstLineChars="200"/>
        <w:jc w:val="left"/>
        <w:rPr>
          <w:rFonts w:ascii="宋体" w:hAnsi="宋体" w:eastAsia="宋体" w:cs="宋体"/>
          <w:sz w:val="28"/>
          <w:szCs w:val="28"/>
        </w:rPr>
      </w:pPr>
      <w:r>
        <w:rPr>
          <w:rFonts w:hint="eastAsia" w:ascii="宋体" w:hAnsi="宋体" w:eastAsia="宋体" w:cs="宋体"/>
          <w:b/>
          <w:bCs/>
          <w:color w:val="FF0000"/>
          <w:kern w:val="0"/>
          <w:sz w:val="28"/>
          <w:szCs w:val="28"/>
          <w:lang w:bidi="ar"/>
        </w:rPr>
        <w:t>（2）逆变器:华为、固德威、阳光电源。</w:t>
      </w:r>
    </w:p>
    <w:p>
      <w:pPr>
        <w:rPr>
          <w:rFonts w:ascii="宋体" w:hAnsi="宋体" w:eastAsia="宋体" w:cs="宋体"/>
          <w:b/>
          <w:bCs/>
          <w:sz w:val="28"/>
          <w:szCs w:val="28"/>
        </w:rPr>
      </w:pPr>
      <w:r>
        <w:rPr>
          <w:rFonts w:hint="eastAsia" w:ascii="宋体" w:hAnsi="宋体" w:eastAsia="宋体" w:cs="宋体"/>
          <w:b/>
          <w:bCs/>
          <w:sz w:val="28"/>
          <w:szCs w:val="28"/>
        </w:rPr>
        <w:t>二、光伏逆变器质保</w:t>
      </w:r>
    </w:p>
    <w:p>
      <w:pPr>
        <w:ind w:firstLine="560" w:firstLineChars="200"/>
        <w:rPr>
          <w:rFonts w:ascii="宋体" w:hAnsi="宋体" w:eastAsia="宋体" w:cs="宋体"/>
          <w:sz w:val="28"/>
          <w:szCs w:val="28"/>
          <w:u w:val="single"/>
        </w:rPr>
      </w:pPr>
      <w:r>
        <w:rPr>
          <w:rFonts w:hint="eastAsia" w:ascii="宋体" w:hAnsi="宋体" w:eastAsia="宋体" w:cs="宋体"/>
          <w:sz w:val="28"/>
          <w:szCs w:val="28"/>
        </w:rPr>
        <w:t>光伏逆变器产品质保5年；发电量质保为25年，发电量25年内衰减率为：组件1年功率衰降≤2%，5年功率衰降≤4.75%，10年功率衰降≤7.5%，25年功率衰降≤15.7。若衰减率超过以上指标和质保期限达不到以上指标，由中标单位免费进行维修更换，并承担相应的损失，并向甲方赔偿相应的损失。</w:t>
      </w:r>
    </w:p>
    <w:p>
      <w:pPr>
        <w:rPr>
          <w:rFonts w:ascii="宋体" w:hAnsi="宋体" w:eastAsia="宋体" w:cs="宋体"/>
          <w:b/>
          <w:bCs/>
          <w:sz w:val="28"/>
          <w:szCs w:val="28"/>
        </w:rPr>
      </w:pPr>
      <w:r>
        <w:rPr>
          <w:rFonts w:hint="eastAsia" w:ascii="宋体" w:hAnsi="宋体" w:eastAsia="宋体" w:cs="宋体"/>
          <w:b/>
          <w:bCs/>
          <w:sz w:val="28"/>
          <w:szCs w:val="28"/>
        </w:rPr>
        <w:t>三、材料规格型号</w:t>
      </w:r>
    </w:p>
    <w:p>
      <w:pPr>
        <w:pStyle w:val="2"/>
        <w:spacing w:before="0" w:after="0" w:line="240" w:lineRule="auto"/>
        <w:ind w:firstLine="562" w:firstLineChars="200"/>
        <w:jc w:val="both"/>
        <w:rPr>
          <w:rFonts w:ascii="宋体" w:hAnsi="宋体" w:cs="宋体"/>
        </w:rPr>
      </w:pPr>
      <w:r>
        <w:rPr>
          <w:rFonts w:hint="eastAsia" w:ascii="宋体" w:hAnsi="宋体" w:cs="宋体"/>
          <w:color w:val="FF0000"/>
          <w:sz w:val="28"/>
          <w:szCs w:val="28"/>
        </w:rPr>
        <w:t>详见图纸及工程量清单。</w:t>
      </w:r>
    </w:p>
    <w:p>
      <w:pPr>
        <w:wordWrap w:val="0"/>
        <w:spacing w:line="440" w:lineRule="exact"/>
        <w:rPr>
          <w:rFonts w:ascii="Times New Roman" w:hAnsi="Times New Roman" w:cs="Times New Roman"/>
          <w:b/>
          <w:bCs/>
          <w:kern w:val="0"/>
          <w:sz w:val="28"/>
          <w:szCs w:val="28"/>
        </w:rPr>
      </w:pPr>
      <w:permStart w:id="70" w:edGrp="everyone"/>
      <w:r>
        <w:rPr>
          <w:rFonts w:hint="eastAsia" w:ascii="Times New Roman" w:hAnsi="Times New Roman" w:cs="Times New Roman"/>
          <w:b/>
          <w:bCs/>
          <w:kern w:val="0"/>
          <w:sz w:val="28"/>
          <w:szCs w:val="28"/>
        </w:rPr>
        <w:t>四、设备（材料）需求一览表</w:t>
      </w:r>
    </w:p>
    <w:p>
      <w:pPr>
        <w:wordWrap w:val="0"/>
        <w:spacing w:line="440" w:lineRule="exact"/>
        <w:ind w:firstLine="480" w:firstLineChars="200"/>
        <w:rPr>
          <w:rFonts w:ascii="Times New Roman" w:hAnsi="Times New Roman" w:cs="Times New Roman"/>
          <w:kern w:val="0"/>
          <w:sz w:val="24"/>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8"/>
        <w:gridCol w:w="1581"/>
        <w:gridCol w:w="2415"/>
        <w:gridCol w:w="1560"/>
        <w:gridCol w:w="124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序号</w:t>
            </w:r>
          </w:p>
        </w:tc>
        <w:tc>
          <w:tcPr>
            <w:tcW w:w="1581"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设备（材料）名称</w:t>
            </w:r>
          </w:p>
        </w:tc>
        <w:tc>
          <w:tcPr>
            <w:tcW w:w="241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规格</w:t>
            </w:r>
          </w:p>
        </w:tc>
        <w:tc>
          <w:tcPr>
            <w:tcW w:w="156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数量及单位</w:t>
            </w:r>
          </w:p>
        </w:tc>
        <w:tc>
          <w:tcPr>
            <w:tcW w:w="124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交货地点</w:t>
            </w:r>
          </w:p>
        </w:tc>
        <w:tc>
          <w:tcPr>
            <w:tcW w:w="1080"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1</w:t>
            </w:r>
          </w:p>
        </w:tc>
        <w:tc>
          <w:tcPr>
            <w:tcW w:w="1581"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光伏板</w:t>
            </w:r>
          </w:p>
        </w:tc>
        <w:tc>
          <w:tcPr>
            <w:tcW w:w="2415" w:type="dxa"/>
            <w:vAlign w:val="center"/>
          </w:tcPr>
          <w:p>
            <w:pPr>
              <w:widowControl/>
              <w:jc w:val="left"/>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16"/>
                <w:szCs w:val="16"/>
                <w:lang w:bidi="ar"/>
              </w:rPr>
              <w:t>1、类型：光伏板</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 xml:space="preserve">2、规格、型号：2279×1134×35mm  </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3、单块：580W</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4、总装机容量为：469.8kWp</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5、固定方式：支架、车棚安装</w:t>
            </w:r>
          </w:p>
        </w:tc>
        <w:tc>
          <w:tcPr>
            <w:tcW w:w="1560"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810块</w:t>
            </w:r>
          </w:p>
        </w:tc>
        <w:tc>
          <w:tcPr>
            <w:tcW w:w="124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项目现场</w:t>
            </w:r>
          </w:p>
        </w:tc>
        <w:tc>
          <w:tcPr>
            <w:tcW w:w="1080" w:type="dxa"/>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2</w:t>
            </w:r>
          </w:p>
        </w:tc>
        <w:tc>
          <w:tcPr>
            <w:tcW w:w="1581"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光伏板安装附件</w:t>
            </w:r>
          </w:p>
        </w:tc>
        <w:tc>
          <w:tcPr>
            <w:tcW w:w="2415" w:type="dxa"/>
            <w:vAlign w:val="center"/>
          </w:tcPr>
          <w:p>
            <w:pPr>
              <w:widowControl/>
              <w:jc w:val="left"/>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16"/>
                <w:szCs w:val="16"/>
                <w:lang w:bidi="ar"/>
              </w:rPr>
              <w:t>1、铝合金中压块、边压块</w:t>
            </w:r>
          </w:p>
        </w:tc>
        <w:tc>
          <w:tcPr>
            <w:tcW w:w="1560"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1项</w:t>
            </w:r>
          </w:p>
        </w:tc>
        <w:tc>
          <w:tcPr>
            <w:tcW w:w="124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项目现场</w:t>
            </w:r>
          </w:p>
        </w:tc>
        <w:tc>
          <w:tcPr>
            <w:tcW w:w="1080" w:type="dxa"/>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3</w:t>
            </w:r>
          </w:p>
        </w:tc>
        <w:tc>
          <w:tcPr>
            <w:tcW w:w="1581"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配电箱 250*300*150</w:t>
            </w:r>
          </w:p>
        </w:tc>
        <w:tc>
          <w:tcPr>
            <w:tcW w:w="2415" w:type="dxa"/>
            <w:vAlign w:val="center"/>
          </w:tcPr>
          <w:p>
            <w:pPr>
              <w:widowControl/>
              <w:jc w:val="left"/>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16"/>
                <w:szCs w:val="16"/>
                <w:lang w:bidi="ar"/>
              </w:rPr>
              <w:t>1、名称：配电箱</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2、型号：304不锈钢1.0厚,铰链304不锈钢材质</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3、规格：250*300*150</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4、微型断路器：16A/2P</w:t>
            </w:r>
          </w:p>
        </w:tc>
        <w:tc>
          <w:tcPr>
            <w:tcW w:w="1560"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3台</w:t>
            </w:r>
          </w:p>
        </w:tc>
        <w:tc>
          <w:tcPr>
            <w:tcW w:w="124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项目现场</w:t>
            </w:r>
          </w:p>
        </w:tc>
        <w:tc>
          <w:tcPr>
            <w:tcW w:w="1080" w:type="dxa"/>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4</w:t>
            </w:r>
          </w:p>
        </w:tc>
        <w:tc>
          <w:tcPr>
            <w:tcW w:w="1581"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1#光伏并网柜</w:t>
            </w:r>
          </w:p>
        </w:tc>
        <w:tc>
          <w:tcPr>
            <w:tcW w:w="2415" w:type="dxa"/>
            <w:vAlign w:val="center"/>
          </w:tcPr>
          <w:p>
            <w:pPr>
              <w:widowControl/>
              <w:jc w:val="left"/>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16"/>
                <w:szCs w:val="16"/>
                <w:lang w:bidi="ar"/>
              </w:rPr>
              <w:t>1、名称：光伏并网柜</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2、规格：GGD1 800mmx600mmx2200mm</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3、包括柜体内原器件</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b/>
                <w:bCs/>
                <w:color w:val="FF0000"/>
                <w:kern w:val="0"/>
                <w:sz w:val="16"/>
                <w:szCs w:val="16"/>
                <w:lang w:bidi="ar"/>
              </w:rPr>
              <w:t>4、参数详见图纸；</w:t>
            </w:r>
          </w:p>
        </w:tc>
        <w:tc>
          <w:tcPr>
            <w:tcW w:w="1560"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1台</w:t>
            </w:r>
          </w:p>
        </w:tc>
        <w:tc>
          <w:tcPr>
            <w:tcW w:w="124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项目现场</w:t>
            </w:r>
          </w:p>
        </w:tc>
        <w:tc>
          <w:tcPr>
            <w:tcW w:w="1080" w:type="dxa"/>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5</w:t>
            </w:r>
          </w:p>
        </w:tc>
        <w:tc>
          <w:tcPr>
            <w:tcW w:w="1581"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2#光伏并网柜</w:t>
            </w:r>
          </w:p>
        </w:tc>
        <w:tc>
          <w:tcPr>
            <w:tcW w:w="2415" w:type="dxa"/>
            <w:vAlign w:val="center"/>
          </w:tcPr>
          <w:p>
            <w:pPr>
              <w:widowControl/>
              <w:jc w:val="left"/>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16"/>
                <w:szCs w:val="16"/>
                <w:lang w:bidi="ar"/>
              </w:rPr>
              <w:t>1、名称：光伏并网柜</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2、规格：GGD1 800mmx600mmx2200mm</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3、包括柜体内原器件</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b/>
                <w:bCs/>
                <w:color w:val="FF0000"/>
                <w:kern w:val="0"/>
                <w:sz w:val="16"/>
                <w:szCs w:val="16"/>
                <w:lang w:bidi="ar"/>
              </w:rPr>
              <w:t>4、参数详见图纸；</w:t>
            </w:r>
          </w:p>
        </w:tc>
        <w:tc>
          <w:tcPr>
            <w:tcW w:w="1560"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1台</w:t>
            </w:r>
          </w:p>
        </w:tc>
        <w:tc>
          <w:tcPr>
            <w:tcW w:w="124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项目现场</w:t>
            </w:r>
          </w:p>
        </w:tc>
        <w:tc>
          <w:tcPr>
            <w:tcW w:w="1080" w:type="dxa"/>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6</w:t>
            </w:r>
          </w:p>
        </w:tc>
        <w:tc>
          <w:tcPr>
            <w:tcW w:w="1581"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光伏逆变器50kW</w:t>
            </w:r>
          </w:p>
        </w:tc>
        <w:tc>
          <w:tcPr>
            <w:tcW w:w="2415" w:type="dxa"/>
            <w:vAlign w:val="center"/>
          </w:tcPr>
          <w:p>
            <w:pPr>
              <w:widowControl/>
              <w:jc w:val="left"/>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16"/>
                <w:szCs w:val="16"/>
                <w:lang w:bidi="ar"/>
              </w:rPr>
              <w:t>1、名称：光伏逆变器</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2、容量（kw)：50kW</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3、户外壁挂式</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4、含逆变器无线传输设备</w:t>
            </w:r>
            <w:r>
              <w:rPr>
                <w:rFonts w:hint="eastAsia" w:ascii="微软雅黑" w:hAnsi="微软雅黑" w:eastAsia="微软雅黑" w:cs="微软雅黑"/>
                <w:color w:val="000000"/>
                <w:kern w:val="0"/>
                <w:sz w:val="16"/>
                <w:szCs w:val="16"/>
                <w:lang w:bidi="ar"/>
              </w:rPr>
              <w:br w:type="textWrapping"/>
            </w:r>
            <w:r>
              <w:rPr>
                <w:rStyle w:val="31"/>
                <w:rFonts w:hint="default"/>
                <w:lang w:bidi="ar"/>
              </w:rPr>
              <w:t>5、参数详见图纸；</w:t>
            </w:r>
          </w:p>
        </w:tc>
        <w:tc>
          <w:tcPr>
            <w:tcW w:w="1560"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2台</w:t>
            </w:r>
          </w:p>
        </w:tc>
        <w:tc>
          <w:tcPr>
            <w:tcW w:w="124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项目现场</w:t>
            </w:r>
          </w:p>
        </w:tc>
        <w:tc>
          <w:tcPr>
            <w:tcW w:w="1080" w:type="dxa"/>
            <w:vAlign w:val="center"/>
          </w:tcPr>
          <w:p>
            <w:pPr>
              <w:wordWrap w:val="0"/>
              <w:spacing w:line="440" w:lineRule="exact"/>
              <w:jc w:val="center"/>
              <w:rPr>
                <w:rFonts w:ascii="Times New Roman" w:hAnsi="Times New Roman" w:cs="Times New Roman"/>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8"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7</w:t>
            </w:r>
          </w:p>
        </w:tc>
        <w:tc>
          <w:tcPr>
            <w:tcW w:w="1581"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光伏逆变器 110kW</w:t>
            </w:r>
          </w:p>
        </w:tc>
        <w:tc>
          <w:tcPr>
            <w:tcW w:w="2415" w:type="dxa"/>
            <w:vAlign w:val="center"/>
          </w:tcPr>
          <w:p>
            <w:pPr>
              <w:widowControl/>
              <w:jc w:val="left"/>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16"/>
                <w:szCs w:val="16"/>
                <w:lang w:bidi="ar"/>
              </w:rPr>
              <w:t>1、名称：光伏逆变器</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2、容量（kw)：110kW</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3、户外壁挂式</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b/>
                <w:bCs/>
                <w:color w:val="FF0000"/>
                <w:kern w:val="0"/>
                <w:sz w:val="16"/>
                <w:szCs w:val="16"/>
                <w:lang w:bidi="ar"/>
              </w:rPr>
              <w:t>4、参数详见图纸；</w:t>
            </w:r>
          </w:p>
        </w:tc>
        <w:tc>
          <w:tcPr>
            <w:tcW w:w="1560" w:type="dxa"/>
            <w:vAlign w:val="center"/>
          </w:tcPr>
          <w:p>
            <w:pPr>
              <w:widowControl/>
              <w:jc w:val="center"/>
              <w:textAlignment w:val="center"/>
              <w:rPr>
                <w:rFonts w:ascii="Times New Roman" w:hAnsi="Times New Roman" w:cs="Times New Roman"/>
                <w:kern w:val="0"/>
                <w:sz w:val="24"/>
              </w:rPr>
            </w:pPr>
            <w:r>
              <w:rPr>
                <w:rFonts w:hint="eastAsia" w:ascii="微软雅黑" w:hAnsi="微软雅黑" w:eastAsia="微软雅黑" w:cs="微软雅黑"/>
                <w:color w:val="000000"/>
                <w:kern w:val="0"/>
                <w:sz w:val="20"/>
                <w:szCs w:val="20"/>
                <w:lang w:bidi="ar"/>
              </w:rPr>
              <w:t>3台</w:t>
            </w:r>
          </w:p>
        </w:tc>
        <w:tc>
          <w:tcPr>
            <w:tcW w:w="1245" w:type="dxa"/>
            <w:vAlign w:val="center"/>
          </w:tcPr>
          <w:p>
            <w:pPr>
              <w:wordWrap w:val="0"/>
              <w:spacing w:line="440" w:lineRule="exact"/>
              <w:jc w:val="center"/>
              <w:rPr>
                <w:rFonts w:ascii="Times New Roman" w:hAnsi="Times New Roman" w:cs="Times New Roman"/>
                <w:kern w:val="0"/>
                <w:sz w:val="24"/>
              </w:rPr>
            </w:pPr>
            <w:r>
              <w:rPr>
                <w:rFonts w:hint="eastAsia" w:ascii="Times New Roman" w:hAnsi="Times New Roman" w:cs="Times New Roman"/>
                <w:kern w:val="0"/>
                <w:sz w:val="24"/>
              </w:rPr>
              <w:t>项目现场</w:t>
            </w:r>
          </w:p>
        </w:tc>
        <w:tc>
          <w:tcPr>
            <w:tcW w:w="1080" w:type="dxa"/>
            <w:vAlign w:val="center"/>
          </w:tcPr>
          <w:p>
            <w:pPr>
              <w:wordWrap w:val="0"/>
              <w:spacing w:line="440" w:lineRule="exact"/>
              <w:jc w:val="center"/>
              <w:rPr>
                <w:rFonts w:ascii="Times New Roman" w:hAnsi="Times New Roman" w:cs="Times New Roman"/>
                <w:kern w:val="0"/>
                <w:sz w:val="24"/>
              </w:rPr>
            </w:pPr>
          </w:p>
        </w:tc>
      </w:tr>
    </w:tbl>
    <w:p>
      <w:pPr>
        <w:wordWrap w:val="0"/>
        <w:spacing w:line="440" w:lineRule="exact"/>
        <w:rPr>
          <w:rFonts w:ascii="Times New Roman" w:hAnsi="Times New Roman" w:cs="Times New Roman"/>
          <w:kern w:val="0"/>
          <w:sz w:val="24"/>
        </w:rPr>
      </w:pPr>
    </w:p>
    <w:p>
      <w:pPr>
        <w:wordWrap w:val="0"/>
        <w:spacing w:line="440" w:lineRule="exact"/>
        <w:rPr>
          <w:rFonts w:ascii="Times New Roman" w:hAnsi="Times New Roman" w:cs="Times New Roman"/>
          <w:b/>
          <w:bCs/>
          <w:kern w:val="0"/>
          <w:sz w:val="28"/>
          <w:szCs w:val="28"/>
        </w:rPr>
      </w:pPr>
      <w:r>
        <w:rPr>
          <w:rFonts w:hint="eastAsia" w:ascii="Times New Roman" w:hAnsi="Times New Roman" w:cs="Times New Roman"/>
          <w:b/>
          <w:bCs/>
          <w:kern w:val="0"/>
          <w:sz w:val="28"/>
          <w:szCs w:val="28"/>
        </w:rPr>
        <w:t>五、其他要求</w:t>
      </w:r>
    </w:p>
    <w:permEnd w:id="70"/>
    <w:p>
      <w:pPr>
        <w:wordWrap w:val="0"/>
        <w:spacing w:line="44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1.材料进场前需提供合格证、检测证明等相关材料，材料需运至项目现场，并卸至项目部指定位置。</w:t>
      </w:r>
    </w:p>
    <w:p>
      <w:pPr>
        <w:wordWrap w:val="0"/>
        <w:spacing w:line="44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2.本章供货要求，是为满足招标人采购需求的最低要求，并未对一切技术参数和要求作出规定，也未充分引述有关规范和标准，投标人应保证提供的投标设备是符合或优于招标文件规定和有关规范、标准的优质产品；</w:t>
      </w:r>
    </w:p>
    <w:p>
      <w:pPr>
        <w:wordWrap w:val="0"/>
        <w:spacing w:line="44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3.为鼓励不同品牌充分竞争，如某设备的某项技术参数或要求属于个别品牌专有，则该技术参数、要求不具有限制性，投标人可对该技术参数或要求的响应情况进行说明，并经评标委员会审核确认；</w:t>
      </w:r>
    </w:p>
    <w:p>
      <w:pPr>
        <w:wordWrap w:val="0"/>
        <w:spacing w:line="440" w:lineRule="exact"/>
        <w:ind w:firstLine="560" w:firstLineChars="200"/>
        <w:rPr>
          <w:rFonts w:ascii="宋体" w:hAnsi="宋体" w:eastAsia="宋体" w:cs="宋体"/>
          <w:kern w:val="0"/>
          <w:sz w:val="28"/>
          <w:szCs w:val="28"/>
        </w:rPr>
      </w:pPr>
      <w:r>
        <w:rPr>
          <w:rFonts w:hint="eastAsia" w:ascii="宋体" w:hAnsi="宋体" w:eastAsia="宋体" w:cs="宋体"/>
          <w:kern w:val="0"/>
          <w:sz w:val="28"/>
          <w:szCs w:val="28"/>
        </w:rPr>
        <w:t>4.本章供货要求，凡涉及参考品牌、推荐品牌（或参考型号、推荐型号）等表述的，均不具有限制性，投标人可自行选择其他品牌（或型号）投标，但投标人应当在投标文件中提供技术证明材料，以证明投标设备的质量、性能、参数等相当于或优于参考品牌、推荐品牌（或参考型号、推荐型号），否则其投标无效。</w:t>
      </w:r>
    </w:p>
    <w:p>
      <w:pPr>
        <w:rPr>
          <w:rFonts w:ascii="Times New Roman" w:hAnsi="Times New Roman" w:cs="Times New Roman"/>
          <w:kern w:val="0"/>
          <w:sz w:val="24"/>
        </w:rPr>
      </w:pPr>
      <w:r>
        <w:rPr>
          <w:rFonts w:hint="eastAsia" w:ascii="Times New Roman" w:hAnsi="Times New Roman" w:cs="Times New Roman"/>
          <w:kern w:val="0"/>
          <w:sz w:val="24"/>
        </w:rPr>
        <w:br w:type="page"/>
      </w:r>
    </w:p>
    <w:p>
      <w:pPr>
        <w:spacing w:line="480" w:lineRule="exact"/>
        <w:jc w:val="center"/>
        <w:rPr>
          <w:rFonts w:ascii="Times New Roman" w:hAnsi="Times New Roman" w:cs="Times New Roman" w:eastAsiaTheme="majorEastAsia"/>
          <w:b/>
          <w:bCs/>
          <w:sz w:val="32"/>
          <w:szCs w:val="32"/>
        </w:rPr>
      </w:pPr>
      <w:r>
        <w:rPr>
          <w:rFonts w:ascii="Times New Roman" w:hAnsi="Times New Roman" w:cs="Times New Roman" w:eastAsiaTheme="majorEastAsia"/>
          <w:b/>
          <w:bCs/>
          <w:sz w:val="32"/>
          <w:szCs w:val="32"/>
        </w:rPr>
        <w:t>第</w:t>
      </w:r>
      <w:r>
        <w:rPr>
          <w:rFonts w:hint="eastAsia" w:ascii="Times New Roman" w:hAnsi="Times New Roman" w:cs="Times New Roman" w:eastAsiaTheme="majorEastAsia"/>
          <w:b/>
          <w:bCs/>
          <w:sz w:val="32"/>
          <w:szCs w:val="32"/>
        </w:rPr>
        <w:t>六</w:t>
      </w:r>
      <w:r>
        <w:rPr>
          <w:rFonts w:ascii="Times New Roman" w:hAnsi="Times New Roman" w:cs="Times New Roman" w:eastAsiaTheme="majorEastAsia"/>
          <w:b/>
          <w:bCs/>
          <w:sz w:val="32"/>
          <w:szCs w:val="32"/>
        </w:rPr>
        <w:t>章 投标文件格式</w:t>
      </w:r>
    </w:p>
    <w:p>
      <w:pPr>
        <w:wordWrap w:val="0"/>
        <w:spacing w:line="520" w:lineRule="exact"/>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r>
        <w:rPr>
          <w:rFonts w:hint="eastAsia" w:ascii="Times New Roman" w:hAnsi="Times New Roman" w:eastAsia="黑体" w:cs="Times New Roman"/>
          <w:kern w:val="0"/>
          <w:sz w:val="32"/>
          <w:szCs w:val="32"/>
        </w:rPr>
        <w:t>亳州新能源发展有限公司亳州中心汽车站菜市场430kW分布式光伏发电项目光伏材料采购</w:t>
      </w: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黑体" w:cs="Times New Roman"/>
          <w:kern w:val="0"/>
          <w:sz w:val="32"/>
          <w:szCs w:val="32"/>
        </w:rPr>
      </w:pP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投</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文</w:t>
      </w:r>
    </w:p>
    <w:p>
      <w:pPr>
        <w:wordWrap w:val="0"/>
        <w:jc w:val="center"/>
        <w:rPr>
          <w:rFonts w:ascii="Times New Roman" w:hAnsi="Times New Roman" w:eastAsia="方正小标宋简体" w:cs="Times New Roman"/>
          <w:kern w:val="0"/>
          <w:sz w:val="84"/>
          <w:szCs w:val="84"/>
        </w:rPr>
      </w:pPr>
      <w:r>
        <w:rPr>
          <w:rFonts w:ascii="Times New Roman" w:hAnsi="Times New Roman" w:eastAsia="方正小标宋简体" w:cs="Times New Roman"/>
          <w:kern w:val="0"/>
          <w:sz w:val="84"/>
          <w:szCs w:val="84"/>
        </w:rPr>
        <w:t>件</w:t>
      </w:r>
    </w:p>
    <w:p>
      <w:pPr>
        <w:wordWrap w:val="0"/>
        <w:jc w:val="center"/>
        <w:rPr>
          <w:rFonts w:ascii="Times New Roman" w:hAnsi="Times New Roman" w:eastAsia="楷体" w:cs="Times New Roman"/>
          <w:kern w:val="0"/>
          <w:sz w:val="28"/>
          <w:szCs w:val="28"/>
        </w:rPr>
      </w:pPr>
    </w:p>
    <w:p>
      <w:pPr>
        <w:wordWrap w:val="0"/>
        <w:jc w:val="center"/>
        <w:rPr>
          <w:rFonts w:ascii="Times New Roman" w:hAnsi="Times New Roman" w:eastAsia="楷体" w:cs="Times New Roman"/>
          <w:kern w:val="0"/>
          <w:sz w:val="28"/>
          <w:szCs w:val="28"/>
        </w:rPr>
      </w:pPr>
      <w:r>
        <w:rPr>
          <w:rFonts w:hint="eastAsia" w:ascii="Times New Roman" w:hAnsi="Times New Roman" w:eastAsia="楷体" w:cs="Times New Roman"/>
          <w:kern w:val="0"/>
          <w:sz w:val="28"/>
          <w:szCs w:val="28"/>
        </w:rPr>
        <w:t xml:space="preserve">         </w:t>
      </w:r>
      <w:r>
        <w:rPr>
          <w:rFonts w:ascii="Times New Roman" w:hAnsi="Times New Roman" w:eastAsia="楷体" w:cs="Times New Roman"/>
          <w:kern w:val="0"/>
          <w:sz w:val="28"/>
          <w:szCs w:val="28"/>
        </w:rPr>
        <w:t>项目编号：</w:t>
      </w:r>
      <w:permStart w:id="71"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23</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rPr>
        <w:t>051</w:t>
      </w:r>
      <w:r>
        <w:rPr>
          <w:rFonts w:ascii="Times New Roman" w:hAnsi="Times New Roman" w:eastAsia="楷体" w:cs="Times New Roman"/>
          <w:kern w:val="0"/>
          <w:sz w:val="28"/>
          <w:szCs w:val="28"/>
        </w:rPr>
        <w:t>号</w:t>
      </w:r>
      <w:permEnd w:id="71"/>
      <w:r>
        <w:rPr>
          <w:rFonts w:hint="eastAsia" w:ascii="Times New Roman" w:hAnsi="Times New Roman" w:eastAsia="楷体" w:cs="Times New Roman"/>
          <w:kern w:val="0"/>
          <w:sz w:val="28"/>
          <w:szCs w:val="28"/>
        </w:rPr>
        <w:t xml:space="preserve">                </w:t>
      </w:r>
    </w:p>
    <w:p>
      <w:pPr>
        <w:wordWrap w:val="0"/>
        <w:rPr>
          <w:rFonts w:ascii="Times New Roman" w:hAnsi="Times New Roman" w:eastAsia="楷体" w:cs="Times New Roman"/>
          <w:kern w:val="0"/>
          <w:sz w:val="32"/>
          <w:szCs w:val="32"/>
        </w:rPr>
      </w:pP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投标单位：</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（盖章）</w:t>
      </w:r>
    </w:p>
    <w:p>
      <w:pPr>
        <w:wordWrap w:val="0"/>
        <w:ind w:left="1260" w:left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rPr>
        <w:t>法定代表人或其委托代理人：</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（签字</w:t>
      </w:r>
      <w:r>
        <w:rPr>
          <w:rFonts w:hint="eastAsia" w:ascii="Times New Roman" w:hAnsi="Times New Roman" w:eastAsia="楷体" w:cs="Times New Roman"/>
          <w:kern w:val="0"/>
          <w:sz w:val="32"/>
          <w:szCs w:val="32"/>
        </w:rPr>
        <w:t>或盖章</w:t>
      </w:r>
      <w:r>
        <w:rPr>
          <w:rFonts w:ascii="Times New Roman" w:hAnsi="Times New Roman" w:eastAsia="楷体" w:cs="Times New Roman"/>
          <w:kern w:val="0"/>
          <w:sz w:val="32"/>
          <w:szCs w:val="32"/>
        </w:rPr>
        <w:t>）</w:t>
      </w:r>
    </w:p>
    <w:p>
      <w:pPr>
        <w:ind w:firstLine="1920" w:firstLineChars="600"/>
        <w:jc w:val="left"/>
        <w:rPr>
          <w:rFonts w:ascii="Times New Roman" w:hAnsi="Times New Roman" w:eastAsia="楷体" w:cs="Times New Roman"/>
          <w:kern w:val="0"/>
          <w:sz w:val="32"/>
          <w:szCs w:val="32"/>
        </w:rPr>
      </w:pP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年</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月</w:t>
      </w:r>
      <w:r>
        <w:rPr>
          <w:rFonts w:ascii="Times New Roman" w:hAnsi="Times New Roman" w:eastAsia="楷体" w:cs="Times New Roman"/>
          <w:kern w:val="0"/>
          <w:sz w:val="32"/>
          <w:szCs w:val="32"/>
          <w:u w:val="single"/>
        </w:rPr>
        <w:t xml:space="preserve">       </w:t>
      </w:r>
      <w:r>
        <w:rPr>
          <w:rFonts w:ascii="Times New Roman" w:hAnsi="Times New Roman" w:eastAsia="楷体" w:cs="Times New Roman"/>
          <w:kern w:val="0"/>
          <w:sz w:val="32"/>
          <w:szCs w:val="32"/>
        </w:rPr>
        <w:t>日</w:t>
      </w:r>
    </w:p>
    <w:p>
      <w:pPr>
        <w:pStyle w:val="4"/>
        <w:jc w:val="center"/>
        <w:rPr>
          <w:rFonts w:ascii="Times New Roman" w:hAnsi="Times New Roman" w:cs="Times New Roman"/>
        </w:rPr>
      </w:pPr>
      <w:bookmarkStart w:id="364" w:name="_Toc152045787"/>
      <w:bookmarkStart w:id="365" w:name="_Toc247527827"/>
      <w:bookmarkStart w:id="366" w:name="_Toc152042576"/>
      <w:bookmarkStart w:id="367" w:name="_Toc144974856"/>
      <w:bookmarkStart w:id="368" w:name="_Toc247514246"/>
      <w:bookmarkStart w:id="369" w:name="_Toc300835209"/>
      <w:r>
        <w:rPr>
          <w:rFonts w:ascii="Times New Roman" w:hAnsi="Times New Roman" w:cs="Times New Roman"/>
        </w:rPr>
        <w:t>目    录</w:t>
      </w:r>
      <w:bookmarkEnd w:id="364"/>
      <w:bookmarkEnd w:id="365"/>
      <w:bookmarkEnd w:id="366"/>
      <w:bookmarkEnd w:id="367"/>
      <w:bookmarkEnd w:id="368"/>
      <w:bookmarkEnd w:id="369"/>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一、投标函</w:t>
      </w:r>
    </w:p>
    <w:p>
      <w:pPr>
        <w:spacing w:line="540" w:lineRule="exact"/>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（单位负责人）身份证明（适用于无委托代理人的情况）</w:t>
      </w:r>
    </w:p>
    <w:p>
      <w:pPr>
        <w:spacing w:line="540" w:lineRule="exact"/>
        <w:rPr>
          <w:rFonts w:ascii="Times New Roman" w:hAnsi="Times New Roman" w:cs="Times New Roman"/>
        </w:rPr>
      </w:pPr>
      <w:r>
        <w:rPr>
          <w:rFonts w:hint="eastAsia" w:ascii="Times New Roman" w:hAnsi="Times New Roman" w:cs="Times New Roman"/>
        </w:rPr>
        <w:t>二、</w:t>
      </w:r>
      <w:r>
        <w:rPr>
          <w:rFonts w:ascii="Times New Roman" w:hAnsi="Times New Roman" w:cs="Times New Roman"/>
        </w:rPr>
        <w:t>授权委托书</w:t>
      </w:r>
      <w:r>
        <w:rPr>
          <w:rFonts w:hint="eastAsia" w:ascii="Times New Roman" w:hAnsi="Times New Roman" w:cs="Times New Roman"/>
        </w:rPr>
        <w:t>（适用于有委托代理人的情况）</w:t>
      </w:r>
    </w:p>
    <w:p>
      <w:pPr>
        <w:spacing w:line="540" w:lineRule="exact"/>
        <w:rPr>
          <w:rFonts w:ascii="Times New Roman" w:hAnsi="Times New Roman" w:cs="Times New Roman"/>
        </w:rPr>
      </w:pPr>
      <w:r>
        <w:rPr>
          <w:rFonts w:hint="eastAsia" w:ascii="Times New Roman" w:hAnsi="Times New Roman" w:cs="Times New Roman"/>
        </w:rPr>
        <w:t>三</w:t>
      </w:r>
      <w:r>
        <w:rPr>
          <w:rFonts w:ascii="Times New Roman" w:hAnsi="Times New Roman" w:cs="Times New Roman"/>
        </w:rPr>
        <w:t xml:space="preserve">、投标保证金 </w:t>
      </w:r>
    </w:p>
    <w:p>
      <w:pPr>
        <w:spacing w:line="540" w:lineRule="exact"/>
        <w:rPr>
          <w:rFonts w:ascii="Times New Roman" w:hAnsi="Times New Roman" w:cs="Times New Roman"/>
        </w:rPr>
      </w:pPr>
      <w:r>
        <w:rPr>
          <w:rFonts w:hint="eastAsia" w:ascii="Times New Roman" w:hAnsi="Times New Roman" w:cs="Times New Roman"/>
        </w:rPr>
        <w:t>四、商务和技术偏差表</w:t>
      </w:r>
    </w:p>
    <w:p>
      <w:pPr>
        <w:spacing w:line="540" w:lineRule="exact"/>
        <w:rPr>
          <w:rFonts w:ascii="Times New Roman" w:hAnsi="Times New Roman" w:cs="Times New Roman"/>
        </w:rPr>
      </w:pPr>
      <w:r>
        <w:rPr>
          <w:rFonts w:hint="eastAsia" w:ascii="Times New Roman" w:hAnsi="Times New Roman" w:cs="Times New Roman"/>
        </w:rPr>
        <w:t>五、分项报价表</w:t>
      </w:r>
    </w:p>
    <w:p>
      <w:pPr>
        <w:spacing w:line="540" w:lineRule="exact"/>
        <w:rPr>
          <w:rFonts w:ascii="Times New Roman" w:hAnsi="Times New Roman" w:cs="Times New Roman"/>
        </w:rPr>
      </w:pPr>
      <w:r>
        <w:rPr>
          <w:rFonts w:hint="eastAsia" w:ascii="Times New Roman" w:hAnsi="Times New Roman" w:cs="Times New Roman"/>
        </w:rPr>
        <w:t>六、资格审查资料</w:t>
      </w:r>
    </w:p>
    <w:p>
      <w:pPr>
        <w:spacing w:line="540" w:lineRule="exact"/>
        <w:rPr>
          <w:rFonts w:ascii="Times New Roman" w:hAnsi="Times New Roman" w:cs="Times New Roman"/>
        </w:rPr>
      </w:pPr>
      <w:r>
        <w:rPr>
          <w:rFonts w:hint="eastAsia" w:ascii="Times New Roman" w:hAnsi="Times New Roman" w:cs="Times New Roman"/>
        </w:rPr>
        <w:t>七、投标产品性能指标的详细描述</w:t>
      </w:r>
    </w:p>
    <w:p>
      <w:pPr>
        <w:spacing w:line="540" w:lineRule="exact"/>
        <w:rPr>
          <w:rFonts w:ascii="Times New Roman" w:hAnsi="Times New Roman" w:cs="Times New Roman"/>
        </w:rPr>
      </w:pPr>
      <w:r>
        <w:rPr>
          <w:rFonts w:hint="eastAsia" w:ascii="Times New Roman" w:hAnsi="Times New Roman" w:cs="Times New Roman"/>
        </w:rPr>
        <w:t>八、技术支持资料</w:t>
      </w:r>
    </w:p>
    <w:p>
      <w:pPr>
        <w:spacing w:line="540" w:lineRule="exact"/>
        <w:rPr>
          <w:rFonts w:ascii="Times New Roman" w:hAnsi="Times New Roman" w:cs="Times New Roman"/>
        </w:rPr>
      </w:pPr>
      <w:r>
        <w:rPr>
          <w:rFonts w:hint="eastAsia" w:ascii="Times New Roman" w:hAnsi="Times New Roman" w:cs="Times New Roman"/>
        </w:rPr>
        <w:t>九、相关服务计划</w:t>
      </w:r>
    </w:p>
    <w:p>
      <w:pPr>
        <w:spacing w:line="540" w:lineRule="exact"/>
        <w:rPr>
          <w:rFonts w:ascii="Times New Roman" w:hAnsi="Times New Roman" w:cs="Times New Roman"/>
        </w:rPr>
      </w:pPr>
      <w:r>
        <w:rPr>
          <w:rFonts w:hint="eastAsia" w:ascii="Times New Roman" w:hAnsi="Times New Roman" w:cs="Times New Roman"/>
        </w:rPr>
        <w:t>十</w:t>
      </w:r>
      <w:r>
        <w:rPr>
          <w:rFonts w:ascii="Times New Roman" w:hAnsi="Times New Roman" w:cs="Times New Roman"/>
        </w:rPr>
        <w:t>、</w:t>
      </w:r>
      <w:r>
        <w:rPr>
          <w:rFonts w:hint="eastAsia" w:ascii="Times New Roman" w:hAnsi="Times New Roman" w:cs="Times New Roman"/>
        </w:rPr>
        <w:t>其他资料</w:t>
      </w:r>
    </w:p>
    <w:p>
      <w:pPr>
        <w:spacing w:line="540" w:lineRule="exact"/>
        <w:rPr>
          <w:rFonts w:ascii="Times New Roman" w:hAnsi="Times New Roman" w:cs="Times New Roman"/>
        </w:rPr>
      </w:pPr>
    </w:p>
    <w:p>
      <w:pPr>
        <w:spacing w:line="540" w:lineRule="exact"/>
        <w:rPr>
          <w:rFonts w:ascii="Times New Roman" w:hAnsi="Times New Roman" w:cs="Times New Roman"/>
        </w:rPr>
      </w:pPr>
      <w:r>
        <w:rPr>
          <w:rFonts w:ascii="Times New Roman" w:hAnsi="Times New Roman" w:cs="Times New Roman"/>
        </w:rPr>
        <w:t xml:space="preserve"> </w:t>
      </w:r>
    </w:p>
    <w:p>
      <w:pPr>
        <w:spacing w:line="540" w:lineRule="exact"/>
        <w:rPr>
          <w:rFonts w:ascii="Times New Roman" w:hAnsi="Times New Roman" w:eastAsia="黑体" w:cs="Times New Roman"/>
          <w:sz w:val="20"/>
          <w:szCs w:val="20"/>
        </w:rPr>
      </w:pPr>
      <w:r>
        <w:rPr>
          <w:rFonts w:ascii="Times New Roman" w:hAnsi="Times New Roman" w:cs="Times New Roman"/>
        </w:rPr>
        <w:br w:type="page"/>
      </w:r>
    </w:p>
    <w:p>
      <w:pPr>
        <w:pStyle w:val="4"/>
        <w:jc w:val="center"/>
        <w:rPr>
          <w:rFonts w:ascii="Times New Roman" w:hAnsi="Times New Roman" w:cs="Times New Roman"/>
        </w:rPr>
      </w:pPr>
      <w:bookmarkStart w:id="370" w:name="_Toc247527828"/>
      <w:bookmarkStart w:id="371" w:name="_Toc152045788"/>
      <w:bookmarkStart w:id="372" w:name="_Toc247514247"/>
      <w:bookmarkStart w:id="373" w:name="_Toc144974857"/>
      <w:bookmarkStart w:id="374" w:name="_Toc152042577"/>
      <w:bookmarkStart w:id="375" w:name="_Toc300835210"/>
      <w:r>
        <w:rPr>
          <w:rFonts w:ascii="Times New Roman" w:hAnsi="Times New Roman" w:cs="Times New Roman"/>
        </w:rPr>
        <w:t>一、投标函</w:t>
      </w:r>
      <w:bookmarkEnd w:id="370"/>
      <w:bookmarkEnd w:id="371"/>
      <w:bookmarkEnd w:id="372"/>
      <w:bookmarkEnd w:id="373"/>
      <w:bookmarkEnd w:id="374"/>
      <w:bookmarkEnd w:id="375"/>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r>
        <w:rPr>
          <w:rFonts w:ascii="Times New Roman" w:hAnsi="Times New Roman" w:cs="Times New Roman"/>
          <w:szCs w:val="21"/>
          <w:u w:val="single"/>
        </w:rPr>
        <w:t>安徽通康建设工程有限公司</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w:t>
      </w:r>
      <w:r>
        <w:rPr>
          <w:rFonts w:ascii="Times New Roman" w:hAnsi="Times New Roman" w:cs="Times New Roman"/>
          <w:szCs w:val="21"/>
        </w:rPr>
        <w:t>我方已仔细研究了</w:t>
      </w:r>
      <w:r>
        <w:rPr>
          <w:rFonts w:hint="eastAsia"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ascii="Times New Roman" w:hAnsi="Times New Roman" w:cs="Times New Roman"/>
          <w:b/>
          <w:bCs/>
          <w:w w:val="110"/>
          <w:szCs w:val="21"/>
          <w:u w:val="single"/>
        </w:rPr>
        <w:t>亳州新能源发展有限公司亳州中心汽车站菜市场430kW分布式光伏发电项目光伏材料采购</w:t>
      </w:r>
      <w:r>
        <w:rPr>
          <w:rFonts w:hint="eastAsia" w:ascii="Times New Roman" w:hAnsi="Times New Roman" w:cs="Times New Roman"/>
          <w:b/>
          <w:bCs/>
          <w:w w:val="110"/>
          <w:szCs w:val="21"/>
          <w:u w:val="single"/>
          <w:lang w:val="en-US" w:eastAsia="zh-CN"/>
        </w:rPr>
        <w:t xml:space="preserve"> </w:t>
      </w:r>
      <w:bookmarkStart w:id="430" w:name="_GoBack"/>
      <w:bookmarkEnd w:id="430"/>
      <w:r>
        <w:rPr>
          <w:rFonts w:hint="eastAsia" w:ascii="Times New Roman" w:hAnsi="Times New Roman" w:cs="Times New Roman"/>
          <w:szCs w:val="21"/>
          <w:u w:val="single"/>
        </w:rPr>
        <w:t xml:space="preserve">  </w:t>
      </w:r>
      <w:r>
        <w:rPr>
          <w:rFonts w:hint="eastAsia" w:ascii="Times New Roman" w:hAnsi="Times New Roman" w:cs="Times New Roman"/>
          <w:szCs w:val="21"/>
        </w:rPr>
        <w:t>招标项目招标文件的全部内容，愿意以人民币（大写）</w:t>
      </w:r>
      <w:r>
        <w:rPr>
          <w:rFonts w:hint="eastAsia" w:ascii="Times New Roman" w:hAnsi="Times New Roman" w:cs="Times New Roman"/>
          <w:szCs w:val="21"/>
          <w:u w:val="single"/>
        </w:rPr>
        <w:t xml:space="preserve">       （</w:t>
      </w:r>
      <w:r>
        <w:rPr>
          <w:rFonts w:ascii="Times New Roman" w:hAnsi="Times New Roman" w:cs="Times New Roman"/>
          <w:szCs w:val="21"/>
          <w:u w:val="single"/>
        </w:rPr>
        <w:t>¥</w:t>
      </w:r>
      <w:r>
        <w:rPr>
          <w:rFonts w:hint="eastAsia" w:ascii="Times New Roman" w:hAnsi="Times New Roman" w:cs="Times New Roman"/>
          <w:szCs w:val="21"/>
          <w:u w:val="single"/>
        </w:rPr>
        <w:t xml:space="preserve">     ） </w:t>
      </w:r>
      <w:permStart w:id="72" w:edGrp="everyone"/>
      <w:r>
        <w:rPr>
          <w:rFonts w:hint="eastAsia" w:ascii="Times New Roman" w:hAnsi="Times New Roman" w:cs="Times New Roman"/>
          <w:szCs w:val="21"/>
        </w:rPr>
        <w:t>的投标总报价（其中，增值税税率为</w:t>
      </w:r>
      <w:r>
        <w:rPr>
          <w:rFonts w:hint="eastAsia" w:ascii="Times New Roman" w:hAnsi="Times New Roman" w:cs="Times New Roman"/>
          <w:szCs w:val="21"/>
          <w:u w:val="single"/>
        </w:rPr>
        <w:t>13%</w:t>
      </w:r>
      <w:r>
        <w:rPr>
          <w:rFonts w:hint="eastAsia" w:ascii="Times New Roman" w:hAnsi="Times New Roman" w:cs="Times New Roman"/>
          <w:szCs w:val="21"/>
        </w:rPr>
        <w:t>）</w:t>
      </w:r>
      <w:permEnd w:id="72"/>
      <w:r>
        <w:rPr>
          <w:rFonts w:hint="eastAsia" w:ascii="Times New Roman" w:hAnsi="Times New Roman" w:cs="Times New Roman"/>
          <w:szCs w:val="21"/>
        </w:rPr>
        <w:t>提供完成本项目全部供货内容，并按合同约定履行义务。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2.我方的投标文件包括下列内容：</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（1）投标函；（2）法定代表人（单位负责人）身份证明或授权委托书；（3）投标保证金（如有）；（4）分项报价表；（5）资格审查资料；......</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投标文件的上述组成部分如存在内容不一致的，以投标函为准。</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3.我方承诺除商务和技术偏差表列出的偏差外，我方响应招标文件的全部要求。</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4.我方承诺在招标文件规定的投标有效期内不撤销投标文件。</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5.如我方中标，我方承诺：</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rPr>
        <w:t>；</w:t>
      </w:r>
    </w:p>
    <w:p>
      <w:pPr>
        <w:spacing w:line="440" w:lineRule="exact"/>
        <w:ind w:firstLine="718" w:firstLineChars="342"/>
        <w:rPr>
          <w:rFonts w:ascii="Times New Roman" w:hAnsi="Times New Roman" w:cs="Times New Roman"/>
          <w:szCs w:val="21"/>
        </w:rPr>
      </w:pPr>
      <w:r>
        <w:rPr>
          <w:rFonts w:ascii="Times New Roman" w:hAnsi="Times New Roman" w:cs="Times New Roman"/>
          <w:szCs w:val="21"/>
        </w:rPr>
        <w:t>（2）</w:t>
      </w:r>
      <w:r>
        <w:rPr>
          <w:rFonts w:hint="eastAsia" w:ascii="Times New Roman" w:hAnsi="Times New Roman" w:cs="Times New Roman"/>
          <w:szCs w:val="21"/>
        </w:rPr>
        <w:t>在签订合同时不向你方提出附加条件；</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（3）按照招标文件要求提交履约保证金；</w:t>
      </w:r>
    </w:p>
    <w:p>
      <w:pPr>
        <w:spacing w:line="440" w:lineRule="exact"/>
        <w:ind w:firstLine="718" w:firstLineChars="342"/>
        <w:rPr>
          <w:rFonts w:ascii="Times New Roman" w:hAnsi="Times New Roman" w:cs="Times New Roman"/>
          <w:szCs w:val="21"/>
        </w:rPr>
      </w:pPr>
      <w:r>
        <w:rPr>
          <w:rFonts w:hint="eastAsia" w:ascii="Times New Roman" w:hAnsi="Times New Roman" w:cs="Times New Roman"/>
          <w:szCs w:val="21"/>
        </w:rPr>
        <w:t>（4）在合同约定的期限内完成合同规定的全部义务。</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6.</w:t>
      </w:r>
      <w:r>
        <w:rPr>
          <w:rFonts w:ascii="Times New Roman" w:hAnsi="Times New Roman" w:cs="Times New Roman"/>
        </w:rPr>
        <w:t>我方在此声明，所递交的投标文件及有关资料内容完整、真实和准确，且不存在第二章</w:t>
      </w:r>
      <w:r>
        <w:rPr>
          <w:rFonts w:hint="eastAsia" w:ascii="Times New Roman" w:hAnsi="Times New Roman" w:cs="Times New Roman"/>
        </w:rPr>
        <w:t>“</w:t>
      </w:r>
      <w:r>
        <w:rPr>
          <w:rFonts w:ascii="Times New Roman" w:hAnsi="Times New Roman" w:cs="Times New Roman"/>
        </w:rPr>
        <w:t>投标人须知</w:t>
      </w:r>
      <w:r>
        <w:rPr>
          <w:rFonts w:hint="eastAsia" w:ascii="Times New Roman" w:hAnsi="Times New Roman" w:cs="Times New Roman"/>
        </w:rPr>
        <w:t>”</w:t>
      </w:r>
      <w:r>
        <w:rPr>
          <w:rFonts w:ascii="Times New Roman" w:hAnsi="Times New Roman" w:cs="Times New Roman"/>
        </w:rPr>
        <w:t>第1.4.</w:t>
      </w:r>
      <w:r>
        <w:rPr>
          <w:rFonts w:hint="eastAsia" w:ascii="Times New Roman" w:hAnsi="Times New Roman" w:cs="Times New Roman"/>
        </w:rPr>
        <w:t>3</w:t>
      </w:r>
      <w:r>
        <w:rPr>
          <w:rFonts w:ascii="Times New Roman" w:hAnsi="Times New Roman" w:cs="Times New Roman"/>
        </w:rPr>
        <w:t>项规定的任何一种情形。</w:t>
      </w: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7.</w:t>
      </w:r>
      <w:r>
        <w:rPr>
          <w:rFonts w:ascii="Times New Roman" w:hAnsi="Times New Roman" w:cs="Times New Roman"/>
          <w:szCs w:val="21"/>
          <w:u w:val="single"/>
        </w:rPr>
        <w:t xml:space="preserve">                                       </w:t>
      </w:r>
      <w:r>
        <w:rPr>
          <w:rFonts w:ascii="Times New Roman" w:hAnsi="Times New Roman" w:cs="Times New Roman"/>
          <w:szCs w:val="21"/>
        </w:rPr>
        <w:t>（其他补充说明）。</w:t>
      </w:r>
    </w:p>
    <w:p>
      <w:pPr>
        <w:spacing w:line="440" w:lineRule="exact"/>
        <w:ind w:firstLine="2310" w:firstLineChars="1100"/>
        <w:rPr>
          <w:rFonts w:ascii="Times New Roman" w:hAnsi="Times New Roman" w:cs="Times New Roman"/>
          <w:szCs w:val="21"/>
        </w:rPr>
      </w:pP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投 标 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（单位负责人）</w:t>
      </w:r>
      <w:r>
        <w:rPr>
          <w:rFonts w:ascii="Times New Roman" w:hAnsi="Times New Roman" w:cs="Times New Roman"/>
          <w:szCs w:val="21"/>
        </w:rPr>
        <w:t>或其委托代理人：</w:t>
      </w:r>
      <w:r>
        <w:rPr>
          <w:rFonts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地址：</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hint="eastAsia" w:ascii="Times New Roman" w:hAnsi="Times New Roman" w:cs="Times New Roman"/>
          <w:szCs w:val="21"/>
        </w:rPr>
        <w:t>网址</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u w:val="single"/>
        </w:rPr>
      </w:pPr>
      <w:r>
        <w:rPr>
          <w:rFonts w:ascii="Times New Roman" w:hAnsi="Times New Roman" w:cs="Times New Roman"/>
          <w:szCs w:val="21"/>
        </w:rPr>
        <w:t>电话：</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传真：</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2310" w:firstLineChars="1100"/>
        <w:rPr>
          <w:rFonts w:ascii="Times New Roman" w:hAnsi="Times New Roman" w:cs="Times New Roman"/>
          <w:szCs w:val="21"/>
        </w:rPr>
      </w:pPr>
      <w:r>
        <w:rPr>
          <w:rFonts w:ascii="Times New Roman" w:hAnsi="Times New Roman" w:cs="Times New Roman"/>
          <w:szCs w:val="21"/>
        </w:rPr>
        <w:t>邮政编码：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ind w:firstLine="4725" w:firstLineChars="225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rPr>
          <w:rFonts w:ascii="Times New Roman" w:hAnsi="Times New Roman" w:cs="Times New Roman"/>
        </w:rPr>
      </w:pPr>
      <w:bookmarkStart w:id="376" w:name="_Toc247514283"/>
      <w:bookmarkStart w:id="377" w:name="_Toc152042580"/>
      <w:bookmarkStart w:id="378" w:name="_Toc152045791"/>
      <w:bookmarkStart w:id="379" w:name="_Toc247527831"/>
      <w:bookmarkStart w:id="380" w:name="_Toc144974860"/>
      <w:bookmarkStart w:id="381" w:name="_Toc300835213"/>
      <w:r>
        <w:rPr>
          <w:rFonts w:ascii="Times New Roman" w:hAnsi="Times New Roman" w:cs="Times New Roman"/>
        </w:rPr>
        <w:br w:type="page"/>
      </w:r>
    </w:p>
    <w:p>
      <w:pPr>
        <w:pStyle w:val="4"/>
        <w:jc w:val="center"/>
        <w:rPr>
          <w:rFonts w:ascii="Times New Roman" w:hAnsi="Times New Roman" w:cs="Times New Roman"/>
        </w:rPr>
      </w:pPr>
      <w:r>
        <w:rPr>
          <w:rFonts w:ascii="Times New Roman" w:hAnsi="Times New Roman" w:cs="Times New Roman"/>
        </w:rPr>
        <w:t>二、法定代表人</w:t>
      </w:r>
      <w:r>
        <w:rPr>
          <w:rFonts w:hint="eastAsia" w:ascii="Times New Roman" w:hAnsi="Times New Roman" w:cs="Times New Roman"/>
        </w:rPr>
        <w:t>（单位负责人）</w:t>
      </w:r>
      <w:r>
        <w:rPr>
          <w:rFonts w:ascii="Times New Roman" w:hAnsi="Times New Roman" w:cs="Times New Roman"/>
        </w:rPr>
        <w:t>身份证明</w:t>
      </w:r>
      <w:bookmarkEnd w:id="376"/>
      <w:bookmarkEnd w:id="377"/>
      <w:bookmarkEnd w:id="378"/>
      <w:bookmarkEnd w:id="379"/>
      <w:bookmarkEnd w:id="380"/>
      <w:bookmarkEnd w:id="381"/>
    </w:p>
    <w:p>
      <w:pPr>
        <w:spacing w:line="440" w:lineRule="exact"/>
        <w:rPr>
          <w:rFonts w:ascii="Times New Roman" w:hAnsi="Times New Roman" w:cs="Times New Roman"/>
          <w:sz w:val="20"/>
          <w:szCs w:val="20"/>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投标人名称：</w:t>
      </w:r>
      <w:r>
        <w:rPr>
          <w:rFonts w:ascii="Times New Roman" w:hAnsi="Times New Roman" w:cs="Times New Roman"/>
          <w:szCs w:val="21"/>
          <w:u w:val="single"/>
        </w:rPr>
        <w:t xml:space="preserve">                            </w:t>
      </w:r>
      <w:r>
        <w:rPr>
          <w:rFonts w:ascii="Times New Roman" w:hAnsi="Times New Roman" w:cs="Times New Roman"/>
          <w:szCs w:val="21"/>
        </w:rPr>
        <w:t xml:space="preserve"> </w:t>
      </w:r>
    </w:p>
    <w:p>
      <w:pPr>
        <w:spacing w:line="440" w:lineRule="exact"/>
        <w:rPr>
          <w:rFonts w:ascii="Times New Roman" w:hAnsi="Times New Roman" w:cs="Times New Roman"/>
          <w:szCs w:val="21"/>
        </w:rPr>
      </w:pPr>
      <w:r>
        <w:rPr>
          <w:rFonts w:ascii="Times New Roman" w:hAnsi="Times New Roman" w:cs="Times New Roman"/>
          <w:szCs w:val="21"/>
        </w:rPr>
        <w:t>姓名：</w:t>
      </w:r>
      <w:r>
        <w:rPr>
          <w:rFonts w:ascii="Times New Roman" w:hAnsi="Times New Roman" w:cs="Times New Roman"/>
          <w:szCs w:val="21"/>
          <w:u w:val="single"/>
        </w:rPr>
        <w:t xml:space="preserve">        </w:t>
      </w:r>
      <w:r>
        <w:rPr>
          <w:rFonts w:ascii="Times New Roman" w:hAnsi="Times New Roman" w:cs="Times New Roman"/>
          <w:szCs w:val="21"/>
        </w:rPr>
        <w:t xml:space="preserve"> 性别：</w:t>
      </w:r>
      <w:r>
        <w:rPr>
          <w:rFonts w:ascii="Times New Roman" w:hAnsi="Times New Roman" w:cs="Times New Roman"/>
          <w:szCs w:val="21"/>
          <w:u w:val="single"/>
        </w:rPr>
        <w:t xml:space="preserve">         </w:t>
      </w:r>
      <w:r>
        <w:rPr>
          <w:rFonts w:ascii="Times New Roman" w:hAnsi="Times New Roman" w:cs="Times New Roman"/>
          <w:szCs w:val="21"/>
        </w:rPr>
        <w:t xml:space="preserve"> 年龄：</w:t>
      </w:r>
      <w:r>
        <w:rPr>
          <w:rFonts w:ascii="Times New Roman" w:hAnsi="Times New Roman" w:cs="Times New Roman"/>
          <w:szCs w:val="21"/>
          <w:u w:val="single"/>
        </w:rPr>
        <w:t xml:space="preserve">        </w:t>
      </w:r>
      <w:r>
        <w:rPr>
          <w:rFonts w:ascii="Times New Roman" w:hAnsi="Times New Roman" w:cs="Times New Roman"/>
          <w:szCs w:val="21"/>
        </w:rPr>
        <w:t>职务：</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r>
        <w:rPr>
          <w:rFonts w:ascii="Times New Roman" w:hAnsi="Times New Roman" w:cs="Times New Roman"/>
          <w:szCs w:val="21"/>
        </w:rPr>
        <w:t>系</w:t>
      </w:r>
      <w:r>
        <w:rPr>
          <w:rFonts w:ascii="Times New Roman" w:hAnsi="Times New Roman" w:cs="Times New Roman"/>
          <w:szCs w:val="21"/>
          <w:u w:val="single"/>
        </w:rPr>
        <w:t xml:space="preserve">                             </w:t>
      </w:r>
      <w:r>
        <w:rPr>
          <w:rFonts w:ascii="Times New Roman" w:hAnsi="Times New Roman" w:cs="Times New Roman"/>
          <w:szCs w:val="21"/>
        </w:rPr>
        <w:t xml:space="preserve"> （投标人名称）的法定代表人</w:t>
      </w:r>
      <w:r>
        <w:rPr>
          <w:rFonts w:hint="eastAsia" w:ascii="Times New Roman" w:hAnsi="Times New Roman" w:cs="Times New Roman"/>
          <w:szCs w:val="21"/>
        </w:rPr>
        <w:t>（单位负责人）</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特此证明。</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附：法定代表人</w:t>
      </w:r>
      <w:r>
        <w:rPr>
          <w:rFonts w:hint="eastAsia" w:ascii="Times New Roman" w:hAnsi="Times New Roman" w:cs="Times New Roman"/>
          <w:szCs w:val="21"/>
        </w:rPr>
        <w:t>（单位负责人）</w:t>
      </w:r>
      <w:r>
        <w:rPr>
          <w:rFonts w:ascii="Times New Roman" w:hAnsi="Times New Roman" w:cs="Times New Roman"/>
          <w:szCs w:val="21"/>
        </w:rPr>
        <w:t>身份证复印件。</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hint="eastAsia" w:ascii="Times New Roman" w:hAnsi="Times New Roman" w:cs="Times New Roman"/>
          <w:szCs w:val="21"/>
        </w:rPr>
        <w:t>注：本身份证明需由投标人加盖单位公章。</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投标人：</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r>
        <w:rPr>
          <w:rFonts w:ascii="Times New Roman" w:hAnsi="Times New Roman" w:cs="Times New Roman"/>
          <w:szCs w:val="21"/>
        </w:rPr>
        <w:t xml:space="preserve">                              </w:t>
      </w:r>
      <w:r>
        <w:rPr>
          <w:rFonts w:hint="eastAsia" w:ascii="Times New Roman" w:hAnsi="Times New Roman" w:cs="Times New Roman"/>
          <w:szCs w:val="21"/>
        </w:rPr>
        <w:t xml:space="preserve">    </w:t>
      </w:r>
      <w:r>
        <w:rPr>
          <w:rFonts w:ascii="Times New Roman" w:hAnsi="Times New Roman" w:cs="Times New Roman"/>
          <w:szCs w:val="21"/>
        </w:rPr>
        <w:t xml:space="preserve"> </w:t>
      </w:r>
    </w:p>
    <w:p>
      <w:pPr>
        <w:spacing w:line="440" w:lineRule="exact"/>
        <w:ind w:firstLine="4410" w:firstLineChars="2100"/>
        <w:rPr>
          <w:rFonts w:ascii="Times New Roman" w:hAnsi="Times New Roman"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 xml:space="preserve"> 日</w:t>
      </w:r>
    </w:p>
    <w:p>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p>
    <w:p>
      <w:pPr>
        <w:pStyle w:val="4"/>
        <w:jc w:val="center"/>
        <w:rPr>
          <w:rFonts w:ascii="Times New Roman" w:hAnsi="Times New Roman" w:cs="Times New Roman"/>
        </w:rPr>
      </w:pPr>
      <w:bookmarkStart w:id="382" w:name="_Toc300835214"/>
      <w:bookmarkStart w:id="383" w:name="_Toc152045792"/>
      <w:bookmarkStart w:id="384" w:name="_Toc247514284"/>
      <w:bookmarkStart w:id="385" w:name="_Toc152042581"/>
      <w:bookmarkStart w:id="386" w:name="_Toc247527832"/>
      <w:bookmarkStart w:id="387" w:name="_Toc144974861"/>
      <w:r>
        <w:rPr>
          <w:rFonts w:hint="eastAsia" w:ascii="Times New Roman" w:hAnsi="Times New Roman" w:cs="Times New Roman"/>
        </w:rPr>
        <w:t>二</w:t>
      </w:r>
      <w:r>
        <w:rPr>
          <w:rFonts w:ascii="Times New Roman" w:hAnsi="Times New Roman" w:cs="Times New Roman"/>
        </w:rPr>
        <w:t>、授权委托书</w:t>
      </w:r>
      <w:bookmarkEnd w:id="382"/>
      <w:bookmarkEnd w:id="383"/>
      <w:bookmarkEnd w:id="384"/>
      <w:bookmarkEnd w:id="385"/>
      <w:bookmarkEnd w:id="386"/>
      <w:bookmarkEnd w:id="387"/>
    </w:p>
    <w:p>
      <w:pPr>
        <w:spacing w:line="440" w:lineRule="exact"/>
        <w:rPr>
          <w:rFonts w:ascii="Times New Roman" w:hAnsi="Times New Roman" w:eastAsia="黑体" w:cs="Times New Roman"/>
          <w:szCs w:val="21"/>
        </w:rPr>
      </w:pPr>
    </w:p>
    <w:p>
      <w:pPr>
        <w:topLinePunct/>
        <w:spacing w:line="440" w:lineRule="exact"/>
        <w:ind w:firstLine="420" w:firstLineChars="200"/>
        <w:rPr>
          <w:rFonts w:ascii="Times New Roman" w:hAnsi="Times New Roman" w:cs="Times New Roman"/>
          <w:szCs w:val="21"/>
        </w:rPr>
      </w:pPr>
      <w:r>
        <w:rPr>
          <w:rFonts w:ascii="Times New Roman" w:hAnsi="Times New Roman" w:cs="Times New Roman"/>
          <w:szCs w:val="21"/>
        </w:rPr>
        <w:t>本人</w:t>
      </w:r>
      <w:r>
        <w:rPr>
          <w:rFonts w:ascii="Times New Roman" w:hAnsi="Times New Roman" w:cs="Times New Roman"/>
          <w:szCs w:val="21"/>
          <w:u w:val="single"/>
        </w:rPr>
        <w:t xml:space="preserve">       </w:t>
      </w:r>
      <w:r>
        <w:rPr>
          <w:rFonts w:ascii="Times New Roman" w:hAnsi="Times New Roman" w:cs="Times New Roman"/>
          <w:szCs w:val="21"/>
        </w:rPr>
        <w:t>（姓名）系</w:t>
      </w:r>
      <w:r>
        <w:rPr>
          <w:rFonts w:ascii="Times New Roman" w:hAnsi="Times New Roman" w:cs="Times New Roman"/>
          <w:szCs w:val="21"/>
          <w:u w:val="single"/>
        </w:rPr>
        <w:t xml:space="preserve">        </w:t>
      </w:r>
      <w:r>
        <w:rPr>
          <w:rFonts w:ascii="Times New Roman" w:hAnsi="Times New Roman" w:cs="Times New Roman"/>
          <w:szCs w:val="21"/>
        </w:rPr>
        <w:t>（投标人名称）的法定代表人</w:t>
      </w:r>
      <w:r>
        <w:rPr>
          <w:rFonts w:hint="eastAsia" w:ascii="Times New Roman" w:hAnsi="Times New Roman" w:cs="Times New Roman"/>
          <w:szCs w:val="21"/>
        </w:rPr>
        <w:t>（单位负责人）</w:t>
      </w:r>
      <w:r>
        <w:rPr>
          <w:rFonts w:ascii="Times New Roman" w:hAnsi="Times New Roman" w:cs="Times New Roman"/>
          <w:szCs w:val="21"/>
        </w:rPr>
        <w:t>，现委托</w:t>
      </w:r>
      <w:r>
        <w:rPr>
          <w:rFonts w:ascii="Times New Roman" w:hAnsi="Times New Roman" w:cs="Times New Roman"/>
          <w:szCs w:val="21"/>
          <w:u w:val="single"/>
        </w:rPr>
        <w:t xml:space="preserve">        </w:t>
      </w:r>
      <w:r>
        <w:rPr>
          <w:rFonts w:ascii="Times New Roman" w:hAnsi="Times New Roman" w:cs="Times New Roman"/>
          <w:szCs w:val="21"/>
        </w:rPr>
        <w:t>（姓名）为我方代理人。代理人根据授权，以我方名义签署、澄清</w:t>
      </w:r>
      <w:r>
        <w:rPr>
          <w:rFonts w:hint="eastAsia" w:ascii="Times New Roman" w:hAnsi="Times New Roman" w:cs="Times New Roman"/>
          <w:szCs w:val="21"/>
        </w:rPr>
        <w:t>确认、递交、撤回、修改</w:t>
      </w:r>
      <w:r>
        <w:rPr>
          <w:rFonts w:hint="eastAsia" w:ascii="Times New Roman" w:hAnsi="Times New Roman" w:cs="Times New Roman"/>
          <w:i/>
          <w:iCs/>
          <w:szCs w:val="21"/>
          <w:u w:val="single"/>
        </w:rPr>
        <w:t xml:space="preserve">           </w:t>
      </w:r>
      <w:r>
        <w:rPr>
          <w:rFonts w:ascii="Times New Roman" w:hAnsi="Times New Roman" w:cs="Times New Roman"/>
          <w:szCs w:val="21"/>
        </w:rPr>
        <w:t>（项目名称）</w:t>
      </w:r>
      <w:r>
        <w:rPr>
          <w:rFonts w:hint="eastAsia" w:ascii="Times New Roman" w:hAnsi="Times New Roman" w:cs="Times New Roman"/>
          <w:szCs w:val="21"/>
        </w:rPr>
        <w:t>的投标文件、签订合同和处理有关事宜，</w:t>
      </w:r>
      <w:r>
        <w:rPr>
          <w:rFonts w:ascii="Times New Roman" w:hAnsi="Times New Roman" w:cs="Times New Roman"/>
          <w:szCs w:val="21"/>
        </w:rPr>
        <w:t>其法律后果由我方承担。</w:t>
      </w:r>
    </w:p>
    <w:p>
      <w:pPr>
        <w:spacing w:line="440" w:lineRule="exact"/>
        <w:rPr>
          <w:rFonts w:ascii="Times New Roman" w:hAnsi="Times New Roman" w:cs="Times New Roman"/>
          <w:szCs w:val="21"/>
        </w:rPr>
      </w:pPr>
      <w:r>
        <w:rPr>
          <w:rFonts w:ascii="Times New Roman" w:hAnsi="Times New Roman" w:cs="Times New Roman"/>
          <w:szCs w:val="21"/>
        </w:rPr>
        <w:t xml:space="preserve">    委托期限：</w:t>
      </w:r>
      <w:r>
        <w:rPr>
          <w:rFonts w:ascii="Times New Roman" w:hAnsi="Times New Roman" w:cs="Times New Roman"/>
          <w:szCs w:val="21"/>
          <w:u w:val="single"/>
        </w:rPr>
        <w:t xml:space="preserve">             </w:t>
      </w:r>
      <w:r>
        <w:rPr>
          <w:rFonts w:ascii="Times New Roman" w:hAnsi="Times New Roman" w:cs="Times New Roman"/>
          <w:szCs w:val="21"/>
        </w:rPr>
        <w:t>。</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代理人无转委托权。</w:t>
      </w:r>
    </w:p>
    <w:p>
      <w:pPr>
        <w:spacing w:line="440" w:lineRule="exact"/>
        <w:ind w:firstLine="420" w:firstLineChars="200"/>
        <w:rPr>
          <w:rFonts w:ascii="Times New Roman" w:hAnsi="Times New Roman" w:cs="Times New Roman"/>
          <w:szCs w:val="21"/>
        </w:rPr>
      </w:pPr>
      <w:r>
        <w:rPr>
          <w:rFonts w:ascii="Times New Roman" w:hAnsi="Times New Roman" w:cs="Times New Roman"/>
          <w:szCs w:val="21"/>
        </w:rPr>
        <w:t>附：法定代表人</w:t>
      </w:r>
      <w:r>
        <w:rPr>
          <w:rFonts w:hint="eastAsia" w:ascii="Times New Roman" w:hAnsi="Times New Roman" w:cs="Times New Roman"/>
          <w:szCs w:val="21"/>
        </w:rPr>
        <w:t>（单位负责人）</w:t>
      </w:r>
      <w:r>
        <w:rPr>
          <w:rFonts w:ascii="Times New Roman" w:hAnsi="Times New Roman" w:cs="Times New Roman"/>
          <w:szCs w:val="21"/>
        </w:rPr>
        <w:t>身份</w:t>
      </w:r>
      <w:r>
        <w:rPr>
          <w:rFonts w:hint="eastAsia" w:ascii="Times New Roman" w:hAnsi="Times New Roman" w:cs="Times New Roman"/>
          <w:szCs w:val="21"/>
        </w:rPr>
        <w:t>证复印件、委托代理人身份证复印件</w:t>
      </w:r>
    </w:p>
    <w:p>
      <w:pPr>
        <w:spacing w:line="440" w:lineRule="exact"/>
        <w:ind w:firstLine="420" w:firstLineChars="200"/>
        <w:rPr>
          <w:rFonts w:ascii="Times New Roman" w:hAnsi="Times New Roman" w:cs="Times New Roman"/>
          <w:szCs w:val="21"/>
        </w:rPr>
      </w:pPr>
    </w:p>
    <w:p>
      <w:pPr>
        <w:spacing w:line="440" w:lineRule="exact"/>
        <w:ind w:firstLine="420" w:firstLineChars="200"/>
        <w:rPr>
          <w:rFonts w:ascii="Times New Roman" w:hAnsi="Times New Roman" w:cs="Times New Roman"/>
          <w:szCs w:val="21"/>
        </w:rPr>
      </w:pPr>
      <w:r>
        <w:rPr>
          <w:rFonts w:hint="eastAsia" w:ascii="Times New Roman" w:hAnsi="Times New Roman" w:cs="Times New Roman"/>
          <w:szCs w:val="21"/>
        </w:rPr>
        <w:t>注：本授权委托书需由投标人加盖单位公章并由其法定代表人（单位负责人）和委托代理人签字。</w:t>
      </w:r>
    </w:p>
    <w:p>
      <w:pPr>
        <w:spacing w:line="440" w:lineRule="exact"/>
        <w:rPr>
          <w:rFonts w:ascii="Times New Roman" w:hAnsi="Times New Roman" w:cs="Times New Roman"/>
          <w:szCs w:val="21"/>
        </w:rPr>
      </w:pP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投标人：</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r>
        <w:rPr>
          <w:rFonts w:ascii="Times New Roman" w:hAnsi="Times New Roman" w:cs="Times New Roman"/>
          <w:szCs w:val="21"/>
        </w:rPr>
        <w:t>（盖单位章）</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（单位负责人）</w:t>
      </w:r>
      <w:r>
        <w:rPr>
          <w:rFonts w:ascii="Times New Roman" w:hAnsi="Times New Roman" w:cs="Times New Roman"/>
          <w:szCs w:val="21"/>
        </w:rPr>
        <w:t>：</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rPr>
        <w:t>（签字</w:t>
      </w:r>
      <w:r>
        <w:rPr>
          <w:rFonts w:hint="eastAsia" w:ascii="Times New Roman" w:hAnsi="Times New Roman" w:cs="Times New Roman"/>
          <w:szCs w:val="21"/>
        </w:rPr>
        <w:t>或盖章</w:t>
      </w:r>
      <w:r>
        <w:rPr>
          <w:rFonts w:ascii="Times New Roman" w:hAnsi="Times New Roman" w:cs="Times New Roman"/>
          <w:szCs w:val="21"/>
        </w:rPr>
        <w:t>）</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身份证号码：</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rPr>
      </w:pPr>
      <w:r>
        <w:rPr>
          <w:rFonts w:ascii="Times New Roman" w:hAnsi="Times New Roman" w:cs="Times New Roman"/>
          <w:szCs w:val="21"/>
        </w:rPr>
        <w:t>委托代理人：</w:t>
      </w:r>
      <w:r>
        <w:rPr>
          <w:rFonts w:ascii="Times New Roman" w:hAnsi="Times New Roman" w:cs="Times New Roman"/>
          <w:szCs w:val="21"/>
          <w:u w:val="single"/>
        </w:rPr>
        <w:t xml:space="preserve">                                   </w:t>
      </w:r>
      <w:r>
        <w:rPr>
          <w:rFonts w:ascii="Times New Roman" w:hAnsi="Times New Roman" w:cs="Times New Roman"/>
          <w:szCs w:val="21"/>
        </w:rPr>
        <w:t xml:space="preserve">（签字） </w:t>
      </w:r>
    </w:p>
    <w:p>
      <w:pPr>
        <w:spacing w:line="440" w:lineRule="exact"/>
        <w:rPr>
          <w:rFonts w:ascii="Times New Roman" w:hAnsi="Times New Roman" w:cs="Times New Roman"/>
          <w:szCs w:val="21"/>
        </w:rPr>
      </w:pPr>
    </w:p>
    <w:p>
      <w:pPr>
        <w:spacing w:line="440" w:lineRule="exact"/>
        <w:ind w:firstLine="2100" w:firstLineChars="1000"/>
        <w:rPr>
          <w:rFonts w:ascii="Times New Roman" w:hAnsi="Times New Roman" w:cs="Times New Roman"/>
          <w:szCs w:val="21"/>
          <w:u w:val="single"/>
        </w:rPr>
      </w:pPr>
      <w:r>
        <w:rPr>
          <w:rFonts w:ascii="Times New Roman" w:hAnsi="Times New Roman" w:cs="Times New Roman"/>
          <w:szCs w:val="21"/>
        </w:rPr>
        <w:t>身份证号码：</w:t>
      </w:r>
      <w:r>
        <w:rPr>
          <w:rFonts w:ascii="Times New Roman" w:hAnsi="Times New Roman" w:cs="Times New Roman"/>
          <w:szCs w:val="21"/>
          <w:u w:val="single"/>
        </w:rPr>
        <w:t xml:space="preserve">                     </w:t>
      </w:r>
      <w:r>
        <w:rPr>
          <w:rFonts w:hint="eastAsia" w:ascii="Times New Roman" w:hAnsi="Times New Roman" w:cs="Times New Roman"/>
          <w:szCs w:val="21"/>
          <w:u w:val="single"/>
        </w:rPr>
        <w:t xml:space="preserve">         </w:t>
      </w:r>
      <w:r>
        <w:rPr>
          <w:rFonts w:ascii="Times New Roman" w:hAnsi="Times New Roman" w:cs="Times New Roman"/>
          <w:szCs w:val="21"/>
          <w:u w:val="single"/>
        </w:rPr>
        <w:t xml:space="preserve">       </w:t>
      </w:r>
    </w:p>
    <w:p>
      <w:pPr>
        <w:spacing w:line="440" w:lineRule="exact"/>
        <w:rPr>
          <w:rFonts w:ascii="Times New Roman" w:hAnsi="Times New Roman" w:cs="Times New Roman"/>
          <w:szCs w:val="21"/>
        </w:rPr>
      </w:pPr>
    </w:p>
    <w:p>
      <w:pPr>
        <w:spacing w:line="440" w:lineRule="exact"/>
        <w:ind w:firstLine="3885" w:firstLineChars="1850"/>
        <w:rPr>
          <w:rFonts w:ascii="Times New Roman" w:hAnsi="Times New Roman" w:eastAsia="黑体" w:cs="Times New Roman"/>
          <w:szCs w:val="21"/>
        </w:rPr>
      </w:pPr>
      <w:r>
        <w:rPr>
          <w:rFonts w:ascii="Times New Roman" w:hAnsi="Times New Roman" w:cs="Times New Roman"/>
          <w:szCs w:val="21"/>
          <w:u w:val="single"/>
        </w:rPr>
        <w:t xml:space="preserve">       </w:t>
      </w:r>
      <w:r>
        <w:rPr>
          <w:rFonts w:ascii="Times New Roman" w:hAnsi="Times New Roman" w:cs="Times New Roman"/>
          <w:szCs w:val="21"/>
        </w:rPr>
        <w:t>年</w:t>
      </w:r>
      <w:r>
        <w:rPr>
          <w:rFonts w:ascii="Times New Roman" w:hAnsi="Times New Roman" w:cs="Times New Roman"/>
          <w:szCs w:val="21"/>
          <w:u w:val="single"/>
        </w:rPr>
        <w:t xml:space="preserve">       </w:t>
      </w:r>
      <w:r>
        <w:rPr>
          <w:rFonts w:ascii="Times New Roman" w:hAnsi="Times New Roman" w:cs="Times New Roman"/>
          <w:szCs w:val="21"/>
        </w:rPr>
        <w:t>月</w:t>
      </w:r>
      <w:r>
        <w:rPr>
          <w:rFonts w:ascii="Times New Roman" w:hAnsi="Times New Roman" w:cs="Times New Roman"/>
          <w:szCs w:val="21"/>
          <w:u w:val="single"/>
        </w:rPr>
        <w:t xml:space="preserve">       </w:t>
      </w:r>
      <w:r>
        <w:rPr>
          <w:rFonts w:ascii="Times New Roman" w:hAnsi="Times New Roman" w:cs="Times New Roman"/>
          <w:szCs w:val="21"/>
        </w:rPr>
        <w:t>日</w:t>
      </w:r>
    </w:p>
    <w:p>
      <w:pPr>
        <w:spacing w:line="400" w:lineRule="exact"/>
        <w:rPr>
          <w:rFonts w:ascii="Times New Roman" w:hAnsi="Times New Roman" w:cs="Times New Roman"/>
        </w:rPr>
      </w:pPr>
      <w:r>
        <w:rPr>
          <w:rFonts w:ascii="Times New Roman" w:hAnsi="Times New Roman" w:eastAsia="黑体" w:cs="Times New Roman"/>
          <w:sz w:val="20"/>
          <w:szCs w:val="20"/>
        </w:rPr>
        <w:br w:type="page"/>
      </w:r>
    </w:p>
    <w:p>
      <w:pPr>
        <w:pStyle w:val="4"/>
        <w:jc w:val="center"/>
        <w:rPr>
          <w:rFonts w:ascii="Times New Roman" w:hAnsi="Times New Roman" w:cs="Times New Roman"/>
        </w:rPr>
      </w:pPr>
      <w:bookmarkStart w:id="388" w:name="_Toc247527834"/>
      <w:bookmarkStart w:id="389" w:name="_Toc144974862"/>
      <w:bookmarkStart w:id="390" w:name="_Toc300835216"/>
      <w:bookmarkStart w:id="391" w:name="_Toc152042583"/>
      <w:bookmarkStart w:id="392" w:name="_Toc152045794"/>
      <w:bookmarkStart w:id="393" w:name="_Toc247514286"/>
      <w:r>
        <w:rPr>
          <w:rFonts w:hint="eastAsia" w:ascii="Times New Roman" w:hAnsi="Times New Roman" w:cs="Times New Roman"/>
        </w:rPr>
        <w:t>三</w:t>
      </w:r>
      <w:r>
        <w:rPr>
          <w:rFonts w:ascii="Times New Roman" w:hAnsi="Times New Roman" w:cs="Times New Roman"/>
        </w:rPr>
        <w:t>、投标保证金</w:t>
      </w:r>
      <w:bookmarkEnd w:id="388"/>
      <w:bookmarkEnd w:id="389"/>
      <w:bookmarkEnd w:id="390"/>
      <w:bookmarkEnd w:id="391"/>
      <w:bookmarkEnd w:id="392"/>
      <w:bookmarkEnd w:id="393"/>
    </w:p>
    <w:p>
      <w:pPr>
        <w:wordWrap w:val="0"/>
        <w:snapToGrid w:val="0"/>
        <w:spacing w:line="520" w:lineRule="exact"/>
        <w:ind w:firstLine="460" w:firstLineChars="192"/>
        <w:rPr>
          <w:rFonts w:ascii="Times New Roman" w:hAnsi="Times New Roman" w:cs="Times New Roman"/>
          <w:bCs/>
          <w:color w:val="000000"/>
          <w:kern w:val="0"/>
          <w:sz w:val="24"/>
        </w:rPr>
      </w:pPr>
      <w:bookmarkStart w:id="394" w:name="_Toc296602998"/>
      <w:r>
        <w:rPr>
          <w:rFonts w:ascii="Times New Roman" w:hAnsi="Times New Roman" w:cs="Times New Roman"/>
          <w:bCs/>
          <w:color w:val="000000"/>
          <w:kern w:val="0"/>
          <w:sz w:val="24"/>
        </w:rPr>
        <w:t>1.</w:t>
      </w:r>
      <w:r>
        <w:rPr>
          <w:rFonts w:hint="eastAsia" w:ascii="Times New Roman" w:hAnsi="Times New Roman" w:cs="Times New Roman"/>
          <w:bCs/>
          <w:color w:val="000000"/>
          <w:kern w:val="0"/>
          <w:sz w:val="24"/>
        </w:rPr>
        <w:t>中国</w:t>
      </w:r>
      <w:r>
        <w:rPr>
          <w:rFonts w:ascii="Times New Roman" w:hAnsi="Times New Roman" w:cs="Times New Roman"/>
          <w:bCs/>
          <w:color w:val="000000"/>
          <w:kern w:val="0"/>
          <w:sz w:val="24"/>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rPr>
        <w:t>或投标人公章</w:t>
      </w:r>
      <w:r>
        <w:rPr>
          <w:rFonts w:ascii="Times New Roman" w:hAnsi="Times New Roman" w:cs="Times New Roman"/>
          <w:bCs/>
          <w:color w:val="000000"/>
          <w:kern w:val="0"/>
          <w:sz w:val="24"/>
        </w:rPr>
        <w:t>）：</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r>
        <w:rPr>
          <w:rFonts w:ascii="Times New Roman" w:hAnsi="Times New Roman" w:cs="Times New Roman"/>
          <w:bCs/>
          <w:color w:val="000000"/>
          <w:kern w:val="0"/>
          <w:sz w:val="24"/>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wordWrap w:val="0"/>
        <w:snapToGrid w:val="0"/>
        <w:spacing w:line="520" w:lineRule="exact"/>
        <w:ind w:firstLine="460" w:firstLineChars="192"/>
        <w:rPr>
          <w:rFonts w:ascii="Times New Roman" w:hAnsi="Times New Roman" w:cs="Times New Roman"/>
          <w:bCs/>
          <w:color w:val="000000"/>
          <w:kern w:val="0"/>
          <w:sz w:val="24"/>
        </w:rPr>
      </w:pPr>
    </w:p>
    <w:p>
      <w:pPr>
        <w:spacing w:line="440" w:lineRule="exact"/>
        <w:ind w:firstLine="482" w:firstLineChars="200"/>
        <w:rPr>
          <w:rFonts w:ascii="Times New Roman" w:hAnsi="Times New Roman" w:cs="Times New Roman"/>
          <w:color w:val="000000"/>
          <w:kern w:val="0"/>
          <w:sz w:val="24"/>
        </w:rPr>
      </w:pPr>
      <w:r>
        <w:rPr>
          <w:rFonts w:ascii="Times New Roman" w:hAnsi="Times New Roman" w:cs="Times New Roman"/>
          <w:b/>
          <w:color w:val="000000"/>
          <w:kern w:val="0"/>
          <w:sz w:val="24"/>
        </w:rPr>
        <w:t>备注：</w:t>
      </w:r>
      <w:r>
        <w:rPr>
          <w:rFonts w:ascii="Times New Roman" w:hAnsi="Times New Roman" w:cs="Times New Roman"/>
          <w:color w:val="000000"/>
          <w:kern w:val="0"/>
          <w:sz w:val="24"/>
        </w:rPr>
        <w:t>缴纳保证金的开户行、账号等信息须与基本存款账户信息一致</w:t>
      </w:r>
      <w:bookmarkEnd w:id="394"/>
      <w:bookmarkStart w:id="395" w:name="_Toc247527835"/>
      <w:bookmarkStart w:id="396" w:name="_Toc247514287"/>
      <w:bookmarkStart w:id="397" w:name="_Toc144974863"/>
      <w:bookmarkStart w:id="398" w:name="_Toc152042584"/>
      <w:bookmarkStart w:id="399" w:name="_Toc300835218"/>
      <w:bookmarkStart w:id="400" w:name="_Toc152045795"/>
      <w:r>
        <w:rPr>
          <w:rFonts w:hint="eastAsia" w:ascii="Times New Roman" w:hAnsi="Times New Roman" w:cs="Times New Roman"/>
          <w:color w:val="000000"/>
          <w:kern w:val="0"/>
          <w:sz w:val="24"/>
        </w:rPr>
        <w:t>。</w:t>
      </w:r>
      <w:bookmarkEnd w:id="395"/>
      <w:bookmarkEnd w:id="396"/>
      <w:bookmarkEnd w:id="397"/>
      <w:bookmarkEnd w:id="398"/>
      <w:bookmarkEnd w:id="399"/>
      <w:bookmarkEnd w:id="400"/>
      <w:bookmarkStart w:id="401" w:name="_Toc144974864"/>
      <w:bookmarkStart w:id="402" w:name="_Toc247527836"/>
      <w:bookmarkStart w:id="403" w:name="_Toc152042585"/>
      <w:bookmarkStart w:id="404" w:name="_Toc247514288"/>
      <w:bookmarkStart w:id="405" w:name="_Toc300835221"/>
      <w:bookmarkStart w:id="406" w:name="_Toc152045796"/>
    </w:p>
    <w:p>
      <w:r>
        <w:br w:type="page"/>
      </w:r>
    </w:p>
    <w:p>
      <w:pPr>
        <w:pStyle w:val="4"/>
        <w:jc w:val="center"/>
        <w:rPr>
          <w:rFonts w:ascii="Times New Roman" w:hAnsi="Times New Roman" w:cs="Times New Roman"/>
        </w:rPr>
      </w:pPr>
      <w:r>
        <w:rPr>
          <w:rFonts w:hint="eastAsia" w:ascii="Times New Roman" w:hAnsi="Times New Roman" w:cs="Times New Roman"/>
        </w:rPr>
        <w:t>四</w:t>
      </w:r>
      <w:r>
        <w:rPr>
          <w:rFonts w:ascii="Times New Roman" w:hAnsi="Times New Roman" w:cs="Times New Roman"/>
        </w:rPr>
        <w:t>、</w:t>
      </w:r>
      <w:r>
        <w:rPr>
          <w:rFonts w:hint="eastAsia" w:ascii="Times New Roman" w:hAnsi="Times New Roman" w:cs="Times New Roman"/>
        </w:rPr>
        <w:t>商务和技术偏差表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b/>
                <w:bCs/>
              </w:rPr>
            </w:pPr>
            <w:r>
              <w:rPr>
                <w:rFonts w:hint="eastAsia" w:ascii="Times New Roman" w:hAnsi="Times New Roman" w:cs="Times New Roman"/>
                <w:b/>
                <w:bCs/>
              </w:rPr>
              <w:t>序号</w:t>
            </w:r>
          </w:p>
        </w:tc>
        <w:tc>
          <w:tcPr>
            <w:tcW w:w="2835" w:type="dxa"/>
            <w:vAlign w:val="center"/>
          </w:tcPr>
          <w:p>
            <w:pPr>
              <w:jc w:val="center"/>
              <w:rPr>
                <w:rFonts w:ascii="Times New Roman" w:hAnsi="Times New Roman" w:cs="Times New Roman"/>
                <w:b/>
                <w:bCs/>
              </w:rPr>
            </w:pPr>
            <w:r>
              <w:rPr>
                <w:rFonts w:hint="eastAsia" w:ascii="Times New Roman" w:hAnsi="Times New Roman" w:cs="Times New Roman"/>
                <w:b/>
                <w:bCs/>
              </w:rPr>
              <w:t>招标文件章节及条款号</w:t>
            </w:r>
          </w:p>
        </w:tc>
        <w:tc>
          <w:tcPr>
            <w:tcW w:w="2835" w:type="dxa"/>
            <w:vAlign w:val="center"/>
          </w:tcPr>
          <w:p>
            <w:pPr>
              <w:jc w:val="center"/>
              <w:rPr>
                <w:rFonts w:ascii="Times New Roman" w:hAnsi="Times New Roman" w:cs="Times New Roman"/>
                <w:b/>
                <w:bCs/>
              </w:rPr>
            </w:pPr>
            <w:r>
              <w:rPr>
                <w:rFonts w:hint="eastAsia" w:ascii="Times New Roman" w:hAnsi="Times New Roman" w:cs="Times New Roman"/>
                <w:b/>
                <w:bCs/>
              </w:rPr>
              <w:t>投标文件章节及条款号</w:t>
            </w:r>
          </w:p>
        </w:tc>
        <w:tc>
          <w:tcPr>
            <w:tcW w:w="2001" w:type="dxa"/>
            <w:vAlign w:val="center"/>
          </w:tcPr>
          <w:p>
            <w:pPr>
              <w:jc w:val="center"/>
              <w:rPr>
                <w:rFonts w:ascii="Times New Roman" w:hAnsi="Times New Roman" w:cs="Times New Roman"/>
                <w:b/>
                <w:bCs/>
              </w:rPr>
            </w:pPr>
            <w:r>
              <w:rPr>
                <w:rFonts w:hint="eastAsia" w:ascii="Times New Roman" w:hAnsi="Times New Roman" w:cs="Times New Roman"/>
                <w:b/>
                <w:bCs/>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1</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2</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3</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4</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5</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ascii="Times New Roman" w:hAnsi="Times New Roman" w:cs="Times New Roman"/>
              </w:rPr>
            </w:pPr>
            <w:r>
              <w:rPr>
                <w:rFonts w:hint="eastAsia" w:ascii="Times New Roman" w:hAnsi="Times New Roman" w:cs="Times New Roman"/>
              </w:rPr>
              <w:t>......</w:t>
            </w:r>
          </w:p>
        </w:tc>
        <w:tc>
          <w:tcPr>
            <w:tcW w:w="2835" w:type="dxa"/>
            <w:vAlign w:val="center"/>
          </w:tcPr>
          <w:p>
            <w:pPr>
              <w:jc w:val="center"/>
              <w:rPr>
                <w:rFonts w:ascii="Times New Roman" w:hAnsi="Times New Roman" w:cs="Times New Roman"/>
              </w:rPr>
            </w:pPr>
          </w:p>
        </w:tc>
        <w:tc>
          <w:tcPr>
            <w:tcW w:w="2835" w:type="dxa"/>
            <w:vAlign w:val="center"/>
          </w:tcPr>
          <w:p>
            <w:pPr>
              <w:jc w:val="center"/>
              <w:rPr>
                <w:rFonts w:ascii="Times New Roman" w:hAnsi="Times New Roman" w:cs="Times New Roman"/>
              </w:rPr>
            </w:pPr>
          </w:p>
        </w:tc>
        <w:tc>
          <w:tcPr>
            <w:tcW w:w="2001" w:type="dxa"/>
            <w:vAlign w:val="center"/>
          </w:tcPr>
          <w:p>
            <w:pPr>
              <w:jc w:val="center"/>
              <w:rPr>
                <w:rFonts w:ascii="Times New Roman" w:hAnsi="Times New Roman" w:cs="Times New Roman"/>
              </w:rPr>
            </w:pPr>
          </w:p>
        </w:tc>
      </w:tr>
    </w:tbl>
    <w:p>
      <w:pPr>
        <w:ind w:firstLine="420" w:firstLineChars="200"/>
        <w:rPr>
          <w:rFonts w:ascii="Times New Roman" w:hAnsi="Times New Roman" w:cs="Times New Roman"/>
        </w:rPr>
      </w:pPr>
      <w:r>
        <w:rPr>
          <w:rFonts w:hint="eastAsia" w:ascii="Times New Roman" w:hAnsi="Times New Roman" w:cs="Times New Roman"/>
        </w:rPr>
        <w:t>投标人保证：除商务和技术偏差表列出的偏差外，投标人响应招标文件的全部要求。</w:t>
      </w:r>
    </w:p>
    <w:p>
      <w:pPr>
        <w:rPr>
          <w:rFonts w:ascii="Times New Roman" w:hAnsi="Times New Roman" w:cs="Times New Roman"/>
        </w:rPr>
      </w:pPr>
    </w:p>
    <w:p>
      <w:pPr>
        <w:rPr>
          <w:rFonts w:ascii="Times New Roman" w:hAnsi="Times New Roman" w:cs="Times New Roman"/>
        </w:rPr>
      </w:pPr>
    </w:p>
    <w:p/>
    <w:p>
      <w:pPr>
        <w:rPr>
          <w:rFonts w:ascii="Times New Roman" w:hAnsi="Times New Roman" w:cs="Times New Roman"/>
        </w:rPr>
        <w:sectPr>
          <w:headerReference r:id="rId4" w:type="default"/>
          <w:footerReference r:id="rId5" w:type="default"/>
          <w:pgSz w:w="11906" w:h="16838"/>
          <w:pgMar w:top="1440" w:right="1803" w:bottom="1440" w:left="1803" w:header="851" w:footer="992" w:gutter="0"/>
          <w:pgNumType w:start="1"/>
          <w:cols w:space="0" w:num="1"/>
          <w:docGrid w:type="lines" w:linePitch="319" w:charSpace="0"/>
        </w:sectPr>
      </w:pPr>
    </w:p>
    <w:p>
      <w:pPr>
        <w:pStyle w:val="4"/>
        <w:spacing w:before="0" w:after="0" w:line="240" w:lineRule="auto"/>
        <w:jc w:val="center"/>
        <w:rPr>
          <w:rFonts w:ascii="Times New Roman" w:hAnsi="Times New Roman" w:cs="Times New Roman"/>
        </w:rPr>
      </w:pPr>
      <w:r>
        <w:rPr>
          <w:rFonts w:hint="eastAsia" w:ascii="Times New Roman" w:hAnsi="Times New Roman" w:cs="Times New Roman"/>
        </w:rPr>
        <w:t>五</w:t>
      </w:r>
      <w:r>
        <w:rPr>
          <w:rFonts w:ascii="Times New Roman" w:hAnsi="Times New Roman" w:cs="Times New Roman"/>
        </w:rPr>
        <w:t>、</w:t>
      </w:r>
      <w:bookmarkEnd w:id="401"/>
      <w:bookmarkEnd w:id="402"/>
      <w:bookmarkEnd w:id="403"/>
      <w:bookmarkEnd w:id="404"/>
      <w:bookmarkEnd w:id="405"/>
      <w:bookmarkEnd w:id="406"/>
      <w:r>
        <w:rPr>
          <w:rFonts w:hint="eastAsia" w:ascii="Times New Roman" w:hAnsi="Times New Roman" w:cs="Times New Roman"/>
        </w:rPr>
        <w:t>分项报价表</w:t>
      </w:r>
    </w:p>
    <w:p>
      <w:pPr>
        <w:tabs>
          <w:tab w:val="left" w:pos="720"/>
        </w:tabs>
        <w:spacing w:line="440" w:lineRule="exact"/>
        <w:jc w:val="right"/>
        <w:rPr>
          <w:rFonts w:ascii="Times New Roman" w:hAnsi="Times New Roman" w:cs="Times New Roman"/>
          <w:szCs w:val="21"/>
        </w:rPr>
      </w:pPr>
      <w:bookmarkStart w:id="407" w:name="_Toc300835223"/>
      <w:r>
        <w:rPr>
          <w:rFonts w:hint="eastAsia" w:ascii="Times New Roman" w:hAnsi="Times New Roman" w:cs="Times New Roman"/>
          <w:szCs w:val="21"/>
        </w:rPr>
        <w:t>单位：人民币元</w:t>
      </w:r>
    </w:p>
    <w:tbl>
      <w:tblPr>
        <w:tblStyle w:val="18"/>
        <w:tblW w:w="14008" w:type="dxa"/>
        <w:tblInd w:w="93" w:type="dxa"/>
        <w:tblLayout w:type="autofit"/>
        <w:tblCellMar>
          <w:top w:w="0" w:type="dxa"/>
          <w:left w:w="108" w:type="dxa"/>
          <w:bottom w:w="0" w:type="dxa"/>
          <w:right w:w="108" w:type="dxa"/>
        </w:tblCellMar>
      </w:tblPr>
      <w:tblGrid>
        <w:gridCol w:w="734"/>
        <w:gridCol w:w="2145"/>
        <w:gridCol w:w="3884"/>
        <w:gridCol w:w="1530"/>
        <w:gridCol w:w="1440"/>
        <w:gridCol w:w="1725"/>
        <w:gridCol w:w="1140"/>
        <w:gridCol w:w="1410"/>
      </w:tblGrid>
      <w:tr>
        <w:tblPrEx>
          <w:tblCellMar>
            <w:top w:w="0" w:type="dxa"/>
            <w:left w:w="108" w:type="dxa"/>
            <w:bottom w:w="0" w:type="dxa"/>
            <w:right w:w="108" w:type="dxa"/>
          </w:tblCellMar>
        </w:tblPrEx>
        <w:trPr>
          <w:trHeight w:val="463" w:hRule="atLeast"/>
        </w:trPr>
        <w:tc>
          <w:tcPr>
            <w:tcW w:w="7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b/>
                <w:bCs/>
                <w:color w:val="000000"/>
                <w:sz w:val="22"/>
                <w:szCs w:val="22"/>
              </w:rPr>
            </w:pPr>
            <w:r>
              <w:rPr>
                <w:rFonts w:hint="eastAsia" w:ascii="微软雅黑" w:hAnsi="微软雅黑" w:eastAsia="微软雅黑" w:cs="微软雅黑"/>
                <w:b/>
                <w:bCs/>
                <w:color w:val="000000"/>
                <w:kern w:val="0"/>
                <w:sz w:val="22"/>
                <w:szCs w:val="22"/>
                <w:lang w:bidi="ar"/>
              </w:rPr>
              <w:t>序号</w:t>
            </w:r>
          </w:p>
        </w:tc>
        <w:tc>
          <w:tcPr>
            <w:tcW w:w="214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b/>
                <w:bCs/>
                <w:color w:val="000000"/>
                <w:sz w:val="22"/>
                <w:szCs w:val="22"/>
              </w:rPr>
            </w:pPr>
            <w:r>
              <w:rPr>
                <w:rFonts w:hint="eastAsia" w:ascii="微软雅黑" w:hAnsi="微软雅黑" w:eastAsia="微软雅黑" w:cs="微软雅黑"/>
                <w:b/>
                <w:bCs/>
                <w:color w:val="000000"/>
                <w:kern w:val="0"/>
                <w:sz w:val="22"/>
                <w:szCs w:val="22"/>
                <w:lang w:bidi="ar"/>
              </w:rPr>
              <w:t>材料名称</w:t>
            </w:r>
          </w:p>
        </w:tc>
        <w:tc>
          <w:tcPr>
            <w:tcW w:w="388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b/>
                <w:bCs/>
                <w:color w:val="000000"/>
                <w:sz w:val="22"/>
                <w:szCs w:val="22"/>
              </w:rPr>
            </w:pPr>
            <w:r>
              <w:rPr>
                <w:rFonts w:hint="eastAsia" w:ascii="微软雅黑" w:hAnsi="微软雅黑" w:eastAsia="微软雅黑" w:cs="微软雅黑"/>
                <w:b/>
                <w:bCs/>
                <w:color w:val="000000"/>
                <w:kern w:val="0"/>
                <w:sz w:val="22"/>
                <w:szCs w:val="22"/>
                <w:lang w:bidi="ar"/>
              </w:rPr>
              <w:t>项目特征</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b/>
                <w:bCs/>
                <w:color w:val="000000"/>
                <w:sz w:val="22"/>
                <w:szCs w:val="22"/>
              </w:rPr>
            </w:pPr>
            <w:r>
              <w:rPr>
                <w:rFonts w:hint="eastAsia" w:ascii="微软雅黑" w:hAnsi="微软雅黑" w:eastAsia="微软雅黑" w:cs="微软雅黑"/>
                <w:b/>
                <w:bCs/>
                <w:color w:val="000000"/>
                <w:kern w:val="0"/>
                <w:sz w:val="22"/>
                <w:szCs w:val="22"/>
                <w:lang w:bidi="ar"/>
              </w:rPr>
              <w:t>单位</w:t>
            </w:r>
          </w:p>
        </w:tc>
        <w:tc>
          <w:tcPr>
            <w:tcW w:w="14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b/>
                <w:bCs/>
                <w:color w:val="000000"/>
                <w:sz w:val="22"/>
                <w:szCs w:val="22"/>
              </w:rPr>
            </w:pPr>
            <w:r>
              <w:rPr>
                <w:rFonts w:hint="eastAsia" w:ascii="微软雅黑" w:hAnsi="微软雅黑" w:eastAsia="微软雅黑" w:cs="微软雅黑"/>
                <w:b/>
                <w:bCs/>
                <w:color w:val="000000"/>
                <w:kern w:val="0"/>
                <w:sz w:val="22"/>
                <w:szCs w:val="22"/>
                <w:lang w:bidi="ar"/>
              </w:rPr>
              <w:t>材料用量</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b/>
                <w:bCs/>
                <w:color w:val="000000"/>
                <w:sz w:val="22"/>
                <w:szCs w:val="22"/>
              </w:rPr>
            </w:pPr>
            <w:r>
              <w:rPr>
                <w:rFonts w:hint="eastAsia" w:ascii="微软雅黑" w:hAnsi="微软雅黑" w:eastAsia="微软雅黑" w:cs="微软雅黑"/>
                <w:b/>
                <w:bCs/>
                <w:color w:val="000000"/>
                <w:kern w:val="0"/>
                <w:sz w:val="22"/>
                <w:szCs w:val="22"/>
                <w:lang w:bidi="ar"/>
              </w:rPr>
              <w:t>单价（含税）</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b/>
                <w:bCs/>
                <w:color w:val="000000"/>
                <w:sz w:val="22"/>
                <w:szCs w:val="22"/>
              </w:rPr>
            </w:pPr>
            <w:r>
              <w:rPr>
                <w:rFonts w:hint="eastAsia" w:ascii="微软雅黑" w:hAnsi="微软雅黑" w:eastAsia="微软雅黑" w:cs="微软雅黑"/>
                <w:b/>
                <w:bCs/>
                <w:color w:val="000000"/>
                <w:kern w:val="0"/>
                <w:sz w:val="22"/>
                <w:szCs w:val="22"/>
                <w:lang w:bidi="ar"/>
              </w:rPr>
              <w:t>合计</w:t>
            </w: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b/>
                <w:bCs/>
                <w:color w:val="000000"/>
                <w:sz w:val="22"/>
                <w:szCs w:val="22"/>
              </w:rPr>
            </w:pPr>
            <w:r>
              <w:rPr>
                <w:rFonts w:hint="eastAsia" w:ascii="微软雅黑" w:hAnsi="微软雅黑" w:eastAsia="微软雅黑" w:cs="微软雅黑"/>
                <w:b/>
                <w:bCs/>
                <w:color w:val="000000"/>
                <w:sz w:val="22"/>
                <w:szCs w:val="22"/>
              </w:rPr>
              <w:t>品牌及型号</w:t>
            </w:r>
          </w:p>
        </w:tc>
      </w:tr>
      <w:tr>
        <w:tblPrEx>
          <w:tblCellMar>
            <w:top w:w="0" w:type="dxa"/>
            <w:left w:w="108" w:type="dxa"/>
            <w:bottom w:w="0" w:type="dxa"/>
            <w:right w:w="108" w:type="dxa"/>
          </w:tblCellMar>
        </w:tblPrEx>
        <w:trPr>
          <w:trHeight w:val="1225" w:hRule="atLeast"/>
        </w:trPr>
        <w:tc>
          <w:tcPr>
            <w:tcW w:w="7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w:t>
            </w:r>
          </w:p>
        </w:tc>
        <w:tc>
          <w:tcPr>
            <w:tcW w:w="21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光伏板</w:t>
            </w:r>
          </w:p>
        </w:tc>
        <w:tc>
          <w:tcPr>
            <w:tcW w:w="38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微软雅黑" w:hAnsi="微软雅黑" w:eastAsia="微软雅黑" w:cs="微软雅黑"/>
                <w:color w:val="000000"/>
                <w:sz w:val="16"/>
                <w:szCs w:val="16"/>
              </w:rPr>
            </w:pPr>
            <w:r>
              <w:rPr>
                <w:rFonts w:hint="eastAsia" w:ascii="微软雅黑" w:hAnsi="微软雅黑" w:eastAsia="微软雅黑" w:cs="微软雅黑"/>
                <w:color w:val="000000"/>
                <w:kern w:val="0"/>
                <w:sz w:val="16"/>
                <w:szCs w:val="16"/>
                <w:lang w:bidi="ar"/>
              </w:rPr>
              <w:t>1、类型：光伏板</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 xml:space="preserve">2、规格、型号：2279×1134×35mm  </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3、单块：580W</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4、总装机容量为：469.8kWp</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5、固定方式：支架、车棚安装</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块</w:t>
            </w:r>
          </w:p>
        </w:tc>
        <w:tc>
          <w:tcPr>
            <w:tcW w:w="14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810</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410" w:type="dxa"/>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微软雅黑" w:hAnsi="微软雅黑" w:eastAsia="微软雅黑" w:cs="微软雅黑"/>
                <w:color w:val="000000"/>
                <w:sz w:val="20"/>
                <w:szCs w:val="20"/>
              </w:rPr>
            </w:pPr>
          </w:p>
        </w:tc>
      </w:tr>
      <w:tr>
        <w:tblPrEx>
          <w:tblCellMar>
            <w:top w:w="0" w:type="dxa"/>
            <w:left w:w="108" w:type="dxa"/>
            <w:bottom w:w="0" w:type="dxa"/>
            <w:right w:w="108" w:type="dxa"/>
          </w:tblCellMar>
        </w:tblPrEx>
        <w:trPr>
          <w:trHeight w:val="553" w:hRule="atLeast"/>
        </w:trPr>
        <w:tc>
          <w:tcPr>
            <w:tcW w:w="73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w:t>
            </w:r>
          </w:p>
        </w:tc>
        <w:tc>
          <w:tcPr>
            <w:tcW w:w="214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光伏板安装附件</w:t>
            </w:r>
          </w:p>
        </w:tc>
        <w:tc>
          <w:tcPr>
            <w:tcW w:w="38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微软雅黑" w:hAnsi="微软雅黑" w:eastAsia="微软雅黑" w:cs="微软雅黑"/>
                <w:color w:val="000000"/>
                <w:kern w:val="0"/>
                <w:sz w:val="16"/>
                <w:szCs w:val="16"/>
                <w:lang w:bidi="ar"/>
              </w:rPr>
            </w:pPr>
            <w:r>
              <w:rPr>
                <w:rFonts w:hint="eastAsia" w:ascii="微软雅黑" w:hAnsi="微软雅黑" w:eastAsia="微软雅黑" w:cs="微软雅黑"/>
                <w:color w:val="000000"/>
                <w:kern w:val="0"/>
                <w:sz w:val="16"/>
                <w:szCs w:val="16"/>
                <w:lang w:bidi="ar"/>
              </w:rPr>
              <w:t>1、铝合金中压块、边压块</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项</w:t>
            </w:r>
          </w:p>
        </w:tc>
        <w:tc>
          <w:tcPr>
            <w:tcW w:w="14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ascii="微软雅黑" w:hAnsi="微软雅黑" w:eastAsia="微软雅黑" w:cs="微软雅黑"/>
                <w:color w:val="000000"/>
                <w:sz w:val="20"/>
                <w:szCs w:val="20"/>
              </w:rPr>
            </w:pPr>
          </w:p>
        </w:tc>
      </w:tr>
      <w:tr>
        <w:tblPrEx>
          <w:tblCellMar>
            <w:top w:w="0" w:type="dxa"/>
            <w:left w:w="108" w:type="dxa"/>
            <w:bottom w:w="0" w:type="dxa"/>
            <w:right w:w="108" w:type="dxa"/>
          </w:tblCellMar>
        </w:tblPrEx>
        <w:trPr>
          <w:trHeight w:val="966" w:hRule="atLeast"/>
        </w:trPr>
        <w:tc>
          <w:tcPr>
            <w:tcW w:w="7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w:t>
            </w:r>
          </w:p>
        </w:tc>
        <w:tc>
          <w:tcPr>
            <w:tcW w:w="2145"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exact"/>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配电箱 250*300*150</w:t>
            </w:r>
          </w:p>
        </w:tc>
        <w:tc>
          <w:tcPr>
            <w:tcW w:w="38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微软雅黑" w:hAnsi="微软雅黑" w:eastAsia="微软雅黑" w:cs="微软雅黑"/>
                <w:color w:val="000000"/>
                <w:sz w:val="16"/>
                <w:szCs w:val="16"/>
              </w:rPr>
            </w:pPr>
            <w:r>
              <w:rPr>
                <w:rFonts w:hint="eastAsia" w:ascii="微软雅黑" w:hAnsi="微软雅黑" w:eastAsia="微软雅黑" w:cs="微软雅黑"/>
                <w:color w:val="000000"/>
                <w:kern w:val="0"/>
                <w:sz w:val="16"/>
                <w:szCs w:val="16"/>
                <w:lang w:bidi="ar"/>
              </w:rPr>
              <w:t>1、名称：配电箱</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2、型号：304不锈钢1.0厚,铰链304不锈钢材质</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3、规格：250*300*150</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4、微型断路器：16A/2P</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台</w:t>
            </w:r>
          </w:p>
        </w:tc>
        <w:tc>
          <w:tcPr>
            <w:tcW w:w="14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ascii="微软雅黑" w:hAnsi="微软雅黑" w:eastAsia="微软雅黑" w:cs="微软雅黑"/>
                <w:color w:val="000000"/>
                <w:sz w:val="20"/>
                <w:szCs w:val="20"/>
              </w:rPr>
            </w:pPr>
          </w:p>
        </w:tc>
      </w:tr>
      <w:tr>
        <w:trPr>
          <w:trHeight w:val="1080" w:hRule="atLeast"/>
        </w:trPr>
        <w:tc>
          <w:tcPr>
            <w:tcW w:w="7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4</w:t>
            </w:r>
          </w:p>
        </w:tc>
        <w:tc>
          <w:tcPr>
            <w:tcW w:w="21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1#光伏并网柜</w:t>
            </w:r>
          </w:p>
        </w:tc>
        <w:tc>
          <w:tcPr>
            <w:tcW w:w="38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微软雅黑" w:hAnsi="微软雅黑" w:eastAsia="微软雅黑" w:cs="微软雅黑"/>
                <w:color w:val="000000"/>
                <w:sz w:val="16"/>
                <w:szCs w:val="16"/>
              </w:rPr>
            </w:pPr>
            <w:r>
              <w:rPr>
                <w:rFonts w:hint="eastAsia" w:ascii="微软雅黑" w:hAnsi="微软雅黑" w:eastAsia="微软雅黑" w:cs="微软雅黑"/>
                <w:color w:val="000000"/>
                <w:kern w:val="0"/>
                <w:sz w:val="16"/>
                <w:szCs w:val="16"/>
                <w:lang w:bidi="ar"/>
              </w:rPr>
              <w:t>1、名称：光伏并网柜</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2、规格：GGD1 800mmx600mmx2200mm</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3、包括柜体内原器件</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b/>
                <w:bCs/>
                <w:color w:val="FF0000"/>
                <w:kern w:val="0"/>
                <w:sz w:val="16"/>
                <w:szCs w:val="16"/>
                <w:lang w:bidi="ar"/>
              </w:rPr>
              <w:t>4、参数详见图纸；</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台</w:t>
            </w:r>
          </w:p>
        </w:tc>
        <w:tc>
          <w:tcPr>
            <w:tcW w:w="14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ascii="微软雅黑" w:hAnsi="微软雅黑" w:eastAsia="微软雅黑" w:cs="微软雅黑"/>
                <w:color w:val="000000"/>
                <w:sz w:val="20"/>
                <w:szCs w:val="20"/>
              </w:rPr>
            </w:pPr>
          </w:p>
        </w:tc>
      </w:tr>
      <w:tr>
        <w:tblPrEx>
          <w:tblCellMar>
            <w:top w:w="0" w:type="dxa"/>
            <w:left w:w="108" w:type="dxa"/>
            <w:bottom w:w="0" w:type="dxa"/>
            <w:right w:w="108" w:type="dxa"/>
          </w:tblCellMar>
        </w:tblPrEx>
        <w:trPr>
          <w:trHeight w:val="1080" w:hRule="atLeast"/>
        </w:trPr>
        <w:tc>
          <w:tcPr>
            <w:tcW w:w="7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5</w:t>
            </w:r>
          </w:p>
        </w:tc>
        <w:tc>
          <w:tcPr>
            <w:tcW w:w="21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2#光伏并网柜</w:t>
            </w:r>
          </w:p>
        </w:tc>
        <w:tc>
          <w:tcPr>
            <w:tcW w:w="38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微软雅黑" w:hAnsi="微软雅黑" w:eastAsia="微软雅黑" w:cs="微软雅黑"/>
                <w:color w:val="000000"/>
                <w:sz w:val="16"/>
                <w:szCs w:val="16"/>
              </w:rPr>
            </w:pPr>
            <w:r>
              <w:rPr>
                <w:rFonts w:hint="eastAsia" w:ascii="微软雅黑" w:hAnsi="微软雅黑" w:eastAsia="微软雅黑" w:cs="微软雅黑"/>
                <w:color w:val="000000"/>
                <w:kern w:val="0"/>
                <w:sz w:val="16"/>
                <w:szCs w:val="16"/>
                <w:lang w:bidi="ar"/>
              </w:rPr>
              <w:t>1、名称：光伏并网柜</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2、规格：GGD1 800mmx600mmx2200mm</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3、包括柜体内原器件</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b/>
                <w:bCs/>
                <w:color w:val="FF0000"/>
                <w:kern w:val="0"/>
                <w:sz w:val="16"/>
                <w:szCs w:val="16"/>
                <w:lang w:bidi="ar"/>
              </w:rPr>
              <w:t>4、参数详见图纸；</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台</w:t>
            </w:r>
          </w:p>
        </w:tc>
        <w:tc>
          <w:tcPr>
            <w:tcW w:w="14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1</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ascii="微软雅黑" w:hAnsi="微软雅黑" w:eastAsia="微软雅黑" w:cs="微软雅黑"/>
                <w:color w:val="000000"/>
                <w:sz w:val="20"/>
                <w:szCs w:val="20"/>
              </w:rPr>
            </w:pPr>
          </w:p>
        </w:tc>
      </w:tr>
      <w:tr>
        <w:tblPrEx>
          <w:tblCellMar>
            <w:top w:w="0" w:type="dxa"/>
            <w:left w:w="108" w:type="dxa"/>
            <w:bottom w:w="0" w:type="dxa"/>
            <w:right w:w="108" w:type="dxa"/>
          </w:tblCellMar>
        </w:tblPrEx>
        <w:trPr>
          <w:trHeight w:val="1350" w:hRule="atLeast"/>
        </w:trPr>
        <w:tc>
          <w:tcPr>
            <w:tcW w:w="7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6</w:t>
            </w:r>
          </w:p>
        </w:tc>
        <w:tc>
          <w:tcPr>
            <w:tcW w:w="21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光伏逆变器50kW</w:t>
            </w:r>
          </w:p>
        </w:tc>
        <w:tc>
          <w:tcPr>
            <w:tcW w:w="38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微软雅黑" w:hAnsi="微软雅黑" w:eastAsia="微软雅黑" w:cs="微软雅黑"/>
                <w:color w:val="000000"/>
                <w:sz w:val="16"/>
                <w:szCs w:val="16"/>
              </w:rPr>
            </w:pPr>
            <w:r>
              <w:rPr>
                <w:rFonts w:hint="eastAsia" w:ascii="微软雅黑" w:hAnsi="微软雅黑" w:eastAsia="微软雅黑" w:cs="微软雅黑"/>
                <w:color w:val="000000"/>
                <w:kern w:val="0"/>
                <w:sz w:val="16"/>
                <w:szCs w:val="16"/>
                <w:lang w:bidi="ar"/>
              </w:rPr>
              <w:t>1、名称：光伏逆变器</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2、容量（kw)：50kW</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3、户外壁挂式</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4、含逆变器无线传输设备</w:t>
            </w:r>
            <w:r>
              <w:rPr>
                <w:rFonts w:hint="eastAsia" w:ascii="微软雅黑" w:hAnsi="微软雅黑" w:eastAsia="微软雅黑" w:cs="微软雅黑"/>
                <w:color w:val="000000"/>
                <w:kern w:val="0"/>
                <w:sz w:val="16"/>
                <w:szCs w:val="16"/>
                <w:lang w:bidi="ar"/>
              </w:rPr>
              <w:br w:type="textWrapping"/>
            </w:r>
            <w:r>
              <w:rPr>
                <w:rStyle w:val="31"/>
                <w:rFonts w:hint="default"/>
                <w:lang w:bidi="ar"/>
              </w:rPr>
              <w:t>5、参数详见图纸；</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台</w:t>
            </w:r>
          </w:p>
        </w:tc>
        <w:tc>
          <w:tcPr>
            <w:tcW w:w="14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2</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ascii="微软雅黑" w:hAnsi="微软雅黑" w:eastAsia="微软雅黑" w:cs="微软雅黑"/>
                <w:color w:val="000000"/>
                <w:sz w:val="20"/>
                <w:szCs w:val="20"/>
              </w:rPr>
            </w:pPr>
          </w:p>
        </w:tc>
      </w:tr>
      <w:tr>
        <w:tblPrEx>
          <w:tblCellMar>
            <w:top w:w="0" w:type="dxa"/>
            <w:left w:w="108" w:type="dxa"/>
            <w:bottom w:w="0" w:type="dxa"/>
            <w:right w:w="108" w:type="dxa"/>
          </w:tblCellMar>
        </w:tblPrEx>
        <w:trPr>
          <w:trHeight w:val="1080" w:hRule="atLeast"/>
        </w:trPr>
        <w:tc>
          <w:tcPr>
            <w:tcW w:w="73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7</w:t>
            </w:r>
          </w:p>
        </w:tc>
        <w:tc>
          <w:tcPr>
            <w:tcW w:w="214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光伏逆变器    110kW</w:t>
            </w:r>
          </w:p>
        </w:tc>
        <w:tc>
          <w:tcPr>
            <w:tcW w:w="388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微软雅黑" w:hAnsi="微软雅黑" w:eastAsia="微软雅黑" w:cs="微软雅黑"/>
                <w:color w:val="000000"/>
                <w:sz w:val="16"/>
                <w:szCs w:val="16"/>
              </w:rPr>
            </w:pPr>
            <w:r>
              <w:rPr>
                <w:rFonts w:hint="eastAsia" w:ascii="微软雅黑" w:hAnsi="微软雅黑" w:eastAsia="微软雅黑" w:cs="微软雅黑"/>
                <w:color w:val="000000"/>
                <w:kern w:val="0"/>
                <w:sz w:val="16"/>
                <w:szCs w:val="16"/>
                <w:lang w:bidi="ar"/>
              </w:rPr>
              <w:t>1、名称：光伏逆变器</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2、容量（kw)：110kW</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color w:val="000000"/>
                <w:kern w:val="0"/>
                <w:sz w:val="16"/>
                <w:szCs w:val="16"/>
                <w:lang w:bidi="ar"/>
              </w:rPr>
              <w:t>3、户外壁挂式</w:t>
            </w:r>
            <w:r>
              <w:rPr>
                <w:rFonts w:hint="eastAsia" w:ascii="微软雅黑" w:hAnsi="微软雅黑" w:eastAsia="微软雅黑" w:cs="微软雅黑"/>
                <w:color w:val="000000"/>
                <w:kern w:val="0"/>
                <w:sz w:val="16"/>
                <w:szCs w:val="16"/>
                <w:lang w:bidi="ar"/>
              </w:rPr>
              <w:br w:type="textWrapping"/>
            </w:r>
            <w:r>
              <w:rPr>
                <w:rFonts w:hint="eastAsia" w:ascii="微软雅黑" w:hAnsi="微软雅黑" w:eastAsia="微软雅黑" w:cs="微软雅黑"/>
                <w:b/>
                <w:bCs/>
                <w:color w:val="FF0000"/>
                <w:kern w:val="0"/>
                <w:sz w:val="16"/>
                <w:szCs w:val="16"/>
                <w:lang w:bidi="ar"/>
              </w:rPr>
              <w:t>4、参数详见图纸；</w:t>
            </w:r>
          </w:p>
        </w:tc>
        <w:tc>
          <w:tcPr>
            <w:tcW w:w="15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台</w:t>
            </w:r>
          </w:p>
        </w:tc>
        <w:tc>
          <w:tcPr>
            <w:tcW w:w="14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3</w:t>
            </w:r>
          </w:p>
        </w:tc>
        <w:tc>
          <w:tcPr>
            <w:tcW w:w="172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ascii="微软雅黑" w:hAnsi="微软雅黑" w:eastAsia="微软雅黑" w:cs="微软雅黑"/>
                <w:color w:val="000000"/>
                <w:sz w:val="20"/>
                <w:szCs w:val="20"/>
              </w:rPr>
            </w:pPr>
          </w:p>
        </w:tc>
      </w:tr>
      <w:tr>
        <w:tblPrEx>
          <w:tblCellMar>
            <w:top w:w="0" w:type="dxa"/>
            <w:left w:w="108" w:type="dxa"/>
            <w:bottom w:w="0" w:type="dxa"/>
            <w:right w:w="108" w:type="dxa"/>
          </w:tblCellMar>
        </w:tblPrEx>
        <w:trPr>
          <w:trHeight w:val="450" w:hRule="atLeast"/>
        </w:trPr>
        <w:tc>
          <w:tcPr>
            <w:tcW w:w="11458"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r>
              <w:rPr>
                <w:rFonts w:hint="eastAsia" w:ascii="微软雅黑" w:hAnsi="微软雅黑" w:eastAsia="微软雅黑" w:cs="微软雅黑"/>
                <w:color w:val="000000"/>
                <w:kern w:val="0"/>
                <w:sz w:val="20"/>
                <w:szCs w:val="20"/>
                <w:lang w:bidi="ar"/>
              </w:rPr>
              <w:t>合计</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sz w:val="20"/>
                <w:szCs w:val="20"/>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ascii="微软雅黑" w:hAnsi="微软雅黑" w:eastAsia="微软雅黑" w:cs="微软雅黑"/>
                <w:color w:val="000000"/>
                <w:sz w:val="20"/>
                <w:szCs w:val="20"/>
              </w:rPr>
            </w:pPr>
          </w:p>
        </w:tc>
      </w:tr>
      <w:tr>
        <w:tblPrEx>
          <w:tblCellMar>
            <w:top w:w="0" w:type="dxa"/>
            <w:left w:w="108" w:type="dxa"/>
            <w:bottom w:w="0" w:type="dxa"/>
            <w:right w:w="108" w:type="dxa"/>
          </w:tblCellMar>
        </w:tblPrEx>
        <w:trPr>
          <w:trHeight w:val="450" w:hRule="atLeast"/>
        </w:trPr>
        <w:tc>
          <w:tcPr>
            <w:tcW w:w="11458"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kern w:val="0"/>
                <w:sz w:val="20"/>
                <w:szCs w:val="20"/>
                <w:lang w:bidi="ar"/>
              </w:rPr>
            </w:pPr>
            <w:r>
              <w:rPr>
                <w:rFonts w:hint="eastAsia" w:ascii="微软雅黑" w:hAnsi="微软雅黑" w:eastAsia="微软雅黑" w:cs="微软雅黑"/>
                <w:color w:val="000000"/>
                <w:kern w:val="0"/>
                <w:sz w:val="20"/>
                <w:szCs w:val="20"/>
                <w:lang w:bidi="ar"/>
              </w:rPr>
              <w:t>含税</w:t>
            </w:r>
            <w:r>
              <w:rPr>
                <w:rFonts w:hint="eastAsia" w:ascii="微软雅黑" w:hAnsi="微软雅黑" w:eastAsia="微软雅黑" w:cs="微软雅黑"/>
                <w:color w:val="000000"/>
                <w:kern w:val="0"/>
                <w:sz w:val="20"/>
                <w:szCs w:val="20"/>
                <w:u w:val="single"/>
                <w:lang w:bidi="ar"/>
              </w:rPr>
              <w:t xml:space="preserve">           %</w:t>
            </w:r>
            <w:r>
              <w:rPr>
                <w:rFonts w:hint="eastAsia" w:ascii="微软雅黑" w:hAnsi="微软雅黑" w:eastAsia="微软雅黑" w:cs="微软雅黑"/>
                <w:color w:val="000000"/>
                <w:kern w:val="0"/>
                <w:sz w:val="20"/>
                <w:szCs w:val="20"/>
                <w:lang w:bidi="ar"/>
              </w:rPr>
              <w:t xml:space="preserve">（专票） </w:t>
            </w:r>
          </w:p>
        </w:tc>
        <w:tc>
          <w:tcPr>
            <w:tcW w:w="114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微软雅黑" w:hAnsi="微软雅黑" w:eastAsia="微软雅黑" w:cs="微软雅黑"/>
                <w:color w:val="000000"/>
                <w:kern w:val="0"/>
                <w:sz w:val="20"/>
                <w:szCs w:val="20"/>
                <w:lang w:bidi="ar"/>
              </w:rPr>
            </w:pPr>
          </w:p>
        </w:tc>
        <w:tc>
          <w:tcPr>
            <w:tcW w:w="1410" w:type="dxa"/>
            <w:tcBorders>
              <w:top w:val="single" w:color="000000" w:sz="4" w:space="0"/>
              <w:left w:val="single" w:color="000000" w:sz="4" w:space="0"/>
              <w:bottom w:val="single" w:color="000000" w:sz="4" w:space="0"/>
              <w:right w:val="single" w:color="000000" w:sz="4" w:space="0"/>
            </w:tcBorders>
            <w:vAlign w:val="center"/>
          </w:tcPr>
          <w:p>
            <w:pPr>
              <w:jc w:val="center"/>
              <w:rPr>
                <w:rFonts w:ascii="微软雅黑" w:hAnsi="微软雅黑" w:eastAsia="微软雅黑" w:cs="微软雅黑"/>
                <w:color w:val="000000"/>
                <w:sz w:val="20"/>
                <w:szCs w:val="20"/>
              </w:rPr>
            </w:pPr>
          </w:p>
        </w:tc>
      </w:tr>
    </w:tbl>
    <w:p>
      <w:pPr>
        <w:tabs>
          <w:tab w:val="left" w:pos="720"/>
        </w:tabs>
        <w:spacing w:line="440" w:lineRule="exact"/>
        <w:rPr>
          <w:rFonts w:ascii="Times New Roman" w:hAnsi="Times New Roman" w:cs="Times New Roman"/>
        </w:rPr>
        <w:sectPr>
          <w:pgSz w:w="16838" w:h="11906" w:orient="landscape"/>
          <w:pgMar w:top="1803" w:right="1440" w:bottom="1803" w:left="1440" w:header="851" w:footer="992" w:gutter="0"/>
          <w:cols w:space="0" w:num="1"/>
          <w:docGrid w:type="lines" w:linePitch="319" w:charSpace="0"/>
        </w:sectPr>
      </w:pPr>
      <w:r>
        <w:rPr>
          <w:rFonts w:hint="eastAsia" w:ascii="Times New Roman" w:hAnsi="Times New Roman" w:cs="Times New Roman"/>
        </w:rPr>
        <w:t>注：投标人可根据行业具体情况及招标项目特点对上表格式进行调整。</w:t>
      </w:r>
    </w:p>
    <w:bookmarkEnd w:id="407"/>
    <w:p>
      <w:pPr>
        <w:pStyle w:val="4"/>
        <w:jc w:val="center"/>
      </w:pPr>
      <w:bookmarkStart w:id="408" w:name="_Toc296602614"/>
      <w:bookmarkStart w:id="409" w:name="_Toc152045803"/>
      <w:bookmarkStart w:id="410" w:name="_Toc144974871"/>
      <w:bookmarkStart w:id="411" w:name="_Toc247085887"/>
      <w:bookmarkStart w:id="412" w:name="_Toc152042592"/>
      <w:bookmarkStart w:id="413" w:name="_Toc246997112"/>
      <w:bookmarkStart w:id="414" w:name="_Toc179632823"/>
      <w:bookmarkStart w:id="415" w:name="_Toc246996369"/>
      <w:bookmarkStart w:id="416" w:name="_Toc152042597"/>
      <w:bookmarkStart w:id="417" w:name="_Toc144974876"/>
      <w:bookmarkStart w:id="418" w:name="_Toc247527848"/>
      <w:bookmarkStart w:id="419" w:name="_Toc247514300"/>
      <w:bookmarkStart w:id="420" w:name="_Toc300835224"/>
      <w:bookmarkStart w:id="421" w:name="_Toc152045808"/>
      <w:r>
        <w:rPr>
          <w:rFonts w:hint="eastAsia"/>
        </w:rPr>
        <w:t>六</w:t>
      </w:r>
      <w:r>
        <w:t>、资格审查资料</w:t>
      </w:r>
    </w:p>
    <w:p>
      <w:pPr>
        <w:pStyle w:val="5"/>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注册资金</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成立时间</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注册地址</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邮政编码</w:t>
            </w:r>
          </w:p>
        </w:tc>
        <w:tc>
          <w:tcPr>
            <w:tcW w:w="2988"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员工总数</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联系人</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网址</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传真</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法定代表人</w:t>
            </w:r>
          </w:p>
          <w:p>
            <w:pPr>
              <w:topLinePunct/>
              <w:spacing w:line="440" w:lineRule="exact"/>
              <w:jc w:val="center"/>
              <w:rPr>
                <w:szCs w:val="21"/>
              </w:rPr>
            </w:pPr>
            <w:r>
              <w:rPr>
                <w:rFonts w:hint="eastAsia"/>
                <w:szCs w:val="21"/>
              </w:rPr>
              <w:t>（单位负责人）</w:t>
            </w: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姓名</w:t>
            </w:r>
          </w:p>
        </w:tc>
        <w:tc>
          <w:tcPr>
            <w:tcW w:w="185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电话</w:t>
            </w:r>
          </w:p>
        </w:tc>
        <w:tc>
          <w:tcPr>
            <w:tcW w:w="1848"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left"/>
              <w:rPr>
                <w:szCs w:val="21"/>
              </w:rPr>
            </w:pPr>
            <w:r>
              <w:rPr>
                <w:rFonts w:hint="eastAsia"/>
                <w:szCs w:val="21"/>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rFonts w:hint="eastAsia"/>
                <w:szCs w:val="21"/>
              </w:rPr>
              <w:t>近三年营业额</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r>
              <w:rPr>
                <w:rFonts w:hint="eastAsia"/>
                <w:szCs w:val="21"/>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vAlign w:val="center"/>
          </w:tcPr>
          <w:p>
            <w:pPr>
              <w:topLinePunct/>
              <w:spacing w:line="440" w:lineRule="exact"/>
              <w:ind w:firstLine="210" w:firstLineChars="100"/>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r>
              <w:rPr>
                <w:rFonts w:hint="eastAsia"/>
                <w:szCs w:val="21"/>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r>
              <w:rPr>
                <w:rFonts w:hint="eastAsia"/>
                <w:szCs w:val="21"/>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highlight w:val="red"/>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szCs w:val="21"/>
              </w:rPr>
            </w:pPr>
          </w:p>
        </w:tc>
      </w:tr>
    </w:tbl>
    <w:p>
      <w:pPr>
        <w:spacing w:line="440" w:lineRule="exact"/>
        <w:rPr>
          <w:rFonts w:ascii="Times New Roman" w:hAnsi="Times New Roman" w:cs="Times New Roman"/>
        </w:rPr>
      </w:pPr>
      <w:r>
        <w:rPr>
          <w:rFonts w:ascii="Times New Roman" w:hAnsi="Times New Roman" w:cs="Times New Roman"/>
        </w:rPr>
        <w:t>注：</w:t>
      </w:r>
    </w:p>
    <w:p>
      <w:pPr>
        <w:rPr>
          <w:rFonts w:ascii="Times New Roman" w:hAnsi="Times New Roman" w:cs="Times New Roman"/>
        </w:rPr>
      </w:pPr>
    </w:p>
    <w:p>
      <w:r>
        <w:rPr>
          <w:rFonts w:hint="eastAsia"/>
        </w:rPr>
        <w:br w:type="page"/>
      </w:r>
    </w:p>
    <w:p>
      <w:pPr>
        <w:pStyle w:val="5"/>
      </w:pPr>
      <w:r>
        <w:t>（</w:t>
      </w:r>
      <w:r>
        <w:rPr>
          <w:rFonts w:hint="eastAsia"/>
        </w:rPr>
        <w:t>二</w:t>
      </w:r>
      <w:r>
        <w:t>）</w:t>
      </w:r>
      <w:r>
        <w:rPr>
          <w:rFonts w:hint="eastAsia"/>
        </w:rPr>
        <w:t>近年财务状况表</w:t>
      </w:r>
    </w:p>
    <w:p>
      <w:pPr>
        <w:spacing w:line="440" w:lineRule="exact"/>
        <w:ind w:firstLine="420" w:firstLineChars="200"/>
        <w:rPr>
          <w:rFonts w:ascii="Times New Roman" w:hAnsi="Times New Roman" w:cs="Times New Roman"/>
        </w:rPr>
      </w:pPr>
      <w:r>
        <w:rPr>
          <w:rFonts w:ascii="Times New Roman" w:hAnsi="Times New Roman" w:cs="Times New Roman"/>
        </w:rPr>
        <w:t>1.投标人应根据投标人须知第3.5.2项的要求在本表后附相关证明材料。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spacing w:line="440" w:lineRule="exact"/>
        <w:ind w:firstLine="420" w:firstLineChars="200"/>
        <w:rPr>
          <w:rFonts w:ascii="Times New Roman" w:hAnsi="Times New Roman" w:cs="Times New Roman"/>
        </w:rPr>
      </w:pPr>
    </w:p>
    <w:p>
      <w:pPr>
        <w:rPr>
          <w:rFonts w:ascii="Times New Roman" w:hAnsi="Times New Roman" w:cs="Times New Roman"/>
        </w:rPr>
      </w:pPr>
    </w:p>
    <w:p>
      <w:r>
        <w:rPr>
          <w:rFonts w:hint="eastAsia"/>
        </w:rPr>
        <w:br w:type="page"/>
      </w:r>
    </w:p>
    <w:p>
      <w:pPr>
        <w:pStyle w:val="5"/>
        <w:rPr>
          <w:rFonts w:ascii="Times New Roman" w:hAnsi="Times New Roman" w:cs="Times New Roman"/>
        </w:rPr>
      </w:pPr>
      <w:r>
        <w:rPr>
          <w:rFonts w:ascii="Times New Roman" w:hAnsi="Times New Roman" w:cs="Times New Roman"/>
        </w:rPr>
        <w:t>（三）近年完成的类似项目情况表</w:t>
      </w:r>
    </w:p>
    <w:p>
      <w:pPr>
        <w:spacing w:line="440" w:lineRule="exact"/>
        <w:jc w:val="center"/>
        <w:rPr>
          <w:rFonts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产品</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规格和型号</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项目</w:t>
            </w:r>
            <w:r>
              <w:rPr>
                <w:rFonts w:ascii="Times New Roman" w:hAnsi="Times New Roman" w:cs="Times New Roman"/>
                <w:szCs w:val="21"/>
              </w:rPr>
              <w:t>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买方名称</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vAlign w:val="center"/>
          </w:tcPr>
          <w:p>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买方联系人及电话</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3" w:type="dxa"/>
          </w:tcPr>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项目</w:t>
            </w:r>
            <w:r>
              <w:rPr>
                <w:rFonts w:hint="eastAsia" w:ascii="Times New Roman" w:hAnsi="Times New Roman" w:cs="Times New Roman"/>
                <w:szCs w:val="21"/>
              </w:rPr>
              <w:t>概况及投标人履约情况</w:t>
            </w:r>
          </w:p>
        </w:tc>
        <w:tc>
          <w:tcPr>
            <w:tcW w:w="6253" w:type="dxa"/>
          </w:tcPr>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p>
            <w:pPr>
              <w:topLinePunct/>
              <w:spacing w:line="440" w:lineRule="exact"/>
              <w:rPr>
                <w:rFonts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vAlign w:val="center"/>
          </w:tcPr>
          <w:p>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3" w:type="dxa"/>
          </w:tcPr>
          <w:p>
            <w:pPr>
              <w:topLinePunct/>
              <w:spacing w:line="440" w:lineRule="exact"/>
              <w:rPr>
                <w:rFonts w:ascii="Times New Roman" w:hAnsi="Times New Roman" w:cs="Times New Roman"/>
                <w:szCs w:val="21"/>
              </w:rPr>
            </w:pPr>
          </w:p>
        </w:tc>
      </w:tr>
    </w:tbl>
    <w:p>
      <w:pPr>
        <w:spacing w:line="440" w:lineRule="exact"/>
        <w:rPr>
          <w:rFonts w:ascii="Times New Roman" w:hAnsi="Times New Roman" w:cs="Times New Roman"/>
        </w:rPr>
      </w:pPr>
      <w:r>
        <w:rPr>
          <w:rFonts w:ascii="Times New Roman" w:hAnsi="Times New Roman" w:cs="Times New Roman"/>
        </w:rPr>
        <w:t>注：1.投标人应根据投标人须知第3.5.3项的要求在本表后附相关证明材料；</w:t>
      </w:r>
    </w:p>
    <w:p>
      <w:pPr>
        <w:spacing w:line="440" w:lineRule="exact"/>
        <w:ind w:firstLine="420" w:firstLineChars="200"/>
        <w:rPr>
          <w:rFonts w:ascii="Times New Roman" w:hAnsi="Times New Roman" w:cs="Times New Roman"/>
        </w:rPr>
      </w:pPr>
      <w:permStart w:id="73" w:edGrp="everyone"/>
      <w:r>
        <w:rPr>
          <w:rFonts w:ascii="Times New Roman" w:hAnsi="Times New Roman" w:cs="Times New Roman"/>
        </w:rPr>
        <w:t>2.投标人为代理经销商的，投标人须知第1.4.1项要求投标人提供投标</w:t>
      </w:r>
      <w:r>
        <w:rPr>
          <w:rFonts w:hint="eastAsia" w:ascii="Times New Roman" w:hAnsi="Times New Roman" w:cs="Times New Roman"/>
        </w:rPr>
        <w:t>产品</w:t>
      </w:r>
      <w:r>
        <w:rPr>
          <w:rFonts w:ascii="Times New Roman" w:hAnsi="Times New Roman" w:cs="Times New Roman"/>
        </w:rPr>
        <w:t>的业绩的，投标人应按照上表的格式提供投标设备的业绩情况并根据投标人须知第3.5.3项的要求在本表后附相关证明材料。</w:t>
      </w:r>
    </w:p>
    <w:p>
      <w:pPr>
        <w:spacing w:line="440" w:lineRule="exact"/>
        <w:ind w:firstLine="420" w:firstLineChars="200"/>
        <w:rPr>
          <w:rFonts w:ascii="Times New Roman" w:hAnsi="Times New Roman" w:cs="Times New Roman"/>
        </w:rPr>
      </w:pPr>
      <w:r>
        <w:rPr>
          <w:rFonts w:hint="eastAsia" w:ascii="Times New Roman" w:hAnsi="Times New Roman" w:cs="Times New Roman"/>
        </w:rPr>
        <w:t>附：3.5.3 “近年完成的类似项目情况表”应附合同协议书的复印件，具体时间要求见投标人须知前附表。每张表格只填写一个项目，并标明序号。</w:t>
      </w:r>
    </w:p>
    <w:permEnd w:id="73"/>
    <w:p>
      <w:r>
        <w:rPr>
          <w:rFonts w:hint="eastAsia"/>
        </w:rPr>
        <w:br w:type="page"/>
      </w:r>
    </w:p>
    <w:p>
      <w:pPr>
        <w:pStyle w:val="5"/>
        <w:rPr>
          <w:rFonts w:ascii="Times New Roman" w:hAnsi="Times New Roman" w:eastAsia="宋体" w:cs="Times New Roman"/>
          <w:b w:val="0"/>
          <w:bCs w:val="0"/>
          <w:kern w:val="0"/>
          <w:sz w:val="24"/>
          <w:szCs w:val="24"/>
        </w:rPr>
      </w:pPr>
      <w:permStart w:id="74" w:edGrp="everyone"/>
      <w:r>
        <w:rPr>
          <w:rFonts w:hint="eastAsia" w:ascii="Times New Roman" w:hAnsi="Times New Roman" w:cs="Times New Roman"/>
        </w:rPr>
        <w:t>（四）制造商授权书（如要求）</w:t>
      </w:r>
    </w:p>
    <w:p>
      <w:pPr>
        <w:spacing w:line="480" w:lineRule="exact"/>
        <w:jc w:val="center"/>
        <w:rPr>
          <w:rFonts w:ascii="黑体" w:hAnsi="黑体" w:eastAsia="黑体" w:cs="黑体"/>
          <w:kern w:val="0"/>
          <w:sz w:val="28"/>
          <w:szCs w:val="28"/>
        </w:rPr>
      </w:pPr>
      <w:r>
        <w:rPr>
          <w:rFonts w:hint="eastAsia" w:ascii="黑体" w:hAnsi="黑体" w:eastAsia="黑体" w:cs="黑体"/>
          <w:kern w:val="0"/>
          <w:sz w:val="28"/>
          <w:szCs w:val="28"/>
        </w:rPr>
        <w:t>制造商授权书</w:t>
      </w:r>
    </w:p>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r>
        <w:rPr>
          <w:rFonts w:hint="eastAsia" w:ascii="Times New Roman" w:hAnsi="Times New Roman" w:eastAsia="宋体" w:cs="Times New Roman"/>
          <w:kern w:val="0"/>
          <w:sz w:val="24"/>
        </w:rPr>
        <w:t>致：</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（招标人）</w:t>
      </w:r>
    </w:p>
    <w:p>
      <w:pPr>
        <w:wordWrap w:val="0"/>
        <w:spacing w:line="480" w:lineRule="exact"/>
        <w:ind w:firstLine="480" w:firstLineChars="200"/>
        <w:rPr>
          <w:rFonts w:ascii="Times New Roman" w:hAnsi="Times New Roman" w:eastAsia="宋体" w:cs="Times New Roman"/>
          <w:kern w:val="0"/>
          <w:sz w:val="24"/>
        </w:rPr>
      </w:pPr>
      <w:r>
        <w:rPr>
          <w:rFonts w:hint="eastAsia" w:ascii="Times New Roman" w:hAnsi="Times New Roman" w:eastAsia="宋体" w:cs="Times New Roman"/>
          <w:kern w:val="0"/>
          <w:sz w:val="24"/>
        </w:rPr>
        <w:t>我单位</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（制造商名称）是按</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（国家/地区名称）法律成立的一家制造商，主要营业地点设在</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（制造商地址）。兹授权按</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（国家/地区名称）的法律正式成立的，主要营业地点设在</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（投标人的单位地址）的</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（投标人名称）以我单位制造的</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（产品名称）进行</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（项目名称）投标活动。我单位同意按照中标合同供货，并对产品质量承担责任。</w:t>
      </w:r>
    </w:p>
    <w:p>
      <w:pPr>
        <w:spacing w:line="480" w:lineRule="exact"/>
        <w:ind w:firstLine="480" w:firstLineChars="200"/>
        <w:rPr>
          <w:rFonts w:ascii="Times New Roman" w:hAnsi="Times New Roman" w:eastAsia="宋体" w:cs="Times New Roman"/>
          <w:kern w:val="0"/>
          <w:sz w:val="24"/>
        </w:rPr>
      </w:pPr>
      <w:r>
        <w:rPr>
          <w:rFonts w:hint="eastAsia" w:ascii="Times New Roman" w:hAnsi="Times New Roman" w:eastAsia="宋体" w:cs="Times New Roman"/>
          <w:kern w:val="0"/>
          <w:sz w:val="24"/>
        </w:rPr>
        <w:t>授权期限：</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w:t>
      </w:r>
    </w:p>
    <w:p>
      <w:pPr>
        <w:spacing w:line="480" w:lineRule="exact"/>
        <w:ind w:firstLine="480" w:firstLineChars="200"/>
        <w:rPr>
          <w:rFonts w:ascii="Times New Roman" w:hAnsi="Times New Roman" w:eastAsia="宋体" w:cs="Times New Roman"/>
          <w:kern w:val="0"/>
          <w:sz w:val="24"/>
        </w:rPr>
      </w:pPr>
    </w:p>
    <w:p>
      <w:pPr>
        <w:spacing w:line="480" w:lineRule="exact"/>
        <w:ind w:firstLine="480" w:firstLineChars="200"/>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r>
        <w:rPr>
          <w:rFonts w:hint="eastAsia" w:ascii="Times New Roman" w:hAnsi="Times New Roman" w:eastAsia="宋体" w:cs="Times New Roman"/>
          <w:kern w:val="0"/>
          <w:sz w:val="24"/>
        </w:rPr>
        <w:t>投标人名称：</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（盖单位章）          制造商名称：</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（盖单位章）</w:t>
      </w:r>
    </w:p>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r>
        <w:rPr>
          <w:rFonts w:hint="eastAsia" w:ascii="Times New Roman" w:hAnsi="Times New Roman" w:eastAsia="宋体" w:cs="Times New Roman"/>
          <w:kern w:val="0"/>
          <w:sz w:val="24"/>
        </w:rPr>
        <w:t>签字人职务：</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 xml:space="preserve">                签字人职务：</w:t>
      </w:r>
      <w:r>
        <w:rPr>
          <w:rFonts w:hint="eastAsia" w:ascii="Times New Roman" w:hAnsi="Times New Roman" w:eastAsia="宋体" w:cs="Times New Roman"/>
          <w:kern w:val="0"/>
          <w:sz w:val="24"/>
          <w:u w:val="single"/>
        </w:rPr>
        <w:t xml:space="preserve">        </w:t>
      </w:r>
    </w:p>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p>
    <w:p>
      <w:pPr>
        <w:spacing w:line="480" w:lineRule="exact"/>
        <w:rPr>
          <w:rFonts w:ascii="Times New Roman" w:hAnsi="Times New Roman" w:eastAsia="宋体" w:cs="Times New Roman"/>
          <w:kern w:val="0"/>
          <w:sz w:val="24"/>
        </w:rPr>
      </w:pPr>
      <w:r>
        <w:rPr>
          <w:rFonts w:hint="eastAsia" w:ascii="Times New Roman" w:hAnsi="Times New Roman" w:eastAsia="宋体" w:cs="Times New Roman"/>
          <w:kern w:val="0"/>
          <w:sz w:val="24"/>
        </w:rPr>
        <w:t>签字人姓名：</w:t>
      </w:r>
      <w:r>
        <w:rPr>
          <w:rFonts w:hint="eastAsia" w:ascii="Times New Roman" w:hAnsi="Times New Roman" w:eastAsia="宋体" w:cs="Times New Roman"/>
          <w:kern w:val="0"/>
          <w:sz w:val="24"/>
          <w:u w:val="single"/>
        </w:rPr>
        <w:t xml:space="preserve">               </w:t>
      </w:r>
      <w:r>
        <w:rPr>
          <w:rFonts w:hint="eastAsia" w:ascii="Times New Roman" w:hAnsi="Times New Roman" w:eastAsia="宋体" w:cs="Times New Roman"/>
          <w:kern w:val="0"/>
          <w:sz w:val="24"/>
        </w:rPr>
        <w:t xml:space="preserve">             签字人姓名：</w:t>
      </w:r>
      <w:r>
        <w:rPr>
          <w:rFonts w:hint="eastAsia" w:ascii="Times New Roman" w:hAnsi="Times New Roman" w:eastAsia="宋体" w:cs="Times New Roman"/>
          <w:kern w:val="0"/>
          <w:sz w:val="24"/>
          <w:u w:val="single"/>
        </w:rPr>
        <w:t xml:space="preserve">        </w:t>
      </w:r>
    </w:p>
    <w:permEnd w:id="74"/>
    <w:p>
      <w:r>
        <w:rPr>
          <w:rFonts w:hint="eastAsia"/>
        </w:rPr>
        <w:br w:type="page"/>
      </w:r>
    </w:p>
    <w:p>
      <w:pPr>
        <w:pStyle w:val="4"/>
        <w:jc w:val="center"/>
        <w:rPr>
          <w:szCs w:val="21"/>
        </w:rPr>
      </w:pPr>
      <w:r>
        <w:rPr>
          <w:rFonts w:hint="eastAsia"/>
        </w:rPr>
        <w:t>七、</w:t>
      </w:r>
      <w:bookmarkEnd w:id="408"/>
      <w:bookmarkEnd w:id="409"/>
      <w:bookmarkEnd w:id="410"/>
      <w:bookmarkEnd w:id="411"/>
      <w:bookmarkEnd w:id="412"/>
      <w:bookmarkEnd w:id="413"/>
      <w:bookmarkEnd w:id="414"/>
      <w:bookmarkEnd w:id="415"/>
      <w:r>
        <w:rPr>
          <w:rFonts w:hint="eastAsia"/>
        </w:rPr>
        <w:t>投标产品性能指标的详细描述</w:t>
      </w:r>
    </w:p>
    <w:bookmarkEnd w:id="416"/>
    <w:bookmarkEnd w:id="417"/>
    <w:bookmarkEnd w:id="418"/>
    <w:bookmarkEnd w:id="419"/>
    <w:bookmarkEnd w:id="420"/>
    <w:bookmarkEnd w:id="421"/>
    <w:p>
      <w:pPr>
        <w:rPr>
          <w:rFonts w:ascii="Times New Roman" w:hAnsi="Times New Roman" w:cs="Times New Roman"/>
        </w:rPr>
      </w:pPr>
      <w:r>
        <w:rPr>
          <w:rFonts w:ascii="Times New Roman" w:hAnsi="Times New Roman" w:cs="Times New Roman"/>
        </w:rPr>
        <w:br w:type="page"/>
      </w:r>
    </w:p>
    <w:p>
      <w:pPr>
        <w:pStyle w:val="4"/>
        <w:jc w:val="center"/>
      </w:pPr>
      <w:r>
        <w:rPr>
          <w:rFonts w:hint="eastAsia"/>
        </w:rPr>
        <w:t>八、技术支持资料</w:t>
      </w:r>
    </w:p>
    <w:p>
      <w:pPr>
        <w:rPr>
          <w:rFonts w:ascii="Times New Roman" w:hAnsi="Times New Roman" w:cs="Times New Roman"/>
        </w:rPr>
      </w:pPr>
      <w:r>
        <w:rPr>
          <w:rFonts w:ascii="Times New Roman" w:hAnsi="Times New Roman" w:cs="Times New Roman"/>
        </w:rPr>
        <w:br w:type="page"/>
      </w:r>
    </w:p>
    <w:p>
      <w:pPr>
        <w:pStyle w:val="4"/>
        <w:jc w:val="center"/>
      </w:pPr>
      <w:r>
        <w:rPr>
          <w:rFonts w:hint="eastAsia"/>
        </w:rPr>
        <w:t>九、相关服务计划</w:t>
      </w:r>
    </w:p>
    <w:p>
      <w:pPr>
        <w:spacing w:line="440" w:lineRule="exact"/>
        <w:rPr>
          <w:rFonts w:ascii="Times New Roman" w:hAnsi="Times New Roman" w:cs="Times New Roman"/>
        </w:rPr>
      </w:pPr>
      <w:r>
        <w:rPr>
          <w:rFonts w:ascii="Times New Roman" w:hAnsi="Times New Roman" w:cs="Times New Roman"/>
        </w:rPr>
        <w:br w:type="page"/>
      </w:r>
      <w:bookmarkStart w:id="422" w:name="_Toc247527853"/>
      <w:bookmarkStart w:id="423" w:name="_Toc144974881"/>
      <w:bookmarkStart w:id="424" w:name="_Toc247514305"/>
      <w:bookmarkStart w:id="425" w:name="_Toc152042602"/>
      <w:bookmarkStart w:id="426" w:name="_Toc152045813"/>
      <w:bookmarkStart w:id="427" w:name="_Toc247530162"/>
    </w:p>
    <w:bookmarkEnd w:id="422"/>
    <w:bookmarkEnd w:id="423"/>
    <w:bookmarkEnd w:id="424"/>
    <w:bookmarkEnd w:id="425"/>
    <w:bookmarkEnd w:id="426"/>
    <w:bookmarkEnd w:id="427"/>
    <w:p>
      <w:pPr>
        <w:pStyle w:val="4"/>
        <w:jc w:val="center"/>
        <w:rPr>
          <w:rFonts w:ascii="Times New Roman" w:hAnsi="Times New Roman" w:cs="Times New Roman"/>
        </w:rPr>
      </w:pPr>
      <w:bookmarkStart w:id="428" w:name="_Toc300835233"/>
      <w:bookmarkStart w:id="429" w:name="_Toc271821942"/>
      <w:r>
        <w:rPr>
          <w:rFonts w:hint="eastAsia" w:ascii="Times New Roman" w:hAnsi="Times New Roman" w:cs="Times New Roman"/>
        </w:rPr>
        <w:t>十</w:t>
      </w:r>
      <w:r>
        <w:rPr>
          <w:rFonts w:ascii="Times New Roman" w:hAnsi="Times New Roman" w:cs="Times New Roman"/>
        </w:rPr>
        <w:t>、其他资料</w:t>
      </w:r>
      <w:bookmarkEnd w:id="428"/>
      <w:bookmarkEnd w:id="429"/>
    </w:p>
    <w:p>
      <w:pPr>
        <w:ind w:firstLine="420" w:firstLineChars="200"/>
        <w:rPr>
          <w:rFonts w:ascii="Times New Roman" w:hAnsi="Times New Roman"/>
        </w:rPr>
      </w:pPr>
      <w:permStart w:id="75" w:edGrp="everyone"/>
      <w:r>
        <w:rPr>
          <w:rFonts w:hint="eastAsia" w:ascii="Times New Roman" w:hAnsi="Times New Roman"/>
        </w:rPr>
        <w:t>第六章“投标文件格式”未详尽列举，但招标文件要求或投标人认为有必要提供的资料。</w:t>
      </w:r>
    </w:p>
    <w:permEnd w:id="75"/>
    <w:p>
      <w:pPr>
        <w:spacing w:line="400" w:lineRule="exact"/>
        <w:rPr>
          <w:rFonts w:ascii="Times New Roman" w:hAnsi="Times New Roman" w:cs="Times New Roman"/>
        </w:rPr>
      </w:pPr>
    </w:p>
    <w:p>
      <w:pPr>
        <w:rPr>
          <w:rFonts w:ascii="Times New Roman" w:hAnsi="Times New Roman" w:eastAsia="宋体" w:cs="Times New Roman"/>
          <w:kern w:val="0"/>
          <w:sz w:val="24"/>
        </w:rPr>
      </w:pPr>
    </w:p>
    <w:p/>
    <w:sectPr>
      <w:headerReference r:id="rId6" w:type="default"/>
      <w:footerReference r:id="rId7" w:type="default"/>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decorative"/>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12"/>
                      <w:rPr>
                        <w:rFonts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- 1 -</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embedSystemFonts/>
  <w:documentProtection w:edit="readOnly" w:enforcement="0"/>
  <w:defaultTabStop w:val="420"/>
  <w:drawingGridVerticalSpacing w:val="159"/>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F226A4"/>
    <w:rsid w:val="000A4B92"/>
    <w:rsid w:val="002609D3"/>
    <w:rsid w:val="002C069E"/>
    <w:rsid w:val="0040224D"/>
    <w:rsid w:val="004B667F"/>
    <w:rsid w:val="00733B0B"/>
    <w:rsid w:val="00764376"/>
    <w:rsid w:val="00796B76"/>
    <w:rsid w:val="00850CC0"/>
    <w:rsid w:val="009E3125"/>
    <w:rsid w:val="00B00F2F"/>
    <w:rsid w:val="00D032BE"/>
    <w:rsid w:val="00F226A4"/>
    <w:rsid w:val="00FF308E"/>
    <w:rsid w:val="011E6004"/>
    <w:rsid w:val="0145105E"/>
    <w:rsid w:val="018E53BB"/>
    <w:rsid w:val="019846E3"/>
    <w:rsid w:val="01CB0CDF"/>
    <w:rsid w:val="01CD2334"/>
    <w:rsid w:val="01E140D3"/>
    <w:rsid w:val="01EE4D0C"/>
    <w:rsid w:val="01F16263"/>
    <w:rsid w:val="02016132"/>
    <w:rsid w:val="0212370C"/>
    <w:rsid w:val="021D348F"/>
    <w:rsid w:val="024C62D4"/>
    <w:rsid w:val="026003DA"/>
    <w:rsid w:val="026E5FAB"/>
    <w:rsid w:val="026F1774"/>
    <w:rsid w:val="02983D41"/>
    <w:rsid w:val="029F2BC9"/>
    <w:rsid w:val="02A31129"/>
    <w:rsid w:val="02A46690"/>
    <w:rsid w:val="02AC508C"/>
    <w:rsid w:val="02BE075F"/>
    <w:rsid w:val="02F4317E"/>
    <w:rsid w:val="0324584F"/>
    <w:rsid w:val="032652C7"/>
    <w:rsid w:val="033964DC"/>
    <w:rsid w:val="034877E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B7FC9"/>
    <w:rsid w:val="04CD15E8"/>
    <w:rsid w:val="04CF4810"/>
    <w:rsid w:val="04D63FDF"/>
    <w:rsid w:val="04EB08D2"/>
    <w:rsid w:val="04EC7DA2"/>
    <w:rsid w:val="050252F6"/>
    <w:rsid w:val="055625ED"/>
    <w:rsid w:val="0560706F"/>
    <w:rsid w:val="0572490A"/>
    <w:rsid w:val="057E3D65"/>
    <w:rsid w:val="058253F2"/>
    <w:rsid w:val="05872EB9"/>
    <w:rsid w:val="05933026"/>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537E7"/>
    <w:rsid w:val="06F81D74"/>
    <w:rsid w:val="071A70F3"/>
    <w:rsid w:val="072232D9"/>
    <w:rsid w:val="074267A8"/>
    <w:rsid w:val="074A7C93"/>
    <w:rsid w:val="07666E00"/>
    <w:rsid w:val="07723470"/>
    <w:rsid w:val="077965A7"/>
    <w:rsid w:val="07832BA1"/>
    <w:rsid w:val="07972327"/>
    <w:rsid w:val="07A85930"/>
    <w:rsid w:val="07EE56D8"/>
    <w:rsid w:val="07F43A9E"/>
    <w:rsid w:val="083726B7"/>
    <w:rsid w:val="08554A0D"/>
    <w:rsid w:val="08563EE1"/>
    <w:rsid w:val="086D3DA1"/>
    <w:rsid w:val="08774BE1"/>
    <w:rsid w:val="087A3226"/>
    <w:rsid w:val="088F5820"/>
    <w:rsid w:val="08903F11"/>
    <w:rsid w:val="08932D8F"/>
    <w:rsid w:val="08ED571D"/>
    <w:rsid w:val="08F53A28"/>
    <w:rsid w:val="08F85810"/>
    <w:rsid w:val="0922447E"/>
    <w:rsid w:val="0926237D"/>
    <w:rsid w:val="092D0C4C"/>
    <w:rsid w:val="093B27F9"/>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5B2776"/>
    <w:rsid w:val="0A704DEE"/>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DE31B0"/>
    <w:rsid w:val="0C110CA2"/>
    <w:rsid w:val="0C4F3999"/>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C57869"/>
    <w:rsid w:val="0DD331D8"/>
    <w:rsid w:val="0DDB677F"/>
    <w:rsid w:val="0E093A81"/>
    <w:rsid w:val="0E1201C4"/>
    <w:rsid w:val="0E35096D"/>
    <w:rsid w:val="0E3C08A3"/>
    <w:rsid w:val="0E626142"/>
    <w:rsid w:val="0E6D3EE4"/>
    <w:rsid w:val="0E8168AC"/>
    <w:rsid w:val="0E9601D9"/>
    <w:rsid w:val="0EAA310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C08EB"/>
    <w:rsid w:val="13D35238"/>
    <w:rsid w:val="13D81B1F"/>
    <w:rsid w:val="14061B66"/>
    <w:rsid w:val="142B5FE2"/>
    <w:rsid w:val="142C6ED3"/>
    <w:rsid w:val="14542872"/>
    <w:rsid w:val="145D29CB"/>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6D2973"/>
    <w:rsid w:val="158374C1"/>
    <w:rsid w:val="15A62ECC"/>
    <w:rsid w:val="15B14179"/>
    <w:rsid w:val="15C516BD"/>
    <w:rsid w:val="15EC7FC7"/>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75D56"/>
    <w:rsid w:val="18276B10"/>
    <w:rsid w:val="18930C59"/>
    <w:rsid w:val="189B5F22"/>
    <w:rsid w:val="18A70256"/>
    <w:rsid w:val="18A944F8"/>
    <w:rsid w:val="18AC6AEA"/>
    <w:rsid w:val="18B73074"/>
    <w:rsid w:val="18DA76F1"/>
    <w:rsid w:val="19034C2D"/>
    <w:rsid w:val="190B7F24"/>
    <w:rsid w:val="1916127C"/>
    <w:rsid w:val="193D465D"/>
    <w:rsid w:val="193D4E12"/>
    <w:rsid w:val="19565565"/>
    <w:rsid w:val="196C6238"/>
    <w:rsid w:val="198A59D6"/>
    <w:rsid w:val="19A075E2"/>
    <w:rsid w:val="19A73D74"/>
    <w:rsid w:val="19AA5416"/>
    <w:rsid w:val="19CE7FF6"/>
    <w:rsid w:val="19D70C6D"/>
    <w:rsid w:val="19E2271F"/>
    <w:rsid w:val="1A075570"/>
    <w:rsid w:val="1A1C623A"/>
    <w:rsid w:val="1A270D5F"/>
    <w:rsid w:val="1A4D4CED"/>
    <w:rsid w:val="1A797469"/>
    <w:rsid w:val="1A8850B8"/>
    <w:rsid w:val="1A9B5FFB"/>
    <w:rsid w:val="1AA066C8"/>
    <w:rsid w:val="1ACB32AB"/>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9F15DE"/>
    <w:rsid w:val="1CB07DF9"/>
    <w:rsid w:val="1CC3681B"/>
    <w:rsid w:val="1CF251D3"/>
    <w:rsid w:val="1CFF3217"/>
    <w:rsid w:val="1D0C3E62"/>
    <w:rsid w:val="1D1D0D81"/>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5D00BF"/>
    <w:rsid w:val="1F5E5F75"/>
    <w:rsid w:val="1F640255"/>
    <w:rsid w:val="1F671677"/>
    <w:rsid w:val="1F722047"/>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2EF3388"/>
    <w:rsid w:val="232E56FD"/>
    <w:rsid w:val="233F5F96"/>
    <w:rsid w:val="235F4D23"/>
    <w:rsid w:val="236D4028"/>
    <w:rsid w:val="238A4DFC"/>
    <w:rsid w:val="24226CC5"/>
    <w:rsid w:val="24312A4A"/>
    <w:rsid w:val="244A5E9A"/>
    <w:rsid w:val="244C4BB8"/>
    <w:rsid w:val="24691193"/>
    <w:rsid w:val="246C3A46"/>
    <w:rsid w:val="247152E7"/>
    <w:rsid w:val="24BD0029"/>
    <w:rsid w:val="24FF7718"/>
    <w:rsid w:val="251A7612"/>
    <w:rsid w:val="25237A22"/>
    <w:rsid w:val="252E0774"/>
    <w:rsid w:val="25481BCE"/>
    <w:rsid w:val="256E1E26"/>
    <w:rsid w:val="256E2C8A"/>
    <w:rsid w:val="25812F8D"/>
    <w:rsid w:val="25814DB7"/>
    <w:rsid w:val="25824959"/>
    <w:rsid w:val="25987A23"/>
    <w:rsid w:val="25BC46FF"/>
    <w:rsid w:val="25C517A2"/>
    <w:rsid w:val="25C87116"/>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E679C"/>
    <w:rsid w:val="27301EDB"/>
    <w:rsid w:val="27453115"/>
    <w:rsid w:val="276C029F"/>
    <w:rsid w:val="27867E0A"/>
    <w:rsid w:val="27982DD4"/>
    <w:rsid w:val="27DD09CE"/>
    <w:rsid w:val="27EC553C"/>
    <w:rsid w:val="280C4BFC"/>
    <w:rsid w:val="2813394B"/>
    <w:rsid w:val="281C1F63"/>
    <w:rsid w:val="281C54D8"/>
    <w:rsid w:val="283610D5"/>
    <w:rsid w:val="285F5293"/>
    <w:rsid w:val="28622D71"/>
    <w:rsid w:val="286E69FD"/>
    <w:rsid w:val="28A10C81"/>
    <w:rsid w:val="28C56178"/>
    <w:rsid w:val="28FA546B"/>
    <w:rsid w:val="28FE025E"/>
    <w:rsid w:val="29245F1A"/>
    <w:rsid w:val="29366359"/>
    <w:rsid w:val="29586D7A"/>
    <w:rsid w:val="29772B51"/>
    <w:rsid w:val="29791894"/>
    <w:rsid w:val="2984235F"/>
    <w:rsid w:val="29946A38"/>
    <w:rsid w:val="29967FD2"/>
    <w:rsid w:val="29A52D8F"/>
    <w:rsid w:val="29C56C3A"/>
    <w:rsid w:val="29D85278"/>
    <w:rsid w:val="29E1380C"/>
    <w:rsid w:val="29E85046"/>
    <w:rsid w:val="2A017BFD"/>
    <w:rsid w:val="2A0A71F8"/>
    <w:rsid w:val="2A4913A2"/>
    <w:rsid w:val="2A9154D8"/>
    <w:rsid w:val="2AA04C57"/>
    <w:rsid w:val="2AC067E2"/>
    <w:rsid w:val="2AD750C3"/>
    <w:rsid w:val="2AE77D08"/>
    <w:rsid w:val="2AEA3011"/>
    <w:rsid w:val="2AEB08D9"/>
    <w:rsid w:val="2B151AF7"/>
    <w:rsid w:val="2B252D72"/>
    <w:rsid w:val="2B3E0375"/>
    <w:rsid w:val="2B492499"/>
    <w:rsid w:val="2B652A8D"/>
    <w:rsid w:val="2B6C55DB"/>
    <w:rsid w:val="2B8D5640"/>
    <w:rsid w:val="2B9176D3"/>
    <w:rsid w:val="2BF4029C"/>
    <w:rsid w:val="2C1C6937"/>
    <w:rsid w:val="2C1F4CDE"/>
    <w:rsid w:val="2C202757"/>
    <w:rsid w:val="2C270D43"/>
    <w:rsid w:val="2C5E62B2"/>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FA0191"/>
    <w:rsid w:val="2F436846"/>
    <w:rsid w:val="2F4556CE"/>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E10F55"/>
    <w:rsid w:val="31FA3D10"/>
    <w:rsid w:val="320B7F80"/>
    <w:rsid w:val="320D7387"/>
    <w:rsid w:val="3219008D"/>
    <w:rsid w:val="32215B79"/>
    <w:rsid w:val="322241F2"/>
    <w:rsid w:val="3229379D"/>
    <w:rsid w:val="32294133"/>
    <w:rsid w:val="322D5AFA"/>
    <w:rsid w:val="32514C44"/>
    <w:rsid w:val="328916BE"/>
    <w:rsid w:val="32974C7A"/>
    <w:rsid w:val="32BB4ABE"/>
    <w:rsid w:val="32C8549C"/>
    <w:rsid w:val="32CA16D9"/>
    <w:rsid w:val="32E83928"/>
    <w:rsid w:val="32EF5EB6"/>
    <w:rsid w:val="32F45590"/>
    <w:rsid w:val="331C19F3"/>
    <w:rsid w:val="33380434"/>
    <w:rsid w:val="334234A4"/>
    <w:rsid w:val="33552D94"/>
    <w:rsid w:val="3358288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62F51"/>
    <w:rsid w:val="38422CE2"/>
    <w:rsid w:val="38464281"/>
    <w:rsid w:val="386E21B0"/>
    <w:rsid w:val="38AE496C"/>
    <w:rsid w:val="38B54D45"/>
    <w:rsid w:val="38D242CD"/>
    <w:rsid w:val="393E0C7A"/>
    <w:rsid w:val="394125EA"/>
    <w:rsid w:val="39470BCD"/>
    <w:rsid w:val="39821F75"/>
    <w:rsid w:val="398B5520"/>
    <w:rsid w:val="398C3DB7"/>
    <w:rsid w:val="39AB6275"/>
    <w:rsid w:val="39E17621"/>
    <w:rsid w:val="39F227B1"/>
    <w:rsid w:val="3A151290"/>
    <w:rsid w:val="3A201663"/>
    <w:rsid w:val="3A257964"/>
    <w:rsid w:val="3A292038"/>
    <w:rsid w:val="3A4A1178"/>
    <w:rsid w:val="3A524E6B"/>
    <w:rsid w:val="3A762A49"/>
    <w:rsid w:val="3A826354"/>
    <w:rsid w:val="3A9D28F5"/>
    <w:rsid w:val="3ACD43C9"/>
    <w:rsid w:val="3AFF2C64"/>
    <w:rsid w:val="3B135A0E"/>
    <w:rsid w:val="3B2F69DB"/>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D2571D3"/>
    <w:rsid w:val="3D29776B"/>
    <w:rsid w:val="3D7A2818"/>
    <w:rsid w:val="3D8106EA"/>
    <w:rsid w:val="3D834DF8"/>
    <w:rsid w:val="3DA352B1"/>
    <w:rsid w:val="3DBA61E7"/>
    <w:rsid w:val="3DC14624"/>
    <w:rsid w:val="3DD55956"/>
    <w:rsid w:val="3E0F2A0F"/>
    <w:rsid w:val="3E100FFC"/>
    <w:rsid w:val="3E201534"/>
    <w:rsid w:val="3E625352"/>
    <w:rsid w:val="3E651EE9"/>
    <w:rsid w:val="3E784A78"/>
    <w:rsid w:val="3E8554F5"/>
    <w:rsid w:val="3EB65E71"/>
    <w:rsid w:val="3EC33032"/>
    <w:rsid w:val="3EC61DB3"/>
    <w:rsid w:val="3ECE4FFB"/>
    <w:rsid w:val="3EF62661"/>
    <w:rsid w:val="3F3C595E"/>
    <w:rsid w:val="3F59346C"/>
    <w:rsid w:val="3F657308"/>
    <w:rsid w:val="3F695EA3"/>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0F300AD"/>
    <w:rsid w:val="410F1967"/>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BE4985"/>
    <w:rsid w:val="43FD7280"/>
    <w:rsid w:val="441532B2"/>
    <w:rsid w:val="441C5686"/>
    <w:rsid w:val="441E55BD"/>
    <w:rsid w:val="442C59F4"/>
    <w:rsid w:val="442C5CE7"/>
    <w:rsid w:val="443F7EE3"/>
    <w:rsid w:val="44477A7A"/>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450742"/>
    <w:rsid w:val="46594972"/>
    <w:rsid w:val="46763AFA"/>
    <w:rsid w:val="46A12B85"/>
    <w:rsid w:val="46A86AC5"/>
    <w:rsid w:val="46AF0ACC"/>
    <w:rsid w:val="46CD2EA3"/>
    <w:rsid w:val="46E33C2A"/>
    <w:rsid w:val="46EB5C2E"/>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A34F21"/>
    <w:rsid w:val="48B05292"/>
    <w:rsid w:val="48B12D0A"/>
    <w:rsid w:val="48B971DC"/>
    <w:rsid w:val="48F556EA"/>
    <w:rsid w:val="491946D3"/>
    <w:rsid w:val="4924047E"/>
    <w:rsid w:val="49276380"/>
    <w:rsid w:val="4942732D"/>
    <w:rsid w:val="49441489"/>
    <w:rsid w:val="4948117F"/>
    <w:rsid w:val="494B0B0D"/>
    <w:rsid w:val="497E20AD"/>
    <w:rsid w:val="49820EB7"/>
    <w:rsid w:val="499416E9"/>
    <w:rsid w:val="49A63EAD"/>
    <w:rsid w:val="49B4166E"/>
    <w:rsid w:val="49BA2C9E"/>
    <w:rsid w:val="49BC3715"/>
    <w:rsid w:val="49C56A6D"/>
    <w:rsid w:val="49F72310"/>
    <w:rsid w:val="49FD2EE4"/>
    <w:rsid w:val="4A0B4FDE"/>
    <w:rsid w:val="4A343D11"/>
    <w:rsid w:val="4A492E97"/>
    <w:rsid w:val="4A497D35"/>
    <w:rsid w:val="4A8A37D8"/>
    <w:rsid w:val="4A8B4AB2"/>
    <w:rsid w:val="4ABC0E71"/>
    <w:rsid w:val="4AD9595B"/>
    <w:rsid w:val="4AF93EAE"/>
    <w:rsid w:val="4AFC3A3A"/>
    <w:rsid w:val="4B26353C"/>
    <w:rsid w:val="4B311212"/>
    <w:rsid w:val="4B3E6720"/>
    <w:rsid w:val="4B43535A"/>
    <w:rsid w:val="4B476348"/>
    <w:rsid w:val="4B625BF7"/>
    <w:rsid w:val="4B7103FC"/>
    <w:rsid w:val="4BB21AF4"/>
    <w:rsid w:val="4BB351AA"/>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004DF6"/>
    <w:rsid w:val="4D1B69A4"/>
    <w:rsid w:val="4D1C2C8C"/>
    <w:rsid w:val="4D1E77BE"/>
    <w:rsid w:val="4D245FC5"/>
    <w:rsid w:val="4D2B3B2C"/>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0E54BE"/>
    <w:rsid w:val="4F2B6C13"/>
    <w:rsid w:val="4F3153D3"/>
    <w:rsid w:val="4F5F3ED1"/>
    <w:rsid w:val="4F804E7C"/>
    <w:rsid w:val="4F85516A"/>
    <w:rsid w:val="4F944D8F"/>
    <w:rsid w:val="4FCA5221"/>
    <w:rsid w:val="4FED0FB9"/>
    <w:rsid w:val="504C0A56"/>
    <w:rsid w:val="507410D2"/>
    <w:rsid w:val="50A4392E"/>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B0C5C"/>
    <w:rsid w:val="51CB74F6"/>
    <w:rsid w:val="51D13948"/>
    <w:rsid w:val="51EB5979"/>
    <w:rsid w:val="521A0101"/>
    <w:rsid w:val="52241967"/>
    <w:rsid w:val="52263E21"/>
    <w:rsid w:val="522D1CB6"/>
    <w:rsid w:val="524424F9"/>
    <w:rsid w:val="52444C58"/>
    <w:rsid w:val="5263075C"/>
    <w:rsid w:val="52660A26"/>
    <w:rsid w:val="52717995"/>
    <w:rsid w:val="528315FB"/>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C4A63"/>
    <w:rsid w:val="539B26A9"/>
    <w:rsid w:val="53A201DA"/>
    <w:rsid w:val="53AA56CE"/>
    <w:rsid w:val="53B22D34"/>
    <w:rsid w:val="53B6236C"/>
    <w:rsid w:val="53BD6F30"/>
    <w:rsid w:val="540540F5"/>
    <w:rsid w:val="542913B3"/>
    <w:rsid w:val="543F18BA"/>
    <w:rsid w:val="54883400"/>
    <w:rsid w:val="54932F58"/>
    <w:rsid w:val="54A81CB5"/>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E5D20"/>
    <w:rsid w:val="5789649C"/>
    <w:rsid w:val="57956B74"/>
    <w:rsid w:val="57A373F0"/>
    <w:rsid w:val="57C83C57"/>
    <w:rsid w:val="57FB2FB4"/>
    <w:rsid w:val="582028C2"/>
    <w:rsid w:val="582908A2"/>
    <w:rsid w:val="583D07DD"/>
    <w:rsid w:val="584F162A"/>
    <w:rsid w:val="585F1862"/>
    <w:rsid w:val="58613E05"/>
    <w:rsid w:val="58620D26"/>
    <w:rsid w:val="58706FB1"/>
    <w:rsid w:val="587C5983"/>
    <w:rsid w:val="58E8415E"/>
    <w:rsid w:val="58ED1995"/>
    <w:rsid w:val="58FF1A45"/>
    <w:rsid w:val="591578E8"/>
    <w:rsid w:val="591C580B"/>
    <w:rsid w:val="5926497A"/>
    <w:rsid w:val="592A1893"/>
    <w:rsid w:val="595D3E12"/>
    <w:rsid w:val="59961EFB"/>
    <w:rsid w:val="59A11353"/>
    <w:rsid w:val="59B40569"/>
    <w:rsid w:val="59C323FF"/>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F1DC1"/>
    <w:rsid w:val="5B09375B"/>
    <w:rsid w:val="5B2B06FA"/>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C528FD"/>
    <w:rsid w:val="5BD32897"/>
    <w:rsid w:val="5BE033DD"/>
    <w:rsid w:val="5BF50A44"/>
    <w:rsid w:val="5C295CCC"/>
    <w:rsid w:val="5C381A3A"/>
    <w:rsid w:val="5C5C135C"/>
    <w:rsid w:val="5C872DAA"/>
    <w:rsid w:val="5C974816"/>
    <w:rsid w:val="5CA97228"/>
    <w:rsid w:val="5CBA57BD"/>
    <w:rsid w:val="5CC5471C"/>
    <w:rsid w:val="5CDC5386"/>
    <w:rsid w:val="5CEE7B85"/>
    <w:rsid w:val="5CF07506"/>
    <w:rsid w:val="5CF73D69"/>
    <w:rsid w:val="5D202057"/>
    <w:rsid w:val="5D3302D5"/>
    <w:rsid w:val="5D4700C2"/>
    <w:rsid w:val="5D6C4615"/>
    <w:rsid w:val="5D7C5A81"/>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99592B"/>
    <w:rsid w:val="60A13AB9"/>
    <w:rsid w:val="60A7744C"/>
    <w:rsid w:val="60CF04AB"/>
    <w:rsid w:val="60DB5486"/>
    <w:rsid w:val="60E82C1A"/>
    <w:rsid w:val="60EC0541"/>
    <w:rsid w:val="60FD245E"/>
    <w:rsid w:val="61033EA8"/>
    <w:rsid w:val="610A1613"/>
    <w:rsid w:val="610E0DD2"/>
    <w:rsid w:val="61251167"/>
    <w:rsid w:val="61432D9E"/>
    <w:rsid w:val="61683AEB"/>
    <w:rsid w:val="618A70BC"/>
    <w:rsid w:val="61963F6D"/>
    <w:rsid w:val="61BD1F9D"/>
    <w:rsid w:val="61C55405"/>
    <w:rsid w:val="61EA093B"/>
    <w:rsid w:val="62024DB4"/>
    <w:rsid w:val="62117D72"/>
    <w:rsid w:val="62140656"/>
    <w:rsid w:val="62210A89"/>
    <w:rsid w:val="62285DB7"/>
    <w:rsid w:val="626857C6"/>
    <w:rsid w:val="626C17E1"/>
    <w:rsid w:val="62923991"/>
    <w:rsid w:val="62966DA1"/>
    <w:rsid w:val="62F20D03"/>
    <w:rsid w:val="62F26EC0"/>
    <w:rsid w:val="62F75B83"/>
    <w:rsid w:val="63021253"/>
    <w:rsid w:val="63095375"/>
    <w:rsid w:val="6312135F"/>
    <w:rsid w:val="632A3D0D"/>
    <w:rsid w:val="633443AB"/>
    <w:rsid w:val="6353750E"/>
    <w:rsid w:val="638857E1"/>
    <w:rsid w:val="63AB78F4"/>
    <w:rsid w:val="63C642C7"/>
    <w:rsid w:val="63C85688"/>
    <w:rsid w:val="63CD5666"/>
    <w:rsid w:val="63D01EF3"/>
    <w:rsid w:val="63D2038C"/>
    <w:rsid w:val="63E15DFA"/>
    <w:rsid w:val="63E631E1"/>
    <w:rsid w:val="63F66CE6"/>
    <w:rsid w:val="640E7E19"/>
    <w:rsid w:val="647527CB"/>
    <w:rsid w:val="648A0F84"/>
    <w:rsid w:val="648E4974"/>
    <w:rsid w:val="648F4377"/>
    <w:rsid w:val="64994927"/>
    <w:rsid w:val="649E65A7"/>
    <w:rsid w:val="64B70C4D"/>
    <w:rsid w:val="64D14920"/>
    <w:rsid w:val="64DC3A26"/>
    <w:rsid w:val="64EA382F"/>
    <w:rsid w:val="64ED3306"/>
    <w:rsid w:val="65112EA3"/>
    <w:rsid w:val="6511603A"/>
    <w:rsid w:val="65206DF6"/>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C40A09"/>
    <w:rsid w:val="67D020A7"/>
    <w:rsid w:val="67D600B8"/>
    <w:rsid w:val="67E4087E"/>
    <w:rsid w:val="67E95901"/>
    <w:rsid w:val="67EC2FBF"/>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A009FE"/>
    <w:rsid w:val="69A729C5"/>
    <w:rsid w:val="69BE2739"/>
    <w:rsid w:val="69BF206E"/>
    <w:rsid w:val="69C773AA"/>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A369F"/>
    <w:rsid w:val="6BAC2823"/>
    <w:rsid w:val="6BBD5024"/>
    <w:rsid w:val="6BF37DF1"/>
    <w:rsid w:val="6C630CE9"/>
    <w:rsid w:val="6C914CAA"/>
    <w:rsid w:val="6CAB169B"/>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79127B"/>
    <w:rsid w:val="6D832281"/>
    <w:rsid w:val="6DC237AE"/>
    <w:rsid w:val="6DF91502"/>
    <w:rsid w:val="6E01482E"/>
    <w:rsid w:val="6E0D1941"/>
    <w:rsid w:val="6E176A2C"/>
    <w:rsid w:val="6E18292B"/>
    <w:rsid w:val="6E402C35"/>
    <w:rsid w:val="6E403BCF"/>
    <w:rsid w:val="6E424CF7"/>
    <w:rsid w:val="6E96703D"/>
    <w:rsid w:val="6E984122"/>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796EB7"/>
    <w:rsid w:val="70846EFD"/>
    <w:rsid w:val="70891E2B"/>
    <w:rsid w:val="709304FC"/>
    <w:rsid w:val="70B21D55"/>
    <w:rsid w:val="70BA4068"/>
    <w:rsid w:val="70EF1D98"/>
    <w:rsid w:val="70F06D61"/>
    <w:rsid w:val="70F36F46"/>
    <w:rsid w:val="71231B23"/>
    <w:rsid w:val="713B214A"/>
    <w:rsid w:val="714633CE"/>
    <w:rsid w:val="714A76D4"/>
    <w:rsid w:val="71514A07"/>
    <w:rsid w:val="716342F2"/>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0C6D2D"/>
    <w:rsid w:val="73373DED"/>
    <w:rsid w:val="73391B68"/>
    <w:rsid w:val="733F7A24"/>
    <w:rsid w:val="735C44F0"/>
    <w:rsid w:val="736A01CD"/>
    <w:rsid w:val="736B4D35"/>
    <w:rsid w:val="73741988"/>
    <w:rsid w:val="73814929"/>
    <w:rsid w:val="7393399F"/>
    <w:rsid w:val="73984022"/>
    <w:rsid w:val="73B404A1"/>
    <w:rsid w:val="73C11347"/>
    <w:rsid w:val="73E2421D"/>
    <w:rsid w:val="74000D97"/>
    <w:rsid w:val="74185CCF"/>
    <w:rsid w:val="741D2E7E"/>
    <w:rsid w:val="74694C3B"/>
    <w:rsid w:val="746A6AAD"/>
    <w:rsid w:val="747A4FBC"/>
    <w:rsid w:val="748B466B"/>
    <w:rsid w:val="749018A2"/>
    <w:rsid w:val="74D94903"/>
    <w:rsid w:val="74DC7834"/>
    <w:rsid w:val="74E271F1"/>
    <w:rsid w:val="74E4574A"/>
    <w:rsid w:val="75096F5F"/>
    <w:rsid w:val="75326EC3"/>
    <w:rsid w:val="75371D1E"/>
    <w:rsid w:val="75474A77"/>
    <w:rsid w:val="7551327B"/>
    <w:rsid w:val="755F3E02"/>
    <w:rsid w:val="755F782E"/>
    <w:rsid w:val="75A16A9F"/>
    <w:rsid w:val="75BC6CCF"/>
    <w:rsid w:val="75E27D49"/>
    <w:rsid w:val="761867BE"/>
    <w:rsid w:val="76365AD0"/>
    <w:rsid w:val="765D57EA"/>
    <w:rsid w:val="7688585F"/>
    <w:rsid w:val="76E97048"/>
    <w:rsid w:val="76F54CF0"/>
    <w:rsid w:val="76FD5906"/>
    <w:rsid w:val="77072866"/>
    <w:rsid w:val="770B684E"/>
    <w:rsid w:val="771D50F3"/>
    <w:rsid w:val="77204CB1"/>
    <w:rsid w:val="77356662"/>
    <w:rsid w:val="777C1603"/>
    <w:rsid w:val="778E4DCE"/>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8CF4963"/>
    <w:rsid w:val="793B5CE2"/>
    <w:rsid w:val="79404E92"/>
    <w:rsid w:val="795C411F"/>
    <w:rsid w:val="796834B3"/>
    <w:rsid w:val="797B3C8A"/>
    <w:rsid w:val="797F45FC"/>
    <w:rsid w:val="79970647"/>
    <w:rsid w:val="79D9682C"/>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A50058"/>
    <w:rsid w:val="7BCA6C86"/>
    <w:rsid w:val="7C003703"/>
    <w:rsid w:val="7C044DA1"/>
    <w:rsid w:val="7C176405"/>
    <w:rsid w:val="7C30406C"/>
    <w:rsid w:val="7C365DE1"/>
    <w:rsid w:val="7C790E6E"/>
    <w:rsid w:val="7CA33449"/>
    <w:rsid w:val="7CCE4D69"/>
    <w:rsid w:val="7CF95B0B"/>
    <w:rsid w:val="7D0A0BA4"/>
    <w:rsid w:val="7D107AF3"/>
    <w:rsid w:val="7D4253C7"/>
    <w:rsid w:val="7D4C5341"/>
    <w:rsid w:val="7D4E5EE6"/>
    <w:rsid w:val="7D8901AD"/>
    <w:rsid w:val="7D8E577D"/>
    <w:rsid w:val="7D9A426A"/>
    <w:rsid w:val="7E006F08"/>
    <w:rsid w:val="7E01736D"/>
    <w:rsid w:val="7E333E03"/>
    <w:rsid w:val="7E391FE6"/>
    <w:rsid w:val="7E916762"/>
    <w:rsid w:val="7EA51817"/>
    <w:rsid w:val="7EA916FD"/>
    <w:rsid w:val="7EAB552B"/>
    <w:rsid w:val="7EE53C64"/>
    <w:rsid w:val="7F541580"/>
    <w:rsid w:val="7F590594"/>
    <w:rsid w:val="7F667225"/>
    <w:rsid w:val="7F7B2EF8"/>
    <w:rsid w:val="7F844A6E"/>
    <w:rsid w:val="7F98785D"/>
    <w:rsid w:val="7FAA1C29"/>
    <w:rsid w:val="7FAC4830"/>
    <w:rsid w:val="7FB659E5"/>
    <w:rsid w:val="7FB7407D"/>
    <w:rsid w:val="7FBD3767"/>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unhideWhenUsed/>
    <w:qFormat/>
    <w:uiPriority w:val="1"/>
  </w:style>
  <w:style w:type="table" w:default="1" w:styleId="18">
    <w:name w:val="Normal Table"/>
    <w:autoRedefine/>
    <w:semiHidden/>
    <w:unhideWhenUsed/>
    <w:qFormat/>
    <w:uiPriority w:val="99"/>
    <w:tblPr>
      <w:tblCellMar>
        <w:top w:w="0" w:type="dxa"/>
        <w:left w:w="108" w:type="dxa"/>
        <w:bottom w:w="0" w:type="dxa"/>
        <w:right w:w="108" w:type="dxa"/>
      </w:tblCellMar>
    </w:tblPr>
  </w:style>
  <w:style w:type="paragraph" w:customStyle="1" w:styleId="2">
    <w:name w:val="Heading1"/>
    <w:basedOn w:val="1"/>
    <w:next w:val="1"/>
    <w:autoRedefine/>
    <w:qFormat/>
    <w:uiPriority w:val="0"/>
    <w:pPr>
      <w:keepNext/>
      <w:keepLines/>
      <w:spacing w:before="340" w:after="330" w:line="578" w:lineRule="auto"/>
      <w:jc w:val="center"/>
      <w:textAlignment w:val="baseline"/>
    </w:pPr>
    <w:rPr>
      <w:rFonts w:ascii="Calibri" w:hAnsi="Calibri" w:eastAsia="宋体" w:cs="Times New Roman"/>
      <w:b/>
      <w:bCs/>
      <w:kern w:val="44"/>
      <w:sz w:val="32"/>
      <w:szCs w:val="44"/>
    </w:rPr>
  </w:style>
  <w:style w:type="paragraph" w:styleId="6">
    <w:name w:val="annotation text"/>
    <w:basedOn w:val="1"/>
    <w:autoRedefine/>
    <w:qFormat/>
    <w:uiPriority w:val="0"/>
    <w:pPr>
      <w:jc w:val="left"/>
    </w:pPr>
    <w:rPr>
      <w:rFonts w:eastAsia="宋体"/>
    </w:rPr>
  </w:style>
  <w:style w:type="paragraph" w:styleId="7">
    <w:name w:val="Body Text 3"/>
    <w:basedOn w:val="1"/>
    <w:autoRedefine/>
    <w:qFormat/>
    <w:uiPriority w:val="0"/>
    <w:rPr>
      <w:rFonts w:ascii="宋体"/>
      <w:sz w:val="24"/>
      <w:szCs w:val="20"/>
    </w:rPr>
  </w:style>
  <w:style w:type="paragraph" w:styleId="8">
    <w:name w:val="Body Text"/>
    <w:basedOn w:val="1"/>
    <w:autoRedefine/>
    <w:qFormat/>
    <w:uiPriority w:val="0"/>
    <w:pPr>
      <w:spacing w:after="120"/>
    </w:pPr>
  </w:style>
  <w:style w:type="paragraph" w:styleId="9">
    <w:name w:val="Body Text Indent"/>
    <w:basedOn w:val="1"/>
    <w:next w:val="10"/>
    <w:autoRedefine/>
    <w:qFormat/>
    <w:uiPriority w:val="0"/>
    <w:pPr>
      <w:spacing w:after="120"/>
      <w:ind w:left="420" w:leftChars="200"/>
    </w:pPr>
  </w:style>
  <w:style w:type="paragraph" w:styleId="10">
    <w:name w:val="envelope return"/>
    <w:basedOn w:val="1"/>
    <w:autoRedefine/>
    <w:qFormat/>
    <w:uiPriority w:val="0"/>
    <w:pPr>
      <w:snapToGrid w:val="0"/>
    </w:pPr>
    <w:rPr>
      <w:rFonts w:ascii="Arial" w:hAnsi="Arial"/>
    </w:rPr>
  </w:style>
  <w:style w:type="paragraph" w:styleId="11">
    <w:name w:val="Plain Text"/>
    <w:basedOn w:val="1"/>
    <w:autoRedefine/>
    <w:qFormat/>
    <w:uiPriority w:val="0"/>
    <w:rPr>
      <w:rFonts w:ascii="宋体" w:hAnsi="Courier New"/>
      <w:szCs w:val="20"/>
    </w:rPr>
  </w:style>
  <w:style w:type="paragraph" w:styleId="12">
    <w:name w:val="footer"/>
    <w:basedOn w:val="1"/>
    <w:autoRedefine/>
    <w:qFormat/>
    <w:uiPriority w:val="0"/>
    <w:pPr>
      <w:tabs>
        <w:tab w:val="center" w:pos="4153"/>
        <w:tab w:val="right" w:pos="8306"/>
      </w:tabs>
      <w:snapToGrid w:val="0"/>
      <w:jc w:val="left"/>
    </w:pPr>
    <w:rPr>
      <w:sz w:val="18"/>
      <w:szCs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4">
    <w:name w:val="toc 1"/>
    <w:basedOn w:val="1"/>
    <w:next w:val="1"/>
    <w:autoRedefine/>
    <w:semiHidden/>
    <w:qFormat/>
    <w:uiPriority w:val="0"/>
    <w:pPr>
      <w:spacing w:line="440" w:lineRule="exact"/>
      <w:jc w:val="center"/>
    </w:pPr>
  </w:style>
  <w:style w:type="paragraph" w:styleId="15">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8"/>
    <w:autoRedefine/>
    <w:qFormat/>
    <w:uiPriority w:val="0"/>
    <w:pPr>
      <w:ind w:firstLine="420" w:firstLineChars="100"/>
    </w:pPr>
  </w:style>
  <w:style w:type="paragraph" w:styleId="17">
    <w:name w:val="Body Text First Indent 2"/>
    <w:basedOn w:val="9"/>
    <w:next w:val="1"/>
    <w:autoRedefine/>
    <w:qFormat/>
    <w:uiPriority w:val="0"/>
    <w:pPr>
      <w:ind w:firstLine="420"/>
    </w:pPr>
    <w:rPr>
      <w:rFonts w:eastAsia="宋体"/>
      <w:sz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 w:type="character" w:customStyle="1" w:styleId="31">
    <w:name w:val="font91"/>
    <w:basedOn w:val="20"/>
    <w:autoRedefine/>
    <w:qFormat/>
    <w:uiPriority w:val="0"/>
    <w:rPr>
      <w:rFonts w:hint="eastAsia" w:ascii="微软雅黑" w:hAnsi="微软雅黑" w:eastAsia="微软雅黑" w:cs="微软雅黑"/>
      <w:b/>
      <w:bCs/>
      <w:color w:val="FF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3786</Words>
  <Characters>21582</Characters>
  <Lines>179</Lines>
  <Paragraphs>50</Paragraphs>
  <TotalTime>5</TotalTime>
  <ScaleCrop>false</ScaleCrop>
  <LinksUpToDate>false</LinksUpToDate>
  <CharactersWithSpaces>25318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2021-01-22T03:33:00Z</cp:lastPrinted>
  <dcterms:modified xsi:type="dcterms:W3CDTF">2023-12-29T08:35:06Z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A4DE01DFC7D6427AB5D98D2A569CCD1E_13</vt:lpwstr>
  </property>
</Properties>
</file>