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permStart w:id="0" w:edGrp="everyone"/>
      <w:r>
        <w:rPr>
          <w:rFonts w:hint="eastAsia" w:ascii="Times New Roman" w:hAnsi="Times New Roman" w:eastAsia="黑体" w:cs="Times New Roman"/>
          <w:color w:val="FF0000"/>
          <w:sz w:val="28"/>
          <w:szCs w:val="28"/>
          <w:highlight w:val="none"/>
          <w:u w:val="single"/>
          <w:lang w:val="en-US" w:eastAsia="zh-CN"/>
        </w:rPr>
        <w:t>逸合府项目售楼部沙盘、户模制作安装</w:t>
      </w:r>
      <w:permEnd w:id="0"/>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23</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053</w:t>
      </w:r>
      <w:r>
        <w:rPr>
          <w:rFonts w:hint="default" w:ascii="Times New Roman" w:hAnsi="Times New Roman" w:eastAsia="楷体" w:cs="Times New Roman"/>
          <w:kern w:val="0"/>
          <w:sz w:val="28"/>
          <w:szCs w:val="28"/>
          <w:highlight w:val="none"/>
          <w:shd w:val="clear" w:color="auto" w:fill="auto"/>
          <w:lang w:val="en-US" w:eastAsia="zh-CN"/>
        </w:rPr>
        <w:t>号</w:t>
      </w:r>
      <w:permEnd w:id="1"/>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2" w:edGrp="everyone"/>
      <w:r>
        <w:rPr>
          <w:rFonts w:hint="eastAsia" w:ascii="Times New Roman" w:hAnsi="Times New Roman" w:eastAsia="楷体" w:cs="Times New Roman"/>
          <w:kern w:val="0"/>
          <w:sz w:val="32"/>
          <w:szCs w:val="32"/>
          <w:highlight w:val="none"/>
          <w:shd w:val="clear" w:color="auto" w:fill="auto"/>
          <w:lang w:val="en-US" w:eastAsia="zh-CN"/>
        </w:rPr>
        <w:t>亳州通恒置业有限公司</w:t>
      </w:r>
      <w:permEnd w:id="2"/>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kern w:val="0"/>
          <w:sz w:val="32"/>
          <w:szCs w:val="32"/>
          <w:highlight w:val="none"/>
          <w:shd w:val="clear" w:color="auto" w:fill="auto"/>
          <w:lang w:val="en-US" w:eastAsia="zh-CN"/>
        </w:rPr>
        <w:t>2023年12</w:t>
      </w:r>
      <w:r>
        <w:rPr>
          <w:rFonts w:hint="eastAsia" w:ascii="Times New Roman" w:hAnsi="Times New Roman" w:eastAsia="楷体" w:cs="Times New Roman"/>
          <w:kern w:val="0"/>
          <w:sz w:val="32"/>
          <w:szCs w:val="32"/>
          <w:highlight w:val="none"/>
          <w:u w:val="none"/>
          <w:shd w:val="clear" w:color="auto" w:fill="auto"/>
          <w:lang w:val="en-US" w:eastAsia="zh-CN"/>
        </w:rPr>
        <w:t>月29日</w:t>
      </w:r>
      <w:permEnd w:id="3"/>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28</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供货要求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29</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34</w:t>
      </w:r>
    </w:p>
    <w:permEnd w:id="4"/>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lang w:val="en-US" w:eastAsia="zh-CN"/>
        </w:rPr>
        <w:t>逸合府项目售楼部沙盘、户模制作安装招标公告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246996166"/>
      <w:bookmarkStart w:id="1" w:name="_Toc152045519"/>
      <w:bookmarkStart w:id="2" w:name="_Toc246996909"/>
      <w:bookmarkStart w:id="3" w:name="_Toc144974487"/>
      <w:bookmarkStart w:id="4" w:name="_Toc247085680"/>
      <w:bookmarkStart w:id="5" w:name="_Toc296602410"/>
      <w:bookmarkStart w:id="6" w:name="_Toc152042295"/>
      <w:bookmarkStart w:id="7" w:name="_Toc179632536"/>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247085681"/>
      <w:bookmarkStart w:id="9" w:name="_Toc144974488"/>
      <w:bookmarkStart w:id="10" w:name="_Toc152045520"/>
      <w:bookmarkStart w:id="11" w:name="_Toc152042296"/>
      <w:bookmarkStart w:id="12" w:name="_Toc246996910"/>
      <w:bookmarkStart w:id="13" w:name="_Toc179632537"/>
      <w:bookmarkStart w:id="14" w:name="_Toc246996167"/>
      <w:bookmarkStart w:id="15" w:name="_Toc296602411"/>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5" w:edGrp="everyone"/>
      <w:r>
        <w:rPr>
          <w:rFonts w:hint="eastAsia" w:asciiTheme="minorEastAsia" w:hAnsiTheme="minorEastAsia" w:eastAsiaTheme="minorEastAsia" w:cstheme="minorEastAsia"/>
          <w:sz w:val="28"/>
          <w:szCs w:val="28"/>
          <w:highlight w:val="none"/>
          <w:lang w:val="en-US" w:eastAsia="zh-CN"/>
        </w:rPr>
        <w:t>逸合府</w:t>
      </w:r>
      <w:r>
        <w:rPr>
          <w:rFonts w:hint="eastAsia" w:asciiTheme="minorEastAsia" w:hAnsiTheme="minorEastAsia" w:cstheme="minorEastAsia"/>
          <w:sz w:val="28"/>
          <w:szCs w:val="28"/>
          <w:highlight w:val="none"/>
          <w:lang w:val="en-US" w:eastAsia="zh-CN"/>
        </w:rPr>
        <w:t>项目售楼部沙盘、户模制</w:t>
      </w:r>
      <w:r>
        <w:rPr>
          <w:rFonts w:hint="eastAsia" w:asciiTheme="minorEastAsia" w:hAnsiTheme="minorEastAsia" w:eastAsiaTheme="minorEastAsia" w:cstheme="minorEastAsia"/>
          <w:sz w:val="28"/>
          <w:szCs w:val="28"/>
          <w:highlight w:val="none"/>
          <w:lang w:val="en-US" w:eastAsia="zh-CN"/>
        </w:rPr>
        <w:t>作安装</w:t>
      </w:r>
    </w:p>
    <w:permEnd w:id="5"/>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（二）项目编号：</w:t>
      </w:r>
      <w:permStart w:id="6" w:edGrp="everyone"/>
      <w:r>
        <w:rPr>
          <w:rFonts w:hint="eastAsia" w:asciiTheme="minorEastAsia" w:hAnsiTheme="minorEastAsia" w:cstheme="minorEastAsia"/>
          <w:sz w:val="28"/>
          <w:szCs w:val="28"/>
          <w:highlight w:val="none"/>
          <w:lang w:val="en-US" w:eastAsia="zh-CN"/>
        </w:rPr>
        <w:t>BZJK-2023-053号</w:t>
      </w:r>
      <w:permEnd w:id="6"/>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7" w:edGrp="everyone"/>
      <w:r>
        <w:rPr>
          <w:rFonts w:hint="eastAsia" w:asciiTheme="minorEastAsia" w:hAnsiTheme="minorEastAsia" w:cstheme="minorEastAsia"/>
          <w:sz w:val="28"/>
          <w:szCs w:val="28"/>
          <w:highlight w:val="none"/>
          <w:lang w:val="en-US" w:eastAsia="zh-CN"/>
        </w:rPr>
        <w:t>企业自筹</w:t>
      </w:r>
    </w:p>
    <w:permEnd w:id="7"/>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8" w:edGrp="everyone"/>
      <w:r>
        <w:rPr>
          <w:rFonts w:hint="eastAsia" w:asciiTheme="minorEastAsia" w:hAnsiTheme="minorEastAsia" w:cstheme="minorEastAsia"/>
          <w:sz w:val="28"/>
          <w:szCs w:val="28"/>
          <w:highlight w:val="none"/>
          <w:lang w:val="en-US" w:eastAsia="zh-CN"/>
        </w:rPr>
        <w:t>亳州通恒置业有限公司</w:t>
      </w:r>
    </w:p>
    <w:permEnd w:id="8"/>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permStart w:id="9" w:edGrp="everyone"/>
      <w:r>
        <w:rPr>
          <w:rFonts w:hint="eastAsia" w:asciiTheme="minorEastAsia" w:hAnsiTheme="minorEastAsia" w:eastAsiaTheme="minorEastAsia" w:cstheme="minorEastAsia"/>
          <w:sz w:val="28"/>
          <w:szCs w:val="28"/>
          <w:highlight w:val="none"/>
          <w:lang w:val="en-US" w:eastAsia="zh-CN"/>
        </w:rPr>
        <w:t>逸合府项目售楼部位于亳州市谯城经济技术产业开发区华佗大道与利辛路交叉口，项目占地约202.021亩，容积率不大于2.0，建筑面积约36.24万平方米</w:t>
      </w:r>
      <w:r>
        <w:rPr>
          <w:rFonts w:hint="eastAsia" w:asciiTheme="minorEastAsia" w:hAnsiTheme="minorEastAsia" w:cstheme="minorEastAsia"/>
          <w:sz w:val="28"/>
          <w:szCs w:val="28"/>
          <w:highlight w:val="none"/>
          <w:lang w:val="en-US" w:eastAsia="zh-CN"/>
        </w:rPr>
        <w:t>，容积率不大于1.8，建筑密度不大于25%，绿地率不小于35%。</w:t>
      </w:r>
      <w:permEnd w:id="9"/>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w:t>
      </w:r>
      <w:permStart w:id="10" w:edGrp="everyone"/>
      <w:r>
        <w:rPr>
          <w:rFonts w:hint="eastAsia" w:asciiTheme="minorEastAsia" w:hAnsiTheme="minorEastAsia" w:cstheme="minorEastAsia"/>
          <w:sz w:val="28"/>
          <w:szCs w:val="28"/>
          <w:highlight w:val="none"/>
          <w:lang w:val="en-US" w:eastAsia="zh-CN"/>
        </w:rPr>
        <w:t>包括但不限于总体沙盘（含底座）以及6套平层、1套2户大平层、1套独栋单体户型模型（含底座）的制作、安装、调试、试运行、售后服务等工作内容，具体工作内容详见招标文件第五章供货要求。</w:t>
      </w:r>
    </w:p>
    <w:permEnd w:id="10"/>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质量</w:t>
      </w:r>
      <w:r>
        <w:rPr>
          <w:rFonts w:hint="eastAsia" w:asciiTheme="minorEastAsia" w:hAnsiTheme="minorEastAsia" w:eastAsiaTheme="minorEastAsia" w:cstheme="minorEastAsia"/>
          <w:sz w:val="28"/>
          <w:szCs w:val="28"/>
          <w:highlight w:val="none"/>
          <w:lang w:val="en-US" w:eastAsia="zh-CN"/>
        </w:rPr>
        <w:t>标准：</w:t>
      </w:r>
      <w:permStart w:id="11"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permEnd w:id="11"/>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（四）交货地点：</w:t>
      </w:r>
      <w:permStart w:id="12" w:edGrp="everyone"/>
      <w:r>
        <w:rPr>
          <w:rFonts w:hint="eastAsia" w:asciiTheme="minorEastAsia" w:hAnsiTheme="minorEastAsia" w:cstheme="minorEastAsia"/>
          <w:sz w:val="28"/>
          <w:szCs w:val="28"/>
          <w:highlight w:val="none"/>
          <w:lang w:val="en-US" w:eastAsia="zh-CN"/>
        </w:rPr>
        <w:t>亳州市内，</w:t>
      </w:r>
      <w:r>
        <w:rPr>
          <w:rFonts w:hint="eastAsia" w:asciiTheme="minorEastAsia" w:hAnsiTheme="minorEastAsia" w:eastAsiaTheme="minorEastAsia" w:cstheme="minorEastAsia"/>
          <w:sz w:val="28"/>
          <w:szCs w:val="28"/>
          <w:highlight w:val="none"/>
          <w:lang w:val="en-US" w:eastAsia="zh-CN"/>
        </w:rPr>
        <w:t>招标人指定地点。</w:t>
      </w:r>
    </w:p>
    <w:permEnd w:id="12"/>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u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交货期</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eastAsiaTheme="minorEastAsia" w:cstheme="minorEastAsia"/>
          <w:sz w:val="28"/>
          <w:szCs w:val="28"/>
          <w:highlight w:val="none"/>
          <w:u w:val="none"/>
          <w:lang w:val="en-US" w:eastAsia="zh-CN"/>
        </w:rPr>
        <w:t>自合同签订之日起</w:t>
      </w:r>
      <w:r>
        <w:rPr>
          <w:rFonts w:hint="eastAsia" w:asciiTheme="minorEastAsia" w:hAnsiTheme="minorEastAsia" w:cstheme="minorEastAsia"/>
          <w:sz w:val="28"/>
          <w:szCs w:val="28"/>
          <w:highlight w:val="none"/>
          <w:u w:val="single"/>
          <w:lang w:val="en-US" w:eastAsia="zh-CN"/>
        </w:rPr>
        <w:t>30日历天内</w:t>
      </w:r>
      <w:r>
        <w:rPr>
          <w:rFonts w:hint="eastAsia" w:asciiTheme="minorEastAsia" w:hAnsiTheme="minorEastAsia" w:cstheme="minorEastAsia"/>
          <w:sz w:val="28"/>
          <w:szCs w:val="28"/>
          <w:highlight w:val="none"/>
          <w:u w:val="none"/>
          <w:lang w:val="en-US" w:eastAsia="zh-CN"/>
        </w:rPr>
        <w:t>完成沙盘及户型模型安装、调试工作</w:t>
      </w:r>
      <w:r>
        <w:rPr>
          <w:rFonts w:hint="eastAsia" w:asciiTheme="minorEastAsia" w:hAnsiTheme="minorEastAsia" w:eastAsiaTheme="minorEastAsia" w:cstheme="minorEastAsia"/>
          <w:sz w:val="28"/>
          <w:szCs w:val="28"/>
          <w:highlight w:val="none"/>
          <w:u w:val="none"/>
          <w:lang w:val="en-US" w:eastAsia="zh-CN"/>
        </w:rPr>
        <w:t>。</w:t>
      </w:r>
      <w:permEnd w:id="13"/>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）最高投标限价</w:t>
      </w:r>
      <w:permStart w:id="14" w:edGrp="everyone"/>
      <w:r>
        <w:rPr>
          <w:rFonts w:hint="eastAsia" w:asciiTheme="minorEastAsia" w:hAnsiTheme="minorEastAsia" w:cstheme="minorEastAsia"/>
          <w:color w:val="FF0000"/>
          <w:sz w:val="28"/>
          <w:szCs w:val="28"/>
          <w:highlight w:val="none"/>
          <w:lang w:val="en-US" w:eastAsia="zh-CN"/>
        </w:rPr>
        <w:t>（含税）</w:t>
      </w:r>
      <w:permEnd w:id="14"/>
      <w:r>
        <w:rPr>
          <w:rFonts w:hint="eastAsia" w:asciiTheme="minorEastAsia" w:hAnsiTheme="minorEastAsia" w:eastAsiaTheme="minorEastAsia" w:cstheme="minorEastAsia"/>
          <w:sz w:val="28"/>
          <w:szCs w:val="28"/>
          <w:highlight w:val="none"/>
          <w:lang w:val="en-US" w:eastAsia="zh-CN"/>
        </w:rPr>
        <w:t>：</w:t>
      </w:r>
      <w:permStart w:id="15" w:edGrp="everyone"/>
      <w:r>
        <w:rPr>
          <w:rFonts w:hint="eastAsia" w:asciiTheme="minorEastAsia" w:hAnsiTheme="minorEastAsia" w:cstheme="minorEastAsia"/>
          <w:sz w:val="28"/>
          <w:szCs w:val="28"/>
          <w:highlight w:val="none"/>
          <w:u w:val="single"/>
          <w:lang w:val="en-US" w:eastAsia="zh-CN"/>
        </w:rPr>
        <w:t>360000元</w:t>
      </w:r>
      <w:permEnd w:id="15"/>
      <w:r>
        <w:rPr>
          <w:rFonts w:hint="eastAsia" w:asciiTheme="minorEastAsia" w:hAnsiTheme="minorEastAsia" w:cstheme="minorEastAsia"/>
          <w:sz w:val="28"/>
          <w:szCs w:val="28"/>
          <w:highlight w:val="none"/>
          <w:lang w:val="en-US" w:eastAsia="zh-CN"/>
        </w:rPr>
        <w:t>，投标人</w:t>
      </w:r>
      <w:r>
        <w:rPr>
          <w:rFonts w:hint="eastAsia" w:asciiTheme="minorEastAsia" w:hAnsiTheme="minorEastAsia" w:eastAsiaTheme="minorEastAsia" w:cstheme="minorEastAsia"/>
          <w:sz w:val="28"/>
          <w:szCs w:val="28"/>
          <w:highlight w:val="none"/>
          <w:lang w:val="en-US" w:eastAsia="zh-CN"/>
        </w:rPr>
        <w:t>按</w:t>
      </w:r>
      <w:permStart w:id="16" w:edGrp="everyone"/>
      <w:r>
        <w:rPr>
          <w:rFonts w:hint="eastAsia" w:asciiTheme="minorEastAsia" w:hAnsiTheme="minorEastAsia" w:eastAsiaTheme="minorEastAsia" w:cstheme="minorEastAsia"/>
          <w:color w:val="FF0000"/>
          <w:sz w:val="28"/>
          <w:szCs w:val="28"/>
          <w:highlight w:val="none"/>
          <w:u w:val="single"/>
          <w:lang w:val="en-US" w:eastAsia="zh-CN"/>
        </w:rPr>
        <w:t>固定总价</w:t>
      </w:r>
      <w:permEnd w:id="16"/>
      <w:r>
        <w:rPr>
          <w:rFonts w:hint="eastAsia" w:asciiTheme="minorEastAsia" w:hAnsiTheme="minorEastAsia" w:cstheme="minorEastAsia"/>
          <w:sz w:val="28"/>
          <w:szCs w:val="28"/>
          <w:highlight w:val="none"/>
          <w:lang w:val="en-US" w:eastAsia="zh-CN"/>
        </w:rPr>
        <w:t>投标报</w:t>
      </w:r>
      <w:r>
        <w:rPr>
          <w:rFonts w:hint="eastAsia" w:asciiTheme="minorEastAsia" w:hAnsiTheme="minorEastAsia" w:eastAsiaTheme="minorEastAsia" w:cstheme="minorEastAsia"/>
          <w:sz w:val="28"/>
          <w:szCs w:val="28"/>
          <w:highlight w:val="none"/>
          <w:lang w:val="en-US" w:eastAsia="zh-CN"/>
        </w:rPr>
        <w:t>价。投标报价超出限价或低于成本价的，按无效投标处理；投标报价应包括为完成本项目招标范围内各阶段工作内容所需的全部费用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及税金，中标后不予调整，其他未尽事宜应统一考虑在报价内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7" w:edGrp="everyone"/>
      <w:r>
        <w:rPr>
          <w:rFonts w:hint="eastAsia" w:asciiTheme="minorEastAsia" w:hAnsiTheme="minorEastAsia" w:eastAsiaTheme="minorEastAsia" w:cstheme="minorEastAsia"/>
          <w:color w:val="FF0000"/>
          <w:sz w:val="28"/>
          <w:szCs w:val="28"/>
          <w:highlight w:val="none"/>
          <w:lang w:val="en-US" w:eastAsia="zh-CN"/>
        </w:rPr>
        <w:t>独立法人资格</w:t>
      </w:r>
      <w:permEnd w:id="17"/>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提供</w:t>
      </w:r>
      <w:permStart w:id="18" w:edGrp="everyone"/>
      <w:r>
        <w:rPr>
          <w:rFonts w:hint="eastAsia" w:asciiTheme="minorEastAsia" w:hAnsiTheme="minorEastAsia" w:cstheme="minorEastAsia"/>
          <w:sz w:val="28"/>
          <w:szCs w:val="28"/>
          <w:highlight w:val="none"/>
          <w:u w:val="single"/>
          <w:lang w:val="en-US" w:eastAsia="zh-CN"/>
        </w:rPr>
        <w:t>2020</w:t>
      </w:r>
      <w:permEnd w:id="18"/>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permStart w:id="19" w:edGrp="everyone"/>
      <w:r>
        <w:rPr>
          <w:rFonts w:hint="eastAsia" w:asciiTheme="minorEastAsia" w:hAnsiTheme="minorEastAsia" w:cstheme="minorEastAsia"/>
          <w:sz w:val="28"/>
          <w:szCs w:val="28"/>
          <w:highlight w:val="none"/>
          <w:u w:val="single"/>
          <w:lang w:val="en-US" w:eastAsia="zh-CN"/>
        </w:rPr>
        <w:t>1</w:t>
      </w:r>
      <w:permEnd w:id="19"/>
      <w:r>
        <w:rPr>
          <w:rFonts w:hint="eastAsia" w:asciiTheme="minorEastAsia" w:hAnsiTheme="minorEastAsia" w:eastAsiaTheme="minorEastAsia" w:cstheme="minorEastAsia"/>
          <w:sz w:val="28"/>
          <w:szCs w:val="28"/>
          <w:highlight w:val="none"/>
          <w:lang w:val="en-US" w:eastAsia="zh-CN"/>
        </w:rPr>
        <w:t>个，以</w:t>
      </w:r>
      <w:permStart w:id="20" w:edGrp="everyone"/>
      <w:r>
        <w:rPr>
          <w:rFonts w:hint="eastAsia" w:asciiTheme="minorEastAsia" w:hAnsiTheme="minorEastAsia" w:cstheme="minorEastAsia"/>
          <w:sz w:val="28"/>
          <w:szCs w:val="28"/>
          <w:highlight w:val="none"/>
          <w:lang w:val="en-US" w:eastAsia="zh-CN"/>
        </w:rPr>
        <w:t>合同签订</w:t>
      </w:r>
      <w:r>
        <w:rPr>
          <w:rFonts w:hint="eastAsia" w:asciiTheme="minorEastAsia" w:hAnsiTheme="minorEastAsia" w:eastAsiaTheme="minorEastAsia" w:cstheme="minorEastAsia"/>
          <w:sz w:val="28"/>
          <w:szCs w:val="28"/>
          <w:highlight w:val="none"/>
          <w:lang w:val="en-US" w:eastAsia="zh-CN"/>
        </w:rPr>
        <w:t>时间</w:t>
      </w:r>
      <w:permEnd w:id="20"/>
      <w:r>
        <w:rPr>
          <w:rFonts w:hint="eastAsia" w:asciiTheme="minorEastAsia" w:hAnsiTheme="minorEastAsia" w:eastAsiaTheme="minorEastAsia" w:cstheme="minorEastAsia"/>
          <w:sz w:val="28"/>
          <w:szCs w:val="28"/>
          <w:highlight w:val="none"/>
          <w:lang w:val="en-US" w:eastAsia="zh-CN"/>
        </w:rPr>
        <w:t>为准。类似项目业绩指：</w:t>
      </w:r>
      <w:permStart w:id="21" w:edGrp="everyone"/>
      <w:r>
        <w:rPr>
          <w:rFonts w:hint="eastAsia" w:asciiTheme="minorEastAsia" w:hAnsiTheme="minorEastAsia" w:cstheme="minorEastAsia"/>
          <w:sz w:val="28"/>
          <w:szCs w:val="28"/>
          <w:highlight w:val="none"/>
          <w:lang w:val="en-US" w:eastAsia="zh-CN"/>
        </w:rPr>
        <w:t>单项合同金额不低于20万元的沙盘或户型模型制作安装业绩。</w:t>
      </w:r>
    </w:p>
    <w:permEnd w:id="21"/>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22"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等相关资料</w:t>
      </w:r>
      <w:r>
        <w:rPr>
          <w:rFonts w:hint="default" w:asciiTheme="minorEastAsia" w:hAnsiTheme="minorEastAsia" w:eastAsiaTheme="minorEastAsia" w:cstheme="minorEastAsia"/>
          <w:sz w:val="28"/>
          <w:szCs w:val="28"/>
          <w:highlight w:val="none"/>
          <w:lang w:val="en-US" w:eastAsia="zh-CN"/>
        </w:rPr>
        <w:t>复印件装订入投标文件中</w:t>
      </w:r>
      <w:permEnd w:id="22"/>
      <w:r>
        <w:rPr>
          <w:rFonts w:hint="default"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本次招标</w:t>
      </w:r>
      <w:permStart w:id="23" w:edGrp="everyone"/>
      <w:r>
        <w:rPr>
          <w:rFonts w:hint="eastAsia" w:asciiTheme="minorEastAsia" w:hAnsiTheme="minorEastAsia" w:eastAsiaTheme="minorEastAsia" w:cstheme="minorEastAsia"/>
          <w:color w:val="FF0000"/>
          <w:sz w:val="28"/>
          <w:szCs w:val="28"/>
          <w:highlight w:val="none"/>
          <w:lang w:val="en-US" w:eastAsia="zh-CN"/>
        </w:rPr>
        <w:t>不接受</w:t>
      </w:r>
      <w:permEnd w:id="23"/>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。联合体投标的，应满足下列要求：</w:t>
      </w:r>
      <w:permStart w:id="24" w:edGrp="everyone"/>
      <w:r>
        <w:rPr>
          <w:rFonts w:hint="eastAsia" w:asciiTheme="minorEastAsia" w:hAnsiTheme="minorEastAsia" w:cstheme="minorEastAsia"/>
          <w:color w:val="FF0000"/>
          <w:sz w:val="28"/>
          <w:szCs w:val="28"/>
          <w:highlight w:val="none"/>
          <w:lang w:val="en-US" w:eastAsia="zh-CN"/>
        </w:rPr>
        <w:t>/</w:t>
      </w:r>
      <w:permEnd w:id="24"/>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本项目委托代理人必须是投标单位正式人员，须提供投标单位公司为其缴纳的</w:t>
      </w:r>
      <w:permStart w:id="25" w:edGrp="everyone"/>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2023</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6</w:t>
      </w:r>
      <w:r>
        <w:rPr>
          <w:rFonts w:hint="eastAsia" w:asciiTheme="minorEastAsia" w:hAnsiTheme="minorEastAsia" w:eastAsiaTheme="minorEastAsia" w:cstheme="minorEastAsia"/>
          <w:color w:val="FF0000"/>
          <w:sz w:val="28"/>
          <w:szCs w:val="28"/>
          <w:highlight w:val="none"/>
          <w:lang w:val="en-US" w:eastAsia="zh-CN"/>
        </w:rPr>
        <w:t>月</w:t>
      </w:r>
      <w:permEnd w:id="25"/>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起任意3个月及以上养老保险证明，否则按无效投标处理。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26" w:edGrp="everyone"/>
      <w:r>
        <w:rPr>
          <w:rFonts w:hint="default" w:ascii="Times New Roman" w:hAnsi="Times New Roman" w:cs="Times New Roman"/>
          <w:b/>
          <w:bCs/>
          <w:i w:val="0"/>
          <w:iCs w:val="0"/>
          <w:color w:val="000000" w:themeColor="text1"/>
          <w:sz w:val="28"/>
          <w:szCs w:val="28"/>
          <w:highlight w:val="none"/>
          <w:u w:val="single"/>
          <w:lang w:val="en-US" w:eastAsia="zh-CN"/>
          <w14:textFill>
            <w14:solidFill>
              <w14:schemeClr w14:val="tx1"/>
            </w14:solidFill>
          </w14:textFill>
        </w:rPr>
        <w:t>202</w:t>
      </w:r>
      <w:r>
        <w:rPr>
          <w:rFonts w:hint="eastAsia" w:ascii="Times New Roman" w:hAnsi="Times New Roman" w:cs="Times New Roman"/>
          <w:b/>
          <w:bCs/>
          <w:i w:val="0"/>
          <w:iCs w:val="0"/>
          <w:color w:val="000000" w:themeColor="text1"/>
          <w:sz w:val="28"/>
          <w:szCs w:val="28"/>
          <w:highlight w:val="none"/>
          <w:u w:val="single"/>
          <w:lang w:val="en-US" w:eastAsia="zh-CN"/>
          <w14:textFill>
            <w14:solidFill>
              <w14:schemeClr w14:val="tx1"/>
            </w14:solidFill>
          </w14:textFill>
        </w:rPr>
        <w:t>4</w:t>
      </w:r>
      <w:r>
        <w:rPr>
          <w:rFonts w:hint="default" w:ascii="Times New Roman" w:hAnsi="Times New Roman" w:cs="Times New Roman" w:eastAsiaTheme="minorEastAsia"/>
          <w:b/>
          <w:bCs/>
          <w:i w:val="0"/>
          <w:iCs w:val="0"/>
          <w:color w:val="000000" w:themeColor="text1"/>
          <w:sz w:val="28"/>
          <w:szCs w:val="28"/>
          <w:highlight w:val="none"/>
          <w:lang w:val="en-US" w:eastAsia="zh-CN"/>
          <w14:textFill>
            <w14:solidFill>
              <w14:schemeClr w14:val="tx1"/>
            </w14:solidFill>
          </w14:textFill>
        </w:rPr>
        <w:t>年</w:t>
      </w:r>
      <w:r>
        <w:rPr>
          <w:rFonts w:hint="default" w:ascii="Times New Roman" w:hAnsi="Times New Roman" w:cs="Times New Roman"/>
          <w:b/>
          <w:bCs/>
          <w:i w:val="0"/>
          <w:iCs w:val="0"/>
          <w:color w:val="000000" w:themeColor="text1"/>
          <w:sz w:val="28"/>
          <w:szCs w:val="28"/>
          <w:highlight w:val="none"/>
          <w:u w:val="single"/>
          <w:lang w:val="en-US" w:eastAsia="zh-CN"/>
          <w14:textFill>
            <w14:solidFill>
              <w14:schemeClr w14:val="tx1"/>
            </w14:solidFill>
          </w14:textFill>
        </w:rPr>
        <w:t>1</w:t>
      </w:r>
      <w:r>
        <w:rPr>
          <w:rFonts w:hint="default" w:ascii="Times New Roman" w:hAnsi="Times New Roman" w:cs="Times New Roman" w:eastAsiaTheme="minorEastAsia"/>
          <w:b/>
          <w:bCs/>
          <w:i w:val="0"/>
          <w:iCs w:val="0"/>
          <w:color w:val="000000" w:themeColor="text1"/>
          <w:sz w:val="28"/>
          <w:szCs w:val="28"/>
          <w:highlight w:val="none"/>
          <w:lang w:val="en-US" w:eastAsia="zh-CN"/>
          <w14:textFill>
            <w14:solidFill>
              <w14:schemeClr w14:val="tx1"/>
            </w14:solidFill>
          </w14:textFill>
        </w:rPr>
        <w:t>月</w:t>
      </w:r>
      <w:r>
        <w:rPr>
          <w:rFonts w:hint="default" w:ascii="Times New Roman" w:hAnsi="Times New Roman" w:cs="Times New Roman"/>
          <w:b/>
          <w:bCs/>
          <w:i w:val="0"/>
          <w:iCs w:val="0"/>
          <w:color w:val="000000" w:themeColor="text1"/>
          <w:sz w:val="28"/>
          <w:szCs w:val="28"/>
          <w:highlight w:val="none"/>
          <w:u w:val="single"/>
          <w:lang w:val="en-US" w:eastAsia="zh-CN"/>
          <w14:textFill>
            <w14:solidFill>
              <w14:schemeClr w14:val="tx1"/>
            </w14:solidFill>
          </w14:textFill>
        </w:rPr>
        <w:t>5</w:t>
      </w:r>
      <w:r>
        <w:rPr>
          <w:rFonts w:hint="default" w:ascii="Times New Roman" w:hAnsi="Times New Roman" w:cs="Times New Roman" w:eastAsiaTheme="minorEastAsia"/>
          <w:b/>
          <w:bCs/>
          <w:i w:val="0"/>
          <w:iCs w:val="0"/>
          <w:color w:val="000000" w:themeColor="text1"/>
          <w:sz w:val="28"/>
          <w:szCs w:val="28"/>
          <w:highlight w:val="none"/>
          <w:lang w:val="en-US" w:eastAsia="zh-CN"/>
          <w14:textFill>
            <w14:solidFill>
              <w14:schemeClr w14:val="tx1"/>
            </w14:solidFill>
          </w14:textFill>
        </w:rPr>
        <w:t>日</w:t>
      </w:r>
      <w:r>
        <w:rPr>
          <w:rFonts w:hint="default" w:ascii="Times New Roman" w:hAnsi="Times New Roman" w:cs="Times New Roman"/>
          <w:b/>
          <w:bCs/>
          <w:i w:val="0"/>
          <w:iCs w:val="0"/>
          <w:color w:val="000000" w:themeColor="text1"/>
          <w:sz w:val="28"/>
          <w:szCs w:val="28"/>
          <w:highlight w:val="none"/>
          <w:u w:val="single"/>
          <w:lang w:val="en-US" w:eastAsia="zh-CN"/>
          <w14:textFill>
            <w14:solidFill>
              <w14:schemeClr w14:val="tx1"/>
            </w14:solidFill>
          </w14:textFill>
        </w:rPr>
        <w:t>15</w:t>
      </w:r>
      <w:r>
        <w:rPr>
          <w:rFonts w:hint="default" w:ascii="Times New Roman" w:hAnsi="Times New Roman" w:cs="Times New Roman" w:eastAsiaTheme="minorEastAsia"/>
          <w:b/>
          <w:bCs/>
          <w:i w:val="0"/>
          <w:iCs w:val="0"/>
          <w:color w:val="000000" w:themeColor="text1"/>
          <w:sz w:val="28"/>
          <w:szCs w:val="28"/>
          <w:highlight w:val="none"/>
          <w:u w:val="none"/>
          <w:lang w:val="en-US" w:eastAsia="zh-CN"/>
          <w14:textFill>
            <w14:solidFill>
              <w14:schemeClr w14:val="tx1"/>
            </w14:solidFill>
          </w14:textFill>
        </w:rPr>
        <w:t>时</w:t>
      </w:r>
      <w:r>
        <w:rPr>
          <w:rFonts w:hint="default" w:ascii="Times New Roman" w:hAnsi="Times New Roman" w:cs="Times New Roman"/>
          <w:b/>
          <w:bCs/>
          <w:i w:val="0"/>
          <w:iCs w:val="0"/>
          <w:color w:val="000000" w:themeColor="text1"/>
          <w:sz w:val="28"/>
          <w:szCs w:val="28"/>
          <w:highlight w:val="none"/>
          <w:u w:val="single"/>
          <w:lang w:val="en-US" w:eastAsia="zh-CN"/>
          <w14:textFill>
            <w14:solidFill>
              <w14:schemeClr w14:val="tx1"/>
            </w14:solidFill>
          </w14:textFill>
        </w:rPr>
        <w:t>00</w:t>
      </w:r>
      <w:r>
        <w:rPr>
          <w:rFonts w:hint="default" w:ascii="Times New Roman" w:hAnsi="Times New Roman" w:cs="Times New Roman" w:eastAsiaTheme="minorEastAsia"/>
          <w:b/>
          <w:bCs/>
          <w:i w:val="0"/>
          <w:iCs w:val="0"/>
          <w:color w:val="000000" w:themeColor="text1"/>
          <w:sz w:val="28"/>
          <w:szCs w:val="28"/>
          <w:highlight w:val="none"/>
          <w:u w:val="none"/>
          <w:lang w:val="en-US" w:eastAsia="zh-CN"/>
          <w14:textFill>
            <w14:solidFill>
              <w14:schemeClr w14:val="tx1"/>
            </w14:solidFill>
          </w14:textFill>
        </w:rPr>
        <w:t>分</w:t>
      </w:r>
      <w:permEnd w:id="26"/>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27" w:edGrp="everyone"/>
      <w:r>
        <w:rPr>
          <w:rFonts w:hint="eastAsia" w:asciiTheme="minorEastAsia" w:hAnsiTheme="minorEastAsia" w:cstheme="minorEastAsia"/>
          <w:color w:val="FF0000"/>
          <w:sz w:val="28"/>
          <w:szCs w:val="28"/>
          <w:highlight w:val="none"/>
          <w:lang w:val="en-US" w:eastAsia="zh-CN"/>
        </w:rPr>
        <w:t>不允许</w:t>
      </w:r>
      <w:permEnd w:id="27"/>
      <w:r>
        <w:rPr>
          <w:rFonts w:hint="default" w:asciiTheme="minorEastAsia" w:hAnsiTheme="minorEastAsia" w:eastAsiaTheme="minorEastAsia" w:cstheme="minorEastAsia"/>
          <w:sz w:val="28"/>
          <w:szCs w:val="28"/>
          <w:highlight w:val="none"/>
          <w:lang w:val="en-US" w:eastAsia="zh-CN"/>
        </w:rPr>
        <w:t>投标人以邮寄方式递交投标文件。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28" w:edGrp="everyone"/>
      <w:r>
        <w:rPr>
          <w:rFonts w:hint="eastAsia" w:asciiTheme="minorEastAsia" w:hAnsiTheme="minorEastAsia" w:cstheme="minorEastAsia"/>
          <w:sz w:val="28"/>
          <w:szCs w:val="28"/>
          <w:highlight w:val="none"/>
          <w:u w:val="single"/>
          <w:lang w:val="en-US" w:eastAsia="zh-CN"/>
        </w:rPr>
        <w:t>5000元（</w:t>
      </w:r>
      <w:r>
        <w:rPr>
          <w:rFonts w:hint="default" w:asciiTheme="minorEastAsia" w:hAnsiTheme="minorEastAsia" w:eastAsiaTheme="minorEastAsia" w:cstheme="minorEastAsia"/>
          <w:sz w:val="28"/>
          <w:szCs w:val="28"/>
          <w:highlight w:val="none"/>
          <w:lang w:val="en-US" w:eastAsia="zh-CN"/>
        </w:rPr>
        <w:t>人民币）</w:t>
      </w:r>
      <w:permEnd w:id="28"/>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 购 人：</w:t>
      </w:r>
      <w:r>
        <w:rPr>
          <w:rFonts w:hint="eastAsia" w:asciiTheme="minorEastAsia" w:hAnsiTheme="minorEastAsia" w:cstheme="minorEastAsia"/>
          <w:sz w:val="28"/>
          <w:szCs w:val="28"/>
          <w:highlight w:val="none"/>
          <w:lang w:val="en-US" w:eastAsia="zh-CN"/>
        </w:rPr>
        <w:t>亳州通恒置业有限公司</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permStart w:id="29" w:edGrp="everyone"/>
      <w:r>
        <w:rPr>
          <w:rFonts w:hint="eastAsia" w:asciiTheme="minorEastAsia" w:hAnsiTheme="minorEastAsia" w:cstheme="minorEastAsia"/>
          <w:sz w:val="28"/>
          <w:szCs w:val="28"/>
          <w:highlight w:val="none"/>
          <w:lang w:val="en-US" w:eastAsia="zh-CN"/>
        </w:rPr>
        <w:t>安徽省亳州市谯城区药都路1289号</w:t>
      </w:r>
      <w:permEnd w:id="29"/>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permStart w:id="30" w:edGrp="everyone"/>
      <w:r>
        <w:rPr>
          <w:rFonts w:hint="eastAsia" w:asciiTheme="minorEastAsia" w:hAnsiTheme="minorEastAsia" w:cstheme="minorEastAsia"/>
          <w:sz w:val="28"/>
          <w:szCs w:val="28"/>
          <w:highlight w:val="none"/>
          <w:lang w:val="en-US" w:eastAsia="zh-CN"/>
        </w:rPr>
        <w:t xml:space="preserve">秦工 </w:t>
      </w:r>
      <w:permEnd w:id="30"/>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yellow"/>
          <w:lang w:val="en-US" w:eastAsia="zh-CN"/>
        </w:rPr>
      </w:pPr>
      <w:r>
        <w:rPr>
          <w:rFonts w:hint="eastAsia" w:asciiTheme="minorEastAsia" w:hAnsiTheme="minorEastAsia" w:eastAsiaTheme="minorEastAsia" w:cstheme="minorEastAsia"/>
          <w:sz w:val="28"/>
          <w:szCs w:val="28"/>
          <w:highlight w:val="none"/>
          <w:shd w:val="clear"/>
          <w:lang w:val="en-US" w:eastAsia="zh-CN"/>
        </w:rPr>
        <w:t>电    话：</w:t>
      </w:r>
      <w:permStart w:id="31" w:edGrp="everyone"/>
      <w:r>
        <w:rPr>
          <w:rFonts w:hint="eastAsia" w:asciiTheme="minorEastAsia" w:hAnsiTheme="minorEastAsia" w:cstheme="minorEastAsia"/>
          <w:sz w:val="28"/>
          <w:szCs w:val="28"/>
          <w:highlight w:val="none"/>
          <w:shd w:val="clear"/>
          <w:lang w:val="en-US" w:eastAsia="zh-CN"/>
        </w:rPr>
        <w:t xml:space="preserve">15205679165 </w:t>
      </w:r>
      <w:permEnd w:id="31"/>
      <w:r>
        <w:rPr>
          <w:rFonts w:hint="eastAsia" w:asciiTheme="minorEastAsia" w:hAnsiTheme="minorEastAsia" w:eastAsiaTheme="minorEastAsia" w:cstheme="minorEastAsia"/>
          <w:sz w:val="28"/>
          <w:szCs w:val="28"/>
          <w:highlight w:val="yellow"/>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32" w:edGrp="everyone"/>
      <w:r>
        <w:rPr>
          <w:rFonts w:hint="eastAsia" w:asciiTheme="minorEastAsia" w:hAnsiTheme="minorEastAsia" w:eastAsiaTheme="minorEastAsia" w:cstheme="minorEastAsia"/>
          <w:sz w:val="28"/>
          <w:szCs w:val="28"/>
          <w:highlight w:val="none"/>
          <w:lang w:val="en-US" w:eastAsia="zh-CN"/>
        </w:rPr>
        <w:t>亳州通恒置业有限公司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color w:val="auto"/>
          <w:sz w:val="28"/>
          <w:szCs w:val="28"/>
          <w:highlight w:val="none"/>
          <w:lang w:val="en-US" w:eastAsia="zh-CN"/>
        </w:rPr>
        <w:t>2023</w:t>
      </w:r>
      <w:r>
        <w:rPr>
          <w:rFonts w:hint="eastAsia" w:asciiTheme="minorEastAsia" w:hAnsiTheme="minorEastAsia" w:eastAsiaTheme="minorEastAsia" w:cstheme="minorEastAsia"/>
          <w:color w:val="auto"/>
          <w:sz w:val="28"/>
          <w:szCs w:val="28"/>
          <w:highlight w:val="none"/>
          <w:lang w:val="en-US" w:eastAsia="zh-CN"/>
        </w:rPr>
        <w:t>年</w:t>
      </w:r>
      <w:r>
        <w:rPr>
          <w:rFonts w:hint="eastAsia" w:asciiTheme="minorEastAsia" w:hAnsiTheme="minorEastAsia" w:cstheme="minorEastAsia"/>
          <w:color w:val="auto"/>
          <w:sz w:val="28"/>
          <w:szCs w:val="28"/>
          <w:highlight w:val="none"/>
          <w:lang w:val="en-US" w:eastAsia="zh-CN"/>
        </w:rPr>
        <w:t>12</w:t>
      </w:r>
      <w:r>
        <w:rPr>
          <w:rFonts w:hint="eastAsia" w:asciiTheme="minorEastAsia" w:hAnsiTheme="minorEastAsia" w:eastAsiaTheme="minorEastAsia" w:cstheme="minorEastAsia"/>
          <w:color w:val="auto"/>
          <w:sz w:val="28"/>
          <w:szCs w:val="28"/>
          <w:highlight w:val="none"/>
          <w:lang w:val="en-US" w:eastAsia="zh-CN"/>
        </w:rPr>
        <w:t>月</w:t>
      </w:r>
      <w:r>
        <w:rPr>
          <w:rFonts w:hint="eastAsia" w:asciiTheme="minorEastAsia" w:hAnsiTheme="minorEastAsia" w:cstheme="minorEastAsia"/>
          <w:color w:val="auto"/>
          <w:sz w:val="28"/>
          <w:szCs w:val="28"/>
          <w:highlight w:val="none"/>
          <w:lang w:val="en-US" w:eastAsia="zh-CN"/>
        </w:rPr>
        <w:t>29</w:t>
      </w:r>
      <w:r>
        <w:rPr>
          <w:rFonts w:hint="eastAsia" w:asciiTheme="minorEastAsia" w:hAnsiTheme="minorEastAsia" w:eastAsiaTheme="minorEastAsia" w:cstheme="minorEastAsia"/>
          <w:color w:val="auto"/>
          <w:sz w:val="28"/>
          <w:szCs w:val="28"/>
          <w:highlight w:val="none"/>
          <w:lang w:val="en-US" w:eastAsia="zh-CN"/>
        </w:rPr>
        <w:t>日</w:t>
      </w:r>
      <w:permEnd w:id="32"/>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18"/>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481"/>
        <w:gridCol w:w="50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1.3.2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交货期</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3" w:edGrp="everyone"/>
            <w:r>
              <w:rPr>
                <w:rFonts w:hint="default" w:ascii="Times New Roman" w:hAnsi="Times New Roman" w:cs="Times New Roman"/>
                <w:szCs w:val="21"/>
                <w:highlight w:val="none"/>
              </w:rPr>
              <w:t>详见第一章招标公告。</w:t>
            </w:r>
            <w:permEnd w:id="3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交货地点</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质量标准</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1.4.1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投标人资质条件、能力</w:t>
            </w:r>
            <w:r>
              <w:rPr>
                <w:rFonts w:hint="eastAsia" w:ascii="Times New Roman" w:hAnsi="Times New Roman" w:cs="Times New Roman"/>
                <w:szCs w:val="21"/>
                <w:highlight w:val="none"/>
                <w:lang w:val="en-US" w:eastAsia="zh-CN"/>
              </w:rPr>
              <w:t>、信誉</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int="eastAsia" w:hAnsi="宋体"/>
                <w:color w:val="FF0000"/>
                <w:szCs w:val="21"/>
              </w:rPr>
            </w:pPr>
            <w:permStart w:id="34" w:edGrp="everyone"/>
            <w:r>
              <w:rPr>
                <w:rFonts w:hint="eastAsia" w:hAnsi="宋体"/>
                <w:color w:val="FF0000"/>
                <w:szCs w:val="21"/>
                <w:lang w:val="en-US" w:eastAsia="zh-CN"/>
              </w:rPr>
              <w:t>2</w:t>
            </w:r>
            <w:r>
              <w:rPr>
                <w:rFonts w:hint="eastAsia" w:hAnsi="宋体"/>
                <w:color w:val="FF0000"/>
                <w:szCs w:val="21"/>
              </w:rPr>
              <w:t>、财务要求：</w:t>
            </w:r>
          </w:p>
          <w:p>
            <w:pPr>
              <w:autoSpaceDE w:val="0"/>
              <w:autoSpaceDN w:val="0"/>
              <w:adjustRightInd w:val="0"/>
              <w:snapToGrid w:val="0"/>
              <w:spacing w:line="440" w:lineRule="exact"/>
              <w:jc w:val="left"/>
              <w:rPr>
                <w:rFonts w:hint="eastAsia" w:hAnsi="宋体"/>
                <w:color w:val="FF0000"/>
                <w:szCs w:val="21"/>
              </w:rPr>
            </w:pPr>
            <w:r>
              <w:rPr>
                <w:rFonts w:hint="eastAsia" w:hAnsi="宋体"/>
                <w:color w:val="FF0000"/>
                <w:szCs w:val="21"/>
              </w:rPr>
              <w:t>需</w:t>
            </w:r>
            <w:r>
              <w:rPr>
                <w:rFonts w:hint="eastAsia" w:hAnsi="宋体"/>
                <w:color w:val="FF0000"/>
                <w:szCs w:val="21"/>
                <w:lang w:val="en-US" w:eastAsia="zh-CN"/>
              </w:rPr>
              <w:t xml:space="preserve">  </w:t>
            </w:r>
            <w:r>
              <w:rPr>
                <w:rFonts w:hint="eastAsia" w:hAnsi="宋体"/>
                <w:color w:val="FF0000"/>
                <w:szCs w:val="21"/>
              </w:rPr>
              <w:t>要</w:t>
            </w:r>
            <w:r>
              <w:rPr>
                <w:rFonts w:hint="eastAsia" w:hAnsi="宋体"/>
                <w:color w:val="FF0000"/>
                <w:szCs w:val="21"/>
                <w:lang w:eastAsia="zh-CN"/>
              </w:rPr>
              <w:t>□</w:t>
            </w:r>
          </w:p>
          <w:p>
            <w:pPr>
              <w:autoSpaceDE w:val="0"/>
              <w:autoSpaceDN w:val="0"/>
              <w:adjustRightInd w:val="0"/>
              <w:snapToGrid w:val="0"/>
              <w:spacing w:line="440" w:lineRule="exact"/>
              <w:jc w:val="left"/>
              <w:rPr>
                <w:rFonts w:hint="default" w:ascii="Times New Roman" w:hAnsi="Times New Roman" w:cs="Times New Roman"/>
                <w:szCs w:val="21"/>
                <w:highlight w:val="none"/>
              </w:rPr>
            </w:pPr>
            <w:r>
              <w:rPr>
                <w:rFonts w:hint="eastAsia" w:hAnsi="宋体"/>
                <w:color w:val="FF0000"/>
                <w:szCs w:val="21"/>
              </w:rPr>
              <w:t>不需要</w:t>
            </w:r>
            <w:r>
              <w:rPr>
                <w:rFonts w:hint="eastAsia" w:hAnsi="宋体"/>
                <w:color w:val="FF0000"/>
                <w:szCs w:val="21"/>
                <w:lang w:eastAsia="zh-CN"/>
              </w:rPr>
              <w:t>☑</w:t>
            </w:r>
            <w:permEnd w:id="3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permStart w:id="35"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接受</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 xml:space="preserve">接  受 </w:t>
            </w:r>
            <w:permEnd w:id="3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ermStart w:id="36" w:edGrp="everyone"/>
            <w:r>
              <w:rPr>
                <w:rFonts w:hint="eastAsia" w:hAnsi="宋体"/>
                <w:sz w:val="21"/>
                <w:szCs w:val="21"/>
                <w:lang w:val="en-US" w:eastAsia="zh-CN"/>
              </w:rPr>
              <w:t>/</w:t>
            </w:r>
            <w:permEnd w:id="3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 w:val="21"/>
                <w:szCs w:val="21"/>
                <w:highlight w:val="none"/>
              </w:rPr>
            </w:pPr>
            <w:permStart w:id="37"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cs="Times New Roman"/>
                <w:color w:val="FF0000"/>
                <w:sz w:val="21"/>
                <w:szCs w:val="21"/>
                <w:highlight w:val="none"/>
              </w:rPr>
              <w:t>开</w:t>
            </w:r>
            <w:r>
              <w:rPr>
                <w:rFonts w:hint="eastAsia" w:ascii="Times New Roman" w:hAnsi="Times New Roman" w:cs="Times New Roman"/>
                <w:color w:val="FF0000"/>
                <w:sz w:val="21"/>
                <w:szCs w:val="21"/>
                <w:highlight w:val="none"/>
                <w:lang w:val="en-US" w:eastAsia="zh-CN"/>
              </w:rPr>
              <w:t xml:space="preserve"> </w:t>
            </w:r>
            <w:permEnd w:id="3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1.9.2</w:t>
            </w:r>
          </w:p>
        </w:tc>
        <w:tc>
          <w:tcPr>
            <w:tcW w:w="248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投标人在投标预备会前提出问题</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时间：</w:t>
            </w:r>
            <w:r>
              <w:rPr>
                <w:rFonts w:hint="eastAsia" w:ascii="Times New Roman" w:hAnsi="Times New Roman" w:cs="Times New Roman"/>
                <w:i/>
                <w:iCs/>
                <w:color w:val="FF0000"/>
                <w:szCs w:val="21"/>
                <w:highlight w:val="none"/>
                <w:u w:val="singl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248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形式：</w:t>
            </w:r>
            <w:r>
              <w:rPr>
                <w:rFonts w:hint="eastAsia" w:ascii="Times New Roman" w:hAnsi="Times New Roman" w:cs="Times New Roman"/>
                <w:i/>
                <w:iCs/>
                <w:color w:val="FF0000"/>
                <w:szCs w:val="21"/>
                <w:highlight w:val="none"/>
                <w:u w:val="singl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i/>
                <w:iCs/>
                <w:color w:val="FF0000"/>
                <w:szCs w:val="21"/>
                <w:highlight w:val="none"/>
                <w:u w:val="singl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38"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分包内容要求：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eastAsia" w:ascii="Times New Roman" w:hAnsi="Times New Roman" w:cs="Times New Roman"/>
                <w:color w:val="FF0000"/>
                <w:sz w:val="21"/>
                <w:szCs w:val="21"/>
                <w:highlight w:val="none"/>
                <w:lang w:val="en-US" w:eastAsia="zh-CN"/>
              </w:rPr>
            </w:pPr>
            <w:r>
              <w:rPr>
                <w:rFonts w:hint="eastAsia" w:ascii="Times New Roman" w:hAnsi="Times New Roman" w:cs="Times New Roman"/>
                <w:color w:val="FF0000"/>
                <w:sz w:val="21"/>
                <w:szCs w:val="21"/>
                <w:highlight w:val="none"/>
                <w:lang w:val="en-US" w:eastAsia="zh-CN"/>
              </w:rPr>
              <w:t>分包金额要求：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color w:val="FF0000"/>
                <w:sz w:val="21"/>
                <w:szCs w:val="21"/>
                <w:highlight w:val="none"/>
                <w:lang w:val="en-US" w:eastAsia="zh-CN"/>
              </w:rPr>
              <w:t>对分包人的资质要求：</w:t>
            </w:r>
            <w:permEnd w:id="3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1.11.1</w:t>
            </w:r>
          </w:p>
        </w:tc>
        <w:tc>
          <w:tcPr>
            <w:tcW w:w="248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ermStart w:id="39" w:edGrp="everyone"/>
            <w:r>
              <w:rPr>
                <w:rFonts w:hint="eastAsia" w:hAnsi="宋体"/>
                <w:sz w:val="21"/>
                <w:szCs w:val="21"/>
                <w:lang w:val="en-US" w:eastAsia="zh-CN"/>
              </w:rPr>
              <w:t xml:space="preserve">详见第一章招标公告、第四章合同条款及格式、第五章供货要求。 </w:t>
            </w:r>
            <w:permEnd w:id="3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1.11.3</w:t>
            </w:r>
          </w:p>
        </w:tc>
        <w:tc>
          <w:tcPr>
            <w:tcW w:w="248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其他可以被接受的技术支持资料</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ermStart w:id="40" w:edGrp="everyone"/>
            <w:r>
              <w:rPr>
                <w:rFonts w:hint="eastAsia" w:hAnsi="宋体"/>
                <w:sz w:val="21"/>
                <w:szCs w:val="21"/>
                <w:lang w:val="en-US" w:eastAsia="zh-CN"/>
              </w:rPr>
              <w:t>技术支持资料以制造商公开发布的印刷资料，政府部门出具的证明材料，或检测机构出具的检测报告为准，其他形式的技术支持资料视为无效。</w:t>
            </w:r>
            <w:permEnd w:id="4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偏差</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48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时间：距投标截止时间3日前，投标人应仔细阅读和检查招标文件的全部内容。如发现缺页或附件不全，应及时向招标人提出，以便补齐。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248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u w:val="none"/>
                <w:lang w:val="en-US" w:eastAsia="zh-CN"/>
              </w:rPr>
              <w:t>投标截止时间前，招标文件的澄清将在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481"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招标文件的澄清在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248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u w:val="none"/>
                <w:lang w:val="en-US" w:eastAsia="zh-CN"/>
              </w:rPr>
              <w:t>投标截止时间前，招标文件的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48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248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增值税税金的计算方法</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3.2.5</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投标报价的其他要求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permStart w:id="41" w:edGrp="everyone"/>
            <w:r>
              <w:rPr>
                <w:rFonts w:hint="eastAsia" w:ascii="Times New Roman" w:hAnsi="Times New Roman" w:cs="Times New Roman"/>
                <w:szCs w:val="21"/>
                <w:highlight w:val="none"/>
                <w:u w:val="single"/>
                <w:lang w:val="en-US" w:eastAsia="zh-CN"/>
              </w:rPr>
              <w:t>详见第一章招标公告。</w:t>
            </w:r>
            <w:permEnd w:id="4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jc w:val="left"/>
              <w:rPr>
                <w:rFonts w:hint="eastAsia" w:hAnsi="宋体"/>
                <w:color w:val="FF0000"/>
                <w:szCs w:val="21"/>
              </w:rPr>
            </w:pPr>
            <w:permStart w:id="42" w:edGrp="everyone"/>
            <w:r>
              <w:rPr>
                <w:rFonts w:hint="eastAsia" w:hAnsi="宋体"/>
                <w:color w:val="FF0000"/>
                <w:szCs w:val="21"/>
              </w:rPr>
              <w:t>不需要</w:t>
            </w:r>
            <w:r>
              <w:rPr>
                <w:rFonts w:hint="eastAsia" w:hAnsi="宋体"/>
                <w:color w:val="FF0000"/>
                <w:szCs w:val="21"/>
              </w:rPr>
              <w:sym w:font="Wingdings 2" w:char="00A3"/>
            </w:r>
          </w:p>
          <w:p>
            <w:pPr>
              <w:autoSpaceDE w:val="0"/>
              <w:autoSpaceDN w:val="0"/>
              <w:adjustRightInd w:val="0"/>
              <w:snapToGrid w:val="0"/>
              <w:spacing w:line="440" w:lineRule="exact"/>
              <w:jc w:val="left"/>
              <w:rPr>
                <w:rFonts w:hint="eastAsia" w:ascii="Times New Roman" w:hAnsi="Times New Roman" w:cs="Times New Roman" w:eastAsiaTheme="minorEastAsia"/>
                <w:color w:val="FF0000"/>
                <w:szCs w:val="21"/>
                <w:highlight w:val="none"/>
                <w:lang w:eastAsia="zh-CN"/>
              </w:rPr>
            </w:pPr>
            <w:r>
              <w:rPr>
                <w:rFonts w:hint="eastAsia" w:hAnsi="宋体"/>
                <w:color w:val="FF0000"/>
                <w:szCs w:val="21"/>
              </w:rPr>
              <w:t xml:space="preserve">需 </w:t>
            </w:r>
            <w:r>
              <w:rPr>
                <w:rFonts w:hint="eastAsia" w:hAnsi="宋体"/>
                <w:color w:val="FF0000"/>
                <w:szCs w:val="21"/>
                <w:lang w:val="en-US" w:eastAsia="zh-CN"/>
              </w:rPr>
              <w:t xml:space="preserve"> </w:t>
            </w:r>
            <w:r>
              <w:rPr>
                <w:rFonts w:hint="eastAsia" w:hAnsi="宋体"/>
                <w:color w:val="FF0000"/>
                <w:szCs w:val="21"/>
              </w:rPr>
              <w:t>要</w:t>
            </w:r>
            <w:r>
              <w:rPr>
                <w:rFonts w:hint="eastAsia" w:hAnsi="宋体"/>
                <w:color w:val="FF0000"/>
                <w:szCs w:val="21"/>
                <w:lang w:eastAsia="zh-CN"/>
              </w:rPr>
              <w:t>☑</w:t>
            </w:r>
          </w:p>
          <w:permEnd w:id="42"/>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permStart w:id="43" w:edGrp="everyone"/>
            <w:r>
              <w:rPr>
                <w:rFonts w:hint="eastAsia" w:ascii="Times New Roman" w:hAnsi="Times New Roman" w:cs="Times New Roman"/>
                <w:color w:val="auto"/>
                <w:szCs w:val="21"/>
                <w:highlight w:val="none"/>
                <w:u w:val="single"/>
              </w:rPr>
              <w:t>5000元</w:t>
            </w:r>
            <w:permEnd w:id="43"/>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44" w:edGrp="everyone"/>
            <w:r>
              <w:rPr>
                <w:rFonts w:hint="eastAsia" w:ascii="Times New Roman" w:hAnsi="Times New Roman" w:cs="Times New Roman"/>
                <w:color w:val="FF0000"/>
                <w:szCs w:val="21"/>
                <w:highlight w:val="none"/>
                <w:lang w:val="en-US" w:eastAsia="zh-CN"/>
              </w:rPr>
              <w:t>BZJK-2023-053号保证金</w:t>
            </w:r>
            <w:permEnd w:id="44"/>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6</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45"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有，具体要求：</w:t>
            </w:r>
            <w:permEnd w:id="4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46"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有，具体要求：</w:t>
            </w:r>
            <w:permEnd w:id="4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47"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允许   </w:t>
            </w:r>
            <w:permEnd w:id="4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permStart w:id="48" w:edGrp="everyone"/>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48"/>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49"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不需要</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需要，分册装订要求：</w:t>
            </w:r>
            <w:permEnd w:id="4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50" w:edGrp="everyone"/>
            <w:r>
              <w:rPr>
                <w:rFonts w:hint="eastAsia" w:ascii="Times New Roman" w:hAnsi="Times New Roman" w:cs="Times New Roman"/>
                <w:color w:val="FF0000"/>
                <w:szCs w:val="21"/>
                <w:highlight w:val="none"/>
                <w:lang w:val="en-US" w:eastAsia="zh-CN"/>
              </w:rPr>
              <w:t>开标地址：亳州交通投资控股集团有限公司15楼</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招标人：亳州通恒置业有限公司</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逸合府项目售楼部沙盘、户模制作安装投标文件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项目编号：BZJK-2023-</w:t>
            </w:r>
            <w:r>
              <w:rPr>
                <w:rFonts w:hint="eastAsia" w:ascii="Times New Roman" w:hAnsi="Times New Roman" w:cs="Times New Roman"/>
                <w:color w:val="FF0000"/>
                <w:szCs w:val="21"/>
                <w:highlight w:val="none"/>
                <w:u w:val="single"/>
                <w:lang w:val="en-US" w:eastAsia="zh-CN"/>
              </w:rPr>
              <w:t>053</w:t>
            </w:r>
            <w:r>
              <w:rPr>
                <w:rFonts w:hint="eastAsia" w:ascii="Times New Roman" w:hAnsi="Times New Roman" w:cs="Times New Roman"/>
                <w:color w:val="FF0000"/>
                <w:szCs w:val="21"/>
                <w:highlight w:val="none"/>
                <w:u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2024</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1</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5</w:t>
            </w:r>
            <w:r>
              <w:rPr>
                <w:rFonts w:hint="eastAsia" w:ascii="Times New Roman" w:hAnsi="Times New Roman" w:cs="Times New Roman"/>
                <w:color w:val="FF0000"/>
                <w:szCs w:val="21"/>
                <w:highlight w:val="none"/>
                <w:u w:val="none"/>
                <w:lang w:val="en-US" w:eastAsia="zh-CN"/>
              </w:rPr>
              <w:t>日</w:t>
            </w:r>
            <w:bookmarkStart w:id="480" w:name="_GoBack"/>
            <w:bookmarkEnd w:id="480"/>
            <w:r>
              <w:rPr>
                <w:rFonts w:hint="eastAsia" w:ascii="Times New Roman" w:hAnsi="Times New Roman" w:cs="Times New Roman"/>
                <w:color w:val="FF0000"/>
                <w:szCs w:val="21"/>
                <w:highlight w:val="none"/>
                <w:u w:val="single"/>
                <w:lang w:val="en-US" w:eastAsia="zh-CN"/>
              </w:rPr>
              <w:t>15</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5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4.2.2（A）</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投标文件是否退还</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val="0"/>
              <w:overflowPunct/>
              <w:topLinePunct w:val="0"/>
              <w:autoSpaceDE/>
              <w:autoSpaceDN/>
              <w:bidi w:val="0"/>
              <w:adjustRightInd/>
              <w:snapToGrid/>
              <w:spacing w:line="400"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6.3.2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51"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Cs w:val="21"/>
                <w:highlight w:val="none"/>
                <w:lang w:val="en-US" w:eastAsia="zh-CN"/>
              </w:rPr>
              <w:t>不要求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要  求</w:t>
            </w:r>
          </w:p>
          <w:permEnd w:id="51"/>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52"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52"/>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同投标保证金。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szCs w:val="21"/>
                <w:highlight w:val="none"/>
              </w:rPr>
              <w:t>履约保证金的退还：</w:t>
            </w:r>
            <w:permStart w:id="53"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货物验收合格后返还全部履约保证金（本金无息）</w:t>
            </w:r>
            <w:r>
              <w:rPr>
                <w:rFonts w:hint="default" w:ascii="Times New Roman" w:hAnsi="Times New Roman" w:cs="Times New Roman"/>
                <w:szCs w:val="21"/>
                <w:highlight w:val="none"/>
              </w:rPr>
              <w:t>。</w:t>
            </w:r>
            <w:permEnd w:id="5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11.2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不良行为记录</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rPr>
      </w:pPr>
      <w:r>
        <w:rPr>
          <w:rFonts w:hint="eastAsia" w:ascii="黑体" w:hAnsi="黑体" w:eastAsia="黑体" w:cs="黑体"/>
          <w:color w:val="000000"/>
          <w:highlight w:val="none"/>
        </w:rPr>
        <w:t>说明：</w:t>
      </w:r>
      <w:bookmarkStart w:id="16" w:name="_Toc179632546"/>
      <w:bookmarkStart w:id="17" w:name="_Toc246996175"/>
      <w:bookmarkStart w:id="18" w:name="_Toc144974497"/>
      <w:bookmarkStart w:id="19" w:name="_Toc296602420"/>
      <w:bookmarkStart w:id="20" w:name="_Toc247085689"/>
      <w:bookmarkStart w:id="21" w:name="_Toc152042305"/>
      <w:bookmarkStart w:id="22" w:name="_Toc246996918"/>
      <w:bookmarkStart w:id="23" w:name="_Toc152045529"/>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1. 总则</w:t>
      </w:r>
      <w:bookmarkEnd w:id="16"/>
      <w:bookmarkEnd w:id="17"/>
      <w:bookmarkEnd w:id="18"/>
      <w:bookmarkEnd w:id="19"/>
      <w:bookmarkEnd w:id="20"/>
      <w:bookmarkEnd w:id="21"/>
      <w:bookmarkEnd w:id="22"/>
      <w:bookmarkEnd w:id="23"/>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247085690"/>
      <w:bookmarkStart w:id="25" w:name="_Toc144974498"/>
      <w:bookmarkStart w:id="26" w:name="_Toc152042306"/>
      <w:bookmarkStart w:id="27" w:name="_Toc246996919"/>
      <w:bookmarkStart w:id="28" w:name="_Toc246996176"/>
      <w:bookmarkStart w:id="29" w:name="_Toc296602421"/>
      <w:bookmarkStart w:id="30" w:name="_Toc179632547"/>
      <w:bookmarkStart w:id="31" w:name="_Toc152045530"/>
      <w:r>
        <w:rPr>
          <w:rFonts w:hint="eastAsia"/>
        </w:rPr>
        <w:t xml:space="preserve">1.1 </w:t>
      </w:r>
      <w:r>
        <w:rPr>
          <w:rFonts w:hint="eastAsia"/>
          <w:lang w:val="en-US" w:eastAsia="zh-CN"/>
        </w:rPr>
        <w:t>招标</w:t>
      </w:r>
      <w:r>
        <w:rPr>
          <w:rFonts w:hint="eastAsia"/>
        </w:rPr>
        <w:t>项目概况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w:t>
      </w:r>
      <w:r>
        <w:rPr>
          <w:rFonts w:hint="eastAsia"/>
          <w:lang w:val="en-US" w:eastAsia="zh-CN"/>
        </w:rPr>
        <w:t>材料</w:t>
      </w:r>
      <w:r>
        <w:rPr>
          <w:rFonts w:hint="eastAsia"/>
        </w:rPr>
        <w:t>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招标</w:t>
      </w:r>
      <w:r>
        <w:rPr>
          <w:rFonts w:hint="eastAsia"/>
          <w:lang w:val="en-US" w:eastAsia="zh-CN"/>
        </w:rPr>
        <w:t>平台</w:t>
      </w:r>
      <w:r>
        <w:rPr>
          <w:rFonts w:hint="eastAsia"/>
        </w:rPr>
        <w:t>：见投标人须知前附表。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1.1.4 </w:t>
      </w:r>
      <w:r>
        <w:rPr>
          <w:rFonts w:hint="eastAsia"/>
          <w:lang w:val="en-US" w:eastAsia="zh-CN"/>
        </w:rPr>
        <w:t>招标</w:t>
      </w:r>
      <w:r>
        <w:rPr>
          <w:rFonts w:hint="eastAsia"/>
        </w:rPr>
        <w:t>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工程项目名称：即招标项目所属的工程建设项目，见投标人须知前附表。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246996177"/>
      <w:bookmarkStart w:id="33" w:name="_Toc144974499"/>
      <w:bookmarkStart w:id="34" w:name="_Toc152042307"/>
      <w:bookmarkStart w:id="35" w:name="_Toc152045531"/>
      <w:bookmarkStart w:id="36" w:name="_Toc179632548"/>
      <w:bookmarkStart w:id="37" w:name="_Toc296602422"/>
      <w:bookmarkStart w:id="38" w:name="_Toc247085691"/>
      <w:bookmarkStart w:id="39" w:name="_Toc246996920"/>
      <w:r>
        <w:rPr>
          <w:rFonts w:hint="eastAsia"/>
        </w:rPr>
        <w:t>1.2 招标项目的资金来源和落实情况</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资金落实情况：见投标人须知前附表。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179632549"/>
      <w:bookmarkStart w:id="41" w:name="_Toc296602423"/>
      <w:bookmarkStart w:id="42" w:name="_Toc246996921"/>
      <w:bookmarkStart w:id="43" w:name="_Toc247085692"/>
      <w:bookmarkStart w:id="44" w:name="_Toc152045532"/>
      <w:bookmarkStart w:id="45" w:name="_Toc246996178"/>
      <w:bookmarkStart w:id="46" w:name="_Toc152042308"/>
      <w:bookmarkStart w:id="47" w:name="_Toc144974500"/>
      <w:r>
        <w:rPr>
          <w:rFonts w:hint="eastAsia"/>
        </w:rPr>
        <w:t>1.3 招标范围、计划工期、质量要求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w:t>
      </w:r>
      <w:r>
        <w:rPr>
          <w:rFonts w:hint="eastAsia"/>
        </w:rPr>
        <w:t>.3.1  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交货期：见投标人须知前附表。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交货地点：见投标人须知前附表。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1.3.4  质量标准：见投标人须知前附表。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246996179"/>
      <w:bookmarkStart w:id="49" w:name="_Toc246996922"/>
      <w:bookmarkStart w:id="50" w:name="_Toc296602424"/>
      <w:bookmarkStart w:id="51" w:name="_Toc152045534"/>
      <w:bookmarkStart w:id="52" w:name="_Toc144974502"/>
      <w:bookmarkStart w:id="53" w:name="_Toc179632551"/>
      <w:bookmarkStart w:id="54" w:name="_Toc247085693"/>
      <w:bookmarkStart w:id="55" w:name="_Toc152042310"/>
      <w:r>
        <w:rPr>
          <w:rFonts w:hint="eastAsia"/>
        </w:rPr>
        <w:t>1.4 投标人资格要求</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 1  投标人应具备承担本招标项目资质条件、能力和信誉：</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（1）资质要求：见投标人须知前附表；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（2）财务要求：见投标人须知前附表；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（3）业绩要求：见投标人须知前附表；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（4）信誉要求：见投标人须知前附表；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（5）其他要求：见投标人须知前附表。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投标人为代理经销商的， 对投标人的资质要求包含对制造商的资质要求，对投标人的业绩要求包含对投标材料的业绩要求。需要提交的相关证明材料见本章第 3.5 款的规定。</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1.4.2 投标人须知前附表规定接受联合体投标的，联合体除应符合本章第 1.4.1 项和投标人须知前附表的要求外，还应遵守以下规定：</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（1）联合体各方应按招标文件提供的格式签订联合体协议书，明确联合体牵头人和各方权利义务，并承诺就中标项目向招标人承担连带责任；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（3）联合体各方不得再以自己名义单独或参加其他联合体在本招标项目中投标，否则各相关投标均无效。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投标人不得存在下列情形之一：</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（1）与招标人存在利害关系且可能影响招标公正性；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（2）与本招标项目的其他投标人为同一个单位负责人；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（3）与本招标项目的其他投标人存在控股、管理关系；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（4）与本招标项目其他投标人代理同一个制造商同一品牌同一型号的材料投标；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（5）为本招标项目提供过设计、编制技术规范和其他文件的咨询服务；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（6）为本工程项目的相关监理人，或者与本工程项目的相关监理人存在隶属关系或者其他利害关系；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（7）为本招标项目的代建人；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（8）为本招标项目的招标代理机构；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（9）与本招标项目的监理人或代建人或招标代理机构同为一个法定代表人；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（10）与本招标项目的监理人或代建人或招标代理机构存在控股或参股关系；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（11）被依法暂停或者取消投标资格；</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（12）被责令停产停业、暂扣或者吊销许可证、暂扣或者吊销执照；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（13）进入清算程序，或被宣告破产，或其他丧失履约能力的情形；</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（14）在最近三年内发生重大产品质量问题（以相关行业主管部门的行政处罚决定或司法机关出具的有关法律文书为准）；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（15）被工商行政管理机关在全国企业信用信息公示系统中列入严重违法失信企业名单；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（16）被最高人民法院在“信用中国” 网站（www.creditchina.gov.cn）或各级信用信息共享平台中列入失信被执行人名单；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（17）在近三年内投标人或其法定代表人、拟委任的项目负责人有行贿犯罪行为的（以检察机关职务犯罪预防部门出具的查询结果为准）；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（18）法律法规或投标人须知前附表规定的其他情形。</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152042311"/>
      <w:bookmarkStart w:id="57" w:name="_Toc152045535"/>
      <w:bookmarkStart w:id="58" w:name="_Toc144974503"/>
      <w:bookmarkStart w:id="59" w:name="_Toc246996180"/>
      <w:bookmarkStart w:id="60" w:name="_Toc247085694"/>
      <w:bookmarkStart w:id="61" w:name="_Toc246996923"/>
      <w:bookmarkStart w:id="62" w:name="_Toc179632552"/>
      <w:bookmarkStart w:id="63" w:name="_Toc296602425"/>
      <w:r>
        <w:rPr>
          <w:rFonts w:hint="eastAsia"/>
        </w:rPr>
        <w:t>1.5 费用承担</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152045536"/>
      <w:bookmarkStart w:id="65" w:name="_Toc247085695"/>
      <w:bookmarkStart w:id="66" w:name="_Toc152042312"/>
      <w:bookmarkStart w:id="67" w:name="_Toc246996924"/>
      <w:bookmarkStart w:id="68" w:name="_Toc296602426"/>
      <w:bookmarkStart w:id="69" w:name="_Toc179632553"/>
      <w:bookmarkStart w:id="70" w:name="_Toc144974504"/>
      <w:bookmarkStart w:id="71" w:name="_Toc246996181"/>
      <w:r>
        <w:rPr>
          <w:rFonts w:hint="eastAsia"/>
        </w:rPr>
        <w:t>1.6 保密</w:t>
      </w:r>
      <w:bookmarkEnd w:id="64"/>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05"/>
      <w:bookmarkStart w:id="73" w:name="_Toc246996182"/>
      <w:bookmarkStart w:id="74" w:name="_Toc247085696"/>
      <w:bookmarkStart w:id="75" w:name="_Toc179632554"/>
      <w:bookmarkStart w:id="76" w:name="_Toc246996925"/>
      <w:bookmarkStart w:id="77" w:name="_Toc296602427"/>
      <w:bookmarkStart w:id="78" w:name="_Toc152042313"/>
      <w:bookmarkStart w:id="79" w:name="_Toc152045537"/>
      <w:r>
        <w:rPr>
          <w:rFonts w:hint="eastAsia"/>
        </w:rPr>
        <w:t>1.7 语言</w:t>
      </w:r>
      <w:bookmarkEnd w:id="72"/>
      <w:r>
        <w:rPr>
          <w:rFonts w:hint="eastAsia"/>
        </w:rPr>
        <w:t>文字</w:t>
      </w:r>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0" w:name="_Toc152042314"/>
      <w:bookmarkStart w:id="81" w:name="_Toc247085697"/>
      <w:bookmarkStart w:id="82" w:name="_Toc144974506"/>
      <w:bookmarkStart w:id="83" w:name="_Toc246996183"/>
      <w:bookmarkStart w:id="84" w:name="_Toc152045538"/>
      <w:bookmarkStart w:id="85" w:name="_Toc179632555"/>
      <w:bookmarkStart w:id="86" w:name="_Toc246996926"/>
      <w:r>
        <w:rPr>
          <w:rFonts w:hint="eastAsia"/>
        </w:rPr>
        <w:t>招标投标文件使用的语言文字为中文。专用术语使用外文的，应附有中文注释。</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296602429"/>
      <w:bookmarkStart w:id="89" w:name="_Toc152042315"/>
      <w:bookmarkStart w:id="90" w:name="_Toc247527563"/>
      <w:bookmarkStart w:id="91" w:name="_Toc152045539"/>
      <w:bookmarkStart w:id="92" w:name="_Toc247513962"/>
      <w:bookmarkStart w:id="93" w:name="_Toc247592876"/>
      <w:bookmarkStart w:id="94" w:name="_Toc144974507"/>
      <w:r>
        <w:rPr>
          <w:rFonts w:hint="eastAsia"/>
        </w:rPr>
        <w:t>1.9 踏勘现场</w:t>
      </w:r>
      <w:bookmarkEnd w:id="88"/>
      <w:bookmarkEnd w:id="89"/>
      <w:bookmarkEnd w:id="90"/>
      <w:bookmarkEnd w:id="91"/>
      <w:bookmarkEnd w:id="92"/>
      <w:bookmarkEnd w:id="93"/>
      <w:bookmarkEnd w:id="9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投标人应按投标人须知前附表规定的时间和形式将提出的问题送达招标人，以便招标人在会议期间澄清。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投标预备会后， 招标人将对投标人所提问题的澄清， 以投标人须知前附表规定的形式通知所有购买招标文件的投标人。该澄清内容为招标文件的组成部分。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5" w:name="_Toc247527564"/>
      <w:bookmarkStart w:id="96" w:name="_Toc247513963"/>
      <w:bookmarkStart w:id="97" w:name="_Toc247592877"/>
      <w:bookmarkStart w:id="98" w:name="_Toc152042316"/>
      <w:bookmarkStart w:id="99" w:name="_Toc144974508"/>
      <w:bookmarkStart w:id="100" w:name="_Toc152045540"/>
      <w:bookmarkStart w:id="101" w:name="_Toc296602430"/>
      <w:r>
        <w:rPr>
          <w:rFonts w:hint="eastAsia"/>
        </w:rPr>
        <w:t xml:space="preserve">1.10 </w:t>
      </w:r>
      <w:bookmarkEnd w:id="95"/>
      <w:bookmarkEnd w:id="96"/>
      <w:bookmarkEnd w:id="97"/>
      <w:bookmarkEnd w:id="98"/>
      <w:bookmarkEnd w:id="99"/>
      <w:bookmarkEnd w:id="100"/>
      <w:bookmarkEnd w:id="101"/>
      <w:r>
        <w:rPr>
          <w:rFonts w:hint="eastAsia"/>
          <w:lang w:val="en-US" w:eastAsia="zh-CN"/>
        </w:rPr>
        <w:t>分包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投标人拟在中标后将中标项目的非主体材料进行分包的，应符合投标人须知前附表 规定的分包内容、分包金额和资质要求等限制性条件，除投标人须知前附表规定的非主体材料外，其他工作不得分包。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中标人不得向他人转让中标项目，接受分包的人不得再次分包。中标人应当就分包项目向招标人负责， 接受分包的人就分包项目承担连带责任。</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2" w:name="_Toc296602431"/>
      <w:r>
        <w:rPr>
          <w:rFonts w:hint="eastAsia"/>
        </w:rPr>
        <w:t xml:space="preserve">1.11 </w:t>
      </w:r>
      <w:r>
        <w:rPr>
          <w:rFonts w:hint="eastAsia"/>
          <w:lang w:val="en-US" w:eastAsia="zh-CN"/>
        </w:rPr>
        <w:t>响应和</w:t>
      </w:r>
      <w:r>
        <w:rPr>
          <w:rFonts w:hint="eastAsia"/>
        </w:rPr>
        <w:t>偏</w:t>
      </w:r>
      <w:bookmarkEnd w:id="102"/>
      <w:r>
        <w:rPr>
          <w:rFonts w:hint="eastAsia"/>
          <w:lang w:val="en-US" w:eastAsia="zh-CN"/>
        </w:rPr>
        <w:t>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1.11.1 投标文件应当对招标文件的实质性要求和条件作出满足性或更有利于招标人的响应，否则， 投标人的投标将被否决。实质性要求和条件见投标人须知前附表。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1.11.2  投标人应根据招标文件的要求提供投标材料质量标准的详细描述、技术支持资料及相关服务计划等内容以对招标文件作出响应。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1.11.3  投标文件中应针对实质性要求和条件中列明的技术要求提供技术支持资料。技术支 持资料以制造商公开发布的印刷资料，或检测机构出具的检测报告或投标人须知前附表允许的其他形式为准， 不符合前述要求的， 视为无技术支持资料，其投标将被否决。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1.11.4  投标人须知前附表规定了可以偏差的范围和最高偏差项数的，偏差应当符合投标人须知前附表规定的偏差范围和最高项数， 超出偏差范围和最高偏差项数的投标将被否决。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1.11.5  投标文件对招标文件的全部偏差，均应在投标文件的</w:t>
      </w:r>
      <w:r>
        <w:rPr>
          <w:rFonts w:hint="eastAsia"/>
          <w:lang w:eastAsia="zh-CN"/>
        </w:rPr>
        <w:t>商务评分</w:t>
      </w:r>
      <w:r>
        <w:rPr>
          <w:rFonts w:hint="eastAsia"/>
        </w:rPr>
        <w:t>和技术偏差表中列明，除列明的内容外， 视为投标人响应招标文件的全部要求。</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79632560"/>
      <w:bookmarkStart w:id="104" w:name="_Toc296602432"/>
      <w:bookmarkStart w:id="105" w:name="_Toc152042318"/>
      <w:bookmarkStart w:id="106" w:name="_Toc246996187"/>
      <w:bookmarkStart w:id="107" w:name="_Toc246996930"/>
      <w:bookmarkStart w:id="108" w:name="_Toc144974510"/>
      <w:bookmarkStart w:id="109" w:name="_Toc247085701"/>
      <w:bookmarkStart w:id="110" w:name="_Toc152045542"/>
      <w:r>
        <w:rPr>
          <w:rFonts w:hint="eastAsia"/>
        </w:rPr>
        <w:t>2. 招标文件</w:t>
      </w:r>
      <w:bookmarkEnd w:id="103"/>
      <w:bookmarkEnd w:id="104"/>
      <w:bookmarkEnd w:id="105"/>
      <w:bookmarkEnd w:id="106"/>
      <w:bookmarkEnd w:id="107"/>
      <w:bookmarkEnd w:id="108"/>
      <w:bookmarkEnd w:id="109"/>
      <w:bookmarkEnd w:id="11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152045543"/>
      <w:bookmarkStart w:id="112" w:name="_Toc246996931"/>
      <w:bookmarkStart w:id="113" w:name="_Toc246996188"/>
      <w:bookmarkStart w:id="114" w:name="_Toc247085702"/>
      <w:bookmarkStart w:id="115" w:name="_Toc144974511"/>
      <w:bookmarkStart w:id="116" w:name="_Toc296602433"/>
      <w:bookmarkStart w:id="117" w:name="_Toc152042319"/>
      <w:bookmarkStart w:id="118" w:name="_Toc179632561"/>
      <w:r>
        <w:rPr>
          <w:rFonts w:hint="eastAsia"/>
        </w:rPr>
        <w:t>2.1 招标文件的组成</w:t>
      </w:r>
      <w:bookmarkEnd w:id="111"/>
      <w:bookmarkEnd w:id="112"/>
      <w:bookmarkEnd w:id="113"/>
      <w:bookmarkEnd w:id="114"/>
      <w:bookmarkEnd w:id="115"/>
      <w:bookmarkEnd w:id="116"/>
      <w:bookmarkEnd w:id="117"/>
      <w:bookmarkEnd w:id="11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本招标文件包括：</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（5）供货要求；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根据本章第 1.9 款、第 2.2 款和第 2.3 款对招标文件所作的澄清、修改，构成招标文件的组成部分。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246996189"/>
      <w:bookmarkStart w:id="120" w:name="_Toc144974512"/>
      <w:bookmarkStart w:id="121" w:name="_Toc152045544"/>
      <w:bookmarkStart w:id="122" w:name="_Toc247085703"/>
      <w:bookmarkStart w:id="123" w:name="_Toc152042320"/>
      <w:bookmarkStart w:id="124" w:name="_Toc296602434"/>
      <w:bookmarkStart w:id="125" w:name="_Toc179632562"/>
      <w:bookmarkStart w:id="126" w:name="_Toc246996932"/>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246996933"/>
      <w:bookmarkStart w:id="128" w:name="_Toc152042321"/>
      <w:bookmarkStart w:id="129" w:name="_Toc144974513"/>
      <w:bookmarkStart w:id="130" w:name="_Toc247085704"/>
      <w:bookmarkStart w:id="131" w:name="_Toc152045545"/>
      <w:bookmarkStart w:id="132" w:name="_Toc179632563"/>
      <w:bookmarkStart w:id="133" w:name="_Toc246996190"/>
      <w:bookmarkStart w:id="134" w:name="_Toc296602435"/>
      <w:r>
        <w:rPr>
          <w:rFonts w:hint="eastAsia"/>
        </w:rPr>
        <w:t>2.3 招标文件的修改</w:t>
      </w:r>
      <w:bookmarkEnd w:id="127"/>
      <w:bookmarkEnd w:id="128"/>
      <w:bookmarkEnd w:id="129"/>
      <w:bookmarkEnd w:id="130"/>
      <w:bookmarkEnd w:id="131"/>
      <w:bookmarkEnd w:id="132"/>
      <w:bookmarkEnd w:id="133"/>
      <w:bookmarkEnd w:id="13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w:t>
      </w:r>
      <w:r>
        <w:rPr>
          <w:rFonts w:hint="eastAsia"/>
          <w:lang w:val="en-US" w:eastAsia="zh-CN"/>
        </w:rPr>
        <w:t>3</w:t>
      </w:r>
      <w:r>
        <w:rPr>
          <w:rFonts w:hint="eastAsia"/>
        </w:rPr>
        <w:t>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247085705"/>
      <w:bookmarkStart w:id="136" w:name="_Toc152042322"/>
      <w:bookmarkStart w:id="137" w:name="_Toc152045546"/>
      <w:bookmarkStart w:id="138" w:name="_Toc246996934"/>
      <w:bookmarkStart w:id="139" w:name="_Toc144974514"/>
      <w:bookmarkStart w:id="140" w:name="_Toc246996191"/>
      <w:bookmarkStart w:id="141" w:name="_Toc179632564"/>
      <w:bookmarkStart w:id="142" w:name="_Toc296602436"/>
      <w:r>
        <w:rPr>
          <w:rFonts w:hint="eastAsia"/>
        </w:rPr>
        <w:t>3. 投标文件</w:t>
      </w:r>
      <w:bookmarkEnd w:id="135"/>
      <w:bookmarkEnd w:id="136"/>
      <w:bookmarkEnd w:id="137"/>
      <w:bookmarkEnd w:id="138"/>
      <w:bookmarkEnd w:id="139"/>
      <w:bookmarkEnd w:id="140"/>
      <w:bookmarkEnd w:id="141"/>
      <w:bookmarkEnd w:id="142"/>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152045547"/>
      <w:bookmarkStart w:id="144" w:name="_Toc144974515"/>
      <w:bookmarkStart w:id="145" w:name="_Toc296602437"/>
      <w:bookmarkStart w:id="146" w:name="_Toc247085706"/>
      <w:bookmarkStart w:id="147" w:name="_Toc152042323"/>
      <w:bookmarkStart w:id="148" w:name="_Toc246996935"/>
      <w:bookmarkStart w:id="149" w:name="_Toc179632565"/>
      <w:bookmarkStart w:id="150" w:name="_Toc246996192"/>
      <w:r>
        <w:rPr>
          <w:rFonts w:hint="eastAsia"/>
        </w:rPr>
        <w:t>3.1 投标文件的组成</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  投标文件的组成</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3.1.1  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一、投标函</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二、法定代表人（单位负责人）身份证明（适用于无委托代理人的情况）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二、授权委托书（适用于有委托代理人的情况）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三、投标保证金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四、</w:t>
      </w:r>
      <w:r>
        <w:rPr>
          <w:rFonts w:hint="eastAsia"/>
          <w:lang w:eastAsia="zh-CN"/>
        </w:rPr>
        <w:t>商务评分</w:t>
      </w:r>
      <w:r>
        <w:rPr>
          <w:rFonts w:hint="eastAsia"/>
        </w:rPr>
        <w:t>和技术偏差表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五、分项报价表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六、资格审查资料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七、投标产品性能指标的详细描述</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八、技术支持资料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九、相关服务计划</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十、其他资料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投标人在评标过程中作出的符合法律法规和招标文件规定的澄清确认， 构成投标文件的组成部分。</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3.1.2  投标人须知前附表规定不接受联合体投标的， 或投标人没有组成联合体的， 投标文件不包括本章第 3.1.1（3） 目所指的联合体协议书。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3.1.3  投标人须知前附表未要求提交投标保证金的， 投标文件不包括本章第 3.1.1（4）目所指的投标保证金。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1" w:name="_Toc247085707"/>
      <w:bookmarkStart w:id="152" w:name="_Toc246996193"/>
      <w:bookmarkStart w:id="153" w:name="_Toc152042324"/>
      <w:bookmarkStart w:id="154" w:name="_Toc246996936"/>
      <w:bookmarkStart w:id="155" w:name="_Toc144974516"/>
      <w:bookmarkStart w:id="156" w:name="_Toc296602438"/>
      <w:bookmarkStart w:id="157" w:name="_Toc152045548"/>
      <w:bookmarkStart w:id="158" w:name="_Toc179632566"/>
      <w:r>
        <w:rPr>
          <w:rFonts w:hint="eastAsia"/>
        </w:rPr>
        <w:t>3.2 投标报价</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59" w:name="_Toc152045549"/>
      <w:bookmarkStart w:id="160" w:name="_Toc152042325"/>
      <w:bookmarkStart w:id="161" w:name="_Toc179632567"/>
      <w:bookmarkStart w:id="162" w:name="_Toc144974517"/>
      <w:r>
        <w:rPr>
          <w:rFonts w:hint="eastAsia"/>
        </w:rPr>
        <w:t>3.2.1  投标报价应包括国家规定的增值税税金， 除投标人须知前附表另有规定外， 增值税税金按一般计税方法计算。投标人应按第六章“投标文件格式” 的要求在投标函中进行报价并填写分项报价表。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投标人应充分了解该项目的总体情况以及影响投标报价的其他要素。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投标报价为各分项报价金额之和，投标报价与分项报价的合价不一致的，应以各分项合价累计数为准， 修正投标报价； 如分项报价中存在缺漏项，则视为缺漏项价格已包含在其他 分项报价之中。 投标人在投标截止时间前修改投标函中的投标报价总额，应同时修改投标文件“分项报价表” 中的相应报价。此修改须符合本章第 4.3 款的有关要求。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3.2.4  招标人设有最高投标限价的，投标人的投标报价不得超过最高投标限价，最高投标限价在投标人须知前附表中载明。</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3.2.5  投标报价的其他要求见投标人须知前附表。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3" w:name="_Toc296602439"/>
      <w:bookmarkStart w:id="164" w:name="_Toc246996194"/>
      <w:bookmarkStart w:id="165" w:name="_Toc246996937"/>
      <w:bookmarkStart w:id="166" w:name="_Toc247085708"/>
      <w:r>
        <w:rPr>
          <w:rFonts w:hint="eastAsia"/>
        </w:rPr>
        <w:t>3.3 投标有效期</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w:t>
      </w:r>
      <w:r>
        <w:rPr>
          <w:rFonts w:hint="eastAsia"/>
          <w:lang w:val="en-US" w:eastAsia="zh-CN"/>
        </w:rPr>
        <w:t>9</w:t>
      </w:r>
      <w:r>
        <w:rPr>
          <w:rFonts w:hint="eastAsia"/>
        </w:rPr>
        <w:t>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246996938"/>
      <w:bookmarkStart w:id="168" w:name="_Toc246996195"/>
      <w:bookmarkStart w:id="169" w:name="_Toc152045550"/>
      <w:bookmarkStart w:id="170" w:name="_Toc152042326"/>
      <w:bookmarkStart w:id="171" w:name="_Toc247085709"/>
      <w:bookmarkStart w:id="172" w:name="_Toc179632568"/>
      <w:bookmarkStart w:id="173" w:name="_Toc144974518"/>
      <w:bookmarkStart w:id="174" w:name="_Toc296602440"/>
      <w:r>
        <w:rPr>
          <w:rFonts w:hint="eastAsia"/>
        </w:rPr>
        <w:t>3.4 投标保证金</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w:t>
      </w:r>
      <w:r>
        <w:rPr>
          <w:rFonts w:hint="eastAsia"/>
          <w:lang w:val="en-US" w:eastAsia="zh-CN"/>
        </w:rPr>
        <w:t>六</w:t>
      </w:r>
      <w:r>
        <w:rPr>
          <w:rFonts w:hint="eastAsia"/>
        </w:rPr>
        <w:t>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179632570"/>
      <w:bookmarkStart w:id="176" w:name="_Toc247085710"/>
      <w:bookmarkStart w:id="177" w:name="_Toc246996939"/>
      <w:bookmarkStart w:id="178" w:name="_Toc152045552"/>
      <w:bookmarkStart w:id="179" w:name="_Toc152042328"/>
      <w:bookmarkStart w:id="180" w:name="_Toc296602441"/>
      <w:bookmarkStart w:id="181" w:name="_Toc144974520"/>
      <w:bookmarkStart w:id="182" w:name="_Toc246996196"/>
      <w:r>
        <w:rPr>
          <w:rFonts w:hint="eastAsia"/>
        </w:rPr>
        <w:t>3.5 资格审查资料</w:t>
      </w:r>
      <w:bookmarkEnd w:id="175"/>
      <w:bookmarkEnd w:id="176"/>
      <w:bookmarkEnd w:id="177"/>
      <w:bookmarkEnd w:id="178"/>
      <w:bookmarkEnd w:id="179"/>
      <w:bookmarkEnd w:id="180"/>
      <w:bookmarkEnd w:id="181"/>
      <w:bookmarkEnd w:id="18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除投标人须知前附表另有规定外，投标人应按下列规定提供资格审查资料，以证明其满足本章第 1.4 款规定的资质、财务、业绩、信誉等要求。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 “投标人基本情况表”应附投标人及其制造商（适用于代理经销商投标的情形） 资格或者资质证书副本和投标材料检验或认证等材料的复印件以及：</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（1）投标人为企业的，应提交营业执照和组织机构代码证的复印件（按照“三证合一”或“五证合一”登记制度进行登记的，可仅提供营业执照复印件）；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（2）投标人为依法允许经营的事业单位的，应提交事业单位法人证书和组织机构代码证的复印件。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 “近年财务状况表”应附经会计师事务所或审计机构审计的财务会计报表，包括资产负 债表、现金流量表、利润表和财务情况说明书的复印件，具体年份要求见投标人须知前附表。投标人的成立时间少于投标人须知前附表规定年份的，应提供成立以来的财务状况表。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 “近年完成的类似项目情况表”应附中标通知书和（或）合同协议书、材料进场验收证书等的复印件， 具体时间要求见投标人须知前附表。每张表格只填写一个项目，并标明序号。</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“正在供货和新承接的项目情况表”应附中标通知书和（或）合同协议书复印件。每张表格只填写一个项目，并标明序号。</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3.5.5 “近年发生的诉讼及仲裁情况”应说明投标人败诉的材料买卖合同的相关情况， 并附法院或仲裁机构作出的判决、裁决等有关法律文书复印件， 具体时间要求见投标人须知前附表。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3.5.6  投标人须知前附表规定接受联合体投标的，本章第 3.5.1 项至第 3.5.5 项规定的表格和资料应包括联合体各方相关情况。</w:t>
      </w:r>
    </w:p>
    <w:p>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296602442"/>
      <w:bookmarkStart w:id="184" w:name="_Toc247085711"/>
      <w:bookmarkStart w:id="185" w:name="_Toc246996940"/>
      <w:bookmarkStart w:id="186" w:name="_Toc144974521"/>
      <w:bookmarkStart w:id="187" w:name="_Toc246996197"/>
      <w:bookmarkStart w:id="188" w:name="_Toc179632571"/>
      <w:bookmarkStart w:id="189" w:name="_Toc152045553"/>
      <w:bookmarkStart w:id="190" w:name="_Toc152042329"/>
      <w:r>
        <w:rPr>
          <w:rFonts w:hint="eastAsia"/>
        </w:rPr>
        <w:t>3.6</w:t>
      </w:r>
      <w:bookmarkEnd w:id="183"/>
      <w:r>
        <w:rPr>
          <w:rFonts w:hint="eastAsia"/>
          <w:lang w:val="en-US" w:eastAsia="zh-CN"/>
        </w:rPr>
        <w:t>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  除投标人须知前附表规定允许外，投标人不得递交备选投标方案， 否则其投标将被否决。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3.6.2  允许投标人递交备选投标方案的，只有中标人所递交的备选投标方案方可予以考虑。 评标委员会认为中标人的备选投标方案优于其按照招标文件要求编制的投标方案的，招标人可以接受该备选投标方案。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  投标人提供两个或两个以上投标报价，或者在投标文件中提供一个报价，但同时提供两个或两个以上供货方案的， 视为提供备选方案。</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3.7  投标文件的编制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3.7.1  投标文件应按第六章“投标文件格式”进行编写，如有必要， 可以增加附页， 作为投标文件的组成部分。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3.7.2  投标文件应当对招标文件有关供货期、投标有效期、供货要求、招标范围等实质性内容作出响应。 投标文件在满足招标文件实质性要求的基础上，可以提出比招标文件要求更有利于招标人的承诺。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3.7.3（1）投标文件应用不褪色的材料书写或打印， 投标函及对投标文件的澄清、说明和补正应由投标人的法定代表人（单位负责人）或其授权的代理人签字或盖单位章。 由投标人的法定代表人（单位负责人）签字的，应附法定代表人（单位负责人）身份证明，由代理人签字的，应附授权委托书，身份证明或授权委托书应符合第六章“投标文件格式” 的要求。投标文件应尽量避免涂改、行间插字或删除。如果出现上述情况，改动之处应由投标人的法定代表人（单位负责人）或其授权的代理人签字或盖单位章。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（2）投标文件正本一份，副本份数见投标人须知前附表。正本和副本的封面右上角上应清楚地标记“正本”或“副本” 的字样。投标人应根据投标人须知前附表要求提供电子版文件。当副本和正本不一致或电子版文件和纸质正本文件不一致时， 以纸质正本文件为准。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（3）投标文件的正本与副本应分别装订， 并编制目录， 投标文件需分册装订的， 具体分册装订要求见投标人须知前附表规定。</w:t>
      </w:r>
      <w:bookmarkEnd w:id="184"/>
      <w:bookmarkEnd w:id="185"/>
      <w:bookmarkEnd w:id="186"/>
      <w:bookmarkEnd w:id="187"/>
      <w:bookmarkEnd w:id="188"/>
      <w:bookmarkEnd w:id="189"/>
      <w:bookmarkEnd w:id="190"/>
      <w:bookmarkStart w:id="191" w:name="_Toc246996942"/>
      <w:bookmarkStart w:id="192" w:name="_Toc179632573"/>
      <w:bookmarkStart w:id="193" w:name="_Toc152045555"/>
      <w:bookmarkStart w:id="194" w:name="_Toc247085713"/>
      <w:bookmarkStart w:id="195" w:name="_Toc144974523"/>
      <w:bookmarkStart w:id="196" w:name="_Toc246996199"/>
      <w:bookmarkStart w:id="197" w:name="_Toc152042331"/>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98" w:name="_Toc296602443"/>
      <w:r>
        <w:rPr>
          <w:rFonts w:hint="eastAsia"/>
        </w:rPr>
        <w:t>4. 投标</w:t>
      </w:r>
      <w:bookmarkEnd w:id="191"/>
      <w:bookmarkEnd w:id="192"/>
      <w:bookmarkEnd w:id="193"/>
      <w:bookmarkEnd w:id="194"/>
      <w:bookmarkEnd w:id="195"/>
      <w:bookmarkEnd w:id="196"/>
      <w:bookmarkEnd w:id="197"/>
      <w:bookmarkEnd w:id="198"/>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247085714"/>
      <w:bookmarkStart w:id="200" w:name="_Toc152042332"/>
      <w:bookmarkStart w:id="201" w:name="_Toc179632574"/>
      <w:bookmarkStart w:id="202" w:name="_Toc296602444"/>
      <w:bookmarkStart w:id="203" w:name="_Toc144974524"/>
      <w:bookmarkStart w:id="204" w:name="_Toc246996943"/>
      <w:bookmarkStart w:id="205" w:name="_Toc152045556"/>
      <w:bookmarkStart w:id="206" w:name="_Toc246996200"/>
      <w:r>
        <w:rPr>
          <w:rFonts w:hint="eastAsia"/>
        </w:rPr>
        <w:t>4.1 投标文件的密封和标记</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207" w:name="_Toc179632575"/>
      <w:bookmarkStart w:id="208" w:name="_Toc246996201"/>
      <w:bookmarkStart w:id="209" w:name="_Toc144974525"/>
      <w:bookmarkStart w:id="210" w:name="_Toc246996944"/>
      <w:bookmarkStart w:id="211" w:name="_Toc152042333"/>
      <w:bookmarkStart w:id="212" w:name="_Toc152045557"/>
      <w:bookmarkStart w:id="213" w:name="_Toc247085715"/>
      <w:r>
        <w:rPr>
          <w:rFonts w:hint="eastAsia"/>
        </w:rPr>
        <w:t>4.1.1 （A）投标文件应密封包装，并在封套的封口处加盖投标人单位章或由投标人的法定代表人（单位负责人）或其授权的代理人签字。</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 4.1.1 项要求密封的投标文件，招标人将予以拒收。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投标人应在投标人须知前附表规定的投标截止时间前递交投标文件。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 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w:t>
      </w:r>
      <w:r>
        <w:rPr>
          <w:rFonts w:hint="eastAsia"/>
          <w:lang w:val="en-US" w:eastAsia="zh-CN"/>
        </w:rPr>
        <w:t xml:space="preserve"> </w:t>
      </w:r>
      <w:r>
        <w:rPr>
          <w:rFonts w:hint="eastAsia"/>
        </w:rPr>
        <w:t>逾期送达的投标文件，招标人将予以拒收。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152045558"/>
      <w:bookmarkStart w:id="216" w:name="_Toc247085716"/>
      <w:bookmarkStart w:id="217" w:name="_Toc144974526"/>
      <w:bookmarkStart w:id="218" w:name="_Toc246996945"/>
      <w:bookmarkStart w:id="219" w:name="_Toc246996202"/>
      <w:bookmarkStart w:id="220" w:name="_Toc179632576"/>
      <w:bookmarkStart w:id="221" w:name="_Toc296602446"/>
      <w:bookmarkStart w:id="222" w:name="_Toc152042334"/>
      <w:r>
        <w:rPr>
          <w:rFonts w:hint="eastAsia"/>
        </w:rPr>
        <w:t>4.3 投标文件的修改与撤回</w:t>
      </w:r>
      <w:bookmarkEnd w:id="215"/>
      <w:bookmarkEnd w:id="216"/>
      <w:bookmarkEnd w:id="217"/>
      <w:bookmarkEnd w:id="218"/>
      <w:bookmarkEnd w:id="219"/>
      <w:bookmarkEnd w:id="220"/>
      <w:bookmarkEnd w:id="221"/>
      <w:bookmarkEnd w:id="2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 4.2.1 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4.3.2 </w:t>
      </w:r>
      <w:r>
        <w:rPr>
          <w:rFonts w:hint="eastAsia"/>
          <w:lang w:val="en-US" w:eastAsia="zh-CN"/>
        </w:rPr>
        <w:t xml:space="preserve"> </w:t>
      </w:r>
      <w:r>
        <w:rPr>
          <w:rFonts w:hint="eastAsia"/>
        </w:rPr>
        <w:t>投标人修改或撤回已递交投标文件的书面通知应按照本章第 3.7.3（A）项的要</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求签字或盖章。招标人收到书面通知后， 向投标人出具签收凭证。</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 5 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 3 条、第 4 条的规定进行编制、密封、标记和递交，并标明“修改”字样。</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247085717"/>
      <w:bookmarkStart w:id="224" w:name="_Toc246996946"/>
      <w:bookmarkStart w:id="225" w:name="_Toc296602447"/>
      <w:bookmarkStart w:id="226" w:name="_Toc246996203"/>
      <w:bookmarkStart w:id="227" w:name="_Toc179632577"/>
      <w:bookmarkStart w:id="228" w:name="_Toc152042335"/>
      <w:bookmarkStart w:id="229" w:name="_Toc152045559"/>
      <w:bookmarkStart w:id="230" w:name="_Toc144974527"/>
      <w:r>
        <w:rPr>
          <w:rFonts w:hint="eastAsia"/>
        </w:rPr>
        <w:t>5. 开标</w:t>
      </w:r>
      <w:bookmarkEnd w:id="223"/>
      <w:bookmarkEnd w:id="224"/>
      <w:bookmarkEnd w:id="225"/>
      <w:bookmarkEnd w:id="226"/>
      <w:bookmarkEnd w:id="227"/>
      <w:bookmarkEnd w:id="228"/>
      <w:bookmarkEnd w:id="229"/>
      <w:bookmarkEnd w:id="23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296602448"/>
      <w:bookmarkStart w:id="232" w:name="_Toc179632578"/>
      <w:bookmarkStart w:id="233" w:name="_Toc152042336"/>
      <w:bookmarkStart w:id="234" w:name="_Toc246996947"/>
      <w:bookmarkStart w:id="235" w:name="_Toc247085718"/>
      <w:bookmarkStart w:id="236" w:name="_Toc152045560"/>
      <w:bookmarkStart w:id="237" w:name="_Toc144974528"/>
      <w:bookmarkStart w:id="238" w:name="_Toc246996204"/>
      <w:r>
        <w:rPr>
          <w:rFonts w:hint="eastAsia"/>
        </w:rPr>
        <w:t>5.1 开标时间和地点</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 4.2.1 项规定的投标截止时间（开标时间） 和投标人须知前附表规定的地点公开开标， 并邀请所有投标人的法定代表人（单位负责人）或其委托代理人准时参加。</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246996948"/>
      <w:bookmarkStart w:id="240" w:name="_Toc144974529"/>
      <w:bookmarkStart w:id="241" w:name="_Toc179632579"/>
      <w:bookmarkStart w:id="242" w:name="_Toc152042337"/>
      <w:bookmarkStart w:id="243" w:name="_Toc247085719"/>
      <w:bookmarkStart w:id="244" w:name="_Toc246996205"/>
      <w:bookmarkStart w:id="245" w:name="_Toc296602449"/>
      <w:bookmarkStart w:id="246" w:name="_Toc152045561"/>
      <w:r>
        <w:rPr>
          <w:rFonts w:hint="eastAsia"/>
        </w:rPr>
        <w:t>5.2 开标程序</w:t>
      </w:r>
      <w:bookmarkEnd w:id="239"/>
      <w:bookmarkEnd w:id="240"/>
      <w:bookmarkEnd w:id="241"/>
      <w:bookmarkEnd w:id="242"/>
      <w:bookmarkEnd w:id="243"/>
      <w:bookmarkEnd w:id="244"/>
      <w:bookmarkEnd w:id="245"/>
      <w:bookmarkEnd w:id="246"/>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5.2.1</w:t>
      </w:r>
      <w:r>
        <w:rPr>
          <w:rFonts w:hint="eastAsia"/>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（2）公布在投标截止时间前递交投标文件的投标人名称；</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（3）宣布开标人、唱标人、记录人、监标人等有关人员</w:t>
      </w:r>
      <w:r>
        <w:rPr>
          <w:rFonts w:hint="eastAsia"/>
          <w:lang w:eastAsia="zh-CN"/>
        </w:rPr>
        <w:t>（</w:t>
      </w:r>
      <w:r>
        <w:rPr>
          <w:rFonts w:hint="eastAsia"/>
          <w:lang w:val="en-US" w:eastAsia="zh-CN"/>
        </w:rPr>
        <w:t>如有</w:t>
      </w:r>
      <w:r>
        <w:rPr>
          <w:rFonts w:hint="eastAsia"/>
          <w:lang w:eastAsia="zh-CN"/>
        </w:rPr>
        <w:t>）</w:t>
      </w:r>
      <w:r>
        <w:rPr>
          <w:rFonts w:hint="eastAsia"/>
        </w:rPr>
        <w:t>姓名；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（4）检查投标文件的密封情况，按照投标人须知前附表规定的开标顺序当众开标， 公布招标项目名称、投标人名称、投标保证金的递交情况、投标报价、交货期、交货地点及其他内容，并记录在案；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（5）投标人代表、招标人代表、监标人、记录人等有关人员</w:t>
      </w:r>
      <w:r>
        <w:rPr>
          <w:rFonts w:hint="eastAsia"/>
          <w:lang w:eastAsia="zh-CN"/>
        </w:rPr>
        <w:t>（</w:t>
      </w:r>
      <w:r>
        <w:rPr>
          <w:rFonts w:hint="eastAsia"/>
          <w:lang w:val="en-US" w:eastAsia="zh-CN"/>
        </w:rPr>
        <w:t>如有</w:t>
      </w:r>
      <w:r>
        <w:rPr>
          <w:rFonts w:hint="eastAsia"/>
          <w:lang w:eastAsia="zh-CN"/>
        </w:rPr>
        <w:t>）</w:t>
      </w:r>
      <w:r>
        <w:rPr>
          <w:rFonts w:hint="eastAsia"/>
        </w:rPr>
        <w:t>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7" w:name="_Toc296602450"/>
      <w:r>
        <w:rPr>
          <w:rFonts w:hint="eastAsia"/>
        </w:rPr>
        <w:t>5.3 开标异议</w:t>
      </w:r>
      <w:bookmarkEnd w:id="247"/>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152045562"/>
      <w:bookmarkStart w:id="249" w:name="_Toc179632580"/>
      <w:bookmarkStart w:id="250" w:name="_Toc144974530"/>
      <w:bookmarkStart w:id="251" w:name="_Toc247085720"/>
      <w:bookmarkStart w:id="252" w:name="_Toc152042338"/>
      <w:bookmarkStart w:id="253" w:name="_Toc246996206"/>
      <w:bookmarkStart w:id="254" w:name="_Toc296602451"/>
      <w:bookmarkStart w:id="255" w:name="_Toc246996949"/>
      <w:r>
        <w:rPr>
          <w:rFonts w:hint="eastAsia"/>
        </w:rPr>
        <w:t>6. 评标</w:t>
      </w:r>
      <w:bookmarkEnd w:id="248"/>
      <w:bookmarkEnd w:id="249"/>
      <w:bookmarkEnd w:id="250"/>
      <w:bookmarkEnd w:id="251"/>
      <w:bookmarkEnd w:id="252"/>
      <w:bookmarkEnd w:id="253"/>
      <w:bookmarkEnd w:id="254"/>
      <w:bookmarkEnd w:id="2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152045563"/>
      <w:bookmarkStart w:id="257" w:name="_Toc179632581"/>
      <w:bookmarkStart w:id="258" w:name="_Toc296602452"/>
      <w:bookmarkStart w:id="259" w:name="_Toc246996207"/>
      <w:bookmarkStart w:id="260" w:name="_Toc247085721"/>
      <w:bookmarkStart w:id="261" w:name="_Toc144974531"/>
      <w:bookmarkStart w:id="262" w:name="_Toc246996950"/>
      <w:bookmarkStart w:id="263" w:name="_Toc152042339"/>
      <w:r>
        <w:rPr>
          <w:rFonts w:hint="eastAsia"/>
        </w:rPr>
        <w:t>6.1 评标委员会</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6.1.1  评标由招标人依法组建的评标委员会负责。评标委员会由招标人或其委托的招标代理 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6.1.2  评标委员会成员有下列情形之一的， 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 可能影响对投标公正评审的；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w:t>
      </w:r>
    </w:p>
    <w:p>
      <w:pPr>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6.1.3  评标过程中， 评标委员会成员有回避事由、擅离职守或者因健康等原因不能继续评标的，招标人有权更换。被更换的评标委员会成员作出的评审结论无效，由更换后的评标委员会成员重新进行评审。</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246996951"/>
      <w:bookmarkStart w:id="265" w:name="_Toc296602453"/>
      <w:bookmarkStart w:id="266" w:name="_Toc144974532"/>
      <w:bookmarkStart w:id="267" w:name="_Toc179632582"/>
      <w:bookmarkStart w:id="268" w:name="_Toc152045564"/>
      <w:bookmarkStart w:id="269" w:name="_Toc247085722"/>
      <w:bookmarkStart w:id="270" w:name="_Toc152042340"/>
      <w:bookmarkStart w:id="271" w:name="_Toc246996208"/>
      <w:r>
        <w:rPr>
          <w:rFonts w:hint="eastAsia"/>
        </w:rPr>
        <w:t>6.2 评标原则</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152045565"/>
      <w:bookmarkStart w:id="273" w:name="_Toc246996952"/>
      <w:bookmarkStart w:id="274" w:name="_Toc246996209"/>
      <w:bookmarkStart w:id="275" w:name="_Toc152042341"/>
      <w:bookmarkStart w:id="276" w:name="_Toc144974533"/>
      <w:bookmarkStart w:id="277" w:name="_Toc296602454"/>
      <w:bookmarkStart w:id="278" w:name="_Toc247085723"/>
      <w:bookmarkStart w:id="279" w:name="_Toc179632583"/>
      <w:r>
        <w:rPr>
          <w:rFonts w:hint="eastAsia"/>
        </w:rPr>
        <w:t>6.3 评标</w:t>
      </w:r>
      <w:bookmarkEnd w:id="272"/>
      <w:bookmarkEnd w:id="273"/>
      <w:bookmarkEnd w:id="274"/>
      <w:bookmarkEnd w:id="275"/>
      <w:bookmarkEnd w:id="276"/>
      <w:bookmarkEnd w:id="277"/>
      <w:bookmarkEnd w:id="278"/>
      <w:bookmarkEnd w:id="27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6.3.1 评标委员会按照第三章“评标办法”规定的方法、评审因素、标准和程序对投标文件进行评审。第三章“评标办法”没有规定的方法、评审因素和标准， 不作为评标依据。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6.3.2 评标完成后， 评标委员会应当向招标人提交书面评标报告和中标候选人名单。评标委员会推荐中标候选人的人数见投标人须知前附表。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247085724"/>
      <w:bookmarkStart w:id="281" w:name="_Toc246996210"/>
      <w:bookmarkStart w:id="282" w:name="_Toc152045566"/>
      <w:bookmarkStart w:id="283" w:name="_Toc179632584"/>
      <w:bookmarkStart w:id="284" w:name="_Toc296602455"/>
      <w:bookmarkStart w:id="285" w:name="_Toc144974534"/>
      <w:bookmarkStart w:id="286" w:name="_Toc152042342"/>
      <w:bookmarkStart w:id="287" w:name="_Toc246996953"/>
      <w:r>
        <w:rPr>
          <w:rFonts w:hint="eastAsia"/>
        </w:rPr>
        <w:t>7. 合同授予</w:t>
      </w:r>
      <w:bookmarkEnd w:id="280"/>
      <w:bookmarkEnd w:id="281"/>
      <w:bookmarkEnd w:id="282"/>
      <w:bookmarkEnd w:id="283"/>
      <w:bookmarkEnd w:id="284"/>
      <w:bookmarkEnd w:id="285"/>
      <w:bookmarkEnd w:id="286"/>
      <w:bookmarkEnd w:id="287"/>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88" w:name="_Toc296602457"/>
      <w:r>
        <w:rPr>
          <w:rFonts w:hint="eastAsia"/>
        </w:rPr>
        <w:t>7.</w:t>
      </w:r>
      <w:r>
        <w:rPr>
          <w:rFonts w:hint="eastAsia"/>
          <w:lang w:val="en-US" w:eastAsia="zh-CN"/>
        </w:rPr>
        <w:t>1</w:t>
      </w:r>
      <w:r>
        <w:rPr>
          <w:rFonts w:hint="eastAsia"/>
        </w:rPr>
        <w:t xml:space="preserve"> 中标候选人公示</w:t>
      </w:r>
      <w:bookmarkEnd w:id="28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招标人在收到评标报告之日起 3 日内， 按照投标人须知前附表规定的公示媒介和期限公示中标候选人，公示期不得少于 3 天。</w:t>
      </w:r>
    </w:p>
    <w:p>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89" w:name="_Toc246996955"/>
      <w:bookmarkStart w:id="290" w:name="_Toc152045568"/>
      <w:bookmarkStart w:id="291" w:name="_Toc246996212"/>
      <w:bookmarkStart w:id="292" w:name="_Toc144974536"/>
      <w:bookmarkStart w:id="293" w:name="_Toc247085726"/>
      <w:bookmarkStart w:id="294" w:name="_Toc179632586"/>
      <w:bookmarkStart w:id="295" w:name="_Toc296602458"/>
      <w:bookmarkStart w:id="296" w:name="_Toc152042344"/>
      <w:r>
        <w:rPr>
          <w:rFonts w:hint="eastAsia"/>
        </w:rPr>
        <w:t>7.</w:t>
      </w:r>
      <w:r>
        <w:rPr>
          <w:rFonts w:hint="eastAsia"/>
          <w:lang w:val="en-US" w:eastAsia="zh-CN"/>
        </w:rPr>
        <w:t>2</w:t>
      </w:r>
      <w:r>
        <w:rPr>
          <w:rFonts w:hint="eastAsia"/>
        </w:rPr>
        <w:t xml:space="preserve"> </w:t>
      </w:r>
      <w:bookmarkEnd w:id="289"/>
      <w:bookmarkEnd w:id="290"/>
      <w:bookmarkEnd w:id="291"/>
      <w:bookmarkEnd w:id="292"/>
      <w:bookmarkEnd w:id="293"/>
      <w:bookmarkEnd w:id="294"/>
      <w:bookmarkEnd w:id="295"/>
      <w:bookmarkEnd w:id="296"/>
      <w:r>
        <w:rPr>
          <w:rFonts w:hint="eastAsia"/>
          <w:lang w:val="en-US" w:eastAsia="zh-CN"/>
        </w:rPr>
        <w:t>评标结果异议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投标人或者其他利害关系人对评标结果有异议的， 应当在中标候选人公示期间提出。招标人将在收到异议之日起 3 日内作出答复； 作出答复前，将暂停招标投标活动。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97" w:name="_Toc246996213"/>
      <w:bookmarkStart w:id="298" w:name="_Toc179632587"/>
      <w:bookmarkStart w:id="299" w:name="_Toc152045569"/>
      <w:bookmarkStart w:id="300" w:name="_Toc152042345"/>
      <w:bookmarkStart w:id="301" w:name="_Toc246996956"/>
      <w:bookmarkStart w:id="302" w:name="_Toc247085727"/>
      <w:bookmarkStart w:id="303" w:name="_Toc296602459"/>
      <w:bookmarkStart w:id="304" w:name="_Toc144974537"/>
      <w:r>
        <w:rPr>
          <w:rFonts w:hint="eastAsia"/>
        </w:rPr>
        <w:t>7.</w:t>
      </w:r>
      <w:r>
        <w:rPr>
          <w:rFonts w:hint="eastAsia"/>
          <w:lang w:val="en-US" w:eastAsia="zh-CN"/>
        </w:rPr>
        <w:t>3</w:t>
      </w:r>
      <w:r>
        <w:rPr>
          <w:rFonts w:hint="eastAsia"/>
        </w:rPr>
        <w:t xml:space="preserve"> </w:t>
      </w:r>
      <w:bookmarkEnd w:id="297"/>
      <w:bookmarkEnd w:id="298"/>
      <w:bookmarkEnd w:id="299"/>
      <w:bookmarkEnd w:id="300"/>
      <w:bookmarkEnd w:id="301"/>
      <w:bookmarkEnd w:id="302"/>
      <w:bookmarkEnd w:id="303"/>
      <w:bookmarkEnd w:id="304"/>
      <w:r>
        <w:rPr>
          <w:rFonts w:hint="eastAsia"/>
        </w:rPr>
        <w:t>中标候选人履约能力审查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中标候选人的经营、财务状况发生较大变化或存在违法行为，招标人认为可能影响其履约能力的，将在发出中标通知书前提请原评标委员会按照招标文件规定的标准和方法进行审查确认。</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05" w:name="_Toc296602460"/>
      <w:bookmarkStart w:id="306" w:name="_Toc246996214"/>
      <w:bookmarkStart w:id="307" w:name="_Toc144974538"/>
      <w:bookmarkStart w:id="308" w:name="_Toc152042346"/>
      <w:bookmarkStart w:id="309" w:name="_Toc179632588"/>
      <w:bookmarkStart w:id="310" w:name="_Toc247085728"/>
      <w:bookmarkStart w:id="311" w:name="_Toc152045570"/>
      <w:bookmarkStart w:id="312" w:name="_Toc246996957"/>
      <w:r>
        <w:rPr>
          <w:rFonts w:hint="eastAsia"/>
        </w:rPr>
        <w:t>7.</w:t>
      </w:r>
      <w:r>
        <w:rPr>
          <w:rFonts w:hint="eastAsia"/>
          <w:lang w:val="en-US" w:eastAsia="zh-CN"/>
        </w:rPr>
        <w:t>4</w:t>
      </w:r>
      <w:r>
        <w:rPr>
          <w:rFonts w:hint="eastAsia"/>
        </w:rPr>
        <w:t xml:space="preserve"> </w:t>
      </w:r>
      <w:bookmarkEnd w:id="305"/>
      <w:bookmarkEnd w:id="306"/>
      <w:bookmarkEnd w:id="307"/>
      <w:bookmarkEnd w:id="308"/>
      <w:bookmarkEnd w:id="309"/>
      <w:bookmarkEnd w:id="310"/>
      <w:bookmarkEnd w:id="311"/>
      <w:bookmarkEnd w:id="312"/>
      <w:r>
        <w:rPr>
          <w:rFonts w:hint="eastAsia"/>
          <w:lang w:val="en-US" w:eastAsia="zh-CN"/>
        </w:rPr>
        <w:t>定标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按照投标人须知前附表的规定， 招标人或招标人授权的评标委员会依法确定中标人。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r>
        <w:rPr>
          <w:rFonts w:hint="eastAsia"/>
        </w:rPr>
        <w:t>7.</w:t>
      </w:r>
      <w:r>
        <w:rPr>
          <w:rFonts w:hint="eastAsia"/>
          <w:lang w:val="en-US" w:eastAsia="zh-CN"/>
        </w:rPr>
        <w:t>5</w:t>
      </w:r>
      <w:r>
        <w:rPr>
          <w:rFonts w:hint="eastAsia"/>
        </w:rPr>
        <w:t xml:space="preserve"> </w:t>
      </w:r>
      <w:r>
        <w:rPr>
          <w:rFonts w:hint="eastAsia"/>
          <w:lang w:val="en-US" w:eastAsia="zh-CN"/>
        </w:rPr>
        <w:t>中标通知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在本章第 3.3 款规定的投标有效期内，招标人以书面形式向中标人发出中标通知书，同时将中标结果通知未中标的投标人。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r>
        <w:rPr>
          <w:rFonts w:hint="eastAsia"/>
        </w:rPr>
        <w:t>7.</w:t>
      </w:r>
      <w:r>
        <w:rPr>
          <w:rFonts w:hint="eastAsia"/>
          <w:lang w:val="en-US" w:eastAsia="zh-CN"/>
        </w:rPr>
        <w:t>6</w:t>
      </w:r>
      <w:r>
        <w:rPr>
          <w:rFonts w:hint="eastAsia"/>
        </w:rPr>
        <w:t xml:space="preserve"> </w:t>
      </w:r>
      <w:r>
        <w:rPr>
          <w:rFonts w:hint="eastAsia"/>
          <w:lang w:val="en-US" w:eastAsia="zh-CN"/>
        </w:rPr>
        <w:t>履约保证金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7.6.1  在签订合同前，中标人应按投标人须知前附表规定的形式、金额和招标文件第四章“合同条款及格式”规定的或者事先经过招标人书面认可的履约保证金格式向招标人提交履约保证 金。除投标人须知前附表另有规定外，履约保证金为中标合同金额的 10%。联合体中标的， 其履约保证金以联合体各方或者联合体中牵头人的名义提交。</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7.6.2  中标人不能按本章第 7.6.1 项要求提交履约保证金的，视为放弃中标， 其投标保证金不予退还， 给招标人造成的损失超过投标保证金数额的， 中标人还应当对超过部分予以赔偿。</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r>
        <w:rPr>
          <w:rFonts w:hint="eastAsia"/>
        </w:rPr>
        <w:t>7.</w:t>
      </w:r>
      <w:r>
        <w:rPr>
          <w:rFonts w:hint="eastAsia"/>
          <w:lang w:val="en-US" w:eastAsia="zh-CN"/>
        </w:rPr>
        <w:t>7</w:t>
      </w:r>
      <w:r>
        <w:rPr>
          <w:rFonts w:hint="eastAsia"/>
        </w:rPr>
        <w:t xml:space="preserve"> </w:t>
      </w:r>
      <w:r>
        <w:rPr>
          <w:rFonts w:hint="eastAsia"/>
          <w:lang w:val="en-US" w:eastAsia="zh-CN"/>
        </w:rPr>
        <w:t>签订合同</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7.7.1  招标人和中标人应当在中标通知书发出之日起 30 日内，根据招标文件和中标人的投 标文件订立书面合同。 中标人无正当理由拒签合同，在签订合同时向招标人提出附加条件， 或 者不按照招标文件要求提交履约保证金的，招标人有权取消其中标资格，其投标保证金不予退还；给招标人造成的损失超过投标保证金数额的， 中标人还应当对超过部分予以赔偿。</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7.7.2  发出中标通知书后， 招标人无正当理由拒签合同， 或者在签订合同时向中标人提出附加条件的， 招标人向中标人退还投标保证金； 给中标人造成损失的，还应当赔偿损失。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7.7.3 联合体中标的， 联合体各方应当共同与招标人签订合同， 就中标项目向招标人承担连带责任。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3" w:name="_Toc296602461"/>
      <w:r>
        <w:rPr>
          <w:rFonts w:hint="eastAsia"/>
        </w:rPr>
        <w:t>8. 纪律和监督</w:t>
      </w:r>
      <w:bookmarkEnd w:id="313"/>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14" w:name="_Toc296590983"/>
      <w:bookmarkStart w:id="315" w:name="_Toc246996962"/>
      <w:bookmarkStart w:id="316" w:name="_Toc246996219"/>
      <w:bookmarkStart w:id="317" w:name="_Toc152045575"/>
      <w:bookmarkStart w:id="318" w:name="_Toc247085733"/>
      <w:bookmarkStart w:id="319" w:name="_Toc179632593"/>
      <w:bookmarkStart w:id="320" w:name="_Toc296602462"/>
      <w:bookmarkStart w:id="321" w:name="_Toc152042351"/>
      <w:bookmarkStart w:id="322" w:name="_Toc144974543"/>
      <w:r>
        <w:rPr>
          <w:rFonts w:hint="eastAsia"/>
        </w:rPr>
        <w:t>8.1 对招标人的纪律要求</w:t>
      </w:r>
      <w:bookmarkEnd w:id="314"/>
      <w:bookmarkEnd w:id="315"/>
      <w:bookmarkEnd w:id="316"/>
      <w:bookmarkEnd w:id="317"/>
      <w:bookmarkEnd w:id="318"/>
      <w:bookmarkEnd w:id="319"/>
      <w:bookmarkEnd w:id="320"/>
      <w:bookmarkEnd w:id="321"/>
      <w:bookmarkEnd w:id="3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pPr>
        <w:pStyle w:val="3"/>
        <w:bidi w:val="0"/>
        <w:rPr>
          <w:rFonts w:hint="eastAsia"/>
        </w:rPr>
      </w:pPr>
      <w:bookmarkStart w:id="323" w:name="_Toc152042352"/>
      <w:bookmarkStart w:id="324" w:name="_Toc152045576"/>
      <w:bookmarkStart w:id="325" w:name="_Toc246996220"/>
      <w:bookmarkStart w:id="326" w:name="_Toc246996963"/>
      <w:bookmarkStart w:id="327" w:name="_Toc247085734"/>
      <w:bookmarkStart w:id="328" w:name="_Toc296602463"/>
      <w:bookmarkStart w:id="329" w:name="_Toc179632594"/>
      <w:bookmarkStart w:id="330" w:name="_Toc144974544"/>
      <w:r>
        <w:rPr>
          <w:rFonts w:hint="eastAsia"/>
        </w:rPr>
        <w:t>8.2 对投标人的纪律要求</w:t>
      </w:r>
      <w:bookmarkEnd w:id="323"/>
      <w:bookmarkEnd w:id="324"/>
      <w:bookmarkEnd w:id="325"/>
      <w:bookmarkEnd w:id="326"/>
      <w:bookmarkEnd w:id="327"/>
      <w:bookmarkEnd w:id="328"/>
      <w:bookmarkEnd w:id="329"/>
      <w:bookmarkEnd w:id="33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31" w:name="_Toc144974545"/>
      <w:bookmarkStart w:id="332" w:name="_Toc247085735"/>
      <w:bookmarkStart w:id="333" w:name="_Toc179632595"/>
      <w:bookmarkStart w:id="334" w:name="_Toc152045577"/>
      <w:bookmarkStart w:id="335" w:name="_Toc296602464"/>
      <w:bookmarkStart w:id="336" w:name="_Toc152042353"/>
      <w:bookmarkStart w:id="337" w:name="_Toc246996964"/>
      <w:bookmarkStart w:id="338" w:name="_Toc246996221"/>
      <w:r>
        <w:rPr>
          <w:rFonts w:hint="eastAsia"/>
        </w:rPr>
        <w:t>8.3 对评标委员会成员的纪律要求</w:t>
      </w:r>
      <w:bookmarkEnd w:id="331"/>
      <w:bookmarkEnd w:id="332"/>
      <w:bookmarkEnd w:id="333"/>
      <w:bookmarkEnd w:id="334"/>
      <w:bookmarkEnd w:id="335"/>
      <w:bookmarkEnd w:id="336"/>
      <w:bookmarkEnd w:id="337"/>
      <w:bookmarkEnd w:id="3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39" w:name="_Toc246996965"/>
      <w:bookmarkStart w:id="340" w:name="_Toc152045578"/>
      <w:bookmarkStart w:id="341" w:name="_Toc179632596"/>
      <w:bookmarkStart w:id="342" w:name="_Toc247085736"/>
      <w:bookmarkStart w:id="343" w:name="_Toc296602465"/>
      <w:bookmarkStart w:id="344" w:name="_Toc246996222"/>
      <w:bookmarkStart w:id="345" w:name="_Toc152042354"/>
      <w:bookmarkStart w:id="346" w:name="_Toc144974546"/>
      <w:r>
        <w:rPr>
          <w:rFonts w:hint="eastAsia"/>
        </w:rPr>
        <w:t>8.4 对与评标活动有关的工作人员的纪律要求</w:t>
      </w:r>
      <w:bookmarkEnd w:id="339"/>
      <w:bookmarkEnd w:id="340"/>
      <w:bookmarkEnd w:id="341"/>
      <w:bookmarkEnd w:id="342"/>
      <w:bookmarkEnd w:id="343"/>
      <w:bookmarkEnd w:id="344"/>
      <w:bookmarkEnd w:id="34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47"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47"/>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48" w:name="_Toc152042356"/>
      <w:bookmarkStart w:id="349" w:name="_Toc152045579"/>
      <w:bookmarkStart w:id="350" w:name="_Toc296602466"/>
      <w:bookmarkStart w:id="351" w:name="_Toc246996223"/>
      <w:bookmarkStart w:id="352" w:name="_Toc179632597"/>
      <w:bookmarkStart w:id="353" w:name="_Toc246996966"/>
      <w:bookmarkStart w:id="354" w:name="_Toc247085737"/>
      <w:r>
        <w:rPr>
          <w:rFonts w:hint="eastAsia"/>
        </w:rPr>
        <w:t>8.5 投诉</w:t>
      </w:r>
      <w:bookmarkEnd w:id="346"/>
      <w:bookmarkEnd w:id="348"/>
      <w:bookmarkEnd w:id="349"/>
      <w:bookmarkEnd w:id="350"/>
      <w:bookmarkEnd w:id="351"/>
      <w:bookmarkEnd w:id="352"/>
      <w:bookmarkEnd w:id="353"/>
      <w:bookmarkEnd w:id="35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8.5.1  投标人或者其他利害关系人认为招标投标活动不符合法律、行政法规规定的， 可以自知道或者应当知道之日起 10 日内向有关行政监督部门投诉。投诉应当有明确的请求和必要的证明材料。</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8.5.2  投标人或者其他利害关系人对招标文件、开标和评标结果提出投诉的， 应当按照投标人须知第 2.4 款、第 5.3 款和第 7.2 款的规定先向招标人提出异议。异议答复期间不计算在第 8.5.1项规定的期限内。</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55" w:name="_Toc296602468"/>
      <w:r>
        <w:rPr>
          <w:rFonts w:hint="eastAsia"/>
          <w:lang w:val="en-US" w:eastAsia="zh-CN"/>
        </w:rPr>
        <w:t>9</w:t>
      </w:r>
      <w:r>
        <w:rPr>
          <w:rFonts w:hint="eastAsia"/>
        </w:rPr>
        <w:t>．电子招标投标</w:t>
      </w:r>
      <w:bookmarkEnd w:id="355"/>
    </w:p>
    <w:p>
      <w:pPr>
        <w:rPr>
          <w:rFonts w:hint="eastAsia"/>
        </w:rPr>
      </w:pPr>
      <w:r>
        <w:rPr>
          <w:rFonts w:hint="eastAsia"/>
        </w:rPr>
        <w:t>本招标项目是否采用电子招标投标方式， 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56" w:name="_Toc144974547"/>
      <w:bookmarkStart w:id="357" w:name="_Toc247085738"/>
      <w:bookmarkStart w:id="358" w:name="_Toc152042357"/>
      <w:bookmarkStart w:id="359" w:name="_Toc179632598"/>
      <w:bookmarkStart w:id="360" w:name="_Toc152045580"/>
      <w:bookmarkStart w:id="361" w:name="_Toc246996967"/>
      <w:bookmarkStart w:id="362" w:name="_Toc246996224"/>
      <w:bookmarkStart w:id="363" w:name="_Toc296602467"/>
      <w:r>
        <w:rPr>
          <w:rFonts w:hint="eastAsia"/>
          <w:lang w:val="en-US" w:eastAsia="zh-CN"/>
        </w:rPr>
        <w:t>10</w:t>
      </w:r>
      <w:r>
        <w:rPr>
          <w:rFonts w:hint="eastAsia"/>
        </w:rPr>
        <w:t>. 需要补充的其他内容</w:t>
      </w:r>
      <w:bookmarkEnd w:id="356"/>
      <w:bookmarkEnd w:id="357"/>
      <w:bookmarkEnd w:id="358"/>
      <w:bookmarkEnd w:id="359"/>
      <w:bookmarkEnd w:id="360"/>
      <w:bookmarkEnd w:id="361"/>
      <w:bookmarkEnd w:id="362"/>
      <w:bookmarkEnd w:id="3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03"/>
        <w:gridCol w:w="997"/>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997"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投标函及投标函附录</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703"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54" w:edGrp="everyone" w:colFirst="3" w:colLast="3"/>
            <w:r>
              <w:rPr>
                <w:rFonts w:hint="eastAsia" w:ascii="Times New Roman" w:hAnsi="Times New Roman" w:cs="Times New Roman"/>
                <w:kern w:val="0"/>
                <w:sz w:val="24"/>
                <w:szCs w:val="24"/>
                <w:highlight w:val="none"/>
                <w:lang w:val="en-US" w:eastAsia="zh-CN"/>
              </w:rPr>
              <w:t>2.1.2</w:t>
            </w:r>
          </w:p>
        </w:tc>
        <w:tc>
          <w:tcPr>
            <w:tcW w:w="997"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5"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6"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7"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0"/>
                <w:sz w:val="24"/>
                <w:szCs w:val="24"/>
                <w:highlight w:val="none"/>
                <w:lang w:val="en-US" w:eastAsia="zh-CN" w:bidi="ar-SA"/>
              </w:rPr>
            </w:pPr>
            <w:permStart w:id="58" w:edGrp="everyone"/>
            <w:r>
              <w:rPr>
                <w:rFonts w:hint="eastAsia" w:ascii="Times New Roman" w:hAnsi="Times New Roman" w:cs="Times New Roman"/>
                <w:kern w:val="0"/>
                <w:sz w:val="24"/>
                <w:szCs w:val="24"/>
                <w:highlight w:val="none"/>
                <w:lang w:val="en-US" w:eastAsia="zh-CN"/>
              </w:rPr>
              <w:t>符合第二章“投标人须知”第1.4.1项规定</w:t>
            </w:r>
            <w:permEnd w:id="58"/>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9"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permEnd w:id="5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0"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permEnd w:id="6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kern w:val="0"/>
                <w:sz w:val="24"/>
                <w:szCs w:val="24"/>
                <w:highlight w:val="none"/>
                <w:lang w:val="en-US" w:eastAsia="zh-CN" w:bidi="ar-SA"/>
              </w:rPr>
            </w:pPr>
            <w:permStart w:id="61" w:edGrp="everyone"/>
            <w:r>
              <w:rPr>
                <w:rFonts w:hint="eastAsia" w:ascii="Times New Roman" w:hAnsi="Times New Roman" w:cs="Times New Roman"/>
                <w:kern w:val="0"/>
                <w:sz w:val="24"/>
                <w:szCs w:val="24"/>
                <w:highlight w:val="none"/>
                <w:lang w:val="en-US" w:eastAsia="zh-CN"/>
              </w:rPr>
              <w:t>符合第二章“投标人须知”第1.4.1项规定</w:t>
            </w:r>
            <w:permEnd w:id="61"/>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62" w:edGrp="everyone" w:colFirst="3" w:colLast="3"/>
            <w:r>
              <w:rPr>
                <w:rFonts w:hint="eastAsia" w:ascii="Times New Roman" w:hAnsi="Times New Roman" w:cs="Times New Roman"/>
                <w:kern w:val="0"/>
                <w:sz w:val="24"/>
                <w:szCs w:val="24"/>
                <w:highlight w:val="none"/>
                <w:lang w:val="en-US" w:eastAsia="zh-CN"/>
              </w:rPr>
              <w:t>2.1.3</w:t>
            </w:r>
          </w:p>
        </w:tc>
        <w:tc>
          <w:tcPr>
            <w:tcW w:w="997"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6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3"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6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4"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6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5"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交货地点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6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技术性能指标</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第1.3.4项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6"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6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7"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6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8"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符合第二章“投标人须知”第1.11.1项规定和第四章“合同条款及格式”中的实质性要求和条件</w:t>
            </w:r>
          </w:p>
        </w:tc>
      </w:tr>
      <w:permEnd w:id="6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投标设备及技术服务和质保期服务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符合第五章“供货要求”中的实质性要求和条件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yellow"/>
                <w:lang w:val="en-US" w:eastAsia="zh-CN" w:bidi="ar-SA"/>
              </w:rPr>
            </w:pPr>
            <w:r>
              <w:rPr>
                <w:rFonts w:hint="eastAsia" w:ascii="Times New Roman" w:hAnsi="Times New Roman" w:cs="Times New Roman"/>
                <w:kern w:val="0"/>
                <w:sz w:val="24"/>
                <w:szCs w:val="24"/>
                <w:highlight w:val="none"/>
                <w:lang w:val="en-US" w:eastAsia="zh-CN"/>
              </w:rPr>
              <w:t>技术支持资料</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auto"/>
                <w:kern w:val="0"/>
                <w:sz w:val="24"/>
                <w:szCs w:val="24"/>
                <w:highlight w:val="none"/>
                <w:lang w:val="en-US" w:eastAsia="zh-CN" w:bidi="ar-SA"/>
              </w:rPr>
            </w:pPr>
            <w:permStart w:id="69" w:edGrp="everyone"/>
            <w:r>
              <w:rPr>
                <w:rFonts w:hint="eastAsia" w:ascii="Times New Roman" w:hAnsi="Times New Roman" w:cs="Times New Roman"/>
                <w:color w:val="auto"/>
                <w:kern w:val="0"/>
                <w:sz w:val="24"/>
                <w:szCs w:val="24"/>
                <w:highlight w:val="none"/>
                <w:lang w:val="en-US" w:eastAsia="zh-CN"/>
              </w:rPr>
              <w:t>符合第二章“投标人须知”第1.11.3项规定</w:t>
            </w:r>
            <w:permEnd w:id="69"/>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bookmarkStart w:id="364" w:name="_Toc152042366"/>
            <w:bookmarkStart w:id="365" w:name="_Toc179632607"/>
            <w:bookmarkStart w:id="366" w:name="_Toc246996975"/>
            <w:bookmarkStart w:id="367" w:name="_Toc247085747"/>
            <w:bookmarkStart w:id="368" w:name="_Toc246996232"/>
            <w:bookmarkStart w:id="369" w:name="_Toc144974556"/>
            <w:bookmarkStart w:id="370" w:name="_Toc152045589"/>
            <w:bookmarkStart w:id="371" w:name="_Toc296602477"/>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default" w:ascii="Times New Roman" w:hAnsi="Times New Roman" w:cs="Times New Roman"/>
                <w:i w:val="0"/>
                <w:iCs w:val="0"/>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default" w:ascii="Times New Roman" w:hAnsi="Times New Roman" w:cs="Times New Roman"/>
                <w:i w:val="0"/>
                <w:iCs w:val="0"/>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i w:val="0"/>
                <w:iCs w:val="0"/>
                <w:color w:val="auto"/>
                <w:kern w:val="0"/>
                <w:sz w:val="24"/>
                <w:szCs w:val="24"/>
                <w:highlight w:val="none"/>
                <w:lang w:eastAsia="zh-CN"/>
              </w:rPr>
            </w:pPr>
            <w:permStart w:id="70" w:edGrp="everyone"/>
            <w:r>
              <w:rPr>
                <w:rFonts w:hint="eastAsia" w:ascii="Times New Roman" w:hAnsi="Times New Roman" w:cs="Times New Roman"/>
                <w:i w:val="0"/>
                <w:iCs w:val="0"/>
                <w:color w:val="auto"/>
                <w:kern w:val="0"/>
                <w:sz w:val="24"/>
                <w:szCs w:val="24"/>
                <w:highlight w:val="none"/>
                <w:lang w:val="en-US" w:eastAsia="zh-CN"/>
              </w:rPr>
              <w:t>商务评分部分</w:t>
            </w:r>
            <w:r>
              <w:rPr>
                <w:rFonts w:hint="default" w:ascii="Times New Roman" w:hAnsi="Times New Roman" w:cs="Times New Roman" w:eastAsiaTheme="minorEastAsia"/>
                <w:i w:val="0"/>
                <w:iCs w:val="0"/>
                <w:color w:val="auto"/>
                <w:kern w:val="0"/>
                <w:sz w:val="24"/>
                <w:szCs w:val="24"/>
                <w:highlight w:val="none"/>
              </w:rPr>
              <w:t>：</w:t>
            </w:r>
            <w:r>
              <w:rPr>
                <w:rFonts w:hint="eastAsia" w:ascii="Times New Roman" w:hAnsi="Times New Roman" w:cs="Times New Roman"/>
                <w:i w:val="0"/>
                <w:iCs w:val="0"/>
                <w:color w:val="auto"/>
                <w:kern w:val="0"/>
                <w:sz w:val="24"/>
                <w:szCs w:val="24"/>
                <w:highlight w:val="none"/>
                <w:u w:val="single"/>
                <w:lang w:val="en-US" w:eastAsia="zh-CN"/>
              </w:rPr>
              <w:t>10</w:t>
            </w:r>
            <w:r>
              <w:rPr>
                <w:rFonts w:hint="default" w:ascii="Times New Roman" w:hAnsi="Times New Roman" w:cs="Times New Roman" w:eastAsiaTheme="minorEastAsia"/>
                <w:i w:val="0"/>
                <w:iCs w:val="0"/>
                <w:color w:val="auto"/>
                <w:kern w:val="0"/>
                <w:sz w:val="24"/>
                <w:szCs w:val="24"/>
                <w:highlight w:val="none"/>
              </w:rPr>
              <w:t>分</w:t>
            </w:r>
            <w:r>
              <w:rPr>
                <w:rFonts w:hint="eastAsia" w:ascii="Times New Roman" w:hAnsi="Times New Roman" w:cs="Times New Roman"/>
                <w:i w:val="0"/>
                <w:iCs w:val="0"/>
                <w:color w:val="auto"/>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i w:val="0"/>
                <w:iCs w:val="0"/>
                <w:color w:val="auto"/>
                <w:kern w:val="0"/>
                <w:sz w:val="24"/>
                <w:szCs w:val="24"/>
                <w:highlight w:val="none"/>
                <w:lang w:eastAsia="zh-CN"/>
              </w:rPr>
            </w:pPr>
            <w:r>
              <w:rPr>
                <w:rFonts w:hint="eastAsia" w:ascii="Times New Roman" w:hAnsi="Times New Roman" w:cs="Times New Roman"/>
                <w:i w:val="0"/>
                <w:iCs w:val="0"/>
                <w:color w:val="auto"/>
                <w:kern w:val="0"/>
                <w:sz w:val="24"/>
                <w:szCs w:val="24"/>
                <w:highlight w:val="none"/>
                <w:lang w:val="en-US" w:eastAsia="zh-CN"/>
              </w:rPr>
              <w:t>技术部分：</w:t>
            </w:r>
            <w:r>
              <w:rPr>
                <w:rFonts w:hint="eastAsia" w:ascii="Times New Roman" w:hAnsi="Times New Roman" w:cs="Times New Roman"/>
                <w:i w:val="0"/>
                <w:iCs w:val="0"/>
                <w:color w:val="auto"/>
                <w:kern w:val="0"/>
                <w:sz w:val="24"/>
                <w:szCs w:val="24"/>
                <w:highlight w:val="none"/>
                <w:u w:val="single"/>
                <w:lang w:val="en-US" w:eastAsia="zh-CN"/>
              </w:rPr>
              <w:t>30</w:t>
            </w:r>
            <w:r>
              <w:rPr>
                <w:rFonts w:hint="default" w:ascii="Times New Roman" w:hAnsi="Times New Roman" w:cs="Times New Roman" w:eastAsiaTheme="minorEastAsia"/>
                <w:i w:val="0"/>
                <w:iCs w:val="0"/>
                <w:color w:val="auto"/>
                <w:kern w:val="0"/>
                <w:sz w:val="24"/>
                <w:szCs w:val="24"/>
                <w:highlight w:val="none"/>
              </w:rPr>
              <w:t>分</w:t>
            </w:r>
            <w:r>
              <w:rPr>
                <w:rFonts w:hint="eastAsia" w:ascii="Times New Roman" w:hAnsi="Times New Roman" w:cs="Times New Roman"/>
                <w:i w:val="0"/>
                <w:iCs w:val="0"/>
                <w:color w:val="auto"/>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i w:val="0"/>
                <w:iCs w:val="0"/>
                <w:kern w:val="0"/>
                <w:sz w:val="24"/>
                <w:szCs w:val="24"/>
                <w:highlight w:val="yellow"/>
                <w:lang w:val="en-US"/>
              </w:rPr>
            </w:pPr>
            <w:r>
              <w:rPr>
                <w:rFonts w:hint="eastAsia" w:ascii="Times New Roman" w:hAnsi="Times New Roman" w:cs="Times New Roman"/>
                <w:i w:val="0"/>
                <w:iCs w:val="0"/>
                <w:color w:val="auto"/>
                <w:kern w:val="0"/>
                <w:sz w:val="24"/>
                <w:szCs w:val="24"/>
                <w:highlight w:val="none"/>
                <w:lang w:val="en-US" w:eastAsia="zh-CN"/>
              </w:rPr>
              <w:t>投标报价：</w:t>
            </w:r>
            <w:r>
              <w:rPr>
                <w:rFonts w:hint="eastAsia" w:ascii="Times New Roman" w:hAnsi="Times New Roman" w:cs="Times New Roman"/>
                <w:i w:val="0"/>
                <w:iCs w:val="0"/>
                <w:color w:val="auto"/>
                <w:kern w:val="0"/>
                <w:sz w:val="24"/>
                <w:szCs w:val="24"/>
                <w:highlight w:val="none"/>
                <w:u w:val="single"/>
                <w:lang w:val="en-US" w:eastAsia="zh-CN"/>
              </w:rPr>
              <w:t>60</w:t>
            </w:r>
            <w:r>
              <w:rPr>
                <w:rFonts w:hint="default" w:ascii="Times New Roman" w:hAnsi="Times New Roman" w:cs="Times New Roman" w:eastAsiaTheme="minorEastAsia"/>
                <w:i w:val="0"/>
                <w:iCs w:val="0"/>
                <w:color w:val="auto"/>
                <w:kern w:val="0"/>
                <w:sz w:val="24"/>
                <w:szCs w:val="24"/>
                <w:highlight w:val="none"/>
              </w:rPr>
              <w:t>分</w:t>
            </w:r>
            <w:r>
              <w:rPr>
                <w:rFonts w:hint="eastAsia" w:ascii="Times New Roman" w:hAnsi="Times New Roman" w:cs="Times New Roman"/>
                <w:i w:val="0"/>
                <w:iCs w:val="0"/>
                <w:color w:val="FF0000"/>
                <w:kern w:val="0"/>
                <w:sz w:val="24"/>
                <w:szCs w:val="24"/>
                <w:highlight w:val="yellow"/>
                <w:u w:val="single"/>
                <w:lang w:val="en-US" w:eastAsia="zh-CN"/>
              </w:rPr>
              <w:t>。</w:t>
            </w:r>
            <w:permEnd w:id="70"/>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cs="Times New Roman" w:eastAsiaTheme="minorEastAsia"/>
                <w:i w:val="0"/>
                <w:iCs w:val="0"/>
                <w:color w:val="auto"/>
                <w:kern w:val="0"/>
                <w:sz w:val="24"/>
                <w:szCs w:val="24"/>
                <w:highlight w:val="none"/>
                <w:lang w:val="en-US" w:eastAsia="zh-CN"/>
              </w:rPr>
            </w:pPr>
            <w:permStart w:id="71" w:edGrp="everyone"/>
            <w:r>
              <w:rPr>
                <w:rFonts w:hint="eastAsia" w:ascii="Times New Roman" w:hAnsi="Times New Roman" w:cs="Times New Roman"/>
                <w:i w:val="0"/>
                <w:iCs w:val="0"/>
                <w:color w:val="FF0000"/>
                <w:kern w:val="0"/>
                <w:sz w:val="24"/>
                <w:szCs w:val="24"/>
                <w:highlight w:val="none"/>
                <w:u w:val="single"/>
                <w:lang w:val="en-US" w:eastAsia="zh-CN"/>
              </w:rPr>
              <w:t>以所有有效投标人报价算数平均值作为基准价。</w:t>
            </w:r>
            <w:permEnd w:id="71"/>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cs="Times New Roman" w:eastAsiaTheme="minorEastAsia"/>
                <w:i w:val="0"/>
                <w:iCs w:val="0"/>
                <w:color w:val="auto"/>
                <w:kern w:val="0"/>
                <w:sz w:val="24"/>
                <w:szCs w:val="24"/>
                <w:highlight w:val="none"/>
                <w:lang w:val="en-US" w:eastAsia="zh-CN"/>
              </w:rPr>
            </w:pPr>
            <w:permStart w:id="72" w:edGrp="everyone"/>
            <w:r>
              <w:rPr>
                <w:rFonts w:hint="eastAsia" w:ascii="Times New Roman" w:hAnsi="Times New Roman" w:cs="Times New Roman"/>
                <w:i w:val="0"/>
                <w:iCs w:val="0"/>
                <w:color w:val="auto"/>
                <w:kern w:val="0"/>
                <w:sz w:val="24"/>
                <w:szCs w:val="24"/>
                <w:highlight w:val="none"/>
                <w:lang w:val="en-US" w:eastAsia="zh-CN"/>
              </w:rPr>
              <w:t>偏差率=100%×（投标人报价</w:t>
            </w:r>
            <w:r>
              <w:rPr>
                <w:rFonts w:hint="eastAsia" w:ascii="宋体" w:hAnsi="宋体" w:eastAsia="宋体" w:cs="宋体"/>
                <w:i w:val="0"/>
                <w:iCs w:val="0"/>
                <w:color w:val="auto"/>
                <w:kern w:val="0"/>
                <w:sz w:val="24"/>
                <w:szCs w:val="24"/>
                <w:highlight w:val="none"/>
                <w:lang w:val="en-US" w:eastAsia="zh-CN"/>
              </w:rPr>
              <w:t>－</w:t>
            </w:r>
            <w:r>
              <w:rPr>
                <w:rFonts w:hint="eastAsia" w:ascii="Times New Roman" w:hAnsi="Times New Roman" w:cs="Times New Roman"/>
                <w:i w:val="0"/>
                <w:iCs w:val="0"/>
                <w:color w:val="auto"/>
                <w:kern w:val="0"/>
                <w:sz w:val="24"/>
                <w:szCs w:val="24"/>
                <w:highlight w:val="none"/>
                <w:lang w:val="en-US" w:eastAsia="zh-CN"/>
              </w:rPr>
              <w:t>评标基准价）/评标基准价</w:t>
            </w:r>
            <w:permEnd w:id="72"/>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i w:val="0"/>
                <w:iCs w:val="0"/>
                <w:kern w:val="0"/>
                <w:sz w:val="24"/>
                <w:szCs w:val="24"/>
                <w:highlight w:val="none"/>
                <w:lang w:val="en-US" w:eastAsia="zh-CN"/>
              </w:rPr>
            </w:pPr>
            <w:r>
              <w:rPr>
                <w:rFonts w:hint="default" w:ascii="Times New Roman" w:hAnsi="Times New Roman" w:cs="Times New Roman"/>
                <w:b/>
                <w:bCs/>
                <w:i w:val="0"/>
                <w:iCs w:val="0"/>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i w:val="0"/>
                <w:iCs w:val="0"/>
                <w:kern w:val="0"/>
                <w:sz w:val="24"/>
                <w:szCs w:val="24"/>
                <w:highlight w:val="none"/>
                <w:lang w:val="en-US" w:eastAsia="zh-CN"/>
              </w:rPr>
            </w:pPr>
            <w:r>
              <w:rPr>
                <w:rFonts w:hint="default" w:ascii="Times New Roman" w:hAnsi="Times New Roman" w:cs="Times New Roman"/>
                <w:b/>
                <w:bCs/>
                <w:i w:val="0"/>
                <w:iCs w:val="0"/>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110" w:hRule="atLeast"/>
        </w:trPr>
        <w:tc>
          <w:tcPr>
            <w:tcW w:w="703"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ermStart w:id="73" w:edGrp="everyone" w:colFirst="0" w:colLast="1"/>
            <w:permStart w:id="74" w:edGrp="everyone" w:colFirst="2" w:colLast="2"/>
            <w:permStart w:id="75"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997"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商务评分评分标准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10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企业类似的业绩</w:t>
            </w:r>
            <w:r>
              <w:rPr>
                <w:rFonts w:hint="default" w:ascii="Times New Roman" w:hAnsi="Times New Roman" w:cs="Times New Roman"/>
                <w:i w:val="0"/>
                <w:iCs w:val="0"/>
                <w:color w:val="FF0000"/>
                <w:kern w:val="0"/>
                <w:sz w:val="24"/>
                <w:szCs w:val="24"/>
                <w:highlight w:val="none"/>
                <w:u w:val="single"/>
                <w:lang w:val="en-US" w:eastAsia="zh-CN"/>
              </w:rPr>
              <w:t>（</w:t>
            </w:r>
            <w:r>
              <w:rPr>
                <w:rFonts w:hint="eastAsia" w:ascii="Times New Roman" w:hAnsi="Times New Roman" w:cs="Times New Roman"/>
                <w:i w:val="0"/>
                <w:iCs w:val="0"/>
                <w:color w:val="FF0000"/>
                <w:kern w:val="0"/>
                <w:sz w:val="24"/>
                <w:szCs w:val="24"/>
                <w:highlight w:val="none"/>
                <w:u w:val="single"/>
                <w:lang w:val="en-US" w:eastAsia="zh-CN"/>
              </w:rPr>
              <w:t>10</w:t>
            </w:r>
            <w:r>
              <w:rPr>
                <w:rFonts w:hint="default" w:ascii="Times New Roman" w:hAnsi="Times New Roman" w:cs="Times New Roman"/>
                <w:i w:val="0"/>
                <w:iCs w:val="0"/>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color w:val="000000" w:themeColor="text1"/>
                <w:kern w:val="0"/>
                <w:sz w:val="24"/>
                <w:highlight w:val="none"/>
                <w:lang w:val="en-US" w:eastAsia="zh-CN" w:bidi="ar"/>
                <w14:textFill>
                  <w14:solidFill>
                    <w14:schemeClr w14:val="tx1"/>
                  </w14:solidFill>
                </w14:textFill>
              </w:rPr>
              <w:t>除投标人资格要求外，投标人每额外提供1项企业类似项目业绩，得5分，满分10分，多分不计。</w:t>
            </w:r>
          </w:p>
        </w:tc>
      </w:tr>
      <w:permEnd w:id="73"/>
      <w:permEnd w:id="74"/>
      <w:permEnd w:id="7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ermStart w:id="76" w:edGrp="everyone" w:colFirst="0" w:colLast="1"/>
            <w:permStart w:id="77" w:edGrp="everyone" w:colFirst="2" w:colLast="2"/>
            <w:permStart w:id="78"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p>
        </w:tc>
        <w:tc>
          <w:tcPr>
            <w:tcW w:w="997"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技术评分标准</w:t>
            </w: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30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对投标人</w:t>
            </w:r>
            <w:r>
              <w:rPr>
                <w:rFonts w:hint="eastAsia" w:ascii="Times New Roman" w:hAnsi="Times New Roman" w:cs="Times New Roman"/>
                <w:i w:val="0"/>
                <w:iCs w:val="0"/>
                <w:color w:val="FF0000"/>
                <w:kern w:val="0"/>
                <w:sz w:val="24"/>
                <w:szCs w:val="24"/>
                <w:highlight w:val="none"/>
                <w:u w:val="single"/>
                <w:lang w:val="en-US" w:eastAsia="zh-CN"/>
              </w:rPr>
              <w:t>技术服务和质保期服务能力</w:t>
            </w:r>
            <w:r>
              <w:rPr>
                <w:rFonts w:hint="eastAsia" w:ascii="Times New Roman" w:hAnsi="Times New Roman" w:cs="Times New Roman"/>
                <w:i w:val="0"/>
                <w:iCs w:val="0"/>
                <w:kern w:val="0"/>
                <w:sz w:val="24"/>
                <w:szCs w:val="24"/>
                <w:highlight w:val="none"/>
                <w:lang w:val="en-US" w:eastAsia="zh-CN"/>
              </w:rPr>
              <w:t>的评价</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default" w:ascii="Times New Roman" w:hAnsi="Times New Roman" w:cs="Times New Roman"/>
                <w:i w:val="0"/>
                <w:iCs w:val="0"/>
                <w:color w:val="FF0000"/>
                <w:kern w:val="0"/>
                <w:sz w:val="24"/>
                <w:szCs w:val="24"/>
                <w:highlight w:val="none"/>
                <w:u w:val="single"/>
                <w:lang w:val="en-US" w:eastAsia="zh-CN"/>
              </w:rPr>
              <w:t>（</w:t>
            </w:r>
            <w:r>
              <w:rPr>
                <w:rFonts w:hint="eastAsia" w:ascii="Times New Roman" w:hAnsi="Times New Roman" w:cs="Times New Roman"/>
                <w:i w:val="0"/>
                <w:iCs w:val="0"/>
                <w:color w:val="FF0000"/>
                <w:kern w:val="0"/>
                <w:sz w:val="24"/>
                <w:szCs w:val="24"/>
                <w:highlight w:val="none"/>
                <w:u w:val="single"/>
                <w:lang w:val="en-US" w:eastAsia="zh-CN"/>
              </w:rPr>
              <w:t>13</w:t>
            </w:r>
            <w:r>
              <w:rPr>
                <w:rFonts w:hint="default" w:ascii="Times New Roman" w:hAnsi="Times New Roman" w:cs="Times New Roman"/>
                <w:i w:val="0"/>
                <w:iCs w:val="0"/>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根据投标人提供的供货方案，从产品特色、响应供货、服务内容、应急处理及其他服务承诺等方面综合分析，由评委酌情评分。</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color w:val="FF0000"/>
                <w:kern w:val="0"/>
                <w:sz w:val="24"/>
                <w:szCs w:val="24"/>
                <w:highlight w:val="none"/>
                <w:u w:val="single"/>
                <w:lang w:val="en-US" w:eastAsia="zh-CN"/>
              </w:rPr>
              <w:t>优：10＜F≤13，良：7＜F≤10一般：1≤F≤7，未提供不得分。</w:t>
            </w:r>
          </w:p>
        </w:tc>
      </w:tr>
      <w:permEnd w:id="76"/>
      <w:permEnd w:id="77"/>
      <w:permEnd w:id="7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ermStart w:id="79" w:edGrp="everyone" w:colFirst="0" w:colLast="0"/>
            <w:permStart w:id="80" w:edGrp="everyone" w:colFirst="1" w:colLast="1"/>
            <w:permStart w:id="81" w:edGrp="everyone" w:colFirst="2" w:colLast="2"/>
            <w:permStart w:id="82" w:edGrp="everyone" w:colFirst="3" w:colLast="3"/>
          </w:p>
        </w:tc>
        <w:tc>
          <w:tcPr>
            <w:tcW w:w="997"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对投标人</w:t>
            </w:r>
            <w:r>
              <w:rPr>
                <w:rFonts w:hint="eastAsia" w:ascii="Times New Roman" w:hAnsi="Times New Roman" w:cs="Times New Roman"/>
                <w:i w:val="0"/>
                <w:iCs w:val="0"/>
                <w:color w:val="FF0000"/>
                <w:kern w:val="0"/>
                <w:sz w:val="24"/>
                <w:szCs w:val="24"/>
                <w:highlight w:val="none"/>
                <w:u w:val="single"/>
                <w:lang w:val="en-US" w:eastAsia="zh-CN"/>
              </w:rPr>
              <w:t>相关服务能力</w:t>
            </w:r>
            <w:r>
              <w:rPr>
                <w:rFonts w:hint="eastAsia" w:ascii="Times New Roman" w:hAnsi="Times New Roman" w:cs="Times New Roman"/>
                <w:i w:val="0"/>
                <w:iCs w:val="0"/>
                <w:kern w:val="0"/>
                <w:sz w:val="24"/>
                <w:szCs w:val="24"/>
                <w:highlight w:val="none"/>
                <w:lang w:val="en-US" w:eastAsia="zh-CN"/>
              </w:rPr>
              <w:t>的评价</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default" w:ascii="Times New Roman" w:hAnsi="Times New Roman" w:cs="Times New Roman"/>
                <w:i w:val="0"/>
                <w:iCs w:val="0"/>
                <w:color w:val="FF0000"/>
                <w:kern w:val="0"/>
                <w:sz w:val="24"/>
                <w:szCs w:val="24"/>
                <w:highlight w:val="none"/>
                <w:u w:val="single"/>
                <w:lang w:val="en-US" w:eastAsia="zh-CN"/>
              </w:rPr>
              <w:t>（</w:t>
            </w:r>
            <w:r>
              <w:rPr>
                <w:rFonts w:hint="eastAsia" w:ascii="Times New Roman" w:hAnsi="Times New Roman" w:cs="Times New Roman"/>
                <w:i w:val="0"/>
                <w:iCs w:val="0"/>
                <w:color w:val="FF0000"/>
                <w:kern w:val="0"/>
                <w:sz w:val="24"/>
                <w:szCs w:val="24"/>
                <w:highlight w:val="none"/>
                <w:u w:val="single"/>
                <w:lang w:val="en-US" w:eastAsia="zh-CN"/>
              </w:rPr>
              <w:t>13</w:t>
            </w:r>
            <w:r>
              <w:rPr>
                <w:rFonts w:hint="default" w:ascii="Times New Roman" w:hAnsi="Times New Roman" w:cs="Times New Roman"/>
                <w:i w:val="0"/>
                <w:iCs w:val="0"/>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从产品特色、售后供货、服务内容、应急处理、质保及其他服务承诺等方面综合分析，由评委酌情评分。</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优：10＜F≤13，良：7＜F≤10一般：1≤F≤7，未提供不得分。</w:t>
            </w:r>
          </w:p>
        </w:tc>
      </w:tr>
      <w:permEnd w:id="79"/>
      <w:permEnd w:id="80"/>
      <w:permEnd w:id="81"/>
      <w:permEnd w:id="8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ermStart w:id="83" w:edGrp="everyone" w:colFirst="0" w:colLast="0"/>
            <w:permStart w:id="84" w:edGrp="everyone" w:colFirst="1" w:colLast="1"/>
            <w:permStart w:id="85" w:edGrp="everyone" w:colFirst="2" w:colLast="2"/>
            <w:permStart w:id="86" w:edGrp="everyone" w:colFirst="3" w:colLast="3"/>
          </w:p>
        </w:tc>
        <w:tc>
          <w:tcPr>
            <w:tcW w:w="997"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对投标人</w:t>
            </w:r>
            <w:r>
              <w:rPr>
                <w:rFonts w:hint="eastAsia" w:ascii="Times New Roman" w:hAnsi="Times New Roman" w:cs="Times New Roman"/>
                <w:i w:val="0"/>
                <w:iCs w:val="0"/>
                <w:color w:val="FF0000"/>
                <w:kern w:val="0"/>
                <w:sz w:val="24"/>
                <w:szCs w:val="24"/>
                <w:highlight w:val="none"/>
                <w:u w:val="single"/>
                <w:lang w:val="en-US" w:eastAsia="zh-CN"/>
              </w:rPr>
              <w:t>服务期能力</w:t>
            </w:r>
            <w:r>
              <w:rPr>
                <w:rFonts w:hint="eastAsia" w:ascii="Times New Roman" w:hAnsi="Times New Roman" w:cs="Times New Roman"/>
                <w:i w:val="0"/>
                <w:iCs w:val="0"/>
                <w:kern w:val="0"/>
                <w:sz w:val="24"/>
                <w:szCs w:val="24"/>
                <w:highlight w:val="none"/>
                <w:lang w:val="en-US" w:eastAsia="zh-CN"/>
              </w:rPr>
              <w:t>的评价</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FF0000"/>
                <w:kern w:val="0"/>
                <w:sz w:val="24"/>
                <w:szCs w:val="24"/>
                <w:highlight w:val="none"/>
                <w:u w:val="single"/>
                <w:lang w:val="en-US" w:eastAsia="zh-CN"/>
              </w:rPr>
            </w:pPr>
            <w:r>
              <w:rPr>
                <w:rFonts w:hint="default" w:ascii="Times New Roman" w:hAnsi="Times New Roman" w:cs="Times New Roman"/>
                <w:i w:val="0"/>
                <w:iCs w:val="0"/>
                <w:color w:val="FF0000"/>
                <w:kern w:val="0"/>
                <w:sz w:val="24"/>
                <w:szCs w:val="24"/>
                <w:highlight w:val="none"/>
                <w:u w:val="single"/>
                <w:lang w:val="en-US" w:eastAsia="zh-CN"/>
              </w:rPr>
              <w:t>（</w:t>
            </w:r>
            <w:r>
              <w:rPr>
                <w:rFonts w:hint="eastAsia" w:ascii="Times New Roman" w:hAnsi="Times New Roman" w:cs="Times New Roman"/>
                <w:i w:val="0"/>
                <w:iCs w:val="0"/>
                <w:color w:val="FF0000"/>
                <w:kern w:val="0"/>
                <w:sz w:val="24"/>
                <w:szCs w:val="24"/>
                <w:highlight w:val="none"/>
                <w:u w:val="single"/>
                <w:lang w:val="en-US" w:eastAsia="zh-CN"/>
              </w:rPr>
              <w:t>4</w:t>
            </w:r>
            <w:r>
              <w:rPr>
                <w:rFonts w:hint="default" w:ascii="Times New Roman" w:hAnsi="Times New Roman" w:cs="Times New Roman"/>
                <w:i w:val="0"/>
                <w:iCs w:val="0"/>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kern w:val="0"/>
                <w:sz w:val="24"/>
                <w:szCs w:val="24"/>
                <w:highlight w:val="none"/>
                <w:lang w:val="en-US" w:eastAsia="zh-CN"/>
              </w:rPr>
              <w:t>在招标文件规定的交货期基础上，投标人承诺交货期每提前1天加1分，本项满分4分，多分不计。</w:t>
            </w:r>
          </w:p>
        </w:tc>
      </w:tr>
      <w:permEnd w:id="83"/>
      <w:permEnd w:id="84"/>
      <w:permEnd w:id="85"/>
      <w:permEnd w:id="8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ermStart w:id="87" w:edGrp="everyone" w:colFirst="0" w:colLast="0"/>
            <w:permStart w:id="88" w:edGrp="everyone" w:colFirst="1" w:colLast="1"/>
            <w:permStart w:id="89" w:edGrp="everyone" w:colFirst="2" w:colLast="2"/>
            <w:permStart w:id="90"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p>
        </w:tc>
        <w:tc>
          <w:tcPr>
            <w:tcW w:w="997"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投标报价评分标准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default" w:ascii="Times New Roman" w:hAnsi="Times New Roman" w:cs="Times New Roman"/>
                <w:i w:val="0"/>
                <w:iCs w:val="0"/>
                <w:color w:val="FF0000"/>
                <w:kern w:val="0"/>
                <w:sz w:val="24"/>
                <w:szCs w:val="24"/>
                <w:highlight w:val="none"/>
                <w:u w:val="single"/>
                <w:lang w:val="en-US" w:eastAsia="zh-CN"/>
              </w:rPr>
              <w:t>（</w:t>
            </w:r>
            <w:r>
              <w:rPr>
                <w:rFonts w:hint="eastAsia" w:ascii="Times New Roman" w:hAnsi="Times New Roman" w:cs="Times New Roman"/>
                <w:i w:val="0"/>
                <w:iCs w:val="0"/>
                <w:color w:val="FF0000"/>
                <w:kern w:val="0"/>
                <w:sz w:val="24"/>
                <w:szCs w:val="24"/>
                <w:highlight w:val="none"/>
                <w:u w:val="single"/>
                <w:lang w:val="en-US" w:eastAsia="zh-CN"/>
              </w:rPr>
              <w:t xml:space="preserve">60  </w:t>
            </w:r>
            <w:r>
              <w:rPr>
                <w:rFonts w:hint="default" w:ascii="Times New Roman" w:hAnsi="Times New Roman" w:cs="Times New Roman"/>
                <w:i w:val="0"/>
                <w:iCs w:val="0"/>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投标报价</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default" w:ascii="Times New Roman" w:hAnsi="Times New Roman" w:cs="Times New Roman"/>
                <w:i w:val="0"/>
                <w:iCs w:val="0"/>
                <w:color w:val="FF0000"/>
                <w:kern w:val="0"/>
                <w:sz w:val="24"/>
                <w:szCs w:val="24"/>
                <w:highlight w:val="none"/>
                <w:u w:val="single"/>
                <w:lang w:val="en-US" w:eastAsia="zh-CN"/>
              </w:rPr>
              <w:t>（</w:t>
            </w:r>
            <w:r>
              <w:rPr>
                <w:rFonts w:hint="eastAsia" w:ascii="Times New Roman" w:hAnsi="Times New Roman" w:cs="Times New Roman"/>
                <w:i w:val="0"/>
                <w:iCs w:val="0"/>
                <w:color w:val="FF0000"/>
                <w:kern w:val="0"/>
                <w:sz w:val="24"/>
                <w:szCs w:val="24"/>
                <w:highlight w:val="none"/>
                <w:u w:val="single"/>
                <w:lang w:val="en-US" w:eastAsia="zh-CN"/>
              </w:rPr>
              <w:t>60</w:t>
            </w:r>
            <w:r>
              <w:rPr>
                <w:rFonts w:hint="default" w:ascii="Times New Roman" w:hAnsi="Times New Roman" w:cs="Times New Roman"/>
                <w:i w:val="0"/>
                <w:iCs w:val="0"/>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以所有有效投标人报价算数平均值作为基准价，公式如下：</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投标报价等于基准价的，得满分60分。</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投标报价高于基准价的，报价得分计算公式：60-（投标报价-基准价）/基准价*0.5*100；</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投标报价低于基准价的，报价得分计算公式：60+（投标报价-基准价）/基准价*0.3*100。</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注：保留得分小数点后两位，第三位四舍五入。</w:t>
            </w:r>
          </w:p>
        </w:tc>
      </w:tr>
      <w:permEnd w:id="87"/>
      <w:permEnd w:id="88"/>
      <w:permEnd w:id="89"/>
      <w:permEnd w:id="9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ermStart w:id="91" w:edGrp="everyone"/>
            <w:permStart w:id="92" w:edGrp="everyone" w:colFirst="1" w:colLast="1"/>
            <w:permStart w:id="93" w:edGrp="everyone" w:colFirst="2" w:colLast="2"/>
            <w:permStart w:id="94"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w:t>
            </w:r>
            <w:permEnd w:id="91"/>
          </w:p>
        </w:tc>
        <w:tc>
          <w:tcPr>
            <w:tcW w:w="997"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其他因素评分标准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default" w:ascii="Times New Roman" w:hAnsi="Times New Roman" w:cs="Times New Roman"/>
                <w:i w:val="0"/>
                <w:iCs w:val="0"/>
                <w:color w:val="FF0000"/>
                <w:kern w:val="0"/>
                <w:sz w:val="24"/>
                <w:szCs w:val="24"/>
                <w:highlight w:val="none"/>
                <w:u w:val="single"/>
                <w:lang w:val="en-US" w:eastAsia="zh-CN"/>
              </w:rPr>
              <w:t>（</w:t>
            </w:r>
            <w:r>
              <w:rPr>
                <w:rFonts w:hint="eastAsia" w:ascii="Times New Roman" w:hAnsi="Times New Roman" w:cs="Times New Roman"/>
                <w:i w:val="0"/>
                <w:iCs w:val="0"/>
                <w:color w:val="FF0000"/>
                <w:kern w:val="0"/>
                <w:sz w:val="24"/>
                <w:szCs w:val="24"/>
                <w:highlight w:val="none"/>
                <w:u w:val="single"/>
                <w:lang w:val="en-US" w:eastAsia="zh-CN"/>
              </w:rPr>
              <w:t xml:space="preserve">/ </w:t>
            </w:r>
            <w:r>
              <w:rPr>
                <w:rFonts w:hint="default" w:ascii="Times New Roman" w:hAnsi="Times New Roman" w:cs="Times New Roman"/>
                <w:i w:val="0"/>
                <w:iCs w:val="0"/>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color w:val="FF0000"/>
                <w:kern w:val="0"/>
                <w:sz w:val="24"/>
                <w:szCs w:val="24"/>
                <w:highlight w:val="none"/>
                <w:u w:val="single"/>
                <w:lang w:val="en-US" w:eastAsia="zh-CN"/>
              </w:rPr>
              <w:t>/</w:t>
            </w:r>
          </w:p>
        </w:tc>
      </w:tr>
      <w:permEnd w:id="92"/>
      <w:permEnd w:id="93"/>
      <w:permEnd w:id="94"/>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eastAsia="黑体" w:cs="Times New Roman"/>
          <w:sz w:val="21"/>
          <w:szCs w:val="21"/>
          <w:u w:val="none"/>
          <w:lang w:val="en-US" w:eastAsia="zh-CN"/>
        </w:rPr>
        <w:t>说明</w:t>
      </w:r>
      <w:r>
        <w:rPr>
          <w:rFonts w:hint="default" w:ascii="Times New Roman" w:hAnsi="Times New Roman" w:cs="Times New Roman" w:eastAsiaTheme="minorEastAsia"/>
          <w:sz w:val="21"/>
          <w:szCs w:val="21"/>
          <w:u w:val="none"/>
          <w:lang w:val="en-US" w:eastAsia="zh-CN"/>
        </w:rPr>
        <w:t>：评分区间一律按左闭右开</w:t>
      </w:r>
      <w:r>
        <w:rPr>
          <w:rFonts w:hint="default" w:ascii="Times New Roman" w:hAnsi="Times New Roman" w:cs="Times New Roman"/>
          <w:sz w:val="21"/>
          <w:szCs w:val="21"/>
          <w:u w:val="none"/>
          <w:lang w:val="en-US" w:eastAsia="zh-CN"/>
        </w:rPr>
        <w:t>计算</w:t>
      </w:r>
      <w:r>
        <w:rPr>
          <w:rFonts w:hint="eastAsia" w:ascii="Times New Roman" w:hAnsi="Times New Roman" w:cs="Times New Roman"/>
          <w:sz w:val="21"/>
          <w:szCs w:val="21"/>
          <w:u w:val="none"/>
          <w:lang w:val="en-US" w:eastAsia="zh-CN"/>
        </w:rPr>
        <w:t>，评分保留2位小数。</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72" w:name="_Toc152042367"/>
      <w:bookmarkStart w:id="373" w:name="_Toc247085748"/>
      <w:bookmarkStart w:id="374" w:name="_Toc179632608"/>
      <w:bookmarkStart w:id="375" w:name="_Toc296602478"/>
      <w:bookmarkStart w:id="376" w:name="_Toc152045590"/>
      <w:bookmarkStart w:id="377" w:name="_Toc246996976"/>
      <w:bookmarkStart w:id="378" w:name="_Toc144974557"/>
      <w:bookmarkStart w:id="379" w:name="_Toc246996233"/>
      <w:r>
        <w:rPr>
          <w:rFonts w:hint="default" w:ascii="Times New Roman" w:hAnsi="Times New Roman" w:cs="Times New Roman" w:eastAsiaTheme="minorEastAsia"/>
          <w:b/>
          <w:bCs/>
          <w:kern w:val="0"/>
          <w:sz w:val="28"/>
          <w:szCs w:val="28"/>
          <w:highlight w:val="none"/>
        </w:rPr>
        <w:t>2. 评审标准</w:t>
      </w:r>
      <w:bookmarkEnd w:id="372"/>
      <w:bookmarkEnd w:id="373"/>
      <w:bookmarkEnd w:id="374"/>
      <w:bookmarkEnd w:id="375"/>
      <w:bookmarkEnd w:id="376"/>
      <w:bookmarkEnd w:id="377"/>
      <w:bookmarkEnd w:id="378"/>
      <w:bookmarkEnd w:id="379"/>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80" w:name="_Toc144974558"/>
      <w:bookmarkStart w:id="381" w:name="_Toc247085749"/>
      <w:bookmarkStart w:id="382" w:name="_Toc246996977"/>
      <w:bookmarkStart w:id="383" w:name="_Toc296602479"/>
      <w:bookmarkStart w:id="384" w:name="_Toc152042368"/>
      <w:bookmarkStart w:id="385" w:name="_Toc246996234"/>
      <w:bookmarkStart w:id="386" w:name="_Toc179632609"/>
      <w:bookmarkStart w:id="387" w:name="_Toc152045591"/>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80"/>
      <w:bookmarkEnd w:id="381"/>
      <w:bookmarkEnd w:id="382"/>
      <w:bookmarkEnd w:id="383"/>
      <w:bookmarkEnd w:id="384"/>
      <w:bookmarkEnd w:id="385"/>
      <w:bookmarkEnd w:id="386"/>
      <w:bookmarkEnd w:id="387"/>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388" w:name="_Toc296602481"/>
      <w:bookmarkStart w:id="389" w:name="_Toc144974560"/>
      <w:bookmarkStart w:id="390" w:name="_Toc152045593"/>
      <w:bookmarkStart w:id="391" w:name="_Toc246996979"/>
      <w:bookmarkStart w:id="392" w:name="_Toc179632611"/>
      <w:bookmarkStart w:id="393" w:name="_Toc247085751"/>
      <w:bookmarkStart w:id="394" w:name="_Toc152042370"/>
      <w:bookmarkStart w:id="395" w:name="_Toc246996236"/>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permStart w:id="95" w:edGrp="everyone"/>
      <w:r>
        <w:rPr>
          <w:rFonts w:hint="eastAsia" w:ascii="Times New Roman" w:hAnsi="Times New Roman" w:cs="Times New Roman"/>
          <w:kern w:val="0"/>
          <w:sz w:val="24"/>
          <w:szCs w:val="24"/>
          <w:highlight w:val="none"/>
          <w:lang w:val="en-US" w:eastAsia="zh-CN"/>
        </w:rPr>
        <w:t>商务评分部分</w:t>
      </w:r>
      <w:permEnd w:id="95"/>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permStart w:id="96" w:edGrp="everyone"/>
      <w:r>
        <w:rPr>
          <w:rFonts w:hint="eastAsia" w:ascii="Times New Roman" w:hAnsi="Times New Roman" w:cs="Times New Roman"/>
          <w:kern w:val="0"/>
          <w:sz w:val="24"/>
          <w:szCs w:val="24"/>
          <w:highlight w:val="none"/>
          <w:lang w:val="en-US" w:eastAsia="zh-CN"/>
        </w:rPr>
        <w:t>技术部分</w:t>
      </w:r>
      <w:permEnd w:id="96"/>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permStart w:id="97" w:edGrp="everyone"/>
      <w:r>
        <w:rPr>
          <w:rFonts w:hint="eastAsia" w:ascii="Times New Roman" w:hAnsi="Times New Roman" w:cs="Times New Roman" w:eastAsiaTheme="minorEastAsia"/>
          <w:kern w:val="0"/>
          <w:sz w:val="24"/>
          <w:szCs w:val="24"/>
          <w:highlight w:val="none"/>
          <w:lang w:val="en-US" w:eastAsia="zh-CN"/>
        </w:rPr>
        <w:t>投标报价</w:t>
      </w:r>
      <w:permEnd w:id="97"/>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yellow"/>
          <w:lang w:val="en-US" w:eastAsia="zh-CN"/>
        </w:rPr>
      </w:pPr>
      <w:r>
        <w:rPr>
          <w:rFonts w:hint="eastAsia" w:ascii="Times New Roman" w:hAnsi="Times New Roman" w:cs="Times New Roman" w:eastAsiaTheme="minorEastAsia"/>
          <w:kern w:val="0"/>
          <w:sz w:val="24"/>
          <w:szCs w:val="24"/>
          <w:highlight w:val="none"/>
          <w:lang w:eastAsia="zh-CN"/>
        </w:rPr>
        <w:t>（</w:t>
      </w:r>
      <w:r>
        <w:rPr>
          <w:rFonts w:hint="eastAsia" w:ascii="Times New Roman" w:hAnsi="Times New Roman" w:cs="Times New Roman" w:eastAsiaTheme="minorEastAsia"/>
          <w:kern w:val="0"/>
          <w:sz w:val="24"/>
          <w:szCs w:val="24"/>
          <w:highlight w:val="none"/>
          <w:lang w:val="en-US" w:eastAsia="zh-CN"/>
        </w:rPr>
        <w:t>4</w:t>
      </w:r>
      <w:r>
        <w:rPr>
          <w:rFonts w:hint="eastAsia" w:ascii="Times New Roman" w:hAnsi="Times New Roman" w:cs="Times New Roman" w:eastAsiaTheme="minorEastAsia"/>
          <w:kern w:val="0"/>
          <w:sz w:val="24"/>
          <w:szCs w:val="24"/>
          <w:highlight w:val="none"/>
          <w:lang w:eastAsia="zh-CN"/>
        </w:rPr>
        <w:t>）</w:t>
      </w:r>
      <w:permStart w:id="98" w:edGrp="everyone"/>
      <w:r>
        <w:rPr>
          <w:rFonts w:hint="eastAsia" w:ascii="Times New Roman" w:hAnsi="Times New Roman" w:cs="Times New Roman" w:eastAsiaTheme="minorEastAsia"/>
          <w:kern w:val="0"/>
          <w:sz w:val="24"/>
          <w:szCs w:val="24"/>
          <w:highlight w:val="none"/>
          <w:lang w:val="en-US" w:eastAsia="zh-CN"/>
        </w:rPr>
        <w:t>其他评分因素</w:t>
      </w:r>
      <w:permEnd w:id="98"/>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kern w:val="0"/>
          <w:sz w:val="24"/>
          <w:szCs w:val="24"/>
          <w:highlight w:val="none"/>
        </w:rPr>
        <w:t>（1）</w:t>
      </w:r>
      <w:permStart w:id="99"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商务评分部分</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99"/>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（2）</w:t>
      </w:r>
      <w:permStart w:id="100"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技术部分</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100"/>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permStart w:id="101"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投标报价评分标准</w:t>
      </w:r>
      <w:permEnd w:id="101"/>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4</w:t>
      </w: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permStart w:id="102"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其他因素评分标准</w:t>
      </w:r>
      <w:permEnd w:id="102"/>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388"/>
      <w:bookmarkEnd w:id="389"/>
      <w:bookmarkEnd w:id="390"/>
      <w:bookmarkEnd w:id="391"/>
      <w:bookmarkEnd w:id="392"/>
      <w:bookmarkEnd w:id="393"/>
      <w:bookmarkEnd w:id="394"/>
      <w:bookmarkEnd w:id="395"/>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96" w:name="_Toc152045594"/>
      <w:bookmarkStart w:id="397" w:name="_Toc247085752"/>
      <w:bookmarkStart w:id="398" w:name="_Toc246996237"/>
      <w:bookmarkStart w:id="399" w:name="_Toc152042371"/>
      <w:bookmarkStart w:id="400" w:name="_Toc246996980"/>
      <w:bookmarkStart w:id="401" w:name="_Toc179632612"/>
      <w:bookmarkStart w:id="402" w:name="_Toc296602482"/>
      <w:bookmarkStart w:id="403" w:name="_Toc144974561"/>
      <w:r>
        <w:rPr>
          <w:rFonts w:hint="default" w:ascii="Times New Roman" w:hAnsi="Times New Roman" w:cs="Times New Roman" w:eastAsiaTheme="minorEastAsia"/>
          <w:b/>
          <w:bCs/>
          <w:kern w:val="0"/>
          <w:sz w:val="28"/>
          <w:szCs w:val="28"/>
          <w:highlight w:val="none"/>
        </w:rPr>
        <w:t>3.1 初步评审</w:t>
      </w:r>
      <w:bookmarkEnd w:id="396"/>
      <w:bookmarkEnd w:id="397"/>
      <w:bookmarkEnd w:id="398"/>
      <w:bookmarkEnd w:id="399"/>
      <w:bookmarkEnd w:id="400"/>
      <w:bookmarkEnd w:id="401"/>
      <w:bookmarkEnd w:id="402"/>
      <w:bookmarkEnd w:id="403"/>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w:t>
      </w:r>
      <w:r>
        <w:rPr>
          <w:rFonts w:hint="default" w:ascii="Times New Roman" w:hAnsi="Times New Roman" w:cs="Times New Roman" w:eastAsiaTheme="minorEastAsia"/>
          <w:kern w:val="0"/>
          <w:sz w:val="24"/>
          <w:szCs w:val="24"/>
          <w:highlight w:val="none"/>
        </w:rPr>
        <w:t>有关证明和证件的原件，以便核验。评标委员会依据本章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04" w:name="_Toc152042372"/>
      <w:bookmarkStart w:id="405" w:name="_Toc296602483"/>
      <w:bookmarkStart w:id="406" w:name="_Toc246996238"/>
      <w:bookmarkStart w:id="407" w:name="_Toc179632613"/>
      <w:bookmarkStart w:id="408" w:name="_Toc152045595"/>
      <w:bookmarkStart w:id="409" w:name="_Toc246996981"/>
      <w:bookmarkStart w:id="410" w:name="_Toc144974562"/>
      <w:bookmarkStart w:id="411" w:name="_Toc247085753"/>
      <w:r>
        <w:rPr>
          <w:rFonts w:hint="default" w:ascii="Times New Roman" w:hAnsi="Times New Roman" w:cs="Times New Roman" w:eastAsiaTheme="minorEastAsia"/>
          <w:b/>
          <w:bCs/>
          <w:kern w:val="0"/>
          <w:sz w:val="28"/>
          <w:szCs w:val="28"/>
          <w:highlight w:val="none"/>
        </w:rPr>
        <w:t>3.2 详细评审</w:t>
      </w:r>
      <w:bookmarkEnd w:id="404"/>
      <w:bookmarkEnd w:id="405"/>
      <w:bookmarkEnd w:id="406"/>
      <w:bookmarkEnd w:id="407"/>
      <w:bookmarkEnd w:id="408"/>
      <w:bookmarkEnd w:id="409"/>
      <w:bookmarkEnd w:id="410"/>
      <w:bookmarkEnd w:id="411"/>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412" w:name="_Toc144974563"/>
      <w:bookmarkStart w:id="413" w:name="_Toc152042373"/>
      <w:bookmarkStart w:id="414" w:name="_Toc296602484"/>
      <w:bookmarkStart w:id="415" w:name="_Toc246996239"/>
      <w:bookmarkStart w:id="416" w:name="_Toc152045596"/>
      <w:bookmarkStart w:id="417" w:name="_Toc247085754"/>
      <w:bookmarkStart w:id="418" w:name="_Toc246996982"/>
      <w:bookmarkStart w:id="419" w:name="_Toc179632614"/>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（1）按本章</w:t>
      </w:r>
      <w:r>
        <w:rPr>
          <w:rFonts w:hint="eastAsia" w:ascii="Times New Roman" w:hAnsi="Times New Roman" w:cs="Times New Roman"/>
          <w:kern w:val="0"/>
          <w:sz w:val="24"/>
          <w:szCs w:val="24"/>
          <w:highlight w:val="none"/>
          <w:lang w:val="en-US" w:eastAsia="zh-CN"/>
        </w:rPr>
        <w:t>第2.2.4（1）目规定的评审因素和分值对</w:t>
      </w:r>
      <w:permStart w:id="103"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商务评分部分</w:t>
      </w:r>
      <w:permEnd w:id="103"/>
      <w:r>
        <w:rPr>
          <w:rFonts w:hint="eastAsia" w:ascii="Times New Roman" w:hAnsi="Times New Roman" w:cs="Times New Roman"/>
          <w:kern w:val="0"/>
          <w:sz w:val="24"/>
          <w:szCs w:val="24"/>
          <w:highlight w:val="none"/>
          <w:lang w:val="en-US" w:eastAsia="zh-CN"/>
        </w:rPr>
        <w:t>计算出得分A；</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）按本章</w:t>
      </w:r>
      <w:r>
        <w:rPr>
          <w:rFonts w:hint="eastAsia" w:ascii="Times New Roman" w:hAnsi="Times New Roman" w:cs="Times New Roman"/>
          <w:kern w:val="0"/>
          <w:sz w:val="24"/>
          <w:szCs w:val="24"/>
          <w:highlight w:val="none"/>
          <w:lang w:val="en-US" w:eastAsia="zh-CN"/>
        </w:rPr>
        <w:t>第2.2.4（2）目规定的评审因素和分值对</w:t>
      </w:r>
      <w:permStart w:id="104"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技术部分</w:t>
      </w:r>
      <w:permEnd w:id="104"/>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计算出得分B；</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第2.2.4（3）目规定的评审因素和分值对</w:t>
      </w:r>
      <w:permStart w:id="105"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投标报价</w:t>
      </w:r>
      <w:permEnd w:id="105"/>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计算出得分C；</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4</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第2.2.4（4）目规定的评审因素和分值对</w:t>
      </w:r>
      <w:permStart w:id="106"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其他部分</w:t>
      </w:r>
      <w:permEnd w:id="106"/>
      <w:r>
        <w:rPr>
          <w:rFonts w:hint="eastAsia" w:ascii="Times New Roman" w:hAnsi="Times New Roman" w:cs="Times New Roman"/>
          <w:kern w:val="0"/>
          <w:sz w:val="24"/>
          <w:szCs w:val="24"/>
          <w:highlight w:val="none"/>
          <w:lang w:val="en-US" w:eastAsia="zh-CN"/>
        </w:rPr>
        <w:t>计算出得分D。</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3.2.2 评分分值计算保留小数点后两位，小数点后第三位</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四舍五入</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kern w:val="0"/>
          <w:sz w:val="24"/>
          <w:szCs w:val="24"/>
          <w:highlight w:val="none"/>
          <w:lang w:val="en-US" w:eastAsia="zh-CN"/>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D</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或者在设有标底时明显低于标底，使得其投标报价可能低于其个别成本的，应当要求投标人作出书面说明并提供相应的证明材料。投标人</w:t>
      </w:r>
      <w:r>
        <w:rPr>
          <w:rFonts w:hint="default" w:ascii="Times New Roman" w:hAnsi="Times New Roman" w:cs="Times New Roman" w:eastAsiaTheme="minorEastAsia"/>
          <w:kern w:val="0"/>
          <w:sz w:val="24"/>
          <w:szCs w:val="24"/>
          <w:highlight w:val="none"/>
        </w:rPr>
        <w:t>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412"/>
      <w:r>
        <w:rPr>
          <w:rFonts w:hint="default" w:ascii="Times New Roman" w:hAnsi="Times New Roman" w:cs="Times New Roman" w:eastAsiaTheme="minorEastAsia"/>
          <w:b/>
          <w:bCs/>
          <w:kern w:val="0"/>
          <w:sz w:val="28"/>
          <w:szCs w:val="28"/>
          <w:highlight w:val="none"/>
        </w:rPr>
        <w:t>和补正</w:t>
      </w:r>
      <w:bookmarkEnd w:id="413"/>
      <w:bookmarkEnd w:id="414"/>
      <w:bookmarkEnd w:id="415"/>
      <w:bookmarkEnd w:id="416"/>
      <w:bookmarkEnd w:id="417"/>
      <w:bookmarkEnd w:id="418"/>
      <w:bookmarkEnd w:id="41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07" w:edGrp="everyone"/>
            <w:r>
              <w:rPr>
                <w:rFonts w:hint="eastAsia" w:ascii="Times New Roman" w:hAnsi="Times New Roman" w:cs="Times New Roman"/>
                <w:kern w:val="0"/>
                <w:sz w:val="24"/>
                <w:szCs w:val="24"/>
                <w:highlight w:val="none"/>
                <w:shd w:val="clear" w:color="auto" w:fill="auto"/>
                <w:vertAlign w:val="baseline"/>
                <w:lang w:val="en-US" w:eastAsia="zh-CN"/>
              </w:rPr>
              <w:t xml:space="preserve">亳州通恒置业有限公司 </w:t>
            </w:r>
            <w:permEnd w:id="10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560" w:firstLineChars="200"/>
              <w:jc w:val="both"/>
              <w:textAlignment w:val="auto"/>
              <w:outlineLvl w:val="9"/>
              <w:rPr>
                <w:rFonts w:hint="eastAsia" w:asciiTheme="minorEastAsia" w:hAnsiTheme="minorEastAsia" w:cstheme="minorEastAsia"/>
                <w:kern w:val="0"/>
                <w:sz w:val="28"/>
                <w:szCs w:val="28"/>
                <w:highlight w:val="none"/>
                <w:shd w:val="clear" w:color="auto" w:fill="auto"/>
                <w:vertAlign w:val="baseline"/>
                <w:lang w:val="en-US" w:eastAsia="zh-CN"/>
              </w:rPr>
            </w:pPr>
            <w:permStart w:id="108" w:edGrp="everyone"/>
            <w:r>
              <w:rPr>
                <w:rFonts w:hint="eastAsia" w:asciiTheme="minorEastAsia" w:hAnsiTheme="minorEastAsia" w:cstheme="minorEastAsia"/>
                <w:kern w:val="0"/>
                <w:sz w:val="28"/>
                <w:szCs w:val="28"/>
                <w:highlight w:val="none"/>
                <w:shd w:val="clear" w:color="auto" w:fill="auto"/>
                <w:vertAlign w:val="baseline"/>
                <w:lang w:val="en-US" w:eastAsia="zh-CN"/>
              </w:rPr>
              <w:t>1.沙盘、户模安装验收合格后付至合同价款的85%；</w:t>
            </w: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560" w:firstLineChars="200"/>
              <w:jc w:val="both"/>
              <w:textAlignment w:val="auto"/>
              <w:outlineLvl w:val="9"/>
              <w:rPr>
                <w:rFonts w:hint="eastAsia" w:asciiTheme="minorEastAsia" w:hAnsiTheme="minorEastAsia" w:cstheme="minorEastAsia"/>
                <w:kern w:val="0"/>
                <w:sz w:val="28"/>
                <w:szCs w:val="28"/>
                <w:highlight w:val="none"/>
                <w:shd w:val="clear" w:color="auto" w:fill="auto"/>
                <w:vertAlign w:val="baseline"/>
                <w:lang w:val="en-US" w:eastAsia="zh-CN"/>
              </w:rPr>
            </w:pPr>
            <w:r>
              <w:rPr>
                <w:rFonts w:hint="eastAsia" w:asciiTheme="minorEastAsia" w:hAnsiTheme="minorEastAsia" w:cstheme="minorEastAsia"/>
                <w:kern w:val="0"/>
                <w:sz w:val="28"/>
                <w:szCs w:val="28"/>
                <w:highlight w:val="none"/>
                <w:shd w:val="clear" w:color="auto" w:fill="auto"/>
                <w:vertAlign w:val="baseline"/>
                <w:lang w:val="en-US" w:eastAsia="zh-CN"/>
              </w:rPr>
              <w:t>2.试运行3个月后付至合同价款的97%；</w:t>
            </w: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heme="minorEastAsia" w:hAnsiTheme="minorEastAsia" w:cstheme="minorEastAsia"/>
                <w:kern w:val="0"/>
                <w:sz w:val="28"/>
                <w:szCs w:val="28"/>
                <w:highlight w:val="none"/>
                <w:shd w:val="clear" w:color="auto" w:fill="auto"/>
                <w:vertAlign w:val="baseline"/>
                <w:lang w:val="en-US" w:eastAsia="zh-CN"/>
              </w:rPr>
            </w:pPr>
            <w:r>
              <w:rPr>
                <w:rFonts w:hint="eastAsia" w:asciiTheme="minorEastAsia" w:hAnsiTheme="minorEastAsia" w:cstheme="minorEastAsia"/>
                <w:kern w:val="0"/>
                <w:sz w:val="28"/>
                <w:szCs w:val="28"/>
                <w:highlight w:val="none"/>
                <w:shd w:val="clear" w:color="auto" w:fill="auto"/>
                <w:vertAlign w:val="baseline"/>
                <w:lang w:val="en-US" w:eastAsia="zh-CN"/>
              </w:rPr>
              <w:t>3.余款3%作为质量保证金，质保期满且无质量问题后无息付清。</w:t>
            </w:r>
          </w:p>
          <w:permEnd w:id="108"/>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09" w:edGrp="everyone"/>
            <w:r>
              <w:rPr>
                <w:rFonts w:hint="eastAsia" w:ascii="Times New Roman" w:hAnsi="Times New Roman" w:cs="Times New Roman"/>
                <w:kern w:val="0"/>
                <w:sz w:val="24"/>
                <w:szCs w:val="24"/>
                <w:highlight w:val="none"/>
                <w:shd w:val="clear" w:color="auto" w:fill="auto"/>
                <w:vertAlign w:val="baseline"/>
                <w:lang w:val="en-US" w:eastAsia="zh-CN"/>
              </w:rPr>
              <w:t>自验收合格之日起</w:t>
            </w:r>
            <w:r>
              <w:rPr>
                <w:rFonts w:hint="eastAsia" w:ascii="Times New Roman" w:hAnsi="Times New Roman" w:cs="Times New Roman"/>
                <w:kern w:val="0"/>
                <w:sz w:val="24"/>
                <w:szCs w:val="24"/>
                <w:highlight w:val="none"/>
                <w:u w:val="single"/>
                <w:shd w:val="clear" w:color="auto" w:fill="auto"/>
                <w:vertAlign w:val="baseline"/>
                <w:lang w:val="en-US" w:eastAsia="zh-CN"/>
              </w:rPr>
              <w:t>2</w:t>
            </w:r>
            <w:r>
              <w:rPr>
                <w:rFonts w:hint="eastAsia" w:ascii="Times New Roman" w:hAnsi="Times New Roman" w:cs="Times New Roman"/>
                <w:kern w:val="0"/>
                <w:sz w:val="24"/>
                <w:szCs w:val="24"/>
                <w:highlight w:val="none"/>
                <w:shd w:val="clear" w:color="auto" w:fill="auto"/>
                <w:vertAlign w:val="baseline"/>
                <w:lang w:val="en-US" w:eastAsia="zh-CN"/>
              </w:rPr>
              <w:t>年。</w:t>
            </w:r>
            <w:r>
              <w:rPr>
                <w:rFonts w:hint="eastAsia" w:ascii="Times New Roman" w:hAnsi="Times New Roman" w:cs="Times New Roman"/>
                <w:color w:val="FF0000"/>
                <w:kern w:val="0"/>
                <w:sz w:val="24"/>
                <w:szCs w:val="24"/>
                <w:highlight w:val="none"/>
                <w:shd w:val="clear" w:color="auto" w:fill="auto"/>
                <w:vertAlign w:val="baseline"/>
                <w:lang w:val="en-US" w:eastAsia="zh-CN"/>
              </w:rPr>
              <w:t xml:space="preserve"> </w:t>
            </w:r>
            <w:permEnd w:id="10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10" w:edGrp="everyone"/>
            <w:r>
              <w:rPr>
                <w:rFonts w:hint="eastAsia" w:ascii="Times New Roman" w:hAnsi="Times New Roman" w:cs="Times New Roman"/>
                <w:kern w:val="0"/>
                <w:sz w:val="24"/>
                <w:szCs w:val="24"/>
                <w:highlight w:val="none"/>
                <w:shd w:val="clear" w:color="auto" w:fill="auto"/>
                <w:vertAlign w:val="baseline"/>
                <w:lang w:val="en-US" w:eastAsia="zh-CN"/>
              </w:rPr>
              <w:t>/</w:t>
            </w:r>
            <w:permEnd w:id="110"/>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第五章 </w:t>
      </w:r>
      <w:bookmarkEnd w:id="364"/>
      <w:bookmarkEnd w:id="365"/>
      <w:bookmarkEnd w:id="366"/>
      <w:bookmarkEnd w:id="367"/>
      <w:bookmarkEnd w:id="368"/>
      <w:bookmarkEnd w:id="369"/>
      <w:bookmarkEnd w:id="370"/>
      <w:bookmarkEnd w:id="371"/>
      <w:r>
        <w:rPr>
          <w:rFonts w:hint="eastAsia" w:asciiTheme="majorEastAsia" w:hAnsiTheme="majorEastAsia" w:eastAsiaTheme="majorEastAsia" w:cstheme="majorEastAsia"/>
          <w:b/>
          <w:bCs/>
          <w:sz w:val="32"/>
          <w:szCs w:val="32"/>
          <w:highlight w:val="none"/>
          <w:lang w:val="en-US" w:eastAsia="zh-CN"/>
        </w:rPr>
        <w:t>供货要求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permStart w:id="111" w:edGrp="everyone"/>
      <w:r>
        <w:rPr>
          <w:rFonts w:hint="eastAsia" w:asciiTheme="minorEastAsia" w:hAnsiTheme="minorEastAsia" w:cstheme="minorEastAsia"/>
          <w:i w:val="0"/>
          <w:iCs w:val="0"/>
          <w:color w:val="auto"/>
          <w:sz w:val="28"/>
          <w:szCs w:val="28"/>
          <w:highlight w:val="none"/>
          <w:u w:val="none"/>
          <w:lang w:val="en-US" w:eastAsia="zh-CN"/>
        </w:rPr>
        <w:t>一</w:t>
      </w:r>
      <w:r>
        <w:rPr>
          <w:rFonts w:hint="eastAsia" w:asciiTheme="minorEastAsia" w:hAnsiTheme="minorEastAsia" w:eastAsiaTheme="minorEastAsia" w:cstheme="minorEastAsia"/>
          <w:i w:val="0"/>
          <w:iCs w:val="0"/>
          <w:color w:val="auto"/>
          <w:sz w:val="28"/>
          <w:szCs w:val="28"/>
          <w:highlight w:val="none"/>
          <w:u w:val="none"/>
          <w:lang w:val="en-US" w:eastAsia="zh-CN"/>
        </w:rPr>
        <w:t>、总体沙盘模型制作要求：</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t>（一）规格、材质等要求：</w:t>
      </w:r>
    </w:p>
    <w:tbl>
      <w:tblPr>
        <w:tblStyle w:val="18"/>
        <w:tblpPr w:leftFromText="180" w:rightFromText="180" w:vertAnchor="text" w:horzAnchor="page" w:tblpX="1306" w:tblpY="243"/>
        <w:tblOverlap w:val="never"/>
        <w:tblW w:w="972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02"/>
        <w:gridCol w:w="1000"/>
        <w:gridCol w:w="1022"/>
        <w:gridCol w:w="1393"/>
        <w:gridCol w:w="1889"/>
        <w:gridCol w:w="1511"/>
        <w:gridCol w:w="151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0" w:hRule="atLeast"/>
        </w:trPr>
        <w:tc>
          <w:tcPr>
            <w:tcW w:w="2402" w:type="dxa"/>
            <w:gridSpan w:val="2"/>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宋体" w:hAnsi="宋体" w:eastAsia="宋体" w:cs="宋体"/>
                <w:i w:val="0"/>
                <w:iCs w:val="0"/>
                <w:color w:val="000000"/>
                <w:kern w:val="0"/>
                <w:sz w:val="32"/>
                <w:szCs w:val="32"/>
                <w:u w:val="none"/>
                <w:lang w:val="en-US" w:eastAsia="zh-CN" w:bidi="ar"/>
              </w:rPr>
              <w:t>商品名称</w:t>
            </w:r>
          </w:p>
        </w:tc>
        <w:tc>
          <w:tcPr>
            <w:tcW w:w="1022"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宋体" w:hAnsi="宋体" w:eastAsia="宋体" w:cs="宋体"/>
                <w:i w:val="0"/>
                <w:iCs w:val="0"/>
                <w:color w:val="000000"/>
                <w:kern w:val="0"/>
                <w:sz w:val="32"/>
                <w:szCs w:val="32"/>
                <w:u w:val="none"/>
                <w:lang w:val="en-US" w:eastAsia="zh-CN" w:bidi="ar"/>
              </w:rPr>
              <w:t>比例</w:t>
            </w:r>
          </w:p>
        </w:tc>
        <w:tc>
          <w:tcPr>
            <w:tcW w:w="1393"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宋体" w:hAnsi="宋体" w:eastAsia="宋体" w:cs="宋体"/>
                <w:i w:val="0"/>
                <w:iCs w:val="0"/>
                <w:color w:val="000000"/>
                <w:kern w:val="0"/>
                <w:sz w:val="32"/>
                <w:szCs w:val="32"/>
                <w:u w:val="none"/>
                <w:lang w:val="en-US" w:eastAsia="zh-CN" w:bidi="ar"/>
              </w:rPr>
              <w:t>规格（m）</w:t>
            </w:r>
          </w:p>
        </w:tc>
        <w:tc>
          <w:tcPr>
            <w:tcW w:w="1889"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宋体" w:hAnsi="宋体" w:eastAsia="宋体" w:cs="宋体"/>
                <w:i w:val="0"/>
                <w:iCs w:val="0"/>
                <w:color w:val="000000"/>
                <w:kern w:val="0"/>
                <w:sz w:val="32"/>
                <w:szCs w:val="32"/>
                <w:u w:val="none"/>
                <w:lang w:val="en-US" w:eastAsia="zh-CN" w:bidi="ar"/>
              </w:rPr>
              <w:t>材质</w:t>
            </w:r>
          </w:p>
        </w:tc>
        <w:tc>
          <w:tcPr>
            <w:tcW w:w="1511"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宋体" w:hAnsi="宋体" w:eastAsia="宋体" w:cs="宋体"/>
                <w:i w:val="0"/>
                <w:iCs w:val="0"/>
                <w:color w:val="000000"/>
                <w:kern w:val="0"/>
                <w:sz w:val="32"/>
                <w:szCs w:val="32"/>
                <w:u w:val="none"/>
                <w:lang w:val="en-US" w:eastAsia="zh-CN" w:bidi="ar"/>
              </w:rPr>
              <w:t>制作要求</w:t>
            </w:r>
          </w:p>
        </w:tc>
        <w:tc>
          <w:tcPr>
            <w:tcW w:w="1511"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32"/>
                <w:szCs w:val="32"/>
                <w:u w:val="none"/>
                <w:lang w:val="en-US" w:eastAsia="zh-CN" w:bidi="ar"/>
              </w:rPr>
            </w:pPr>
            <w:r>
              <w:rPr>
                <w:rFonts w:hint="eastAsia" w:ascii="宋体" w:hAnsi="宋体" w:eastAsia="宋体" w:cs="宋体"/>
                <w:i w:val="0"/>
                <w:iCs w:val="0"/>
                <w:color w:val="000000"/>
                <w:kern w:val="0"/>
                <w:sz w:val="32"/>
                <w:szCs w:val="32"/>
                <w:u w:val="none"/>
                <w:lang w:val="en-US" w:eastAsia="zh-CN" w:bidi="ar"/>
              </w:rPr>
              <w:t>面积（平方米）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trPr>
        <w:tc>
          <w:tcPr>
            <w:tcW w:w="140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总体沙盘模型 </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建筑比例</w:t>
            </w:r>
          </w:p>
        </w:tc>
        <w:tc>
          <w:tcPr>
            <w:tcW w:w="1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1/120</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宋体" w:hAnsi="宋体" w:eastAsia="宋体" w:cs="宋体"/>
                <w:i w:val="0"/>
                <w:iCs w:val="0"/>
                <w:color w:val="000000"/>
                <w:kern w:val="0"/>
                <w:sz w:val="32"/>
                <w:szCs w:val="32"/>
                <w:u w:val="none"/>
                <w:lang w:val="en-US" w:eastAsia="zh-CN" w:bidi="ar"/>
              </w:rPr>
              <w:t>多层+高层</w:t>
            </w:r>
          </w:p>
        </w:tc>
        <w:tc>
          <w:tcPr>
            <w:tcW w:w="18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模型专用亚克力/ABS板材</w:t>
            </w:r>
          </w:p>
        </w:tc>
        <w:tc>
          <w:tcPr>
            <w:tcW w:w="15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写实</w:t>
            </w:r>
          </w:p>
        </w:tc>
        <w:tc>
          <w:tcPr>
            <w:tcW w:w="1511" w:type="dxa"/>
            <w:vMerge w:val="restart"/>
            <w:tcBorders>
              <w:top w:val="single" w:color="000000" w:sz="4" w:space="0"/>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45.54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4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环境比例</w:t>
            </w:r>
          </w:p>
        </w:tc>
        <w:tc>
          <w:tcPr>
            <w:tcW w:w="1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1/100</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宋体" w:hAnsi="宋体" w:eastAsia="宋体" w:cs="宋体"/>
                <w:i w:val="0"/>
                <w:iCs w:val="0"/>
                <w:color w:val="000000"/>
                <w:kern w:val="0"/>
                <w:sz w:val="32"/>
                <w:szCs w:val="32"/>
                <w:u w:val="none"/>
                <w:lang w:val="en-US" w:eastAsia="zh-CN" w:bidi="ar"/>
              </w:rPr>
              <w:t>6.9*6.6</w:t>
            </w:r>
          </w:p>
        </w:tc>
        <w:tc>
          <w:tcPr>
            <w:tcW w:w="18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铁丝树/景观仿真草</w:t>
            </w:r>
          </w:p>
        </w:tc>
        <w:tc>
          <w:tcPr>
            <w:tcW w:w="15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写实</w:t>
            </w:r>
          </w:p>
        </w:tc>
        <w:tc>
          <w:tcPr>
            <w:tcW w:w="1511" w:type="dxa"/>
            <w:vMerge w:val="continue"/>
            <w:tcBorders>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4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sz w:val="28"/>
                <w:szCs w:val="28"/>
                <w:u w:val="none"/>
                <w:lang w:val="en-US" w:eastAsia="zh-CN"/>
              </w:rPr>
              <w:t>沙盘底座</w:t>
            </w:r>
          </w:p>
        </w:tc>
        <w:tc>
          <w:tcPr>
            <w:tcW w:w="1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1/1</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32"/>
                <w:szCs w:val="32"/>
                <w:u w:val="none"/>
                <w:lang w:val="en-US" w:eastAsia="zh-CN" w:bidi="ar"/>
              </w:rPr>
            </w:pPr>
            <w:r>
              <w:rPr>
                <w:rFonts w:hint="eastAsia" w:ascii="宋体" w:hAnsi="宋体" w:eastAsia="宋体" w:cs="宋体"/>
                <w:i w:val="0"/>
                <w:iCs w:val="0"/>
                <w:color w:val="000000"/>
                <w:kern w:val="0"/>
                <w:sz w:val="32"/>
                <w:szCs w:val="32"/>
                <w:u w:val="none"/>
                <w:lang w:val="en-US" w:eastAsia="zh-CN" w:bidi="ar"/>
              </w:rPr>
              <w:t>6.9*6.6</w:t>
            </w:r>
          </w:p>
        </w:tc>
        <w:tc>
          <w:tcPr>
            <w:tcW w:w="18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石材</w:t>
            </w:r>
          </w:p>
        </w:tc>
        <w:tc>
          <w:tcPr>
            <w:tcW w:w="30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正方形，沿米：27m</w:t>
            </w:r>
          </w:p>
        </w:tc>
      </w:tr>
    </w:tbl>
    <w:p>
      <w:pPr>
        <w:keepNext w:val="0"/>
        <w:keepLines w:val="0"/>
        <w:pageBreakBefore w:val="0"/>
        <w:widowControl w:val="0"/>
        <w:numPr>
          <w:ilvl w:val="0"/>
          <w:numId w:val="0"/>
        </w:numPr>
        <w:kinsoku/>
        <w:wordWrap w:val="0"/>
        <w:overflowPunct/>
        <w:topLinePunct w:val="0"/>
        <w:autoSpaceDE/>
        <w:autoSpaceDN/>
        <w:bidi w:val="0"/>
        <w:adjustRightInd/>
        <w:snapToGrid/>
        <w:spacing w:line="430" w:lineRule="exact"/>
        <w:ind w:firstLine="560" w:firstLineChars="200"/>
        <w:textAlignment w:val="auto"/>
        <w:rPr>
          <w:rFonts w:hint="eastAsia" w:ascii="Times New Roman" w:hAnsi="Times New Roman" w:cs="Times New Roman"/>
          <w:kern w:val="0"/>
          <w:sz w:val="28"/>
          <w:szCs w:val="28"/>
          <w:highlight w:val="none"/>
          <w:lang w:val="en-US" w:eastAsia="zh-CN"/>
        </w:rPr>
      </w:pPr>
      <w:r>
        <w:rPr>
          <w:rFonts w:hint="eastAsia" w:ascii="Times New Roman" w:hAnsi="Times New Roman" w:cs="Times New Roman"/>
          <w:kern w:val="0"/>
          <w:sz w:val="28"/>
          <w:szCs w:val="28"/>
          <w:highlight w:val="none"/>
          <w:lang w:val="en-US" w:eastAsia="zh-CN"/>
        </w:rPr>
        <w:t>（二）模型</w:t>
      </w:r>
      <w:r>
        <w:rPr>
          <w:rFonts w:hint="eastAsia" w:asciiTheme="minorEastAsia" w:hAnsiTheme="minorEastAsia" w:eastAsiaTheme="minorEastAsia" w:cstheme="minorEastAsia"/>
          <w:i w:val="0"/>
          <w:iCs w:val="0"/>
          <w:color w:val="auto"/>
          <w:sz w:val="28"/>
          <w:szCs w:val="28"/>
          <w:highlight w:val="none"/>
          <w:u w:val="none"/>
          <w:lang w:val="en-US" w:eastAsia="zh-CN"/>
        </w:rPr>
        <w:t>制作要求</w:t>
      </w:r>
    </w:p>
    <w:p>
      <w:pPr>
        <w:keepNext w:val="0"/>
        <w:keepLines w:val="0"/>
        <w:pageBreakBefore w:val="0"/>
        <w:widowControl w:val="0"/>
        <w:numPr>
          <w:ilvl w:val="0"/>
          <w:numId w:val="0"/>
        </w:numPr>
        <w:kinsoku/>
        <w:wordWrap w:val="0"/>
        <w:overflowPunct/>
        <w:topLinePunct w:val="0"/>
        <w:autoSpaceDE/>
        <w:autoSpaceDN/>
        <w:bidi w:val="0"/>
        <w:adjustRightInd/>
        <w:snapToGrid/>
        <w:spacing w:line="430" w:lineRule="exact"/>
        <w:ind w:firstLine="560" w:firstLineChars="200"/>
        <w:textAlignment w:val="auto"/>
        <w:rPr>
          <w:rFonts w:hint="eastAsia" w:ascii="Times New Roman" w:hAnsi="Times New Roman" w:cs="Times New Roman"/>
          <w:kern w:val="0"/>
          <w:sz w:val="28"/>
          <w:szCs w:val="28"/>
          <w:highlight w:val="none"/>
          <w:lang w:val="en-US" w:eastAsia="zh-CN"/>
        </w:rPr>
      </w:pPr>
      <w:r>
        <w:rPr>
          <w:rFonts w:hint="eastAsia" w:ascii="Times New Roman" w:hAnsi="Times New Roman" w:cs="Times New Roman"/>
          <w:kern w:val="0"/>
          <w:sz w:val="28"/>
          <w:szCs w:val="28"/>
          <w:highlight w:val="none"/>
          <w:lang w:val="en-US" w:eastAsia="zh-CN"/>
        </w:rPr>
        <w:t>1）建筑采用写实手法制作，主体墙面采用“复合 PSS-2000R3mm高分子聚碳板”制作，精细雕刻线条，打磨喷漆上色。</w:t>
      </w:r>
    </w:p>
    <w:p>
      <w:pPr>
        <w:keepNext w:val="0"/>
        <w:keepLines w:val="0"/>
        <w:pageBreakBefore w:val="0"/>
        <w:widowControl w:val="0"/>
        <w:numPr>
          <w:ilvl w:val="0"/>
          <w:numId w:val="0"/>
        </w:numPr>
        <w:kinsoku/>
        <w:wordWrap w:val="0"/>
        <w:overflowPunct/>
        <w:topLinePunct w:val="0"/>
        <w:autoSpaceDE/>
        <w:autoSpaceDN/>
        <w:bidi w:val="0"/>
        <w:adjustRightInd/>
        <w:snapToGrid/>
        <w:spacing w:line="430" w:lineRule="exact"/>
        <w:ind w:firstLine="560" w:firstLineChars="200"/>
        <w:textAlignment w:val="auto"/>
        <w:rPr>
          <w:rFonts w:hint="eastAsia" w:ascii="Times New Roman" w:hAnsi="Times New Roman" w:cs="Times New Roman"/>
          <w:kern w:val="0"/>
          <w:sz w:val="28"/>
          <w:szCs w:val="28"/>
          <w:highlight w:val="none"/>
          <w:lang w:val="en-US" w:eastAsia="zh-CN"/>
        </w:rPr>
      </w:pPr>
      <w:r>
        <w:rPr>
          <w:rFonts w:hint="eastAsia" w:ascii="Times New Roman" w:hAnsi="Times New Roman" w:cs="Times New Roman"/>
          <w:kern w:val="0"/>
          <w:sz w:val="28"/>
          <w:szCs w:val="28"/>
          <w:highlight w:val="none"/>
          <w:lang w:val="en-US" w:eastAsia="zh-CN"/>
        </w:rPr>
        <w:t>2）</w:t>
      </w:r>
      <w:r>
        <w:rPr>
          <w:rFonts w:hint="eastAsia" w:ascii="Times New Roman" w:hAnsi="Times New Roman" w:cs="Times New Roman"/>
          <w:color w:val="CF543F" w:themeColor="accent2"/>
          <w:kern w:val="0"/>
          <w:sz w:val="28"/>
          <w:szCs w:val="28"/>
          <w:highlight w:val="none"/>
          <w:lang w:val="en-US" w:eastAsia="zh-CN"/>
          <w14:textFill>
            <w14:solidFill>
              <w14:schemeClr w14:val="accent2"/>
            </w14:solidFill>
          </w14:textFill>
        </w:rPr>
        <w:t>建筑</w:t>
      </w:r>
      <w:r>
        <w:rPr>
          <w:rFonts w:hint="eastAsia" w:ascii="Times New Roman" w:hAnsi="Times New Roman" w:cs="Times New Roman"/>
          <w:kern w:val="0"/>
          <w:sz w:val="28"/>
          <w:szCs w:val="28"/>
          <w:highlight w:val="none"/>
          <w:lang w:val="en-US" w:eastAsia="zh-CN"/>
        </w:rPr>
        <w:t>灯光采用盒子灯光“间灭式灯光编程”LED白色与黄色万家灯火搭配表现在房间里点缀人物情节。</w:t>
      </w:r>
    </w:p>
    <w:p>
      <w:pPr>
        <w:keepNext w:val="0"/>
        <w:keepLines w:val="0"/>
        <w:pageBreakBefore w:val="0"/>
        <w:widowControl w:val="0"/>
        <w:numPr>
          <w:ilvl w:val="0"/>
          <w:numId w:val="0"/>
        </w:numPr>
        <w:kinsoku/>
        <w:wordWrap w:val="0"/>
        <w:overflowPunct/>
        <w:topLinePunct w:val="0"/>
        <w:autoSpaceDE/>
        <w:autoSpaceDN/>
        <w:bidi w:val="0"/>
        <w:adjustRightInd/>
        <w:snapToGrid/>
        <w:spacing w:line="430" w:lineRule="exact"/>
        <w:ind w:firstLine="560" w:firstLineChars="200"/>
        <w:textAlignment w:val="auto"/>
        <w:rPr>
          <w:rFonts w:hint="eastAsia" w:ascii="Times New Roman" w:hAnsi="Times New Roman" w:cs="Times New Roman"/>
          <w:kern w:val="0"/>
          <w:sz w:val="28"/>
          <w:szCs w:val="28"/>
          <w:highlight w:val="none"/>
          <w:lang w:val="en-US" w:eastAsia="zh-CN"/>
        </w:rPr>
      </w:pPr>
      <w:r>
        <w:rPr>
          <w:rFonts w:hint="eastAsia" w:ascii="Times New Roman" w:hAnsi="Times New Roman" w:cs="Times New Roman"/>
          <w:kern w:val="0"/>
          <w:sz w:val="28"/>
          <w:szCs w:val="28"/>
          <w:highlight w:val="none"/>
          <w:lang w:val="en-US" w:eastAsia="zh-CN"/>
        </w:rPr>
        <w:t>3）</w:t>
      </w:r>
      <w:r>
        <w:rPr>
          <w:rFonts w:hint="eastAsia" w:ascii="Times New Roman" w:hAnsi="Times New Roman" w:cs="Times New Roman"/>
          <w:color w:val="CF543F" w:themeColor="accent2"/>
          <w:kern w:val="0"/>
          <w:sz w:val="28"/>
          <w:szCs w:val="28"/>
          <w:highlight w:val="none"/>
          <w:lang w:val="en-US" w:eastAsia="zh-CN"/>
          <w14:textFill>
            <w14:solidFill>
              <w14:schemeClr w14:val="accent2"/>
            </w14:solidFill>
          </w14:textFill>
        </w:rPr>
        <w:t>建筑</w:t>
      </w:r>
      <w:r>
        <w:rPr>
          <w:rFonts w:hint="eastAsia" w:ascii="Times New Roman" w:hAnsi="Times New Roman" w:cs="Times New Roman"/>
          <w:kern w:val="0"/>
          <w:sz w:val="28"/>
          <w:szCs w:val="28"/>
          <w:highlight w:val="none"/>
          <w:lang w:val="en-US" w:eastAsia="zh-CN"/>
        </w:rPr>
        <w:t>入口，突出表现“入口处点缀LED灯光”让购房者更加清晰的看到建筑楼入口。</w:t>
      </w:r>
    </w:p>
    <w:p>
      <w:pPr>
        <w:keepNext w:val="0"/>
        <w:keepLines w:val="0"/>
        <w:pageBreakBefore w:val="0"/>
        <w:widowControl w:val="0"/>
        <w:numPr>
          <w:ilvl w:val="0"/>
          <w:numId w:val="0"/>
        </w:numPr>
        <w:kinsoku/>
        <w:wordWrap w:val="0"/>
        <w:overflowPunct/>
        <w:topLinePunct w:val="0"/>
        <w:autoSpaceDE/>
        <w:autoSpaceDN/>
        <w:bidi w:val="0"/>
        <w:adjustRightInd/>
        <w:snapToGrid/>
        <w:spacing w:line="430" w:lineRule="exact"/>
        <w:ind w:firstLine="560" w:firstLineChars="200"/>
        <w:textAlignment w:val="auto"/>
        <w:rPr>
          <w:rFonts w:hint="eastAsia" w:ascii="Times New Roman" w:hAnsi="Times New Roman" w:cs="Times New Roman"/>
          <w:kern w:val="0"/>
          <w:sz w:val="28"/>
          <w:szCs w:val="28"/>
          <w:highlight w:val="none"/>
          <w:lang w:val="en-US" w:eastAsia="zh-CN"/>
        </w:rPr>
      </w:pPr>
      <w:r>
        <w:rPr>
          <w:rFonts w:hint="eastAsia" w:ascii="Times New Roman" w:hAnsi="Times New Roman" w:cs="Times New Roman"/>
          <w:kern w:val="0"/>
          <w:sz w:val="28"/>
          <w:szCs w:val="28"/>
          <w:highlight w:val="none"/>
          <w:lang w:val="en-US" w:eastAsia="zh-CN"/>
        </w:rPr>
        <w:t>4）</w:t>
      </w:r>
      <w:r>
        <w:rPr>
          <w:rFonts w:hint="eastAsia" w:ascii="Times New Roman" w:hAnsi="Times New Roman" w:cs="Times New Roman"/>
          <w:color w:val="CF543F" w:themeColor="accent2"/>
          <w:kern w:val="0"/>
          <w:sz w:val="28"/>
          <w:szCs w:val="28"/>
          <w:highlight w:val="none"/>
          <w:lang w:val="en-US" w:eastAsia="zh-CN"/>
          <w14:textFill>
            <w14:solidFill>
              <w14:schemeClr w14:val="accent2"/>
            </w14:solidFill>
          </w14:textFill>
        </w:rPr>
        <w:t>建筑</w:t>
      </w:r>
      <w:r>
        <w:rPr>
          <w:rFonts w:hint="eastAsia" w:ascii="Times New Roman" w:hAnsi="Times New Roman" w:cs="Times New Roman"/>
          <w:kern w:val="0"/>
          <w:sz w:val="28"/>
          <w:szCs w:val="28"/>
          <w:highlight w:val="none"/>
          <w:lang w:val="en-US" w:eastAsia="zh-CN"/>
        </w:rPr>
        <w:t>屋顶及线条出点“缀暖色洗墙灯”使模型更加高档，夜景效果更好。</w:t>
      </w:r>
    </w:p>
    <w:p>
      <w:pPr>
        <w:keepNext w:val="0"/>
        <w:keepLines w:val="0"/>
        <w:pageBreakBefore w:val="0"/>
        <w:widowControl w:val="0"/>
        <w:numPr>
          <w:ilvl w:val="0"/>
          <w:numId w:val="0"/>
        </w:numPr>
        <w:kinsoku/>
        <w:wordWrap w:val="0"/>
        <w:overflowPunct/>
        <w:topLinePunct w:val="0"/>
        <w:autoSpaceDE/>
        <w:autoSpaceDN/>
        <w:bidi w:val="0"/>
        <w:adjustRightInd/>
        <w:snapToGrid/>
        <w:spacing w:line="430" w:lineRule="exact"/>
        <w:ind w:firstLine="560" w:firstLineChars="200"/>
        <w:textAlignment w:val="auto"/>
        <w:rPr>
          <w:rFonts w:hint="eastAsia" w:ascii="Times New Roman" w:hAnsi="Times New Roman" w:cs="Times New Roman"/>
          <w:kern w:val="0"/>
          <w:sz w:val="28"/>
          <w:szCs w:val="28"/>
          <w:highlight w:val="none"/>
          <w:lang w:val="en-US" w:eastAsia="zh-CN"/>
        </w:rPr>
      </w:pPr>
      <w:r>
        <w:rPr>
          <w:rFonts w:hint="eastAsia" w:ascii="Times New Roman" w:hAnsi="Times New Roman" w:cs="Times New Roman"/>
          <w:kern w:val="0"/>
          <w:sz w:val="28"/>
          <w:szCs w:val="28"/>
          <w:highlight w:val="none"/>
          <w:lang w:val="en-US" w:eastAsia="zh-CN"/>
        </w:rPr>
        <w:t>5）商业建筑采用暖色LED静态灯光表示，商业店招全透光制作表现。</w:t>
      </w:r>
    </w:p>
    <w:p>
      <w:pPr>
        <w:keepNext w:val="0"/>
        <w:keepLines w:val="0"/>
        <w:pageBreakBefore w:val="0"/>
        <w:widowControl w:val="0"/>
        <w:numPr>
          <w:ilvl w:val="0"/>
          <w:numId w:val="0"/>
        </w:numPr>
        <w:kinsoku/>
        <w:wordWrap w:val="0"/>
        <w:overflowPunct/>
        <w:topLinePunct w:val="0"/>
        <w:autoSpaceDE/>
        <w:autoSpaceDN/>
        <w:bidi w:val="0"/>
        <w:adjustRightInd/>
        <w:snapToGrid/>
        <w:spacing w:line="430" w:lineRule="exact"/>
        <w:ind w:firstLine="560" w:firstLineChars="200"/>
        <w:textAlignment w:val="auto"/>
        <w:rPr>
          <w:rFonts w:hint="eastAsia" w:ascii="Times New Roman" w:hAnsi="Times New Roman" w:cs="Times New Roman"/>
          <w:kern w:val="0"/>
          <w:sz w:val="28"/>
          <w:szCs w:val="28"/>
          <w:highlight w:val="none"/>
          <w:lang w:val="en-US" w:eastAsia="zh-CN"/>
        </w:rPr>
      </w:pPr>
      <w:r>
        <w:rPr>
          <w:rFonts w:hint="eastAsia" w:ascii="Times New Roman" w:hAnsi="Times New Roman" w:cs="Times New Roman"/>
          <w:kern w:val="0"/>
          <w:sz w:val="28"/>
          <w:szCs w:val="28"/>
          <w:highlight w:val="none"/>
          <w:lang w:val="en-US" w:eastAsia="zh-CN"/>
        </w:rPr>
        <w:t>6）红线内写实景观、仿真外立面、高清镀膜玻璃、LED呼吸灯光，周边地块HK镜面玻璃。</w:t>
      </w:r>
    </w:p>
    <w:p>
      <w:pPr>
        <w:keepNext w:val="0"/>
        <w:keepLines w:val="0"/>
        <w:pageBreakBefore w:val="0"/>
        <w:widowControl w:val="0"/>
        <w:numPr>
          <w:ilvl w:val="0"/>
          <w:numId w:val="0"/>
        </w:numPr>
        <w:kinsoku/>
        <w:wordWrap w:val="0"/>
        <w:overflowPunct/>
        <w:topLinePunct w:val="0"/>
        <w:autoSpaceDE/>
        <w:autoSpaceDN/>
        <w:bidi w:val="0"/>
        <w:adjustRightInd/>
        <w:snapToGrid/>
        <w:spacing w:line="430" w:lineRule="exact"/>
        <w:ind w:firstLine="560" w:firstLineChars="200"/>
        <w:textAlignment w:val="auto"/>
        <w:rPr>
          <w:rFonts w:hint="eastAsia" w:ascii="Times New Roman" w:hAnsi="Times New Roman" w:cs="Times New Roman"/>
          <w:kern w:val="0"/>
          <w:sz w:val="28"/>
          <w:szCs w:val="28"/>
          <w:highlight w:val="none"/>
          <w:lang w:val="en-US" w:eastAsia="zh-CN"/>
        </w:rPr>
      </w:pPr>
      <w:r>
        <w:rPr>
          <w:rFonts w:hint="eastAsia" w:ascii="Times New Roman" w:hAnsi="Times New Roman" w:cs="Times New Roman"/>
          <w:kern w:val="0"/>
          <w:sz w:val="28"/>
          <w:szCs w:val="28"/>
          <w:highlight w:val="none"/>
          <w:lang w:val="en-US" w:eastAsia="zh-CN"/>
        </w:rPr>
        <w:t>7）商业铺砖按照实际设计图纸雕刻上色，在铺砖上做出仿真外摆小品,增加商业氛围。</w:t>
      </w:r>
    </w:p>
    <w:p>
      <w:pPr>
        <w:keepNext w:val="0"/>
        <w:keepLines w:val="0"/>
        <w:pageBreakBefore w:val="0"/>
        <w:widowControl w:val="0"/>
        <w:numPr>
          <w:ilvl w:val="0"/>
          <w:numId w:val="0"/>
        </w:numPr>
        <w:kinsoku/>
        <w:wordWrap w:val="0"/>
        <w:overflowPunct/>
        <w:topLinePunct w:val="0"/>
        <w:autoSpaceDE/>
        <w:autoSpaceDN/>
        <w:bidi w:val="0"/>
        <w:adjustRightInd/>
        <w:snapToGrid/>
        <w:spacing w:line="430" w:lineRule="exact"/>
        <w:ind w:firstLine="560" w:firstLineChars="200"/>
        <w:textAlignment w:val="auto"/>
        <w:rPr>
          <w:rFonts w:hint="eastAsia" w:ascii="Times New Roman" w:hAnsi="Times New Roman" w:cs="Times New Roman"/>
          <w:kern w:val="0"/>
          <w:sz w:val="28"/>
          <w:szCs w:val="28"/>
          <w:highlight w:val="none"/>
          <w:lang w:val="en-US" w:eastAsia="zh-CN"/>
        </w:rPr>
      </w:pPr>
      <w:r>
        <w:rPr>
          <w:rFonts w:hint="eastAsia" w:ascii="Times New Roman" w:hAnsi="Times New Roman" w:cs="Times New Roman"/>
          <w:kern w:val="0"/>
          <w:sz w:val="28"/>
          <w:szCs w:val="28"/>
          <w:highlight w:val="none"/>
          <w:lang w:val="en-US" w:eastAsia="zh-CN"/>
        </w:rPr>
        <w:t>8）所有建筑楼栋均设置楼栋号发光标示，在沙盘边上的空白处设置“温馨提示”（需结合项目元素进行设计）此模型仅供参考标牌。</w:t>
      </w:r>
    </w:p>
    <w:p>
      <w:pPr>
        <w:keepNext w:val="0"/>
        <w:keepLines w:val="0"/>
        <w:pageBreakBefore w:val="0"/>
        <w:widowControl w:val="0"/>
        <w:numPr>
          <w:ilvl w:val="0"/>
          <w:numId w:val="0"/>
        </w:numPr>
        <w:kinsoku/>
        <w:wordWrap w:val="0"/>
        <w:overflowPunct/>
        <w:topLinePunct w:val="0"/>
        <w:autoSpaceDE/>
        <w:autoSpaceDN/>
        <w:bidi w:val="0"/>
        <w:adjustRightInd/>
        <w:snapToGrid/>
        <w:spacing w:line="430" w:lineRule="exact"/>
        <w:ind w:firstLine="560" w:firstLineChars="200"/>
        <w:textAlignment w:val="auto"/>
        <w:rPr>
          <w:rFonts w:hint="eastAsia" w:ascii="Times New Roman" w:hAnsi="Times New Roman" w:cs="Times New Roman"/>
          <w:kern w:val="0"/>
          <w:sz w:val="28"/>
          <w:szCs w:val="28"/>
          <w:highlight w:val="none"/>
          <w:lang w:val="en-US" w:eastAsia="zh-CN"/>
        </w:rPr>
      </w:pPr>
      <w:r>
        <w:rPr>
          <w:rFonts w:hint="eastAsia" w:ascii="Times New Roman" w:hAnsi="Times New Roman" w:cs="Times New Roman"/>
          <w:kern w:val="0"/>
          <w:sz w:val="28"/>
          <w:szCs w:val="28"/>
          <w:highlight w:val="none"/>
          <w:lang w:val="en-US" w:eastAsia="zh-CN"/>
        </w:rPr>
        <w:t>9）建筑采用“镶嵌式橱窗”表现，玻璃做透明内部做出商业小品，创造有主题的场景：在入口、转角、中庭、中部等节点设定5-6个有主题思想的场景组团，同一组团的部分小品（如店招、门牌、雨棚、刀旗等）可采用同一形式。</w:t>
      </w:r>
    </w:p>
    <w:p>
      <w:pPr>
        <w:keepNext w:val="0"/>
        <w:keepLines w:val="0"/>
        <w:pageBreakBefore w:val="0"/>
        <w:widowControl w:val="0"/>
        <w:numPr>
          <w:ilvl w:val="0"/>
          <w:numId w:val="0"/>
        </w:numPr>
        <w:kinsoku/>
        <w:wordWrap w:val="0"/>
        <w:overflowPunct/>
        <w:topLinePunct w:val="0"/>
        <w:autoSpaceDE/>
        <w:autoSpaceDN/>
        <w:bidi w:val="0"/>
        <w:adjustRightInd/>
        <w:snapToGrid/>
        <w:spacing w:line="430" w:lineRule="exact"/>
        <w:ind w:firstLine="560" w:firstLineChars="200"/>
        <w:textAlignment w:val="auto"/>
        <w:rPr>
          <w:rFonts w:hint="eastAsia" w:ascii="Times New Roman" w:hAnsi="Times New Roman" w:cs="Times New Roman" w:eastAsiaTheme="minorEastAsia"/>
          <w:kern w:val="0"/>
          <w:sz w:val="28"/>
          <w:szCs w:val="28"/>
          <w:highlight w:val="none"/>
          <w:lang w:val="en-US" w:eastAsia="zh-CN" w:bidi="ar-SA"/>
        </w:rPr>
      </w:pPr>
      <w:r>
        <w:rPr>
          <w:rFonts w:hint="eastAsia" w:ascii="Times New Roman" w:hAnsi="Times New Roman" w:cs="Times New Roman"/>
          <w:kern w:val="0"/>
          <w:sz w:val="28"/>
          <w:szCs w:val="28"/>
          <w:highlight w:val="none"/>
          <w:lang w:val="en-US" w:eastAsia="zh-CN"/>
        </w:rPr>
        <w:t>10）整体景观采用全写实手法制作，园林采用“五重立体绿化表现” 体现立体景观  使族团绿化、坡地景观等形象生动宜人，对广场的绿化景观、环境要保持自然协调，要清新安逸，风格高雅，人行道、车行道、穿越绿化的休憩小道，用不同颜色的铺贴材料挑格划分；环境</w:t>
      </w:r>
      <w:r>
        <w:rPr>
          <w:rFonts w:hint="eastAsia" w:ascii="Times New Roman" w:hAnsi="Times New Roman" w:cs="Times New Roman" w:eastAsiaTheme="minorEastAsia"/>
          <w:kern w:val="0"/>
          <w:sz w:val="28"/>
          <w:szCs w:val="28"/>
          <w:highlight w:val="none"/>
          <w:lang w:val="en-US" w:eastAsia="zh-CN" w:bidi="ar-SA"/>
        </w:rPr>
        <w:t>绿化点、线、面有机结合，高低错落有致，配以不同种类的树木、花草及植被，色彩统一协调、富与变化，将营造出多层次的植被空间，具有立体感。模型树木我司全部采用公司内部手工制作“铁丝树表现”可塑性更强，效果更逼真</w:t>
      </w:r>
      <w:r>
        <w:rPr>
          <w:rFonts w:hint="eastAsia" w:ascii="Times New Roman" w:hAnsi="Times New Roman" w:cs="Times New Roman"/>
          <w:kern w:val="0"/>
          <w:sz w:val="28"/>
          <w:szCs w:val="28"/>
          <w:highlight w:val="none"/>
          <w:lang w:val="en-US" w:eastAsia="zh-CN" w:bidi="ar-SA"/>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30" w:lineRule="exact"/>
        <w:ind w:firstLine="560" w:firstLineChars="200"/>
        <w:textAlignment w:val="auto"/>
        <w:rPr>
          <w:rFonts w:hint="eastAsia" w:ascii="Times New Roman" w:hAnsi="Times New Roman" w:cs="Times New Roman" w:eastAsiaTheme="minorEastAsia"/>
          <w:kern w:val="0"/>
          <w:sz w:val="28"/>
          <w:szCs w:val="28"/>
          <w:highlight w:val="none"/>
          <w:lang w:val="en-US" w:eastAsia="zh-CN" w:bidi="ar-SA"/>
        </w:rPr>
      </w:pPr>
      <w:r>
        <w:rPr>
          <w:rFonts w:hint="eastAsia" w:ascii="Times New Roman" w:hAnsi="Times New Roman" w:cs="Times New Roman" w:eastAsiaTheme="minorEastAsia"/>
          <w:kern w:val="0"/>
          <w:sz w:val="28"/>
          <w:szCs w:val="28"/>
          <w:highlight w:val="none"/>
          <w:lang w:val="en-US" w:eastAsia="zh-CN" w:bidi="ar-SA"/>
        </w:rPr>
        <w:t>11）主干道采用“钢化玻璃灰镜面马路”制作，灯带闪烁效果，路面放置同等比例雕刻小汽车，突显出安静和谐的效果。</w:t>
      </w:r>
    </w:p>
    <w:p>
      <w:pPr>
        <w:keepNext w:val="0"/>
        <w:keepLines w:val="0"/>
        <w:pageBreakBefore w:val="0"/>
        <w:widowControl w:val="0"/>
        <w:numPr>
          <w:ilvl w:val="0"/>
          <w:numId w:val="0"/>
        </w:numPr>
        <w:kinsoku/>
        <w:wordWrap w:val="0"/>
        <w:overflowPunct/>
        <w:topLinePunct w:val="0"/>
        <w:autoSpaceDE/>
        <w:autoSpaceDN/>
        <w:bidi w:val="0"/>
        <w:adjustRightInd/>
        <w:snapToGrid/>
        <w:spacing w:line="430" w:lineRule="exact"/>
        <w:ind w:firstLine="560" w:firstLineChars="200"/>
        <w:textAlignment w:val="auto"/>
        <w:rPr>
          <w:rFonts w:hint="eastAsia" w:ascii="Times New Roman" w:hAnsi="Times New Roman" w:cs="Times New Roman" w:eastAsiaTheme="minorEastAsia"/>
          <w:kern w:val="0"/>
          <w:sz w:val="28"/>
          <w:szCs w:val="28"/>
          <w:highlight w:val="none"/>
          <w:lang w:val="en-US" w:eastAsia="zh-CN" w:bidi="ar-SA"/>
        </w:rPr>
      </w:pPr>
      <w:r>
        <w:rPr>
          <w:rFonts w:hint="eastAsia" w:ascii="Times New Roman" w:hAnsi="Times New Roman" w:cs="Times New Roman" w:eastAsiaTheme="minorEastAsia"/>
          <w:kern w:val="0"/>
          <w:sz w:val="28"/>
          <w:szCs w:val="28"/>
          <w:highlight w:val="none"/>
          <w:lang w:val="en-US" w:eastAsia="zh-CN" w:bidi="ar-SA"/>
        </w:rPr>
        <w:t>12）电路系统采用“微电脑程序控制”不会造成短路、起火等不良现象发生设置自动断电系统。</w:t>
      </w:r>
    </w:p>
    <w:p>
      <w:pPr>
        <w:pStyle w:val="7"/>
        <w:numPr>
          <w:ilvl w:val="0"/>
          <w:numId w:val="0"/>
        </w:numPr>
        <w:tabs>
          <w:tab w:val="left" w:pos="420"/>
        </w:tabs>
        <w:ind w:leftChars="0" w:firstLine="560"/>
        <w:rPr>
          <w:rFonts w:hint="eastAsia" w:ascii="Times New Roman" w:hAnsi="Times New Roman" w:cs="Times New Roman"/>
          <w:kern w:val="0"/>
          <w:sz w:val="28"/>
          <w:szCs w:val="28"/>
          <w:highlight w:val="none"/>
          <w:lang w:val="en-US" w:eastAsia="zh-CN"/>
        </w:rPr>
      </w:pPr>
      <w:r>
        <w:drawing>
          <wp:inline distT="0" distB="0" distL="114300" distR="114300">
            <wp:extent cx="4938395" cy="3592195"/>
            <wp:effectExtent l="0" t="0" r="1905" b="1905"/>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7"/>
                    <a:stretch>
                      <a:fillRect/>
                    </a:stretch>
                  </pic:blipFill>
                  <pic:spPr>
                    <a:xfrm>
                      <a:off x="0" y="0"/>
                      <a:ext cx="4938395" cy="3592195"/>
                    </a:xfrm>
                    <a:prstGeom prst="rect">
                      <a:avLst/>
                    </a:prstGeom>
                    <a:noFill/>
                    <a:ln w="9525">
                      <a:noFill/>
                    </a:ln>
                  </pic:spPr>
                </pic:pic>
              </a:graphicData>
            </a:graphic>
          </wp:inline>
        </w:drawing>
      </w:r>
      <w:r>
        <w:drawing>
          <wp:inline distT="0" distB="0" distL="114300" distR="114300">
            <wp:extent cx="2593975" cy="1489075"/>
            <wp:effectExtent l="0" t="0" r="9525" b="952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8"/>
                    <a:srcRect b="6798"/>
                    <a:stretch>
                      <a:fillRect/>
                    </a:stretch>
                  </pic:blipFill>
                  <pic:spPr>
                    <a:xfrm>
                      <a:off x="0" y="0"/>
                      <a:ext cx="2593975" cy="1489075"/>
                    </a:xfrm>
                    <a:prstGeom prst="rect">
                      <a:avLst/>
                    </a:prstGeom>
                  </pic:spPr>
                </pic:pic>
              </a:graphicData>
            </a:graphic>
          </wp:inline>
        </w:drawing>
      </w:r>
      <w:r>
        <w:drawing>
          <wp:inline distT="0" distB="0" distL="114300" distR="114300">
            <wp:extent cx="2402205" cy="1523365"/>
            <wp:effectExtent l="0" t="0" r="10795" b="63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9"/>
                    <a:stretch>
                      <a:fillRect/>
                    </a:stretch>
                  </pic:blipFill>
                  <pic:spPr>
                    <a:xfrm>
                      <a:off x="0" y="0"/>
                      <a:ext cx="2402205" cy="1523365"/>
                    </a:xfrm>
                    <a:prstGeom prst="rect">
                      <a:avLst/>
                    </a:prstGeom>
                    <a:noFill/>
                    <a:ln w="9525">
                      <a:noFill/>
                    </a:ln>
                  </pic:spPr>
                </pic:pic>
              </a:graphicData>
            </a:graphic>
          </wp:inline>
        </w:drawing>
      </w:r>
    </w:p>
    <w:p>
      <w:pPr>
        <w:pStyle w:val="7"/>
        <w:numPr>
          <w:ilvl w:val="0"/>
          <w:numId w:val="0"/>
        </w:numPr>
        <w:tabs>
          <w:tab w:val="left" w:pos="420"/>
        </w:tabs>
        <w:ind w:leftChars="0" w:firstLine="560"/>
        <w:rPr>
          <w:rFonts w:hint="eastAsia" w:ascii="Times New Roman" w:hAnsi="Times New Roman" w:cs="Times New Roman" w:eastAsiaTheme="minorEastAsia"/>
          <w:kern w:val="0"/>
          <w:sz w:val="28"/>
          <w:szCs w:val="28"/>
          <w:highlight w:val="none"/>
          <w:lang w:val="en-US" w:eastAsia="zh-CN" w:bidi="ar-SA"/>
        </w:rPr>
      </w:pPr>
      <w:r>
        <w:rPr>
          <w:rFonts w:hint="eastAsia" w:ascii="Times New Roman" w:hAnsi="Times New Roman" w:cs="Times New Roman"/>
          <w:kern w:val="0"/>
          <w:sz w:val="28"/>
          <w:szCs w:val="28"/>
          <w:highlight w:val="none"/>
          <w:lang w:val="en-US" w:eastAsia="zh-CN"/>
        </w:rPr>
        <w:t>二、户型模型制作要求</w:t>
      </w:r>
      <w:r>
        <w:rPr>
          <w:rFonts w:hint="eastAsia" w:ascii="Times New Roman" w:hAnsi="Times New Roman" w:cs="Times New Roman" w:eastAsiaTheme="minorEastAsia"/>
          <w:kern w:val="0"/>
          <w:sz w:val="28"/>
          <w:szCs w:val="28"/>
          <w:highlight w:val="none"/>
          <w:lang w:val="en-US" w:eastAsia="zh-CN" w:bidi="ar-SA"/>
        </w:rPr>
        <w:t>：</w:t>
      </w:r>
    </w:p>
    <w:p>
      <w:pPr>
        <w:pStyle w:val="7"/>
        <w:numPr>
          <w:ilvl w:val="0"/>
          <w:numId w:val="0"/>
        </w:numPr>
        <w:tabs>
          <w:tab w:val="left" w:pos="420"/>
        </w:tabs>
        <w:ind w:leftChars="0" w:firstLine="560"/>
        <w:rPr>
          <w:rFonts w:hint="default" w:ascii="Times New Roman" w:hAnsi="Times New Roman" w:cs="Times New Roman" w:eastAsiaTheme="minorEastAsia"/>
          <w:kern w:val="0"/>
          <w:sz w:val="28"/>
          <w:szCs w:val="28"/>
          <w:highlight w:val="none"/>
          <w:lang w:val="en-US" w:eastAsia="zh-CN" w:bidi="ar-SA"/>
        </w:rPr>
      </w:pPr>
      <w:r>
        <w:rPr>
          <w:rFonts w:hint="eastAsia" w:ascii="Times New Roman" w:hAnsi="Times New Roman" w:cs="Times New Roman" w:eastAsiaTheme="minorEastAsia"/>
          <w:kern w:val="0"/>
          <w:sz w:val="28"/>
          <w:szCs w:val="28"/>
          <w:highlight w:val="none"/>
          <w:lang w:val="en-US" w:eastAsia="zh-CN" w:bidi="ar-SA"/>
        </w:rPr>
        <w:t>（一）</w:t>
      </w:r>
      <w:r>
        <w:rPr>
          <w:rFonts w:hint="eastAsia" w:ascii="Times New Roman" w:hAnsi="Times New Roman" w:cs="Times New Roman"/>
          <w:kern w:val="0"/>
          <w:sz w:val="28"/>
          <w:szCs w:val="28"/>
          <w:highlight w:val="none"/>
          <w:lang w:val="en-US" w:eastAsia="zh-CN"/>
        </w:rPr>
        <w:t>户型模型规格、类型</w:t>
      </w:r>
    </w:p>
    <w:tbl>
      <w:tblPr>
        <w:tblStyle w:val="18"/>
        <w:tblpPr w:leftFromText="180" w:rightFromText="180" w:vertAnchor="text" w:horzAnchor="page" w:tblpX="939" w:tblpY="310"/>
        <w:tblOverlap w:val="never"/>
        <w:tblW w:w="107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34"/>
        <w:gridCol w:w="988"/>
        <w:gridCol w:w="1056"/>
        <w:gridCol w:w="1951"/>
        <w:gridCol w:w="2182"/>
        <w:gridCol w:w="1289"/>
        <w:gridCol w:w="1033"/>
        <w:gridCol w:w="96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2222" w:type="dxa"/>
            <w:gridSpan w:val="2"/>
            <w:tcBorders>
              <w:top w:val="single" w:color="000000" w:sz="4" w:space="0"/>
              <w:left w:val="single" w:color="000000" w:sz="4" w:space="0"/>
              <w:bottom w:val="single" w:color="000000" w:sz="4" w:space="0"/>
              <w:right w:val="single" w:color="000000" w:sz="4" w:space="0"/>
            </w:tcBorders>
            <w:shd w:val="clear" w:color="auto" w:fill="FFFF00"/>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0"/>
                <w:sz w:val="28"/>
                <w:szCs w:val="28"/>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8"/>
                <w:szCs w:val="28"/>
                <w:u w:val="none"/>
                <w:lang w:val="en-US" w:eastAsia="zh-CN" w:bidi="ar"/>
                <w14:textFill>
                  <w14:solidFill>
                    <w14:schemeClr w14:val="tx1"/>
                  </w14:solidFill>
                </w14:textFill>
              </w:rPr>
              <w:t>商品</w:t>
            </w:r>
          </w:p>
          <w:p>
            <w:pPr>
              <w:keepNext w:val="0"/>
              <w:keepLines w:val="0"/>
              <w:widowControl/>
              <w:suppressLineNumbers w:val="0"/>
              <w:jc w:val="center"/>
              <w:textAlignment w:val="center"/>
              <w:rPr>
                <w:rFonts w:hint="eastAsia" w:ascii="宋体" w:hAnsi="宋体" w:eastAsia="宋体" w:cs="宋体"/>
                <w:i w:val="0"/>
                <w:iCs w:val="0"/>
                <w:color w:val="000000" w:themeColor="text1"/>
                <w:kern w:val="0"/>
                <w:sz w:val="28"/>
                <w:szCs w:val="28"/>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8"/>
                <w:szCs w:val="28"/>
                <w:u w:val="none"/>
                <w:lang w:val="en-US" w:eastAsia="zh-CN" w:bidi="ar"/>
                <w14:textFill>
                  <w14:solidFill>
                    <w14:schemeClr w14:val="tx1"/>
                  </w14:solidFill>
                </w14:textFill>
              </w:rPr>
              <w:t>名称</w:t>
            </w:r>
          </w:p>
        </w:tc>
        <w:tc>
          <w:tcPr>
            <w:tcW w:w="1056"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keepNext w:val="0"/>
              <w:keepLines w:val="0"/>
              <w:widowControl/>
              <w:suppressLineNumbers w:val="0"/>
              <w:jc w:val="center"/>
              <w:textAlignment w:val="center"/>
              <w:rPr>
                <w:rFonts w:hint="default" w:ascii="宋体" w:hAnsi="宋体" w:eastAsia="宋体" w:cs="宋体"/>
                <w:i w:val="0"/>
                <w:iCs w:val="0"/>
                <w:color w:val="000000" w:themeColor="text1"/>
                <w:kern w:val="0"/>
                <w:sz w:val="28"/>
                <w:szCs w:val="28"/>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8"/>
                <w:szCs w:val="28"/>
                <w:u w:val="none"/>
                <w:lang w:val="en-US" w:eastAsia="zh-CN" w:bidi="ar"/>
                <w14:textFill>
                  <w14:solidFill>
                    <w14:schemeClr w14:val="tx1"/>
                  </w14:solidFill>
                </w14:textFill>
              </w:rPr>
              <w:t>特征</w:t>
            </w:r>
          </w:p>
        </w:tc>
        <w:tc>
          <w:tcPr>
            <w:tcW w:w="1951"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keepNext w:val="0"/>
              <w:keepLines w:val="0"/>
              <w:widowControl/>
              <w:suppressLineNumbers w:val="0"/>
              <w:jc w:val="center"/>
              <w:textAlignment w:val="center"/>
              <w:rPr>
                <w:rFonts w:hint="default" w:ascii="宋体" w:hAnsi="宋体" w:eastAsia="宋体" w:cs="宋体"/>
                <w:i w:val="0"/>
                <w:iCs w:val="0"/>
                <w:color w:val="000000" w:themeColor="text1"/>
                <w:kern w:val="0"/>
                <w:sz w:val="28"/>
                <w:szCs w:val="28"/>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8"/>
                <w:szCs w:val="28"/>
                <w:u w:val="none"/>
                <w:lang w:val="en-US" w:eastAsia="zh-CN" w:bidi="ar"/>
                <w14:textFill>
                  <w14:solidFill>
                    <w14:schemeClr w14:val="tx1"/>
                  </w14:solidFill>
                </w14:textFill>
              </w:rPr>
              <w:t>规格（m）</w:t>
            </w:r>
          </w:p>
        </w:tc>
        <w:tc>
          <w:tcPr>
            <w:tcW w:w="2182"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keepNext w:val="0"/>
              <w:keepLines w:val="0"/>
              <w:widowControl/>
              <w:suppressLineNumbers w:val="0"/>
              <w:jc w:val="center"/>
              <w:textAlignment w:val="center"/>
              <w:rPr>
                <w:rFonts w:hint="default" w:ascii="宋体" w:hAnsi="宋体" w:eastAsia="宋体" w:cs="宋体"/>
                <w:i w:val="0"/>
                <w:iCs w:val="0"/>
                <w:color w:val="000000" w:themeColor="text1"/>
                <w:kern w:val="0"/>
                <w:sz w:val="28"/>
                <w:szCs w:val="28"/>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8"/>
                <w:szCs w:val="28"/>
                <w:u w:val="none"/>
                <w:lang w:val="en-US" w:eastAsia="zh-CN" w:bidi="ar"/>
                <w14:textFill>
                  <w14:solidFill>
                    <w14:schemeClr w14:val="tx1"/>
                  </w14:solidFill>
                </w14:textFill>
              </w:rPr>
              <w:t>材质、风格</w:t>
            </w:r>
          </w:p>
        </w:tc>
        <w:tc>
          <w:tcPr>
            <w:tcW w:w="1289"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0"/>
                <w:sz w:val="28"/>
                <w:szCs w:val="28"/>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8"/>
                <w:szCs w:val="28"/>
                <w:u w:val="none"/>
                <w:lang w:val="en-US" w:eastAsia="zh-CN" w:bidi="ar"/>
                <w14:textFill>
                  <w14:solidFill>
                    <w14:schemeClr w14:val="tx1"/>
                  </w14:solidFill>
                </w14:textFill>
              </w:rPr>
              <w:t>制作</w:t>
            </w:r>
          </w:p>
          <w:p>
            <w:pPr>
              <w:keepNext w:val="0"/>
              <w:keepLines w:val="0"/>
              <w:widowControl/>
              <w:suppressLineNumbers w:val="0"/>
              <w:jc w:val="center"/>
              <w:textAlignment w:val="center"/>
              <w:rPr>
                <w:rFonts w:hint="default" w:ascii="宋体" w:hAnsi="宋体" w:eastAsia="宋体" w:cs="宋体"/>
                <w:i w:val="0"/>
                <w:iCs w:val="0"/>
                <w:color w:val="000000" w:themeColor="text1"/>
                <w:kern w:val="0"/>
                <w:sz w:val="28"/>
                <w:szCs w:val="28"/>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8"/>
                <w:szCs w:val="28"/>
                <w:u w:val="none"/>
                <w:lang w:val="en-US" w:eastAsia="zh-CN" w:bidi="ar"/>
                <w14:textFill>
                  <w14:solidFill>
                    <w14:schemeClr w14:val="tx1"/>
                  </w14:solidFill>
                </w14:textFill>
              </w:rPr>
              <w:t>要求</w:t>
            </w:r>
          </w:p>
        </w:tc>
        <w:tc>
          <w:tcPr>
            <w:tcW w:w="1033"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keepNext w:val="0"/>
              <w:keepLines w:val="0"/>
              <w:widowControl/>
              <w:suppressLineNumbers w:val="0"/>
              <w:jc w:val="center"/>
              <w:textAlignment w:val="center"/>
              <w:rPr>
                <w:rFonts w:hint="default" w:ascii="宋体" w:hAnsi="宋体" w:eastAsia="宋体" w:cs="宋体"/>
                <w:i w:val="0"/>
                <w:iCs w:val="0"/>
                <w:color w:val="000000" w:themeColor="text1"/>
                <w:kern w:val="0"/>
                <w:sz w:val="28"/>
                <w:szCs w:val="28"/>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8"/>
                <w:szCs w:val="28"/>
                <w:u w:val="none"/>
                <w:lang w:val="en-US" w:eastAsia="zh-CN" w:bidi="ar"/>
                <w14:textFill>
                  <w14:solidFill>
                    <w14:schemeClr w14:val="tx1"/>
                  </w14:solidFill>
                </w14:textFill>
              </w:rPr>
              <w:t>单位</w:t>
            </w:r>
          </w:p>
        </w:tc>
        <w:tc>
          <w:tcPr>
            <w:tcW w:w="967"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keepNext w:val="0"/>
              <w:keepLines w:val="0"/>
              <w:widowControl/>
              <w:suppressLineNumbers w:val="0"/>
              <w:jc w:val="center"/>
              <w:textAlignment w:val="center"/>
              <w:rPr>
                <w:rFonts w:hint="default" w:ascii="宋体" w:hAnsi="宋体" w:eastAsia="宋体" w:cs="宋体"/>
                <w:i w:val="0"/>
                <w:iCs w:val="0"/>
                <w:color w:val="000000" w:themeColor="text1"/>
                <w:kern w:val="0"/>
                <w:sz w:val="32"/>
                <w:szCs w:val="3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32"/>
                <w:szCs w:val="32"/>
                <w:u w:val="none"/>
                <w:lang w:val="en-US" w:eastAsia="zh-CN" w:bidi="ar"/>
                <w14:textFill>
                  <w14:solidFill>
                    <w14:schemeClr w14:val="tx1"/>
                  </w14:solidFill>
                </w14:textFill>
              </w:rPr>
              <w:t>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1234"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0"/>
                <w:sz w:val="28"/>
                <w:szCs w:val="28"/>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8"/>
                <w:szCs w:val="28"/>
                <w:u w:val="none"/>
                <w:lang w:val="en-US" w:eastAsia="zh-CN" w:bidi="ar"/>
                <w14:textFill>
                  <w14:solidFill>
                    <w14:schemeClr w14:val="tx1"/>
                  </w14:solidFill>
                </w14:textFill>
              </w:rPr>
              <w:t xml:space="preserve"> 平层</w:t>
            </w:r>
          </w:p>
          <w:p>
            <w:pPr>
              <w:keepNext w:val="0"/>
              <w:keepLines w:val="0"/>
              <w:widowControl/>
              <w:suppressLineNumbers w:val="0"/>
              <w:jc w:val="center"/>
              <w:textAlignment w:val="center"/>
              <w:rPr>
                <w:rFonts w:hint="eastAsia" w:ascii="宋体" w:hAnsi="宋体" w:eastAsia="宋体" w:cs="宋体"/>
                <w:i w:val="0"/>
                <w:iCs w:val="0"/>
                <w:color w:val="000000" w:themeColor="text1"/>
                <w:sz w:val="28"/>
                <w:szCs w:val="28"/>
                <w:u w:val="none"/>
                <w14:textFill>
                  <w14:solidFill>
                    <w14:schemeClr w14:val="tx1"/>
                  </w14:solidFill>
                </w14:textFill>
              </w:rPr>
            </w:pPr>
            <w:r>
              <w:rPr>
                <w:rFonts w:hint="eastAsia" w:ascii="宋体" w:hAnsi="宋体" w:eastAsia="宋体" w:cs="宋体"/>
                <w:i w:val="0"/>
                <w:iCs w:val="0"/>
                <w:color w:val="000000" w:themeColor="text1"/>
                <w:kern w:val="0"/>
                <w:sz w:val="28"/>
                <w:szCs w:val="28"/>
                <w:u w:val="none"/>
                <w:lang w:val="en-US" w:eastAsia="zh-CN" w:bidi="ar"/>
                <w14:textFill>
                  <w14:solidFill>
                    <w14:schemeClr w14:val="tx1"/>
                  </w14:solidFill>
                </w14:textFill>
              </w:rPr>
              <w:t xml:space="preserve">户型 </w:t>
            </w:r>
          </w:p>
        </w:tc>
        <w:tc>
          <w:tcPr>
            <w:tcW w:w="988"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8"/>
                <w:szCs w:val="28"/>
                <w:u w:val="none"/>
                <w14:textFill>
                  <w14:solidFill>
                    <w14:schemeClr w14:val="tx1"/>
                  </w14:solidFill>
                </w14:textFill>
              </w:rPr>
            </w:pPr>
            <w:r>
              <w:rPr>
                <w:rFonts w:hint="eastAsia" w:ascii="宋体" w:hAnsi="宋体" w:eastAsia="宋体" w:cs="宋体"/>
                <w:i w:val="0"/>
                <w:iCs w:val="0"/>
                <w:color w:val="000000" w:themeColor="text1"/>
                <w:kern w:val="0"/>
                <w:sz w:val="28"/>
                <w:szCs w:val="28"/>
                <w:u w:val="none"/>
                <w:lang w:val="en-US" w:eastAsia="zh-CN" w:bidi="ar"/>
                <w14:textFill>
                  <w14:solidFill>
                    <w14:schemeClr w14:val="tx1"/>
                  </w14:solidFill>
                </w14:textFill>
              </w:rPr>
              <w:t>户型</w:t>
            </w:r>
          </w:p>
        </w:tc>
        <w:tc>
          <w:tcPr>
            <w:tcW w:w="1056"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8"/>
                <w:szCs w:val="28"/>
                <w:u w:val="none"/>
                <w14:textFill>
                  <w14:solidFill>
                    <w14:schemeClr w14:val="tx1"/>
                  </w14:solidFill>
                </w14:textFill>
              </w:rPr>
            </w:pPr>
            <w:r>
              <w:rPr>
                <w:rFonts w:hint="eastAsia" w:ascii="宋体" w:hAnsi="宋体" w:eastAsia="宋体" w:cs="宋体"/>
                <w:i w:val="0"/>
                <w:iCs w:val="0"/>
                <w:color w:val="000000" w:themeColor="text1"/>
                <w:kern w:val="0"/>
                <w:sz w:val="28"/>
                <w:szCs w:val="28"/>
                <w:u w:val="none"/>
                <w:lang w:val="en-US" w:eastAsia="zh-CN" w:bidi="ar"/>
                <w14:textFill>
                  <w14:solidFill>
                    <w14:schemeClr w14:val="tx1"/>
                  </w14:solidFill>
                </w14:textFill>
              </w:rPr>
              <w:t>6套</w:t>
            </w:r>
          </w:p>
        </w:tc>
        <w:tc>
          <w:tcPr>
            <w:tcW w:w="1951"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8"/>
                <w:szCs w:val="28"/>
                <w:u w:val="none"/>
                <w14:textFill>
                  <w14:solidFill>
                    <w14:schemeClr w14:val="tx1"/>
                  </w14:solidFill>
                </w14:textFill>
              </w:rPr>
            </w:pPr>
            <w:r>
              <w:rPr>
                <w:rFonts w:hint="eastAsia" w:ascii="宋体" w:hAnsi="宋体" w:eastAsia="宋体" w:cs="宋体"/>
                <w:i w:val="0"/>
                <w:iCs w:val="0"/>
                <w:color w:val="000000" w:themeColor="text1"/>
                <w:kern w:val="0"/>
                <w:sz w:val="28"/>
                <w:szCs w:val="28"/>
                <w:u w:val="none"/>
                <w:lang w:val="en-US" w:eastAsia="zh-CN" w:bidi="ar"/>
                <w14:textFill>
                  <w14:solidFill>
                    <w14:schemeClr w14:val="tx1"/>
                  </w14:solidFill>
                </w14:textFill>
              </w:rPr>
              <w:t>1.2*1.2</w:t>
            </w:r>
          </w:p>
        </w:tc>
        <w:tc>
          <w:tcPr>
            <w:tcW w:w="2182"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8"/>
                <w:szCs w:val="28"/>
                <w:u w:val="none"/>
                <w14:textFill>
                  <w14:solidFill>
                    <w14:schemeClr w14:val="tx1"/>
                  </w14:solidFill>
                </w14:textFill>
              </w:rPr>
            </w:pPr>
            <w:r>
              <w:rPr>
                <w:rFonts w:hint="eastAsia" w:ascii="宋体" w:hAnsi="宋体" w:eastAsia="宋体" w:cs="宋体"/>
                <w:i w:val="0"/>
                <w:iCs w:val="0"/>
                <w:color w:val="000000" w:themeColor="text1"/>
                <w:kern w:val="0"/>
                <w:sz w:val="28"/>
                <w:szCs w:val="28"/>
                <w:u w:val="none"/>
                <w:lang w:val="en-US" w:eastAsia="zh-CN" w:bidi="ar"/>
                <w14:textFill>
                  <w14:solidFill>
                    <w14:schemeClr w14:val="tx1"/>
                  </w14:solidFill>
                </w14:textFill>
              </w:rPr>
              <w:t>精装定制风格</w:t>
            </w:r>
          </w:p>
        </w:tc>
        <w:tc>
          <w:tcPr>
            <w:tcW w:w="1289"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8"/>
                <w:szCs w:val="28"/>
                <w:u w:val="none"/>
                <w14:textFill>
                  <w14:solidFill>
                    <w14:schemeClr w14:val="tx1"/>
                  </w14:solidFill>
                </w14:textFill>
              </w:rPr>
            </w:pPr>
            <w:r>
              <w:rPr>
                <w:rFonts w:hint="eastAsia" w:ascii="宋体" w:hAnsi="宋体" w:eastAsia="宋体" w:cs="宋体"/>
                <w:i w:val="0"/>
                <w:iCs w:val="0"/>
                <w:color w:val="000000" w:themeColor="text1"/>
                <w:kern w:val="0"/>
                <w:sz w:val="28"/>
                <w:szCs w:val="28"/>
                <w:u w:val="none"/>
                <w:lang w:val="en-US" w:eastAsia="zh-CN" w:bidi="ar"/>
                <w14:textFill>
                  <w14:solidFill>
                    <w14:schemeClr w14:val="tx1"/>
                  </w14:solidFill>
                </w14:textFill>
              </w:rPr>
              <w:t>正方形</w:t>
            </w:r>
          </w:p>
        </w:tc>
        <w:tc>
          <w:tcPr>
            <w:tcW w:w="1033"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8"/>
                <w:szCs w:val="28"/>
                <w:u w:val="none"/>
                <w14:textFill>
                  <w14:solidFill>
                    <w14:schemeClr w14:val="tx1"/>
                  </w14:solidFill>
                </w14:textFill>
              </w:rPr>
            </w:pPr>
            <w:r>
              <w:rPr>
                <w:rFonts w:hint="eastAsia" w:ascii="宋体" w:hAnsi="宋体" w:eastAsia="宋体" w:cs="宋体"/>
                <w:i w:val="0"/>
                <w:iCs w:val="0"/>
                <w:color w:val="000000" w:themeColor="text1"/>
                <w:kern w:val="0"/>
                <w:sz w:val="28"/>
                <w:szCs w:val="28"/>
                <w:u w:val="none"/>
                <w:lang w:val="en-US" w:eastAsia="zh-CN" w:bidi="ar"/>
                <w14:textFill>
                  <w14:solidFill>
                    <w14:schemeClr w14:val="tx1"/>
                  </w14:solidFill>
                </w14:textFill>
              </w:rPr>
              <w:t xml:space="preserve"> 套</w:t>
            </w:r>
          </w:p>
        </w:tc>
        <w:tc>
          <w:tcPr>
            <w:tcW w:w="967"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32"/>
                <w:szCs w:val="32"/>
                <w:u w:val="none"/>
                <w14:textFill>
                  <w14:solidFill>
                    <w14:schemeClr w14:val="tx1"/>
                  </w14:solidFill>
                </w14:textFill>
              </w:rPr>
            </w:pPr>
            <w:r>
              <w:rPr>
                <w:rFonts w:hint="eastAsia" w:ascii="宋体" w:hAnsi="宋体" w:eastAsia="宋体" w:cs="宋体"/>
                <w:i w:val="0"/>
                <w:iCs w:val="0"/>
                <w:color w:val="000000" w:themeColor="text1"/>
                <w:kern w:val="0"/>
                <w:sz w:val="32"/>
                <w:szCs w:val="32"/>
                <w:u w:val="none"/>
                <w:lang w:val="en-US" w:eastAsia="zh-CN" w:bidi="ar"/>
                <w14:textFill>
                  <w14:solidFill>
                    <w14:schemeClr w14:val="tx1"/>
                  </w14:solidFill>
                </w14:textFill>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0" w:hRule="atLeast"/>
        </w:trPr>
        <w:tc>
          <w:tcPr>
            <w:tcW w:w="1234"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8"/>
                <w:szCs w:val="28"/>
                <w:u w:val="none"/>
                <w14:textFill>
                  <w14:solidFill>
                    <w14:schemeClr w14:val="tx1"/>
                  </w14:solidFill>
                </w14:textFill>
              </w:rPr>
            </w:pPr>
            <w:r>
              <w:rPr>
                <w:rFonts w:hint="eastAsia" w:ascii="宋体" w:hAnsi="宋体" w:eastAsia="宋体" w:cs="宋体"/>
                <w:i w:val="0"/>
                <w:iCs w:val="0"/>
                <w:color w:val="000000" w:themeColor="text1"/>
                <w:kern w:val="0"/>
                <w:sz w:val="28"/>
                <w:szCs w:val="28"/>
                <w:u w:val="none"/>
                <w:lang w:val="en-US" w:eastAsia="zh-CN" w:bidi="ar"/>
                <w14:textFill>
                  <w14:solidFill>
                    <w14:schemeClr w14:val="tx1"/>
                  </w14:solidFill>
                </w14:textFill>
              </w:rPr>
              <w:t xml:space="preserve"> 大平层户型 </w:t>
            </w:r>
          </w:p>
        </w:tc>
        <w:tc>
          <w:tcPr>
            <w:tcW w:w="988"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8"/>
                <w:szCs w:val="28"/>
                <w:u w:val="none"/>
                <w14:textFill>
                  <w14:solidFill>
                    <w14:schemeClr w14:val="tx1"/>
                  </w14:solidFill>
                </w14:textFill>
              </w:rPr>
            </w:pPr>
            <w:r>
              <w:rPr>
                <w:rFonts w:hint="eastAsia" w:ascii="宋体" w:hAnsi="宋体" w:eastAsia="宋体" w:cs="宋体"/>
                <w:i w:val="0"/>
                <w:iCs w:val="0"/>
                <w:color w:val="000000" w:themeColor="text1"/>
                <w:kern w:val="0"/>
                <w:sz w:val="28"/>
                <w:szCs w:val="28"/>
                <w:u w:val="none"/>
                <w:lang w:val="en-US" w:eastAsia="zh-CN" w:bidi="ar"/>
                <w14:textFill>
                  <w14:solidFill>
                    <w14:schemeClr w14:val="tx1"/>
                  </w14:solidFill>
                </w14:textFill>
              </w:rPr>
              <w:t>户型</w:t>
            </w:r>
          </w:p>
        </w:tc>
        <w:tc>
          <w:tcPr>
            <w:tcW w:w="1056"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8"/>
                <w:szCs w:val="28"/>
                <w:u w:val="none"/>
                <w14:textFill>
                  <w14:solidFill>
                    <w14:schemeClr w14:val="tx1"/>
                  </w14:solidFill>
                </w14:textFill>
              </w:rPr>
            </w:pPr>
            <w:r>
              <w:rPr>
                <w:rFonts w:hint="eastAsia" w:ascii="宋体" w:hAnsi="宋体" w:eastAsia="宋体" w:cs="宋体"/>
                <w:i w:val="0"/>
                <w:iCs w:val="0"/>
                <w:color w:val="000000" w:themeColor="text1"/>
                <w:kern w:val="0"/>
                <w:sz w:val="28"/>
                <w:szCs w:val="28"/>
                <w:u w:val="none"/>
                <w:lang w:val="en-US" w:eastAsia="zh-CN" w:bidi="ar"/>
                <w14:textFill>
                  <w14:solidFill>
                    <w14:schemeClr w14:val="tx1"/>
                  </w14:solidFill>
                </w14:textFill>
              </w:rPr>
              <w:t>两户</w:t>
            </w:r>
          </w:p>
        </w:tc>
        <w:tc>
          <w:tcPr>
            <w:tcW w:w="1951"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8"/>
                <w:szCs w:val="28"/>
                <w:u w:val="none"/>
                <w14:textFill>
                  <w14:solidFill>
                    <w14:schemeClr w14:val="tx1"/>
                  </w14:solidFill>
                </w14:textFill>
              </w:rPr>
            </w:pPr>
            <w:r>
              <w:rPr>
                <w:rFonts w:hint="eastAsia" w:ascii="宋体" w:hAnsi="宋体" w:eastAsia="宋体" w:cs="宋体"/>
                <w:i w:val="0"/>
                <w:iCs w:val="0"/>
                <w:color w:val="000000" w:themeColor="text1"/>
                <w:kern w:val="0"/>
                <w:sz w:val="28"/>
                <w:szCs w:val="28"/>
                <w:u w:val="none"/>
                <w:lang w:val="en-US" w:eastAsia="zh-CN" w:bidi="ar"/>
                <w14:textFill>
                  <w14:solidFill>
                    <w14:schemeClr w14:val="tx1"/>
                  </w14:solidFill>
                </w14:textFill>
              </w:rPr>
              <w:t>1.2*2.2</w:t>
            </w:r>
          </w:p>
        </w:tc>
        <w:tc>
          <w:tcPr>
            <w:tcW w:w="2182"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8"/>
                <w:szCs w:val="28"/>
                <w:u w:val="none"/>
                <w14:textFill>
                  <w14:solidFill>
                    <w14:schemeClr w14:val="tx1"/>
                  </w14:solidFill>
                </w14:textFill>
              </w:rPr>
            </w:pPr>
            <w:r>
              <w:rPr>
                <w:rFonts w:hint="eastAsia" w:ascii="宋体" w:hAnsi="宋体" w:eastAsia="宋体" w:cs="宋体"/>
                <w:i w:val="0"/>
                <w:iCs w:val="0"/>
                <w:color w:val="000000" w:themeColor="text1"/>
                <w:kern w:val="0"/>
                <w:sz w:val="28"/>
                <w:szCs w:val="28"/>
                <w:u w:val="none"/>
                <w:lang w:val="en-US" w:eastAsia="zh-CN" w:bidi="ar"/>
                <w14:textFill>
                  <w14:solidFill>
                    <w14:schemeClr w14:val="tx1"/>
                  </w14:solidFill>
                </w14:textFill>
              </w:rPr>
              <w:t>精装定制风格</w:t>
            </w:r>
          </w:p>
        </w:tc>
        <w:tc>
          <w:tcPr>
            <w:tcW w:w="1289"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8"/>
                <w:szCs w:val="28"/>
                <w:u w:val="none"/>
                <w14:textFill>
                  <w14:solidFill>
                    <w14:schemeClr w14:val="tx1"/>
                  </w14:solidFill>
                </w14:textFill>
              </w:rPr>
            </w:pPr>
            <w:r>
              <w:rPr>
                <w:rFonts w:hint="eastAsia" w:ascii="宋体" w:hAnsi="宋体" w:eastAsia="宋体" w:cs="宋体"/>
                <w:i w:val="0"/>
                <w:iCs w:val="0"/>
                <w:color w:val="000000" w:themeColor="text1"/>
                <w:kern w:val="0"/>
                <w:sz w:val="28"/>
                <w:szCs w:val="28"/>
                <w:u w:val="none"/>
                <w:lang w:val="en-US" w:eastAsia="zh-CN" w:bidi="ar"/>
                <w14:textFill>
                  <w14:solidFill>
                    <w14:schemeClr w14:val="tx1"/>
                  </w14:solidFill>
                </w14:textFill>
              </w:rPr>
              <w:t>正方形</w:t>
            </w:r>
          </w:p>
        </w:tc>
        <w:tc>
          <w:tcPr>
            <w:tcW w:w="1033"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8"/>
                <w:szCs w:val="28"/>
                <w:u w:val="none"/>
                <w14:textFill>
                  <w14:solidFill>
                    <w14:schemeClr w14:val="tx1"/>
                  </w14:solidFill>
                </w14:textFill>
              </w:rPr>
            </w:pPr>
            <w:r>
              <w:rPr>
                <w:rFonts w:hint="eastAsia" w:ascii="宋体" w:hAnsi="宋体" w:eastAsia="宋体" w:cs="宋体"/>
                <w:i w:val="0"/>
                <w:iCs w:val="0"/>
                <w:color w:val="000000" w:themeColor="text1"/>
                <w:kern w:val="0"/>
                <w:sz w:val="28"/>
                <w:szCs w:val="28"/>
                <w:u w:val="none"/>
                <w:lang w:val="en-US" w:eastAsia="zh-CN" w:bidi="ar"/>
                <w14:textFill>
                  <w14:solidFill>
                    <w14:schemeClr w14:val="tx1"/>
                  </w14:solidFill>
                </w14:textFill>
              </w:rPr>
              <w:t xml:space="preserve"> 套</w:t>
            </w:r>
          </w:p>
        </w:tc>
        <w:tc>
          <w:tcPr>
            <w:tcW w:w="967"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32"/>
                <w:szCs w:val="32"/>
                <w:u w:val="none"/>
                <w14:textFill>
                  <w14:solidFill>
                    <w14:schemeClr w14:val="tx1"/>
                  </w14:solidFill>
                </w14:textFill>
              </w:rPr>
            </w:pPr>
            <w:r>
              <w:rPr>
                <w:rFonts w:hint="eastAsia" w:ascii="宋体" w:hAnsi="宋体" w:eastAsia="宋体" w:cs="宋体"/>
                <w:i w:val="0"/>
                <w:iCs w:val="0"/>
                <w:color w:val="000000" w:themeColor="text1"/>
                <w:kern w:val="0"/>
                <w:sz w:val="32"/>
                <w:szCs w:val="32"/>
                <w:u w:val="none"/>
                <w:lang w:val="en-US" w:eastAsia="zh-CN" w:bidi="ar"/>
                <w14:textFill>
                  <w14:solidFill>
                    <w14:schemeClr w14:val="tx1"/>
                  </w14:solidFill>
                </w14:textFill>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0" w:hRule="atLeast"/>
        </w:trPr>
        <w:tc>
          <w:tcPr>
            <w:tcW w:w="1234"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0"/>
                <w:sz w:val="28"/>
                <w:szCs w:val="28"/>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8"/>
                <w:szCs w:val="28"/>
                <w:u w:val="none"/>
                <w:lang w:val="en-US" w:eastAsia="zh-CN" w:bidi="ar"/>
                <w14:textFill>
                  <w14:solidFill>
                    <w14:schemeClr w14:val="tx1"/>
                  </w14:solidFill>
                </w14:textFill>
              </w:rPr>
              <w:t>独栋</w:t>
            </w:r>
          </w:p>
          <w:p>
            <w:pPr>
              <w:keepNext w:val="0"/>
              <w:keepLines w:val="0"/>
              <w:widowControl/>
              <w:suppressLineNumbers w:val="0"/>
              <w:jc w:val="center"/>
              <w:textAlignment w:val="center"/>
              <w:rPr>
                <w:rFonts w:hint="eastAsia" w:ascii="宋体" w:hAnsi="宋体" w:eastAsia="宋体" w:cs="宋体"/>
                <w:i w:val="0"/>
                <w:iCs w:val="0"/>
                <w:color w:val="000000" w:themeColor="text1"/>
                <w:sz w:val="28"/>
                <w:szCs w:val="28"/>
                <w:u w:val="none"/>
                <w14:textFill>
                  <w14:solidFill>
                    <w14:schemeClr w14:val="tx1"/>
                  </w14:solidFill>
                </w14:textFill>
              </w:rPr>
            </w:pPr>
            <w:r>
              <w:rPr>
                <w:rFonts w:hint="eastAsia" w:ascii="宋体" w:hAnsi="宋体" w:eastAsia="宋体" w:cs="宋体"/>
                <w:i w:val="0"/>
                <w:iCs w:val="0"/>
                <w:color w:val="000000" w:themeColor="text1"/>
                <w:kern w:val="0"/>
                <w:sz w:val="28"/>
                <w:szCs w:val="28"/>
                <w:u w:val="none"/>
                <w:lang w:val="en-US" w:eastAsia="zh-CN" w:bidi="ar"/>
                <w14:textFill>
                  <w14:solidFill>
                    <w14:schemeClr w14:val="tx1"/>
                  </w14:solidFill>
                </w14:textFill>
              </w:rPr>
              <w:t>单体</w:t>
            </w:r>
          </w:p>
        </w:tc>
        <w:tc>
          <w:tcPr>
            <w:tcW w:w="988"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8"/>
                <w:szCs w:val="28"/>
                <w:u w:val="none"/>
                <w14:textFill>
                  <w14:solidFill>
                    <w14:schemeClr w14:val="tx1"/>
                  </w14:solidFill>
                </w14:textFill>
              </w:rPr>
            </w:pPr>
            <w:r>
              <w:rPr>
                <w:rFonts w:hint="eastAsia" w:ascii="宋体" w:hAnsi="宋体" w:eastAsia="宋体" w:cs="宋体"/>
                <w:i w:val="0"/>
                <w:iCs w:val="0"/>
                <w:color w:val="000000" w:themeColor="text1"/>
                <w:kern w:val="0"/>
                <w:sz w:val="28"/>
                <w:szCs w:val="28"/>
                <w:u w:val="none"/>
                <w:lang w:val="en-US" w:eastAsia="zh-CN" w:bidi="ar"/>
                <w14:textFill>
                  <w14:solidFill>
                    <w14:schemeClr w14:val="tx1"/>
                  </w14:solidFill>
                </w14:textFill>
              </w:rPr>
              <w:t>升降</w:t>
            </w:r>
          </w:p>
        </w:tc>
        <w:tc>
          <w:tcPr>
            <w:tcW w:w="1056"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8"/>
                <w:szCs w:val="28"/>
                <w:u w:val="none"/>
                <w14:textFill>
                  <w14:solidFill>
                    <w14:schemeClr w14:val="tx1"/>
                  </w14:solidFill>
                </w14:textFill>
              </w:rPr>
            </w:pPr>
            <w:r>
              <w:rPr>
                <w:rFonts w:hint="eastAsia" w:ascii="宋体" w:hAnsi="宋体" w:eastAsia="宋体" w:cs="宋体"/>
                <w:i w:val="0"/>
                <w:iCs w:val="0"/>
                <w:color w:val="000000" w:themeColor="text1"/>
                <w:kern w:val="0"/>
                <w:sz w:val="28"/>
                <w:szCs w:val="28"/>
                <w:u w:val="none"/>
                <w:lang w:val="en-US" w:eastAsia="zh-CN" w:bidi="ar"/>
                <w14:textFill>
                  <w14:solidFill>
                    <w14:schemeClr w14:val="tx1"/>
                  </w14:solidFill>
                </w14:textFill>
              </w:rPr>
              <w:t>1套</w:t>
            </w:r>
          </w:p>
        </w:tc>
        <w:tc>
          <w:tcPr>
            <w:tcW w:w="1951"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8"/>
                <w:szCs w:val="28"/>
                <w:u w:val="none"/>
                <w14:textFill>
                  <w14:solidFill>
                    <w14:schemeClr w14:val="tx1"/>
                  </w14:solidFill>
                </w14:textFill>
              </w:rPr>
            </w:pPr>
            <w:r>
              <w:rPr>
                <w:rFonts w:hint="eastAsia" w:ascii="宋体" w:hAnsi="宋体" w:eastAsia="宋体" w:cs="宋体"/>
                <w:i w:val="0"/>
                <w:iCs w:val="0"/>
                <w:color w:val="000000" w:themeColor="text1"/>
                <w:kern w:val="0"/>
                <w:sz w:val="28"/>
                <w:szCs w:val="28"/>
                <w:u w:val="none"/>
                <w:lang w:val="en-US" w:eastAsia="zh-CN" w:bidi="ar"/>
                <w14:textFill>
                  <w14:solidFill>
                    <w14:schemeClr w14:val="tx1"/>
                  </w14:solidFill>
                </w14:textFill>
              </w:rPr>
              <w:t>1.2*1.6</w:t>
            </w:r>
          </w:p>
        </w:tc>
        <w:tc>
          <w:tcPr>
            <w:tcW w:w="2182"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8"/>
                <w:szCs w:val="28"/>
                <w:u w:val="none"/>
                <w14:textFill>
                  <w14:solidFill>
                    <w14:schemeClr w14:val="tx1"/>
                  </w14:solidFill>
                </w14:textFill>
              </w:rPr>
            </w:pPr>
            <w:r>
              <w:rPr>
                <w:rFonts w:hint="eastAsia" w:ascii="宋体" w:hAnsi="宋体" w:eastAsia="宋体" w:cs="宋体"/>
                <w:i w:val="0"/>
                <w:iCs w:val="0"/>
                <w:color w:val="000000" w:themeColor="text1"/>
                <w:kern w:val="0"/>
                <w:sz w:val="28"/>
                <w:szCs w:val="28"/>
                <w:u w:val="none"/>
                <w:lang w:val="en-US" w:eastAsia="zh-CN" w:bidi="ar"/>
                <w14:textFill>
                  <w14:solidFill>
                    <w14:schemeClr w14:val="tx1"/>
                  </w14:solidFill>
                </w14:textFill>
              </w:rPr>
              <w:t>精装写实</w:t>
            </w:r>
          </w:p>
        </w:tc>
        <w:tc>
          <w:tcPr>
            <w:tcW w:w="1289"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8"/>
                <w:szCs w:val="28"/>
                <w:u w:val="none"/>
                <w14:textFill>
                  <w14:solidFill>
                    <w14:schemeClr w14:val="tx1"/>
                  </w14:solidFill>
                </w14:textFill>
              </w:rPr>
            </w:pPr>
            <w:r>
              <w:rPr>
                <w:rFonts w:hint="eastAsia" w:ascii="宋体" w:hAnsi="宋体" w:eastAsia="宋体" w:cs="宋体"/>
                <w:i w:val="0"/>
                <w:iCs w:val="0"/>
                <w:color w:val="000000" w:themeColor="text1"/>
                <w:kern w:val="0"/>
                <w:sz w:val="28"/>
                <w:szCs w:val="28"/>
                <w:u w:val="none"/>
                <w:lang w:val="en-US" w:eastAsia="zh-CN" w:bidi="ar"/>
                <w14:textFill>
                  <w14:solidFill>
                    <w14:schemeClr w14:val="tx1"/>
                  </w14:solidFill>
                </w14:textFill>
              </w:rPr>
              <w:t>正方形</w:t>
            </w:r>
          </w:p>
        </w:tc>
        <w:tc>
          <w:tcPr>
            <w:tcW w:w="1033"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8"/>
                <w:szCs w:val="28"/>
                <w:u w:val="none"/>
                <w14:textFill>
                  <w14:solidFill>
                    <w14:schemeClr w14:val="tx1"/>
                  </w14:solidFill>
                </w14:textFill>
              </w:rPr>
            </w:pPr>
            <w:r>
              <w:rPr>
                <w:rFonts w:hint="eastAsia" w:ascii="宋体" w:hAnsi="宋体" w:eastAsia="宋体" w:cs="宋体"/>
                <w:i w:val="0"/>
                <w:iCs w:val="0"/>
                <w:color w:val="000000" w:themeColor="text1"/>
                <w:kern w:val="0"/>
                <w:sz w:val="28"/>
                <w:szCs w:val="28"/>
                <w:u w:val="none"/>
                <w:lang w:val="en-US" w:eastAsia="zh-CN" w:bidi="ar"/>
                <w14:textFill>
                  <w14:solidFill>
                    <w14:schemeClr w14:val="tx1"/>
                  </w14:solidFill>
                </w14:textFill>
              </w:rPr>
              <w:t xml:space="preserve"> 套</w:t>
            </w:r>
          </w:p>
        </w:tc>
        <w:tc>
          <w:tcPr>
            <w:tcW w:w="967"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32"/>
                <w:szCs w:val="32"/>
                <w:u w:val="none"/>
                <w14:textFill>
                  <w14:solidFill>
                    <w14:schemeClr w14:val="tx1"/>
                  </w14:solidFill>
                </w14:textFill>
              </w:rPr>
            </w:pPr>
            <w:r>
              <w:rPr>
                <w:rFonts w:hint="eastAsia" w:ascii="宋体" w:hAnsi="宋体" w:eastAsia="宋体" w:cs="宋体"/>
                <w:i w:val="0"/>
                <w:iCs w:val="0"/>
                <w:color w:val="000000" w:themeColor="text1"/>
                <w:kern w:val="0"/>
                <w:sz w:val="32"/>
                <w:szCs w:val="32"/>
                <w:u w:val="none"/>
                <w:lang w:val="en-US" w:eastAsia="zh-CN" w:bidi="ar"/>
                <w14:textFill>
                  <w14:solidFill>
                    <w14:schemeClr w14:val="tx1"/>
                  </w14:solidFill>
                </w14:textFill>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0" w:hRule="atLeast"/>
        </w:trPr>
        <w:tc>
          <w:tcPr>
            <w:tcW w:w="2222" w:type="dxa"/>
            <w:gridSpan w:val="2"/>
            <w:tcBorders>
              <w:top w:val="single" w:color="000000" w:sz="4" w:space="0"/>
              <w:left w:val="single" w:color="000000" w:sz="4" w:space="0"/>
              <w:bottom w:val="single" w:color="000000" w:sz="4" w:space="0"/>
              <w:right w:val="single" w:color="000000" w:sz="4" w:space="0"/>
            </w:tcBorders>
            <w:shd w:val="clear" w:color="auto" w:fill="FFFF00"/>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0"/>
                <w:sz w:val="28"/>
                <w:szCs w:val="28"/>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8"/>
                <w:szCs w:val="28"/>
                <w:u w:val="none"/>
                <w:lang w:val="en-US" w:eastAsia="zh-CN" w:bidi="ar"/>
                <w14:textFill>
                  <w14:solidFill>
                    <w14:schemeClr w14:val="tx1"/>
                  </w14:solidFill>
                </w14:textFill>
              </w:rPr>
              <w:t>户型+单体底座</w:t>
            </w:r>
          </w:p>
        </w:tc>
        <w:tc>
          <w:tcPr>
            <w:tcW w:w="1056"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keepNext w:val="0"/>
              <w:keepLines w:val="0"/>
              <w:widowControl/>
              <w:suppressLineNumbers w:val="0"/>
              <w:jc w:val="center"/>
              <w:textAlignment w:val="center"/>
              <w:rPr>
                <w:rFonts w:hint="default" w:ascii="宋体" w:hAnsi="宋体" w:eastAsia="宋体" w:cs="宋体"/>
                <w:i w:val="0"/>
                <w:iCs w:val="0"/>
                <w:color w:val="000000" w:themeColor="text1"/>
                <w:kern w:val="0"/>
                <w:sz w:val="28"/>
                <w:szCs w:val="28"/>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8"/>
                <w:szCs w:val="28"/>
                <w:u w:val="none"/>
                <w:lang w:val="en-US" w:eastAsia="zh-CN" w:bidi="ar"/>
                <w14:textFill>
                  <w14:solidFill>
                    <w14:schemeClr w14:val="tx1"/>
                  </w14:solidFill>
                </w14:textFill>
              </w:rPr>
              <w:t>比例：1:1</w:t>
            </w:r>
          </w:p>
        </w:tc>
        <w:tc>
          <w:tcPr>
            <w:tcW w:w="1951"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keepNext w:val="0"/>
              <w:keepLines w:val="0"/>
              <w:widowControl/>
              <w:suppressLineNumbers w:val="0"/>
              <w:jc w:val="center"/>
              <w:textAlignment w:val="center"/>
              <w:rPr>
                <w:rFonts w:hint="default" w:ascii="宋体" w:hAnsi="宋体" w:eastAsia="宋体" w:cs="宋体"/>
                <w:i w:val="0"/>
                <w:iCs w:val="0"/>
                <w:color w:val="000000" w:themeColor="text1"/>
                <w:kern w:val="0"/>
                <w:sz w:val="28"/>
                <w:szCs w:val="28"/>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8"/>
                <w:szCs w:val="28"/>
                <w:u w:val="none"/>
                <w:lang w:val="en-US" w:eastAsia="zh-CN" w:bidi="ar"/>
                <w14:textFill>
                  <w14:solidFill>
                    <w14:schemeClr w14:val="tx1"/>
                  </w14:solidFill>
                </w14:textFill>
              </w:rPr>
              <w:t>28.3+5.6+6.8</w:t>
            </w:r>
          </w:p>
        </w:tc>
        <w:tc>
          <w:tcPr>
            <w:tcW w:w="2182"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keepNext w:val="0"/>
              <w:keepLines w:val="0"/>
              <w:widowControl/>
              <w:suppressLineNumbers w:val="0"/>
              <w:jc w:val="center"/>
              <w:textAlignment w:val="center"/>
              <w:rPr>
                <w:rFonts w:hint="default" w:ascii="宋体" w:hAnsi="宋体" w:eastAsia="宋体" w:cs="宋体"/>
                <w:i w:val="0"/>
                <w:iCs w:val="0"/>
                <w:color w:val="000000" w:themeColor="text1"/>
                <w:kern w:val="0"/>
                <w:sz w:val="28"/>
                <w:szCs w:val="28"/>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8"/>
                <w:szCs w:val="28"/>
                <w:u w:val="none"/>
                <w:lang w:val="en-US" w:eastAsia="zh-CN" w:bidi="ar"/>
                <w14:textFill>
                  <w14:solidFill>
                    <w14:schemeClr w14:val="tx1"/>
                  </w14:solidFill>
                </w14:textFill>
              </w:rPr>
              <w:t>石材</w:t>
            </w:r>
          </w:p>
        </w:tc>
        <w:tc>
          <w:tcPr>
            <w:tcW w:w="1289"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0"/>
                <w:sz w:val="28"/>
                <w:szCs w:val="28"/>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8"/>
                <w:szCs w:val="28"/>
                <w:u w:val="none"/>
                <w:lang w:val="en-US" w:eastAsia="zh-CN" w:bidi="ar"/>
                <w14:textFill>
                  <w14:solidFill>
                    <w14:schemeClr w14:val="tx1"/>
                  </w14:solidFill>
                </w14:textFill>
              </w:rPr>
              <w:t>正方形</w:t>
            </w:r>
          </w:p>
        </w:tc>
        <w:tc>
          <w:tcPr>
            <w:tcW w:w="1033"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keepNext w:val="0"/>
              <w:keepLines w:val="0"/>
              <w:widowControl/>
              <w:suppressLineNumbers w:val="0"/>
              <w:jc w:val="center"/>
              <w:textAlignment w:val="center"/>
              <w:rPr>
                <w:rFonts w:hint="default" w:ascii="宋体" w:hAnsi="宋体" w:eastAsia="宋体" w:cs="宋体"/>
                <w:i w:val="0"/>
                <w:iCs w:val="0"/>
                <w:color w:val="000000" w:themeColor="text1"/>
                <w:kern w:val="0"/>
                <w:sz w:val="28"/>
                <w:szCs w:val="28"/>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8"/>
                <w:szCs w:val="28"/>
                <w:u w:val="none"/>
                <w:lang w:val="en-US" w:eastAsia="zh-CN" w:bidi="ar"/>
                <w14:textFill>
                  <w14:solidFill>
                    <w14:schemeClr w14:val="tx1"/>
                  </w14:solidFill>
                </w14:textFill>
              </w:rPr>
              <w:t>沿米</w:t>
            </w:r>
          </w:p>
        </w:tc>
        <w:tc>
          <w:tcPr>
            <w:tcW w:w="967"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keepNext w:val="0"/>
              <w:keepLines w:val="0"/>
              <w:widowControl/>
              <w:suppressLineNumbers w:val="0"/>
              <w:jc w:val="center"/>
              <w:textAlignment w:val="center"/>
              <w:rPr>
                <w:rFonts w:hint="default" w:ascii="宋体" w:hAnsi="宋体" w:eastAsia="宋体" w:cs="宋体"/>
                <w:i w:val="0"/>
                <w:iCs w:val="0"/>
                <w:color w:val="000000" w:themeColor="text1"/>
                <w:kern w:val="0"/>
                <w:sz w:val="32"/>
                <w:szCs w:val="3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32"/>
                <w:szCs w:val="32"/>
                <w:u w:val="none"/>
                <w:lang w:val="en-US" w:eastAsia="zh-CN" w:bidi="ar"/>
                <w14:textFill>
                  <w14:solidFill>
                    <w14:schemeClr w14:val="tx1"/>
                  </w14:solidFill>
                </w14:textFill>
              </w:rPr>
              <w:t>40.7</w:t>
            </w:r>
          </w:p>
        </w:tc>
      </w:tr>
    </w:tbl>
    <w:p>
      <w:pPr>
        <w:pStyle w:val="7"/>
        <w:numPr>
          <w:ilvl w:val="0"/>
          <w:numId w:val="0"/>
        </w:numPr>
        <w:tabs>
          <w:tab w:val="left" w:pos="420"/>
        </w:tabs>
        <w:ind w:leftChars="0" w:firstLine="560" w:firstLineChars="200"/>
        <w:rPr>
          <w:rFonts w:hint="eastAsia" w:ascii="Times New Roman" w:hAnsi="Times New Roman" w:cs="Times New Roman" w:eastAsiaTheme="minorEastAsia"/>
          <w:kern w:val="0"/>
          <w:sz w:val="28"/>
          <w:szCs w:val="28"/>
          <w:highlight w:val="none"/>
          <w:lang w:val="en-US" w:eastAsia="zh-CN" w:bidi="ar-SA"/>
        </w:rPr>
      </w:pPr>
      <w:r>
        <w:rPr>
          <w:rFonts w:hint="eastAsia" w:ascii="Times New Roman" w:hAnsi="Times New Roman" w:cs="Times New Roman" w:eastAsiaTheme="minorEastAsia"/>
          <w:kern w:val="0"/>
          <w:sz w:val="28"/>
          <w:szCs w:val="28"/>
          <w:highlight w:val="none"/>
          <w:lang w:val="en-US" w:eastAsia="zh-CN" w:bidi="ar-SA"/>
        </w:rPr>
        <w:t>（二）内部房间功能布局的小品制作:通过室内的摆设让每位参观者能快速了解房间的功能、结构、面积、朝向、采光，以及户型的适用性，根据我方的设计分布图将不同种类的小品进行分类分区摆放，提高模型的真实度。客厅：电视播放、电视墙、吊顶灯、沙发、茶几、地毯、花卉、展柜和其它细节摆件；餐厅：餐桌椅、花卉、酒柜、挂画等；卧室：单（双）人床、挂衣柜、花卉、梳妆台、床头毯等，各卧室及风格需符合房间格局。书房：电脑、电脑桌、书柜、书本、办公桌摆件花卉等；厨房：餐桌、餐椅、冰箱、橱柜、灶台、器具、蔬菜等；卫生间：马桶、墙面镜、梳妆台、洗浴间、干湿分离等；阳台：凉椅、花卉、绿植、洗衣机等，地面铺贴风格需以我方交楼标准为准，卫生间墙面瓷砖款式及颜色以甲方交楼标准为准；</w:t>
      </w:r>
    </w:p>
    <w:p>
      <w:pPr>
        <w:pStyle w:val="7"/>
        <w:numPr>
          <w:ilvl w:val="0"/>
          <w:numId w:val="0"/>
        </w:numPr>
        <w:tabs>
          <w:tab w:val="left" w:pos="420"/>
        </w:tabs>
        <w:ind w:firstLine="560" w:firstLineChars="200"/>
        <w:jc w:val="left"/>
        <w:rPr>
          <w:rFonts w:hint="eastAsia" w:ascii="Times New Roman" w:hAnsi="Times New Roman" w:cs="Times New Roman" w:eastAsiaTheme="minorEastAsia"/>
          <w:kern w:val="0"/>
          <w:sz w:val="28"/>
          <w:szCs w:val="28"/>
          <w:highlight w:val="none"/>
          <w:lang w:val="en-US" w:eastAsia="zh-CN" w:bidi="ar-SA"/>
        </w:rPr>
      </w:pPr>
      <w:r>
        <w:rPr>
          <w:rFonts w:hint="eastAsia" w:ascii="Times New Roman" w:hAnsi="Times New Roman" w:cs="Times New Roman" w:eastAsiaTheme="minorEastAsia"/>
          <w:kern w:val="0"/>
          <w:sz w:val="28"/>
          <w:szCs w:val="28"/>
          <w:highlight w:val="none"/>
          <w:lang w:val="en-US" w:eastAsia="zh-CN" w:bidi="ar-SA"/>
        </w:rPr>
        <w:t>（三）灯光制作：在电视墙、橱窗、吊灯、电视机播放、墙壁射灯等方面制作不同颜色的灯光效果，在户型骨架底部打上灯光，灯光开启时使户型分割结构清晰明显。</w:t>
      </w:r>
      <w:r>
        <w:drawing>
          <wp:inline distT="0" distB="0" distL="114300" distR="114300">
            <wp:extent cx="2441575" cy="1881505"/>
            <wp:effectExtent l="0" t="0" r="9525" b="10795"/>
            <wp:docPr id="13"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pic:cNvPicPr>
                      <a:picLocks noChangeAspect="1"/>
                    </pic:cNvPicPr>
                  </pic:nvPicPr>
                  <pic:blipFill>
                    <a:blip r:embed="rId10">
                      <a:lum bright="6000"/>
                    </a:blip>
                    <a:stretch>
                      <a:fillRect/>
                    </a:stretch>
                  </pic:blipFill>
                  <pic:spPr>
                    <a:xfrm>
                      <a:off x="0" y="0"/>
                      <a:ext cx="2441575" cy="1881505"/>
                    </a:xfrm>
                    <a:prstGeom prst="rect">
                      <a:avLst/>
                    </a:prstGeom>
                  </pic:spPr>
                </pic:pic>
              </a:graphicData>
            </a:graphic>
          </wp:inline>
        </w:drawing>
      </w:r>
      <w:r>
        <w:drawing>
          <wp:inline distT="0" distB="0" distL="114300" distR="114300">
            <wp:extent cx="2296160" cy="1853565"/>
            <wp:effectExtent l="0" t="0" r="2540" b="635"/>
            <wp:docPr id="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pic:cNvPicPr>
                      <a:picLocks noChangeAspect="1"/>
                    </pic:cNvPicPr>
                  </pic:nvPicPr>
                  <pic:blipFill>
                    <a:blip r:embed="rId11"/>
                    <a:stretch>
                      <a:fillRect/>
                    </a:stretch>
                  </pic:blipFill>
                  <pic:spPr>
                    <a:xfrm>
                      <a:off x="0" y="0"/>
                      <a:ext cx="2296160" cy="1853565"/>
                    </a:xfrm>
                    <a:prstGeom prst="rect">
                      <a:avLst/>
                    </a:prstGeom>
                    <a:noFill/>
                    <a:ln w="9525">
                      <a:noFill/>
                    </a:ln>
                  </pic:spPr>
                </pic:pic>
              </a:graphicData>
            </a:graphic>
          </wp:inline>
        </w:drawing>
      </w:r>
    </w:p>
    <w:p>
      <w:pPr>
        <w:tabs>
          <w:tab w:val="left" w:pos="720"/>
        </w:tabs>
        <w:spacing w:line="360" w:lineRule="auto"/>
        <w:ind w:firstLine="565" w:firstLineChars="202"/>
        <w:rPr>
          <w:rFonts w:hint="eastAsia" w:ascii="宋体" w:hAnsi="宋体"/>
          <w:sz w:val="24"/>
        </w:rPr>
      </w:pPr>
      <w:r>
        <w:rPr>
          <w:rFonts w:hint="eastAsia" w:ascii="Times New Roman" w:hAnsi="Times New Roman" w:cs="Times New Roman" w:eastAsiaTheme="minorEastAsia"/>
          <w:kern w:val="0"/>
          <w:sz w:val="28"/>
          <w:szCs w:val="28"/>
          <w:highlight w:val="none"/>
          <w:lang w:val="en-US" w:eastAsia="zh-CN" w:bidi="ar-SA"/>
        </w:rPr>
        <w:t>三、</w:t>
      </w:r>
      <w:r>
        <w:rPr>
          <w:rFonts w:hint="eastAsia" w:ascii="宋体" w:hAnsi="宋体"/>
          <w:sz w:val="24"/>
        </w:rPr>
        <w:t>供货质量</w:t>
      </w:r>
    </w:p>
    <w:p>
      <w:pPr>
        <w:tabs>
          <w:tab w:val="left" w:pos="720"/>
        </w:tabs>
        <w:spacing w:line="360" w:lineRule="auto"/>
        <w:ind w:firstLine="484" w:firstLineChars="202"/>
        <w:rPr>
          <w:rFonts w:hint="eastAsia" w:ascii="宋体" w:hAnsi="宋体"/>
          <w:sz w:val="24"/>
        </w:rPr>
      </w:pPr>
      <w:r>
        <w:rPr>
          <w:rFonts w:hint="eastAsia" w:ascii="宋体" w:hAnsi="宋体"/>
          <w:sz w:val="24"/>
        </w:rPr>
        <w:t>材料检测验收合格，提供相关质保书。满足招标人要求。</w:t>
      </w:r>
    </w:p>
    <w:p>
      <w:pPr>
        <w:tabs>
          <w:tab w:val="left" w:pos="720"/>
        </w:tabs>
        <w:spacing w:line="360" w:lineRule="auto"/>
        <w:ind w:firstLine="484" w:firstLineChars="202"/>
        <w:rPr>
          <w:rFonts w:hint="eastAsia" w:ascii="宋体" w:hAnsi="宋体"/>
          <w:sz w:val="24"/>
        </w:rPr>
      </w:pPr>
      <w:r>
        <w:rPr>
          <w:rFonts w:hint="eastAsia" w:ascii="宋体" w:hAnsi="宋体"/>
          <w:sz w:val="24"/>
          <w:lang w:val="en-US" w:eastAsia="zh-CN"/>
        </w:rPr>
        <w:t>四、</w:t>
      </w:r>
      <w:r>
        <w:rPr>
          <w:rFonts w:hint="eastAsia" w:ascii="宋体" w:hAnsi="宋体"/>
          <w:sz w:val="24"/>
        </w:rPr>
        <w:t>投标报价</w:t>
      </w:r>
    </w:p>
    <w:p>
      <w:pPr>
        <w:tabs>
          <w:tab w:val="left" w:pos="720"/>
        </w:tabs>
        <w:spacing w:line="360" w:lineRule="auto"/>
        <w:ind w:firstLine="484" w:firstLineChars="202"/>
        <w:rPr>
          <w:rFonts w:hint="eastAsia" w:ascii="宋体" w:hAnsi="宋体"/>
          <w:sz w:val="24"/>
        </w:rPr>
      </w:pPr>
      <w:r>
        <w:rPr>
          <w:rFonts w:hint="eastAsia" w:ascii="宋体" w:hAnsi="宋体"/>
          <w:sz w:val="24"/>
          <w:lang w:val="en-US" w:eastAsia="zh-CN"/>
        </w:rPr>
        <w:t>1.所填报价为含税固定总价，须包括按照设计图纸及施工规范完成整个工程所需的所有人工费、材料费、机械费、材料损耗、包装、运输、保险、储存、成品保护、破坏恢复、工完场清、垃圾清理、超时工作、管理费、利润、税金及其它所有因履行合同所需的全部费用，</w:t>
      </w:r>
      <w:r>
        <w:rPr>
          <w:rFonts w:hint="eastAsia" w:ascii="宋体" w:hAnsi="宋体"/>
          <w:b/>
          <w:sz w:val="24"/>
        </w:rPr>
        <w:t>并考虑一定的风险因素。</w:t>
      </w:r>
    </w:p>
    <w:p>
      <w:pPr>
        <w:tabs>
          <w:tab w:val="left" w:pos="720"/>
        </w:tabs>
        <w:spacing w:line="360" w:lineRule="auto"/>
        <w:ind w:firstLine="484" w:firstLineChars="202"/>
        <w:rPr>
          <w:rFonts w:hint="eastAsia" w:ascii="宋体" w:hAnsi="宋体"/>
          <w:sz w:val="24"/>
        </w:rPr>
      </w:pPr>
      <w:r>
        <w:rPr>
          <w:rFonts w:hint="eastAsia" w:ascii="宋体" w:hAnsi="宋体"/>
          <w:sz w:val="24"/>
          <w:lang w:val="en-US" w:eastAsia="zh-CN"/>
        </w:rPr>
        <w:t>2.</w:t>
      </w:r>
      <w:r>
        <w:rPr>
          <w:rFonts w:hint="eastAsia" w:ascii="宋体" w:hAnsi="宋体"/>
          <w:sz w:val="24"/>
        </w:rPr>
        <w:t>投标人必须及时按照</w:t>
      </w:r>
      <w:r>
        <w:rPr>
          <w:rFonts w:hint="eastAsia" w:ascii="宋体" w:hAnsi="宋体"/>
          <w:sz w:val="24"/>
          <w:lang w:val="en-US" w:eastAsia="zh-CN"/>
        </w:rPr>
        <w:t>规定的税</w:t>
      </w:r>
      <w:r>
        <w:rPr>
          <w:rFonts w:hint="eastAsia" w:ascii="宋体" w:hAnsi="宋体"/>
          <w:sz w:val="24"/>
        </w:rPr>
        <w:t>率提供合法合规的增值税</w:t>
      </w:r>
      <w:r>
        <w:rPr>
          <w:rFonts w:hint="eastAsia" w:ascii="宋体" w:hAnsi="宋体"/>
          <w:b/>
          <w:sz w:val="24"/>
        </w:rPr>
        <w:t>专用</w:t>
      </w:r>
      <w:r>
        <w:rPr>
          <w:rFonts w:hint="eastAsia" w:ascii="宋体" w:hAnsi="宋体"/>
          <w:sz w:val="24"/>
        </w:rPr>
        <w:t>发票。如果不能及时提供发票，招标人将按照中标人在规定时间内必须提供合法有效的与结算金额等额的全额（含装、运、卸</w:t>
      </w:r>
      <w:r>
        <w:rPr>
          <w:rFonts w:hint="eastAsia" w:ascii="宋体" w:hAnsi="宋体"/>
          <w:sz w:val="24"/>
          <w:lang w:eastAsia="zh-CN"/>
        </w:rPr>
        <w:t>、安装</w:t>
      </w:r>
      <w:r>
        <w:rPr>
          <w:rFonts w:hint="eastAsia" w:ascii="宋体" w:hAnsi="宋体"/>
          <w:sz w:val="24"/>
        </w:rPr>
        <w:t>等费用）、内容一致的增值税专用发票后才付款，否则招标人将拒绝支付。发票的开票单位必须为中标单位，并按实际供货情况，准确填写发票项目。一切税费由中标人自行承担，货款汇给中标单位帐户。</w:t>
      </w:r>
    </w:p>
    <w:p>
      <w:pPr>
        <w:tabs>
          <w:tab w:val="left" w:pos="720"/>
        </w:tabs>
        <w:spacing w:line="360" w:lineRule="auto"/>
        <w:ind w:firstLine="484" w:firstLineChars="202"/>
        <w:rPr>
          <w:rFonts w:hint="eastAsia" w:ascii="宋体" w:hAnsi="宋体"/>
          <w:sz w:val="24"/>
        </w:rPr>
      </w:pPr>
      <w:r>
        <w:rPr>
          <w:rFonts w:hint="eastAsia" w:ascii="宋体" w:hAnsi="宋体"/>
          <w:sz w:val="24"/>
          <w:lang w:val="en-US" w:eastAsia="zh-CN"/>
        </w:rPr>
        <w:t>3.</w:t>
      </w:r>
      <w:r>
        <w:rPr>
          <w:rFonts w:hint="eastAsia" w:ascii="宋体" w:hAnsi="宋体"/>
          <w:sz w:val="24"/>
        </w:rPr>
        <w:t>只允许一个报价，不接受投标报价修正函。</w:t>
      </w:r>
    </w:p>
    <w:p>
      <w:pPr>
        <w:tabs>
          <w:tab w:val="left" w:pos="720"/>
        </w:tabs>
        <w:spacing w:line="360" w:lineRule="auto"/>
        <w:ind w:firstLine="484" w:firstLineChars="202"/>
        <w:rPr>
          <w:rFonts w:hint="eastAsia" w:ascii="宋体" w:hAnsi="宋体"/>
          <w:sz w:val="24"/>
        </w:rPr>
      </w:pPr>
      <w:r>
        <w:rPr>
          <w:rFonts w:hint="eastAsia" w:ascii="宋体" w:hAnsi="宋体"/>
          <w:sz w:val="24"/>
        </w:rPr>
        <w:t>4.送货时需提供材料合格证，检测报告以及委托试验检测报告。</w:t>
      </w:r>
    </w:p>
    <w:p>
      <w:pPr>
        <w:numPr>
          <w:ilvl w:val="-1"/>
          <w:numId w:val="0"/>
        </w:numPr>
        <w:tabs>
          <w:tab w:val="left" w:pos="720"/>
        </w:tabs>
        <w:spacing w:line="360" w:lineRule="auto"/>
        <w:ind w:firstLine="482" w:firstLineChars="200"/>
        <w:rPr>
          <w:rFonts w:hint="eastAsia" w:ascii="宋体" w:hAnsi="宋体"/>
          <w:b/>
          <w:bCs/>
          <w:sz w:val="24"/>
        </w:rPr>
      </w:pPr>
      <w:r>
        <w:rPr>
          <w:rFonts w:hint="eastAsia" w:ascii="宋体" w:hAnsi="宋体"/>
          <w:b/>
          <w:bCs/>
          <w:sz w:val="24"/>
          <w:lang w:val="en-US" w:eastAsia="zh-CN"/>
        </w:rPr>
        <w:t>五、</w:t>
      </w:r>
      <w:r>
        <w:rPr>
          <w:rFonts w:hint="eastAsia" w:ascii="宋体" w:hAnsi="宋体"/>
          <w:b/>
          <w:bCs/>
          <w:sz w:val="24"/>
        </w:rPr>
        <w:t>其他要求</w:t>
      </w:r>
    </w:p>
    <w:p>
      <w:pPr>
        <w:numPr>
          <w:ilvl w:val="0"/>
          <w:numId w:val="0"/>
        </w:numPr>
        <w:tabs>
          <w:tab w:val="left" w:pos="720"/>
        </w:tabs>
        <w:spacing w:line="360" w:lineRule="auto"/>
        <w:ind w:firstLine="480" w:firstLineChars="200"/>
        <w:rPr>
          <w:rFonts w:hint="default" w:ascii="宋体" w:hAnsi="宋体"/>
          <w:sz w:val="24"/>
          <w:lang w:val="en-US" w:eastAsia="zh-CN"/>
        </w:rPr>
      </w:pPr>
      <w:r>
        <w:rPr>
          <w:rFonts w:hint="eastAsia" w:ascii="宋体" w:hAnsi="宋体"/>
          <w:sz w:val="24"/>
          <w:lang w:val="en-US" w:eastAsia="zh-CN"/>
        </w:rPr>
        <w:t>1.投标人应提供沙盘的细节做法及沙盘本身（用施工图纸或深化设计方案来体现），包含沙盘、户模的底座支撑、底座与沙盘、户模的结合，优化做法。试运行期间，因中标单位原因导致沙盘不能正常使用视为中标人违约一次，对合同价款的千分之一每日进行处罚。</w:t>
      </w:r>
    </w:p>
    <w:p>
      <w:pPr>
        <w:numPr>
          <w:ilvl w:val="0"/>
          <w:numId w:val="0"/>
        </w:numPr>
        <w:tabs>
          <w:tab w:val="left" w:pos="720"/>
        </w:tabs>
        <w:spacing w:line="360" w:lineRule="auto"/>
        <w:ind w:firstLine="480" w:firstLineChars="200"/>
        <w:rPr>
          <w:rFonts w:hint="default" w:ascii="Times New Roman" w:hAnsi="Times New Roman" w:cs="Times New Roman" w:eastAsiaTheme="majorEastAsia"/>
          <w:b/>
          <w:bCs/>
          <w:sz w:val="32"/>
          <w:szCs w:val="32"/>
          <w:highlight w:val="none"/>
          <w:lang w:val="en-US" w:eastAsia="zh-CN"/>
        </w:rPr>
      </w:pPr>
      <w:r>
        <w:rPr>
          <w:rFonts w:hint="eastAsia" w:ascii="宋体" w:hAnsi="宋体"/>
          <w:sz w:val="24"/>
          <w:lang w:val="en-US" w:eastAsia="zh-CN"/>
        </w:rPr>
        <w:t>2.售后服务：中标单位对制作的模型作品均提供二年免费保养维修服务（如为人为损坏则视情况收取适当材料费）、终身维护维修服务（视情况收取适当的工料费），另有一年四次（保修期内，每季度一次）主动上门免费清洁维护保养服务。售后服务部接到招标单位通知后24小时内响应及解决所反映的问题。</w:t>
      </w:r>
      <w:permEnd w:id="111"/>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420" w:name="_Toc152045787"/>
      <w:bookmarkStart w:id="421" w:name="_Toc247514246"/>
      <w:bookmarkStart w:id="422" w:name="_Toc144974856"/>
      <w:bookmarkStart w:id="423" w:name="_Toc300835209"/>
      <w:bookmarkStart w:id="424" w:name="_Toc152042576"/>
      <w:bookmarkStart w:id="425" w:name="_Toc247527827"/>
      <w:r>
        <w:rPr>
          <w:rFonts w:hint="default" w:ascii="Times New Roman" w:hAnsi="Times New Roman" w:cs="Times New Roman"/>
        </w:rPr>
        <w:t>目    录</w:t>
      </w:r>
      <w:bookmarkEnd w:id="420"/>
      <w:bookmarkEnd w:id="421"/>
      <w:bookmarkEnd w:id="422"/>
      <w:bookmarkEnd w:id="423"/>
      <w:bookmarkEnd w:id="424"/>
      <w:bookmarkEnd w:id="425"/>
    </w:p>
    <w:p>
      <w:pPr>
        <w:spacing w:line="540" w:lineRule="exact"/>
        <w:rPr>
          <w:rFonts w:hint="default" w:ascii="Times New Roman" w:hAnsi="Times New Roman" w:cs="Times New Roman"/>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一、投标函</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身份证明（适用于无委托代理人的情况）</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四、商务评分和技术偏差表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五、资格审查资料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六、投标产品技术性能指标的详细描述</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七、技术支持资料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八、技术服务和质保期服务计划</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九、其他资料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ascii="Times New Roman" w:hAnsi="Times New Roman" w:cs="Times New Roman"/>
          <w:sz w:val="20"/>
          <w:szCs w:val="20"/>
        </w:rPr>
      </w:pPr>
      <w:bookmarkStart w:id="426" w:name="_Toc152045788"/>
      <w:bookmarkStart w:id="427" w:name="_Toc152042577"/>
      <w:bookmarkStart w:id="428" w:name="_Toc300835210"/>
      <w:bookmarkStart w:id="429" w:name="_Toc144974857"/>
      <w:bookmarkStart w:id="430" w:name="_Toc247527828"/>
      <w:bookmarkStart w:id="431" w:name="_Toc247514247"/>
      <w:r>
        <w:rPr>
          <w:rFonts w:hint="default" w:ascii="Times New Roman" w:hAnsi="Times New Roman" w:cs="Times New Roman"/>
        </w:rPr>
        <w:t>一、投标函</w:t>
      </w:r>
      <w:bookmarkEnd w:id="426"/>
      <w:bookmarkEnd w:id="427"/>
      <w:bookmarkEnd w:id="428"/>
      <w:bookmarkEnd w:id="429"/>
      <w:bookmarkEnd w:id="430"/>
      <w:bookmarkEnd w:id="431"/>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 xml:space="preserve">                     （项目名称及项目编号）</w:t>
      </w:r>
      <w:r>
        <w:rPr>
          <w:rFonts w:hint="eastAsia" w:ascii="Times New Roman" w:hAnsi="Times New Roman" w:cs="Times New Roman"/>
          <w:szCs w:val="21"/>
          <w:lang w:val="en-US" w:eastAsia="zh-CN"/>
        </w:rPr>
        <w:t>招标项目招标文件的全部内容，愿意以</w:t>
      </w:r>
      <w:permStart w:id="112"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112"/>
      <w:r>
        <w:rPr>
          <w:rFonts w:hint="eastAsia" w:ascii="Times New Roman" w:hAnsi="Times New Roman" w:cs="Times New Roman"/>
          <w:szCs w:val="21"/>
          <w:lang w:val="en-US" w:eastAsia="zh-CN"/>
        </w:rPr>
        <w:t>提供完成本项目全部供货内容</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并按合同约定履行义务。</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1）投标函；（2）法定代表人（单位负责人）身份证明或授权委托书；（3）投标保证金；（4）商务评分和技术偏差表；（5）资格审查资料；（6）投标产品技术性能指标的详细描述；（7）技术支持资料；（8）技术服务和质保期服务计划；（9）其他资料。</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3.我方承诺除商务评分和技术偏差表列出的偏差外，我方响应招标文件的全部要求。</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4.我方承诺在招标文件规定的投标有效期内不撤销投标文件。</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5.如我方中标，我方承诺：</w:t>
      </w:r>
    </w:p>
    <w:p>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rPr>
          <w:rFonts w:hint="default" w:ascii="Times New Roman" w:hAnsi="Times New Roman" w:cs="Times New Roman"/>
        </w:rPr>
      </w:pPr>
      <w:bookmarkStart w:id="432" w:name="_Toc247514283"/>
      <w:bookmarkStart w:id="433" w:name="_Toc247527831"/>
      <w:bookmarkStart w:id="434" w:name="_Toc152042580"/>
      <w:bookmarkStart w:id="435" w:name="_Toc152045791"/>
      <w:bookmarkStart w:id="436" w:name="_Toc300835213"/>
      <w:bookmarkStart w:id="437" w:name="_Toc144974860"/>
      <w:r>
        <w:rPr>
          <w:rFonts w:hint="default" w:ascii="Times New Roman" w:hAnsi="Times New Roman" w:cs="Times New Roman"/>
        </w:rPr>
        <w:br w:type="page"/>
      </w:r>
    </w:p>
    <w:p>
      <w:pPr>
        <w:pStyle w:val="3"/>
        <w:jc w:val="center"/>
        <w:rPr>
          <w:rFonts w:hint="default" w:ascii="Times New Roman" w:hAnsi="Times New Roman" w:cs="Times New Roman"/>
        </w:rPr>
      </w:pPr>
      <w:r>
        <w:rPr>
          <w:rFonts w:hint="default" w:ascii="Times New Roman" w:hAnsi="Times New Roman" w:cs="Times New Roman"/>
        </w:rPr>
        <w:t>二、法定代表人</w:t>
      </w:r>
      <w:r>
        <w:rPr>
          <w:rFonts w:hint="eastAsia" w:ascii="Times New Roman" w:hAnsi="Times New Roman" w:cs="Times New Roman"/>
          <w:lang w:eastAsia="zh-CN"/>
        </w:rPr>
        <w:t>（</w:t>
      </w:r>
      <w:r>
        <w:rPr>
          <w:rFonts w:hint="eastAsia" w:ascii="Times New Roman" w:hAnsi="Times New Roman" w:cs="Times New Roman"/>
          <w:lang w:val="en-US" w:eastAsia="zh-CN"/>
        </w:rPr>
        <w:t>单位负责人</w:t>
      </w:r>
      <w:r>
        <w:rPr>
          <w:rFonts w:hint="eastAsia" w:ascii="Times New Roman" w:hAnsi="Times New Roman" w:cs="Times New Roman"/>
          <w:lang w:eastAsia="zh-CN"/>
        </w:rPr>
        <w:t>）</w:t>
      </w:r>
      <w:r>
        <w:rPr>
          <w:rFonts w:hint="default" w:ascii="Times New Roman" w:hAnsi="Times New Roman" w:cs="Times New Roman"/>
        </w:rPr>
        <w:t>身份证明</w:t>
      </w:r>
      <w:bookmarkEnd w:id="432"/>
      <w:bookmarkEnd w:id="433"/>
      <w:bookmarkEnd w:id="434"/>
      <w:bookmarkEnd w:id="435"/>
      <w:bookmarkEnd w:id="436"/>
      <w:bookmarkEnd w:id="437"/>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38" w:name="_Toc300835214"/>
      <w:bookmarkStart w:id="439" w:name="_Toc144974861"/>
      <w:bookmarkStart w:id="440" w:name="_Toc247527832"/>
      <w:bookmarkStart w:id="441" w:name="_Toc247514284"/>
      <w:bookmarkStart w:id="442" w:name="_Toc152045792"/>
      <w:bookmarkStart w:id="443" w:name="_Toc152042581"/>
      <w:r>
        <w:rPr>
          <w:rFonts w:hint="eastAsia" w:ascii="Times New Roman" w:hAnsi="Times New Roman" w:cs="Times New Roman"/>
          <w:lang w:val="en-US" w:eastAsia="zh-CN"/>
        </w:rPr>
        <w:t>二</w:t>
      </w:r>
      <w:r>
        <w:rPr>
          <w:rFonts w:hint="default" w:ascii="Times New Roman" w:hAnsi="Times New Roman" w:cs="Times New Roman"/>
        </w:rPr>
        <w:t>、授权委托书</w:t>
      </w:r>
      <w:bookmarkEnd w:id="438"/>
      <w:bookmarkEnd w:id="439"/>
      <w:bookmarkEnd w:id="440"/>
      <w:bookmarkEnd w:id="441"/>
      <w:bookmarkEnd w:id="442"/>
      <w:bookmarkEnd w:id="443"/>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w:t>
      </w:r>
      <w:r>
        <w:rPr>
          <w:rFonts w:hint="eastAsia" w:ascii="Times New Roman" w:hAnsi="Times New Roman" w:cs="Times New Roman"/>
          <w:i/>
          <w:iCs/>
          <w:color w:val="auto"/>
          <w:szCs w:val="21"/>
          <w:u w:val="single"/>
          <w:lang w:val="en-US" w:eastAsia="zh-CN"/>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的投标文件、签订合同和处理有关事宜，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default"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委托代理人身份证复印件、委托代理人</w:t>
      </w:r>
      <w:r>
        <w:rPr>
          <w:rFonts w:hint="eastAsia" w:ascii="Times New Roman" w:hAnsi="Times New Roman" w:cs="Times New Roman"/>
          <w:color w:val="FF0000"/>
          <w:szCs w:val="21"/>
          <w:lang w:val="en-US" w:eastAsia="zh-CN"/>
        </w:rPr>
        <w:t>2023年6月</w:t>
      </w:r>
      <w:r>
        <w:rPr>
          <w:rFonts w:hint="eastAsia" w:ascii="Times New Roman" w:hAnsi="Times New Roman" w:cs="Times New Roman"/>
          <w:szCs w:val="21"/>
          <w:lang w:val="en-US" w:eastAsia="zh-CN"/>
        </w:rPr>
        <w:t>起任意3个月及以上养老保险证明。</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注：本授权委托书需由投标人加盖单位公章并由其法定代表人（单位负责人）和委托代理人签字。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highlight w:val="none"/>
        </w:rPr>
      </w:pPr>
      <w:bookmarkStart w:id="444" w:name="_Toc247514286"/>
      <w:bookmarkStart w:id="445" w:name="_Toc152045794"/>
      <w:bookmarkStart w:id="446" w:name="_Toc247527834"/>
      <w:bookmarkStart w:id="447" w:name="_Toc144974862"/>
      <w:bookmarkStart w:id="448" w:name="_Toc152042583"/>
      <w:bookmarkStart w:id="449" w:name="_Toc300835216"/>
      <w:r>
        <w:rPr>
          <w:rFonts w:hint="eastAsia"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444"/>
      <w:bookmarkEnd w:id="445"/>
      <w:bookmarkEnd w:id="446"/>
      <w:bookmarkEnd w:id="447"/>
      <w:bookmarkEnd w:id="448"/>
      <w:bookmarkEnd w:id="449"/>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450"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hint="default" w:ascii="Times New Roman" w:hAnsi="Times New Roman" w:eastAsiaTheme="minorEastAsia"/>
          <w:szCs w:val="21"/>
          <w:highlight w:val="yellow"/>
          <w:lang w:val="en-US" w:eastAsia="zh-CN"/>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r>
        <w:rPr>
          <w:rFonts w:hint="eastAsia" w:ascii="Times New Roman" w:hAnsi="Times New Roman" w:cs="Times New Roman"/>
          <w:color w:val="000000"/>
          <w:kern w:val="0"/>
          <w:sz w:val="24"/>
          <w:szCs w:val="24"/>
          <w:highlight w:val="none"/>
          <w:lang w:eastAsia="zh-CN"/>
        </w:rPr>
        <w:t>，</w:t>
      </w:r>
      <w:r>
        <w:rPr>
          <w:rFonts w:hint="eastAsia" w:ascii="Times New Roman" w:hAnsi="Times New Roman" w:cs="Times New Roman"/>
          <w:color w:val="000000"/>
          <w:kern w:val="0"/>
          <w:sz w:val="24"/>
          <w:szCs w:val="24"/>
          <w:highlight w:val="none"/>
          <w:lang w:val="en-US" w:eastAsia="zh-CN"/>
        </w:rPr>
        <w:t>否则，后果自负。</w:t>
      </w:r>
    </w:p>
    <w:p>
      <w:pPr>
        <w:spacing w:line="440" w:lineRule="exact"/>
        <w:rPr>
          <w:rFonts w:hint="default" w:ascii="Times New Roman" w:hAnsi="Times New Roman" w:cs="Times New Roman"/>
          <w:b/>
          <w:bCs/>
        </w:rPr>
      </w:pPr>
    </w:p>
    <w:bookmarkEnd w:id="450"/>
    <w:p>
      <w:pPr>
        <w:pStyle w:val="3"/>
        <w:jc w:val="center"/>
        <w:rPr>
          <w:rFonts w:hint="default" w:ascii="Times New Roman" w:hAnsi="Times New Roman" w:eastAsia="黑体" w:cs="Times New Roman"/>
          <w:lang w:val="en-US" w:eastAsia="zh-CN"/>
        </w:rPr>
      </w:pPr>
      <w:bookmarkStart w:id="451" w:name="_Toc300835218"/>
      <w:bookmarkStart w:id="452" w:name="_Toc247527835"/>
      <w:bookmarkStart w:id="453" w:name="_Toc152045795"/>
      <w:bookmarkStart w:id="454" w:name="_Toc247514287"/>
      <w:bookmarkStart w:id="455" w:name="_Toc152042584"/>
      <w:bookmarkStart w:id="456" w:name="_Toc144974863"/>
      <w:r>
        <w:rPr>
          <w:rFonts w:hint="default" w:ascii="Times New Roman" w:hAnsi="Times New Roman" w:cs="Times New Roman"/>
        </w:rPr>
        <w:br w:type="page"/>
      </w:r>
      <w:bookmarkEnd w:id="451"/>
      <w:bookmarkEnd w:id="452"/>
      <w:bookmarkEnd w:id="453"/>
      <w:bookmarkEnd w:id="454"/>
      <w:bookmarkEnd w:id="455"/>
      <w:bookmarkEnd w:id="456"/>
      <w:bookmarkStart w:id="457" w:name="_Toc300835223"/>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商务和技术偏差表</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835"/>
        <w:gridCol w:w="2835"/>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招标文件章节及条款号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投标文件章节及条款号</w:t>
            </w:r>
          </w:p>
        </w:tc>
        <w:tc>
          <w:tcPr>
            <w:tcW w:w="2001"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偏差说明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ind w:firstLine="420" w:firstLineChars="200"/>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投标人保证：除商务和技术偏差表列出的偏差外，投标人响应招标文件的全部要求。</w:t>
      </w: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bookmarkEnd w:id="457"/>
    <w:p>
      <w:pPr>
        <w:pStyle w:val="3"/>
        <w:jc w:val="center"/>
        <w:rPr>
          <w:rFonts w:hint="eastAsia"/>
          <w:highlight w:val="none"/>
        </w:rPr>
      </w:pPr>
      <w:bookmarkStart w:id="458" w:name="_Toc152042592"/>
      <w:bookmarkStart w:id="459" w:name="_Toc246996369"/>
      <w:bookmarkStart w:id="460" w:name="_Toc144974871"/>
      <w:bookmarkStart w:id="461" w:name="_Toc179632823"/>
      <w:bookmarkStart w:id="462" w:name="_Toc247085887"/>
      <w:bookmarkStart w:id="463" w:name="_Toc296602614"/>
      <w:bookmarkStart w:id="464" w:name="_Toc246997112"/>
      <w:bookmarkStart w:id="465" w:name="_Toc152045803"/>
      <w:bookmarkStart w:id="466" w:name="_Toc144974876"/>
      <w:bookmarkStart w:id="467" w:name="_Toc152045808"/>
      <w:bookmarkStart w:id="468" w:name="_Toc152042597"/>
      <w:bookmarkStart w:id="469" w:name="_Toc247514300"/>
      <w:bookmarkStart w:id="470" w:name="_Toc300835224"/>
      <w:bookmarkStart w:id="471" w:name="_Toc247527848"/>
      <w:r>
        <w:rPr>
          <w:rFonts w:hint="eastAsia"/>
          <w:highlight w:val="none"/>
          <w:lang w:val="en-US" w:eastAsia="zh-CN"/>
        </w:rPr>
        <w:t>五</w:t>
      </w:r>
      <w:r>
        <w:rPr>
          <w:highlight w:val="none"/>
        </w:rPr>
        <w:t>、资格审查资料</w:t>
      </w:r>
    </w:p>
    <w:p>
      <w:pPr>
        <w:pStyle w:val="4"/>
        <w:jc w:val="both"/>
        <w:rPr>
          <w:rFonts w:hint="eastAsia"/>
        </w:rPr>
      </w:pPr>
      <w:r>
        <w:t>（一）基本情况表</w:t>
      </w:r>
    </w:p>
    <w:tbl>
      <w:tblPr>
        <w:tblStyle w:val="18"/>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51"/>
        <w:gridCol w:w="1134"/>
        <w:gridCol w:w="1854"/>
        <w:gridCol w:w="1134"/>
        <w:gridCol w:w="184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注册资金</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成立时间</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注册地址</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邮政编码</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员工总数</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联系人</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网址</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传真</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r>
              <w:rPr>
                <w:rFonts w:hint="eastAsia"/>
                <w:szCs w:val="21"/>
                <w:lang w:val="en-US" w:eastAsia="zh-CN"/>
              </w:rPr>
              <w:t>法定代表人</w:t>
            </w:r>
          </w:p>
          <w:p>
            <w:pPr>
              <w:topLinePunct/>
              <w:spacing w:line="440" w:lineRule="exact"/>
              <w:jc w:val="center"/>
              <w:rPr>
                <w:rFonts w:hint="default"/>
                <w:szCs w:val="21"/>
                <w:lang w:val="en-US" w:eastAsia="zh-CN"/>
              </w:rPr>
            </w:pPr>
            <w:r>
              <w:rPr>
                <w:rFonts w:hint="eastAsia"/>
                <w:szCs w:val="21"/>
                <w:lang w:val="en-US" w:eastAsia="zh-CN"/>
              </w:rPr>
              <w:t>（单位负责人）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姓名</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投标人须知要求投标人需具有的各类资质证书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left"/>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基本账户开户银行</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基本账户银行账号</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近三年营业额</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default" w:eastAsiaTheme="minorEastAsia"/>
                <w:szCs w:val="21"/>
                <w:lang w:val="en-US" w:eastAsia="zh-CN"/>
              </w:rPr>
            </w:pPr>
            <w:r>
              <w:rPr>
                <w:rFonts w:hint="eastAsia"/>
                <w:szCs w:val="21"/>
                <w:lang w:val="en-US" w:eastAsia="zh-CN"/>
              </w:rPr>
              <w:t>投标人关联企业情况（包括但不限于与投标人法定代表人（单位负责人）为同一人或者存在控股、管理关系的不同单位）</w:t>
            </w:r>
          </w:p>
        </w:tc>
        <w:tc>
          <w:tcPr>
            <w:tcW w:w="5970" w:type="dxa"/>
            <w:gridSpan w:val="4"/>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highlight w:val="red"/>
                <w:lang w:val="en-US" w:eastAsia="zh-CN"/>
              </w:rPr>
            </w:pPr>
            <w:r>
              <w:rPr>
                <w:rFonts w:hint="eastAsia"/>
                <w:szCs w:val="21"/>
                <w:highlight w:val="none"/>
                <w:lang w:val="en-US" w:eastAsia="zh-CN"/>
              </w:rPr>
              <w:t>投标产品制造商名称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highlight w:val="red"/>
                <w:lang w:val="en-US" w:eastAsia="zh-CN"/>
              </w:rPr>
            </w:pPr>
            <w:r>
              <w:rPr>
                <w:rFonts w:hint="eastAsia"/>
                <w:szCs w:val="21"/>
                <w:highlight w:val="none"/>
                <w:lang w:val="en-US" w:eastAsia="zh-CN"/>
              </w:rPr>
              <w:t>投标人须知要求投标产品制造商需具有的资质证书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lang w:val="en-US" w:eastAsia="zh-CN"/>
        </w:rPr>
      </w:pPr>
      <w:r>
        <w:rPr>
          <w:rFonts w:hint="default" w:ascii="Times New Roman" w:hAnsi="Times New Roman" w:cs="Times New Roman"/>
          <w:lang w:val="en-US" w:eastAsia="zh-CN"/>
        </w:rPr>
        <w:t>注：</w:t>
      </w:r>
    </w:p>
    <w:p>
      <w:pPr>
        <w:rPr>
          <w:rFonts w:hint="default" w:ascii="Times New Roman" w:hAnsi="Times New Roman" w:cs="Times New Roman"/>
          <w:lang w:val="en-US" w:eastAsia="zh-CN"/>
        </w:rPr>
      </w:pPr>
    </w:p>
    <w:p>
      <w:pPr>
        <w:rPr>
          <w:rFonts w:hint="eastAsia"/>
        </w:rPr>
      </w:pPr>
      <w:r>
        <w:rPr>
          <w:rFonts w:hint="eastAsia"/>
        </w:rPr>
        <w:br w:type="page"/>
      </w:r>
    </w:p>
    <w:p>
      <w:pPr>
        <w:pStyle w:val="4"/>
        <w:jc w:val="both"/>
        <w:rPr>
          <w:rFonts w:hint="default" w:eastAsiaTheme="minorEastAsia"/>
          <w:lang w:val="en-US" w:eastAsia="zh-CN"/>
        </w:rPr>
      </w:pPr>
      <w:r>
        <w:t>（</w:t>
      </w:r>
      <w:r>
        <w:rPr>
          <w:rFonts w:hint="eastAsia"/>
          <w:lang w:val="en-US" w:eastAsia="zh-CN"/>
        </w:rPr>
        <w:t>二</w:t>
      </w:r>
      <w:r>
        <w:t>）</w:t>
      </w:r>
      <w:r>
        <w:rPr>
          <w:rFonts w:hint="eastAsia"/>
          <w:lang w:val="en-US" w:eastAsia="zh-CN"/>
        </w:rPr>
        <w:t>近年财务状况表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1.投标人应根据投标人须知第3.5.2项的要求在本表后附相关证明材料。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p>
    <w:p>
      <w:pPr>
        <w:rPr>
          <w:rFonts w:hint="default" w:ascii="Times New Roman" w:hAnsi="Times New Roman" w:cs="Times New Roman"/>
        </w:rPr>
      </w:pP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（三）近年完成的类似项目情况表</w:t>
      </w:r>
    </w:p>
    <w:p>
      <w:pPr>
        <w:spacing w:line="440" w:lineRule="exact"/>
        <w:jc w:val="center"/>
        <w:rPr>
          <w:rFonts w:hint="default" w:ascii="Times New Roman" w:hAnsi="Times New Roman" w:eastAsia="黑体" w:cs="Times New Roman"/>
          <w:sz w:val="23"/>
          <w:szCs w:val="23"/>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产品</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规格和型号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买方联系人及电话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permStart w:id="113" w:edGrp="everyone"/>
      <w:r>
        <w:rPr>
          <w:rFonts w:hint="eastAsia" w:ascii="Times New Roman" w:hAnsi="Times New Roman" w:cs="Times New Roman"/>
          <w:lang w:val="en-US" w:eastAsia="zh-CN"/>
        </w:rPr>
        <w:t>附：3.5.3 “近年完成的类似项目情况表”应附合同协议书的复印件，具体时间要求见投标人须知前附表。每张表格只填写一个项目，并标明序号。</w:t>
      </w:r>
    </w:p>
    <w:permEnd w:id="113"/>
    <w:p>
      <w:pPr>
        <w:rPr>
          <w:rFonts w:hint="eastAsia"/>
        </w:rPr>
      </w:pPr>
      <w:r>
        <w:rPr>
          <w:rFonts w:hint="eastAsia"/>
        </w:rPr>
        <w:br w:type="page"/>
      </w:r>
    </w:p>
    <w:p>
      <w:pPr>
        <w:pStyle w:val="3"/>
        <w:jc w:val="center"/>
        <w:rPr>
          <w:rFonts w:hint="default" w:eastAsia="黑体"/>
          <w:szCs w:val="21"/>
          <w:lang w:val="en-US" w:eastAsia="zh-CN"/>
        </w:rPr>
      </w:pPr>
      <w:r>
        <w:rPr>
          <w:rFonts w:hint="eastAsia"/>
          <w:lang w:val="en-US" w:eastAsia="zh-CN"/>
        </w:rPr>
        <w:t>六、</w:t>
      </w:r>
      <w:bookmarkEnd w:id="458"/>
      <w:bookmarkEnd w:id="459"/>
      <w:bookmarkEnd w:id="460"/>
      <w:bookmarkEnd w:id="461"/>
      <w:bookmarkEnd w:id="462"/>
      <w:bookmarkEnd w:id="463"/>
      <w:bookmarkEnd w:id="464"/>
      <w:bookmarkEnd w:id="465"/>
      <w:r>
        <w:rPr>
          <w:rFonts w:hint="eastAsia"/>
          <w:lang w:val="en-US" w:eastAsia="zh-CN"/>
        </w:rPr>
        <w:t>投标产品技术性能指标的详细描述</w:t>
      </w:r>
    </w:p>
    <w:bookmarkEnd w:id="466"/>
    <w:bookmarkEnd w:id="467"/>
    <w:bookmarkEnd w:id="468"/>
    <w:bookmarkEnd w:id="469"/>
    <w:bookmarkEnd w:id="470"/>
    <w:bookmarkEnd w:id="471"/>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lang w:val="en-US" w:eastAsia="zh-CN"/>
        </w:rPr>
      </w:pPr>
      <w:r>
        <w:rPr>
          <w:rFonts w:hint="eastAsia"/>
          <w:lang w:val="en-US" w:eastAsia="zh-CN"/>
        </w:rPr>
        <w:t>七、技术支持资料</w:t>
      </w: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lang w:val="en-US" w:eastAsia="zh-CN"/>
        </w:rPr>
      </w:pPr>
      <w:r>
        <w:rPr>
          <w:rFonts w:hint="eastAsia"/>
          <w:lang w:val="en-US" w:eastAsia="zh-CN"/>
        </w:rPr>
        <w:t>八、技术服务和质保期服务计划</w:t>
      </w:r>
    </w:p>
    <w:p>
      <w:pPr>
        <w:spacing w:line="440" w:lineRule="exact"/>
        <w:rPr>
          <w:rFonts w:hint="default" w:ascii="Times New Roman" w:hAnsi="Times New Roman" w:cs="Times New Roman"/>
        </w:rPr>
      </w:pPr>
      <w:r>
        <w:rPr>
          <w:rFonts w:hint="default" w:ascii="Times New Roman" w:hAnsi="Times New Roman" w:cs="Times New Roman"/>
        </w:rPr>
        <w:br w:type="page"/>
      </w:r>
      <w:bookmarkStart w:id="472" w:name="_Toc144974881"/>
      <w:bookmarkStart w:id="473" w:name="_Toc247530162"/>
      <w:bookmarkStart w:id="474" w:name="_Toc247527853"/>
      <w:bookmarkStart w:id="475" w:name="_Toc247514305"/>
      <w:bookmarkStart w:id="476" w:name="_Toc152045813"/>
      <w:bookmarkStart w:id="477" w:name="_Toc152042602"/>
    </w:p>
    <w:bookmarkEnd w:id="472"/>
    <w:bookmarkEnd w:id="473"/>
    <w:bookmarkEnd w:id="474"/>
    <w:bookmarkEnd w:id="475"/>
    <w:bookmarkEnd w:id="476"/>
    <w:bookmarkEnd w:id="477"/>
    <w:p>
      <w:pPr>
        <w:pStyle w:val="3"/>
        <w:jc w:val="center"/>
        <w:rPr>
          <w:rFonts w:hint="default" w:ascii="Times New Roman" w:hAnsi="Times New Roman" w:cs="Times New Roman"/>
        </w:rPr>
      </w:pPr>
      <w:bookmarkStart w:id="478" w:name="_Toc271821942"/>
      <w:bookmarkStart w:id="479" w:name="_Toc300835233"/>
      <w:r>
        <w:rPr>
          <w:rFonts w:hint="eastAsia" w:ascii="Times New Roman" w:hAnsi="Times New Roman" w:cs="Times New Roman"/>
          <w:lang w:val="en-US" w:eastAsia="zh-CN"/>
        </w:rPr>
        <w:t>九</w:t>
      </w:r>
      <w:r>
        <w:rPr>
          <w:rFonts w:hint="default" w:ascii="Times New Roman" w:hAnsi="Times New Roman" w:cs="Times New Roman"/>
        </w:rPr>
        <w:t>、其他资料</w:t>
      </w:r>
      <w:bookmarkEnd w:id="478"/>
      <w:bookmarkEnd w:id="479"/>
    </w:p>
    <w:p>
      <w:pPr>
        <w:ind w:firstLine="420" w:firstLineChars="200"/>
        <w:rPr>
          <w:rFonts w:hint="eastAsia" w:ascii="Times New Roman" w:hAnsi="Times New Roman" w:eastAsiaTheme="minorEastAsia"/>
          <w:lang w:eastAsia="zh-CN"/>
        </w:rPr>
      </w:pPr>
      <w:permStart w:id="114" w:edGrp="everyone"/>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ermEnd w:id="114"/>
    </w:p>
    <w:p>
      <w:pPr>
        <w:spacing w:line="400" w:lineRule="exact"/>
        <w:rPr>
          <w:rFonts w:hint="default" w:ascii="Times New Roman" w:hAnsi="Times New Roman" w:cs="Times New Roman"/>
        </w:rPr>
      </w:pPr>
    </w:p>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Wingdings 2">
    <w:altName w:val="Wingdings"/>
    <w:panose1 w:val="05020102010507070707"/>
    <w:charset w:val="00"/>
    <w:family w:val="auto"/>
    <w:pitch w:val="default"/>
    <w:sig w:usb0="00000000" w:usb1="00000000" w:usb2="00000000" w:usb3="00000000" w:csb0="80000000" w:csb1="00000000"/>
  </w:font>
  <w:font w:name="楷体_GB2312">
    <w:panose1 w:val="02010609030101010101"/>
    <w:charset w:val="86"/>
    <w:family w:val="modern"/>
    <w:pitch w:val="default"/>
    <w:sig w:usb0="00000001" w:usb1="080E0000" w:usb2="00000000" w:usb3="00000000" w:csb0="00040000" w:csb1="00000000"/>
  </w:font>
  <w:font w:name="Kingsoft Symbol">
    <w:altName w:val="Symbol"/>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xZjUxNWE0NWJhMGEyZGI3ZWI3YTYxOTBiYmQ5M2YifQ=="/>
  </w:docVars>
  <w:rsids>
    <w:rsidRoot w:val="00000000"/>
    <w:rsid w:val="000A4B92"/>
    <w:rsid w:val="001978C2"/>
    <w:rsid w:val="001A4716"/>
    <w:rsid w:val="002609D3"/>
    <w:rsid w:val="002C069E"/>
    <w:rsid w:val="0040224D"/>
    <w:rsid w:val="00733B0B"/>
    <w:rsid w:val="00764376"/>
    <w:rsid w:val="00796B76"/>
    <w:rsid w:val="00850CC0"/>
    <w:rsid w:val="00B00F2F"/>
    <w:rsid w:val="00D032BE"/>
    <w:rsid w:val="00FF308E"/>
    <w:rsid w:val="011E6004"/>
    <w:rsid w:val="0145105E"/>
    <w:rsid w:val="014A102B"/>
    <w:rsid w:val="018E53BB"/>
    <w:rsid w:val="019846E3"/>
    <w:rsid w:val="01BB3CD7"/>
    <w:rsid w:val="01CB0CDF"/>
    <w:rsid w:val="01CD2334"/>
    <w:rsid w:val="01E140D3"/>
    <w:rsid w:val="01EE4D0C"/>
    <w:rsid w:val="01EE7C08"/>
    <w:rsid w:val="01F16263"/>
    <w:rsid w:val="02016132"/>
    <w:rsid w:val="0212370C"/>
    <w:rsid w:val="021D348F"/>
    <w:rsid w:val="024C62D4"/>
    <w:rsid w:val="026E5FAB"/>
    <w:rsid w:val="026F1774"/>
    <w:rsid w:val="027A5940"/>
    <w:rsid w:val="02983D41"/>
    <w:rsid w:val="029F2BC9"/>
    <w:rsid w:val="02A31129"/>
    <w:rsid w:val="02A46690"/>
    <w:rsid w:val="02AC508C"/>
    <w:rsid w:val="02B726F0"/>
    <w:rsid w:val="02BE075F"/>
    <w:rsid w:val="02F4317E"/>
    <w:rsid w:val="03030333"/>
    <w:rsid w:val="0324584F"/>
    <w:rsid w:val="032652C7"/>
    <w:rsid w:val="033964DC"/>
    <w:rsid w:val="034877EC"/>
    <w:rsid w:val="035021B2"/>
    <w:rsid w:val="03642557"/>
    <w:rsid w:val="03696450"/>
    <w:rsid w:val="038E65F9"/>
    <w:rsid w:val="03C10800"/>
    <w:rsid w:val="03C96DCC"/>
    <w:rsid w:val="03FB71CD"/>
    <w:rsid w:val="04127BBC"/>
    <w:rsid w:val="041515CF"/>
    <w:rsid w:val="04210376"/>
    <w:rsid w:val="04212D24"/>
    <w:rsid w:val="042C575E"/>
    <w:rsid w:val="04382327"/>
    <w:rsid w:val="043A6EF6"/>
    <w:rsid w:val="043F5557"/>
    <w:rsid w:val="044363A4"/>
    <w:rsid w:val="04856772"/>
    <w:rsid w:val="04885B47"/>
    <w:rsid w:val="04A52387"/>
    <w:rsid w:val="04B54547"/>
    <w:rsid w:val="04CD15E8"/>
    <w:rsid w:val="04CF4810"/>
    <w:rsid w:val="04D63FDF"/>
    <w:rsid w:val="04EB08D2"/>
    <w:rsid w:val="04EC7DA2"/>
    <w:rsid w:val="050252F6"/>
    <w:rsid w:val="055625ED"/>
    <w:rsid w:val="0560706F"/>
    <w:rsid w:val="056703FD"/>
    <w:rsid w:val="0572490A"/>
    <w:rsid w:val="057E3D65"/>
    <w:rsid w:val="058253F2"/>
    <w:rsid w:val="05872EB9"/>
    <w:rsid w:val="05933026"/>
    <w:rsid w:val="059835D0"/>
    <w:rsid w:val="05AF1F5A"/>
    <w:rsid w:val="05BA17C0"/>
    <w:rsid w:val="05D9116E"/>
    <w:rsid w:val="05DB04A3"/>
    <w:rsid w:val="061F0438"/>
    <w:rsid w:val="06292F58"/>
    <w:rsid w:val="063F4D83"/>
    <w:rsid w:val="064B59D4"/>
    <w:rsid w:val="06501BB5"/>
    <w:rsid w:val="06624967"/>
    <w:rsid w:val="06626753"/>
    <w:rsid w:val="06714440"/>
    <w:rsid w:val="067240CC"/>
    <w:rsid w:val="06866D3C"/>
    <w:rsid w:val="06972E4E"/>
    <w:rsid w:val="06A31B6E"/>
    <w:rsid w:val="06A848F7"/>
    <w:rsid w:val="06A905A2"/>
    <w:rsid w:val="06AE7966"/>
    <w:rsid w:val="06B86823"/>
    <w:rsid w:val="06BF2153"/>
    <w:rsid w:val="06D375E0"/>
    <w:rsid w:val="06D9502E"/>
    <w:rsid w:val="06E329B2"/>
    <w:rsid w:val="06EB4F76"/>
    <w:rsid w:val="06ED1728"/>
    <w:rsid w:val="06F81D74"/>
    <w:rsid w:val="071A70F3"/>
    <w:rsid w:val="074267A8"/>
    <w:rsid w:val="074A7C93"/>
    <w:rsid w:val="07666E00"/>
    <w:rsid w:val="07723470"/>
    <w:rsid w:val="077965A7"/>
    <w:rsid w:val="07797F74"/>
    <w:rsid w:val="07832BA1"/>
    <w:rsid w:val="07972327"/>
    <w:rsid w:val="07A85930"/>
    <w:rsid w:val="07EE56D8"/>
    <w:rsid w:val="07F43A9E"/>
    <w:rsid w:val="083726B7"/>
    <w:rsid w:val="08554A0D"/>
    <w:rsid w:val="08563EE1"/>
    <w:rsid w:val="086D3DA1"/>
    <w:rsid w:val="08774BE1"/>
    <w:rsid w:val="088F5820"/>
    <w:rsid w:val="08903F11"/>
    <w:rsid w:val="08932D8F"/>
    <w:rsid w:val="08ED571D"/>
    <w:rsid w:val="08F024B8"/>
    <w:rsid w:val="08F53A28"/>
    <w:rsid w:val="08F85810"/>
    <w:rsid w:val="0922447E"/>
    <w:rsid w:val="0926237D"/>
    <w:rsid w:val="092D0C4C"/>
    <w:rsid w:val="093C394F"/>
    <w:rsid w:val="09596A88"/>
    <w:rsid w:val="096213E6"/>
    <w:rsid w:val="09641BD1"/>
    <w:rsid w:val="0967298A"/>
    <w:rsid w:val="098F4C8F"/>
    <w:rsid w:val="099948FD"/>
    <w:rsid w:val="09A71C3D"/>
    <w:rsid w:val="09AF2C22"/>
    <w:rsid w:val="09B32D8C"/>
    <w:rsid w:val="09C37FE6"/>
    <w:rsid w:val="09D236A1"/>
    <w:rsid w:val="09DB25D9"/>
    <w:rsid w:val="09DF226A"/>
    <w:rsid w:val="09EC69D2"/>
    <w:rsid w:val="0A074254"/>
    <w:rsid w:val="0A2F7010"/>
    <w:rsid w:val="0A3B332D"/>
    <w:rsid w:val="0A466107"/>
    <w:rsid w:val="0A4C1970"/>
    <w:rsid w:val="0A500304"/>
    <w:rsid w:val="0A5234C1"/>
    <w:rsid w:val="0A5B2776"/>
    <w:rsid w:val="0A6F565E"/>
    <w:rsid w:val="0A704DEE"/>
    <w:rsid w:val="0A8B5261"/>
    <w:rsid w:val="0A8E5075"/>
    <w:rsid w:val="0A960E3D"/>
    <w:rsid w:val="0AA913FB"/>
    <w:rsid w:val="0AAE6B76"/>
    <w:rsid w:val="0AB37F43"/>
    <w:rsid w:val="0AB930A2"/>
    <w:rsid w:val="0ADD0DF0"/>
    <w:rsid w:val="0AEB40E8"/>
    <w:rsid w:val="0B0E131B"/>
    <w:rsid w:val="0B21104E"/>
    <w:rsid w:val="0B416906"/>
    <w:rsid w:val="0B5D1C2A"/>
    <w:rsid w:val="0B685C3C"/>
    <w:rsid w:val="0B7202E7"/>
    <w:rsid w:val="0B991D46"/>
    <w:rsid w:val="0B9F686D"/>
    <w:rsid w:val="0BDE31B0"/>
    <w:rsid w:val="0BE856C8"/>
    <w:rsid w:val="0C110CA2"/>
    <w:rsid w:val="0C1E733C"/>
    <w:rsid w:val="0C216E2C"/>
    <w:rsid w:val="0C37664F"/>
    <w:rsid w:val="0C773477"/>
    <w:rsid w:val="0C915D60"/>
    <w:rsid w:val="0C9F113B"/>
    <w:rsid w:val="0CA541A6"/>
    <w:rsid w:val="0CD3448B"/>
    <w:rsid w:val="0CF072F3"/>
    <w:rsid w:val="0D2466BD"/>
    <w:rsid w:val="0D3A1668"/>
    <w:rsid w:val="0D3C216F"/>
    <w:rsid w:val="0D5C2246"/>
    <w:rsid w:val="0D6A3C45"/>
    <w:rsid w:val="0D7F3B4D"/>
    <w:rsid w:val="0D84383E"/>
    <w:rsid w:val="0DA13B17"/>
    <w:rsid w:val="0DA277FF"/>
    <w:rsid w:val="0DB22432"/>
    <w:rsid w:val="0DB8057F"/>
    <w:rsid w:val="0DBD75AC"/>
    <w:rsid w:val="0DC57869"/>
    <w:rsid w:val="0DD331D8"/>
    <w:rsid w:val="0DDB677F"/>
    <w:rsid w:val="0DED5218"/>
    <w:rsid w:val="0E093A81"/>
    <w:rsid w:val="0E1201C4"/>
    <w:rsid w:val="0E35096D"/>
    <w:rsid w:val="0E3C08A3"/>
    <w:rsid w:val="0E626142"/>
    <w:rsid w:val="0E6D3EE4"/>
    <w:rsid w:val="0E772D33"/>
    <w:rsid w:val="0E8168AC"/>
    <w:rsid w:val="0E9601D9"/>
    <w:rsid w:val="0EAA3109"/>
    <w:rsid w:val="0EB45D35"/>
    <w:rsid w:val="0EBB5316"/>
    <w:rsid w:val="0EBB70C4"/>
    <w:rsid w:val="0EDF4D5E"/>
    <w:rsid w:val="0EF860F0"/>
    <w:rsid w:val="0F024085"/>
    <w:rsid w:val="0F1438EF"/>
    <w:rsid w:val="0F3A26DF"/>
    <w:rsid w:val="0F463825"/>
    <w:rsid w:val="0F4B0F6A"/>
    <w:rsid w:val="0F575798"/>
    <w:rsid w:val="0F5F0397"/>
    <w:rsid w:val="0F5F5CB1"/>
    <w:rsid w:val="0F6D192D"/>
    <w:rsid w:val="0F6E4AA0"/>
    <w:rsid w:val="0F886069"/>
    <w:rsid w:val="0F8B4CE8"/>
    <w:rsid w:val="0FA819A2"/>
    <w:rsid w:val="0FCA08C0"/>
    <w:rsid w:val="0FCA14B6"/>
    <w:rsid w:val="0FE42DE8"/>
    <w:rsid w:val="0FFA6EBC"/>
    <w:rsid w:val="101038A7"/>
    <w:rsid w:val="101271B8"/>
    <w:rsid w:val="101E2D38"/>
    <w:rsid w:val="102758B4"/>
    <w:rsid w:val="102B2027"/>
    <w:rsid w:val="10446D2F"/>
    <w:rsid w:val="104957CA"/>
    <w:rsid w:val="104D6EF3"/>
    <w:rsid w:val="105C0433"/>
    <w:rsid w:val="1069417C"/>
    <w:rsid w:val="106C1E4B"/>
    <w:rsid w:val="10790FE5"/>
    <w:rsid w:val="108A23D3"/>
    <w:rsid w:val="1095135B"/>
    <w:rsid w:val="10D35E97"/>
    <w:rsid w:val="11114551"/>
    <w:rsid w:val="112269D1"/>
    <w:rsid w:val="11356135"/>
    <w:rsid w:val="11800917"/>
    <w:rsid w:val="118955AD"/>
    <w:rsid w:val="11970BCB"/>
    <w:rsid w:val="1197226B"/>
    <w:rsid w:val="11AA0839"/>
    <w:rsid w:val="11C42470"/>
    <w:rsid w:val="11C71895"/>
    <w:rsid w:val="11CD444A"/>
    <w:rsid w:val="11CD593E"/>
    <w:rsid w:val="11E2334D"/>
    <w:rsid w:val="11F058CE"/>
    <w:rsid w:val="11FC3F3B"/>
    <w:rsid w:val="124D3BAD"/>
    <w:rsid w:val="125A52C4"/>
    <w:rsid w:val="12655D96"/>
    <w:rsid w:val="128B3251"/>
    <w:rsid w:val="128E3C38"/>
    <w:rsid w:val="12BF2922"/>
    <w:rsid w:val="12C942C8"/>
    <w:rsid w:val="12DC5F5E"/>
    <w:rsid w:val="12DC7F8C"/>
    <w:rsid w:val="12E82A0B"/>
    <w:rsid w:val="131873D2"/>
    <w:rsid w:val="13274D28"/>
    <w:rsid w:val="13274F9C"/>
    <w:rsid w:val="13325EC2"/>
    <w:rsid w:val="13417410"/>
    <w:rsid w:val="134A448A"/>
    <w:rsid w:val="134F7EA7"/>
    <w:rsid w:val="135107A8"/>
    <w:rsid w:val="136066CF"/>
    <w:rsid w:val="136441CE"/>
    <w:rsid w:val="13657E31"/>
    <w:rsid w:val="136C3340"/>
    <w:rsid w:val="136F4921"/>
    <w:rsid w:val="138228A6"/>
    <w:rsid w:val="1387094F"/>
    <w:rsid w:val="139C08EB"/>
    <w:rsid w:val="13D35238"/>
    <w:rsid w:val="13D81B1F"/>
    <w:rsid w:val="13E23345"/>
    <w:rsid w:val="14061B66"/>
    <w:rsid w:val="14261483"/>
    <w:rsid w:val="142B5FE2"/>
    <w:rsid w:val="14542872"/>
    <w:rsid w:val="147E2423"/>
    <w:rsid w:val="1487273A"/>
    <w:rsid w:val="148C28CB"/>
    <w:rsid w:val="14944440"/>
    <w:rsid w:val="14A059A0"/>
    <w:rsid w:val="14B97B05"/>
    <w:rsid w:val="14C44177"/>
    <w:rsid w:val="14CD31B9"/>
    <w:rsid w:val="14DA6BBE"/>
    <w:rsid w:val="14E67563"/>
    <w:rsid w:val="14F926F4"/>
    <w:rsid w:val="15021B62"/>
    <w:rsid w:val="150A21BA"/>
    <w:rsid w:val="151779D1"/>
    <w:rsid w:val="1522437E"/>
    <w:rsid w:val="15283931"/>
    <w:rsid w:val="15382F40"/>
    <w:rsid w:val="15657D89"/>
    <w:rsid w:val="158374C1"/>
    <w:rsid w:val="159C346D"/>
    <w:rsid w:val="15A62ECC"/>
    <w:rsid w:val="15AE56B5"/>
    <w:rsid w:val="15B14179"/>
    <w:rsid w:val="15C516BD"/>
    <w:rsid w:val="16026A2A"/>
    <w:rsid w:val="16337E88"/>
    <w:rsid w:val="165E5F94"/>
    <w:rsid w:val="166266B1"/>
    <w:rsid w:val="169528F0"/>
    <w:rsid w:val="16B94831"/>
    <w:rsid w:val="16C724D4"/>
    <w:rsid w:val="16D411E7"/>
    <w:rsid w:val="16ED0036"/>
    <w:rsid w:val="16F2389F"/>
    <w:rsid w:val="170756D4"/>
    <w:rsid w:val="170F4587"/>
    <w:rsid w:val="176115DC"/>
    <w:rsid w:val="176D7525"/>
    <w:rsid w:val="17824660"/>
    <w:rsid w:val="178F2FF8"/>
    <w:rsid w:val="179121FE"/>
    <w:rsid w:val="17915931"/>
    <w:rsid w:val="17C41ABF"/>
    <w:rsid w:val="181066D2"/>
    <w:rsid w:val="18175D56"/>
    <w:rsid w:val="18276B10"/>
    <w:rsid w:val="18930C59"/>
    <w:rsid w:val="189B5F22"/>
    <w:rsid w:val="18A70256"/>
    <w:rsid w:val="18A944F8"/>
    <w:rsid w:val="18B73074"/>
    <w:rsid w:val="18DA76F1"/>
    <w:rsid w:val="18EE0096"/>
    <w:rsid w:val="19034C2D"/>
    <w:rsid w:val="190B7F24"/>
    <w:rsid w:val="1916127C"/>
    <w:rsid w:val="193D465D"/>
    <w:rsid w:val="193D4E12"/>
    <w:rsid w:val="19565565"/>
    <w:rsid w:val="196C6238"/>
    <w:rsid w:val="198A59D6"/>
    <w:rsid w:val="19A075E2"/>
    <w:rsid w:val="19A73D74"/>
    <w:rsid w:val="19AA5416"/>
    <w:rsid w:val="19CE7FF6"/>
    <w:rsid w:val="19D70C6D"/>
    <w:rsid w:val="19E2271F"/>
    <w:rsid w:val="19EE2A43"/>
    <w:rsid w:val="1A075570"/>
    <w:rsid w:val="1A1C623A"/>
    <w:rsid w:val="1A270D5F"/>
    <w:rsid w:val="1A3B730B"/>
    <w:rsid w:val="1A4D4CED"/>
    <w:rsid w:val="1A797469"/>
    <w:rsid w:val="1A8850B8"/>
    <w:rsid w:val="1A9B5FFB"/>
    <w:rsid w:val="1AA03612"/>
    <w:rsid w:val="1AA066C8"/>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24429"/>
    <w:rsid w:val="1B894EBC"/>
    <w:rsid w:val="1B8C1172"/>
    <w:rsid w:val="1B9269B7"/>
    <w:rsid w:val="1BB12BB2"/>
    <w:rsid w:val="1BCE49E9"/>
    <w:rsid w:val="1BD12722"/>
    <w:rsid w:val="1BD15865"/>
    <w:rsid w:val="1BE20386"/>
    <w:rsid w:val="1BE37C5A"/>
    <w:rsid w:val="1BFE7E24"/>
    <w:rsid w:val="1C0533CB"/>
    <w:rsid w:val="1C100B6A"/>
    <w:rsid w:val="1C1B5646"/>
    <w:rsid w:val="1C2075D6"/>
    <w:rsid w:val="1C2B6CB4"/>
    <w:rsid w:val="1C3774BA"/>
    <w:rsid w:val="1C3B1844"/>
    <w:rsid w:val="1C4E114E"/>
    <w:rsid w:val="1C533032"/>
    <w:rsid w:val="1C5D5F8B"/>
    <w:rsid w:val="1C6E241C"/>
    <w:rsid w:val="1C7D00AF"/>
    <w:rsid w:val="1CB07DF9"/>
    <w:rsid w:val="1CC3681B"/>
    <w:rsid w:val="1CF251D3"/>
    <w:rsid w:val="1CFF3217"/>
    <w:rsid w:val="1D0C3E62"/>
    <w:rsid w:val="1D1D0D81"/>
    <w:rsid w:val="1D5835F0"/>
    <w:rsid w:val="1D594678"/>
    <w:rsid w:val="1D8C5045"/>
    <w:rsid w:val="1D9244F8"/>
    <w:rsid w:val="1D931CEA"/>
    <w:rsid w:val="1DAF6046"/>
    <w:rsid w:val="1DC177D9"/>
    <w:rsid w:val="1E1A236E"/>
    <w:rsid w:val="1E225BB3"/>
    <w:rsid w:val="1E2A6113"/>
    <w:rsid w:val="1E2D212B"/>
    <w:rsid w:val="1E2E6E13"/>
    <w:rsid w:val="1E32182A"/>
    <w:rsid w:val="1E562965"/>
    <w:rsid w:val="1E5A61EE"/>
    <w:rsid w:val="1E713E2F"/>
    <w:rsid w:val="1E91399D"/>
    <w:rsid w:val="1E980FE4"/>
    <w:rsid w:val="1EA573D8"/>
    <w:rsid w:val="1EA77665"/>
    <w:rsid w:val="1EB0513B"/>
    <w:rsid w:val="1EB72F76"/>
    <w:rsid w:val="1EC10726"/>
    <w:rsid w:val="1EE36B2C"/>
    <w:rsid w:val="1EF342CB"/>
    <w:rsid w:val="1F020A44"/>
    <w:rsid w:val="1F041BC7"/>
    <w:rsid w:val="1F127B09"/>
    <w:rsid w:val="1F2354C8"/>
    <w:rsid w:val="1F36160E"/>
    <w:rsid w:val="1F3F33F9"/>
    <w:rsid w:val="1F417171"/>
    <w:rsid w:val="1F4D1086"/>
    <w:rsid w:val="1F5D00BF"/>
    <w:rsid w:val="1F5E5F75"/>
    <w:rsid w:val="1F640255"/>
    <w:rsid w:val="1F671677"/>
    <w:rsid w:val="1F722047"/>
    <w:rsid w:val="1F904945"/>
    <w:rsid w:val="1FAA6A2E"/>
    <w:rsid w:val="1FC11059"/>
    <w:rsid w:val="1FDC7161"/>
    <w:rsid w:val="1FDE0E64"/>
    <w:rsid w:val="1FE4351E"/>
    <w:rsid w:val="1FE570E2"/>
    <w:rsid w:val="1FE7673E"/>
    <w:rsid w:val="200E38F2"/>
    <w:rsid w:val="201E585F"/>
    <w:rsid w:val="2049266D"/>
    <w:rsid w:val="20534B67"/>
    <w:rsid w:val="20557DC5"/>
    <w:rsid w:val="205A5C16"/>
    <w:rsid w:val="205B7D6A"/>
    <w:rsid w:val="207C33EE"/>
    <w:rsid w:val="2081342E"/>
    <w:rsid w:val="209740BF"/>
    <w:rsid w:val="2099242E"/>
    <w:rsid w:val="20B0411F"/>
    <w:rsid w:val="20D658C9"/>
    <w:rsid w:val="20D95B5B"/>
    <w:rsid w:val="20DC2416"/>
    <w:rsid w:val="20F22231"/>
    <w:rsid w:val="21015C26"/>
    <w:rsid w:val="21121083"/>
    <w:rsid w:val="211518DD"/>
    <w:rsid w:val="212B2F31"/>
    <w:rsid w:val="21327DB2"/>
    <w:rsid w:val="213D6756"/>
    <w:rsid w:val="213D7BD8"/>
    <w:rsid w:val="214C4EC5"/>
    <w:rsid w:val="2153567F"/>
    <w:rsid w:val="21592826"/>
    <w:rsid w:val="217422B6"/>
    <w:rsid w:val="2188758A"/>
    <w:rsid w:val="21A61686"/>
    <w:rsid w:val="21C13A32"/>
    <w:rsid w:val="22270787"/>
    <w:rsid w:val="224D73DD"/>
    <w:rsid w:val="22592601"/>
    <w:rsid w:val="22603DB2"/>
    <w:rsid w:val="226D7B83"/>
    <w:rsid w:val="2293123C"/>
    <w:rsid w:val="22A570EC"/>
    <w:rsid w:val="22D87DED"/>
    <w:rsid w:val="22EF3388"/>
    <w:rsid w:val="232E56FD"/>
    <w:rsid w:val="233F5F96"/>
    <w:rsid w:val="235F4D23"/>
    <w:rsid w:val="236D4028"/>
    <w:rsid w:val="2385363B"/>
    <w:rsid w:val="238A4DFC"/>
    <w:rsid w:val="23906919"/>
    <w:rsid w:val="24226CC5"/>
    <w:rsid w:val="24312A4A"/>
    <w:rsid w:val="244A5E9A"/>
    <w:rsid w:val="244C4BB8"/>
    <w:rsid w:val="24691193"/>
    <w:rsid w:val="246C3A46"/>
    <w:rsid w:val="247152E7"/>
    <w:rsid w:val="24724271"/>
    <w:rsid w:val="24961D0D"/>
    <w:rsid w:val="24BD0029"/>
    <w:rsid w:val="24FF7718"/>
    <w:rsid w:val="251A7612"/>
    <w:rsid w:val="25237A22"/>
    <w:rsid w:val="252E0774"/>
    <w:rsid w:val="253B28B5"/>
    <w:rsid w:val="25481BCE"/>
    <w:rsid w:val="256E1E26"/>
    <w:rsid w:val="256E2C8A"/>
    <w:rsid w:val="257858B7"/>
    <w:rsid w:val="25812F8D"/>
    <w:rsid w:val="25814DB7"/>
    <w:rsid w:val="25824959"/>
    <w:rsid w:val="25987A23"/>
    <w:rsid w:val="259D531E"/>
    <w:rsid w:val="25BC46FF"/>
    <w:rsid w:val="25C517A2"/>
    <w:rsid w:val="25D02FFD"/>
    <w:rsid w:val="25EF41EA"/>
    <w:rsid w:val="25F5789E"/>
    <w:rsid w:val="25F82554"/>
    <w:rsid w:val="25FD6A72"/>
    <w:rsid w:val="2608561B"/>
    <w:rsid w:val="26196938"/>
    <w:rsid w:val="26261861"/>
    <w:rsid w:val="26382AAC"/>
    <w:rsid w:val="26506FAD"/>
    <w:rsid w:val="26656277"/>
    <w:rsid w:val="26663117"/>
    <w:rsid w:val="267771CA"/>
    <w:rsid w:val="26807144"/>
    <w:rsid w:val="26834513"/>
    <w:rsid w:val="26851ABB"/>
    <w:rsid w:val="268A362E"/>
    <w:rsid w:val="269560EE"/>
    <w:rsid w:val="26AF686C"/>
    <w:rsid w:val="26BC05C1"/>
    <w:rsid w:val="26CA60FC"/>
    <w:rsid w:val="26D16018"/>
    <w:rsid w:val="26DB3228"/>
    <w:rsid w:val="26DF6074"/>
    <w:rsid w:val="26E05716"/>
    <w:rsid w:val="26FE679C"/>
    <w:rsid w:val="27301EDB"/>
    <w:rsid w:val="27453115"/>
    <w:rsid w:val="274A285D"/>
    <w:rsid w:val="276C029F"/>
    <w:rsid w:val="27867E0A"/>
    <w:rsid w:val="27982DD4"/>
    <w:rsid w:val="27DD09CE"/>
    <w:rsid w:val="27EC553C"/>
    <w:rsid w:val="280C4BFC"/>
    <w:rsid w:val="2813394B"/>
    <w:rsid w:val="281C1F63"/>
    <w:rsid w:val="281C54D8"/>
    <w:rsid w:val="283610D5"/>
    <w:rsid w:val="284D302B"/>
    <w:rsid w:val="285F5293"/>
    <w:rsid w:val="28622D71"/>
    <w:rsid w:val="286E69FD"/>
    <w:rsid w:val="28A10C81"/>
    <w:rsid w:val="28C56178"/>
    <w:rsid w:val="28FA546B"/>
    <w:rsid w:val="28FE025E"/>
    <w:rsid w:val="29245F1A"/>
    <w:rsid w:val="29366359"/>
    <w:rsid w:val="29586D7A"/>
    <w:rsid w:val="29772B51"/>
    <w:rsid w:val="29791894"/>
    <w:rsid w:val="2984235F"/>
    <w:rsid w:val="299536C1"/>
    <w:rsid w:val="29967FD2"/>
    <w:rsid w:val="29A52D8F"/>
    <w:rsid w:val="29C56C3A"/>
    <w:rsid w:val="29D85278"/>
    <w:rsid w:val="29E1380C"/>
    <w:rsid w:val="29E85046"/>
    <w:rsid w:val="2A017BFD"/>
    <w:rsid w:val="2A0A71F8"/>
    <w:rsid w:val="2A4913A2"/>
    <w:rsid w:val="2A834AE2"/>
    <w:rsid w:val="2A9154D8"/>
    <w:rsid w:val="2AA04C57"/>
    <w:rsid w:val="2AD750C3"/>
    <w:rsid w:val="2AE77D08"/>
    <w:rsid w:val="2AEA3011"/>
    <w:rsid w:val="2AEB08D9"/>
    <w:rsid w:val="2B151AF7"/>
    <w:rsid w:val="2B252D72"/>
    <w:rsid w:val="2B3E0375"/>
    <w:rsid w:val="2B492499"/>
    <w:rsid w:val="2B652A8D"/>
    <w:rsid w:val="2B6C55DB"/>
    <w:rsid w:val="2B6F32B8"/>
    <w:rsid w:val="2B8D5640"/>
    <w:rsid w:val="2B9176D3"/>
    <w:rsid w:val="2BF4029C"/>
    <w:rsid w:val="2C1C6937"/>
    <w:rsid w:val="2C202757"/>
    <w:rsid w:val="2C270D43"/>
    <w:rsid w:val="2C6436A6"/>
    <w:rsid w:val="2C7A2A8F"/>
    <w:rsid w:val="2C9023A5"/>
    <w:rsid w:val="2C937549"/>
    <w:rsid w:val="2C9D6A04"/>
    <w:rsid w:val="2CB62598"/>
    <w:rsid w:val="2CBC136A"/>
    <w:rsid w:val="2CD47877"/>
    <w:rsid w:val="2CFE607B"/>
    <w:rsid w:val="2D095409"/>
    <w:rsid w:val="2D3A3199"/>
    <w:rsid w:val="2D4B38E7"/>
    <w:rsid w:val="2D5470D9"/>
    <w:rsid w:val="2D551303"/>
    <w:rsid w:val="2D772574"/>
    <w:rsid w:val="2D7E3C87"/>
    <w:rsid w:val="2D8D31B7"/>
    <w:rsid w:val="2D8D5835"/>
    <w:rsid w:val="2DAB1C25"/>
    <w:rsid w:val="2DCC12FC"/>
    <w:rsid w:val="2DD231F5"/>
    <w:rsid w:val="2DD66E3A"/>
    <w:rsid w:val="2DF17D73"/>
    <w:rsid w:val="2E016ADE"/>
    <w:rsid w:val="2E0423DE"/>
    <w:rsid w:val="2E3422F8"/>
    <w:rsid w:val="2E652B8E"/>
    <w:rsid w:val="2E66167A"/>
    <w:rsid w:val="2E6C7EF1"/>
    <w:rsid w:val="2E6D69DB"/>
    <w:rsid w:val="2E6F6584"/>
    <w:rsid w:val="2E7823B0"/>
    <w:rsid w:val="2E933BCE"/>
    <w:rsid w:val="2E9C6490"/>
    <w:rsid w:val="2EA40069"/>
    <w:rsid w:val="2EAA3B87"/>
    <w:rsid w:val="2EB66E96"/>
    <w:rsid w:val="2EBC23A0"/>
    <w:rsid w:val="2ED0406E"/>
    <w:rsid w:val="2EFA0191"/>
    <w:rsid w:val="2F436846"/>
    <w:rsid w:val="2F4556CE"/>
    <w:rsid w:val="2F6F3C93"/>
    <w:rsid w:val="2F754A27"/>
    <w:rsid w:val="2F890E3A"/>
    <w:rsid w:val="2FA1186B"/>
    <w:rsid w:val="2FB1448A"/>
    <w:rsid w:val="2FC802AE"/>
    <w:rsid w:val="2FE66F94"/>
    <w:rsid w:val="301C41BF"/>
    <w:rsid w:val="302369A0"/>
    <w:rsid w:val="303474C0"/>
    <w:rsid w:val="30550CCF"/>
    <w:rsid w:val="305C41A9"/>
    <w:rsid w:val="307C26FF"/>
    <w:rsid w:val="30820205"/>
    <w:rsid w:val="308E41B5"/>
    <w:rsid w:val="30952C59"/>
    <w:rsid w:val="30AD7887"/>
    <w:rsid w:val="30FF4D69"/>
    <w:rsid w:val="31077AEF"/>
    <w:rsid w:val="310E5321"/>
    <w:rsid w:val="3113559B"/>
    <w:rsid w:val="311978DB"/>
    <w:rsid w:val="312421F6"/>
    <w:rsid w:val="3127420C"/>
    <w:rsid w:val="31477BEB"/>
    <w:rsid w:val="315523B1"/>
    <w:rsid w:val="318555E4"/>
    <w:rsid w:val="3198056E"/>
    <w:rsid w:val="31CD31BF"/>
    <w:rsid w:val="31E10F55"/>
    <w:rsid w:val="31FA3D10"/>
    <w:rsid w:val="320B7F80"/>
    <w:rsid w:val="3219008D"/>
    <w:rsid w:val="32215B79"/>
    <w:rsid w:val="322241F2"/>
    <w:rsid w:val="3229379D"/>
    <w:rsid w:val="32294133"/>
    <w:rsid w:val="322D5AFA"/>
    <w:rsid w:val="32514C44"/>
    <w:rsid w:val="328916BE"/>
    <w:rsid w:val="32974C7A"/>
    <w:rsid w:val="32A7158A"/>
    <w:rsid w:val="32BB4ABE"/>
    <w:rsid w:val="32C8549C"/>
    <w:rsid w:val="32CA16D9"/>
    <w:rsid w:val="32E83928"/>
    <w:rsid w:val="32F45590"/>
    <w:rsid w:val="331C19F3"/>
    <w:rsid w:val="33380434"/>
    <w:rsid w:val="334234A4"/>
    <w:rsid w:val="33552D94"/>
    <w:rsid w:val="33582884"/>
    <w:rsid w:val="33773188"/>
    <w:rsid w:val="337E77C9"/>
    <w:rsid w:val="338F53C2"/>
    <w:rsid w:val="33925662"/>
    <w:rsid w:val="339B7AA1"/>
    <w:rsid w:val="33B7637D"/>
    <w:rsid w:val="33D4661F"/>
    <w:rsid w:val="33ED39C2"/>
    <w:rsid w:val="340F56DE"/>
    <w:rsid w:val="3425597D"/>
    <w:rsid w:val="342A5DF5"/>
    <w:rsid w:val="344851FD"/>
    <w:rsid w:val="34545741"/>
    <w:rsid w:val="34986785"/>
    <w:rsid w:val="349B5E0E"/>
    <w:rsid w:val="34A432B6"/>
    <w:rsid w:val="34AA020B"/>
    <w:rsid w:val="34B54432"/>
    <w:rsid w:val="34BC17DA"/>
    <w:rsid w:val="34D015E3"/>
    <w:rsid w:val="34F85DA8"/>
    <w:rsid w:val="3509398E"/>
    <w:rsid w:val="3547266B"/>
    <w:rsid w:val="3554479E"/>
    <w:rsid w:val="357D63E5"/>
    <w:rsid w:val="357F00D0"/>
    <w:rsid w:val="35894506"/>
    <w:rsid w:val="35954DCB"/>
    <w:rsid w:val="35A377DB"/>
    <w:rsid w:val="35E7387F"/>
    <w:rsid w:val="35E81F7A"/>
    <w:rsid w:val="35EF4AF5"/>
    <w:rsid w:val="35F52BF3"/>
    <w:rsid w:val="360530D8"/>
    <w:rsid w:val="3605698A"/>
    <w:rsid w:val="36162F1C"/>
    <w:rsid w:val="363277D2"/>
    <w:rsid w:val="364245EB"/>
    <w:rsid w:val="365C268B"/>
    <w:rsid w:val="366244D5"/>
    <w:rsid w:val="36A82C1D"/>
    <w:rsid w:val="36B34449"/>
    <w:rsid w:val="36C342D9"/>
    <w:rsid w:val="370F2E93"/>
    <w:rsid w:val="370F32ED"/>
    <w:rsid w:val="374E35E0"/>
    <w:rsid w:val="37560CC6"/>
    <w:rsid w:val="377F2AD5"/>
    <w:rsid w:val="378D0CEB"/>
    <w:rsid w:val="379A026D"/>
    <w:rsid w:val="37A2207E"/>
    <w:rsid w:val="37A2434F"/>
    <w:rsid w:val="37ED6D6E"/>
    <w:rsid w:val="380C3B20"/>
    <w:rsid w:val="380F3E59"/>
    <w:rsid w:val="381039F4"/>
    <w:rsid w:val="381B27FE"/>
    <w:rsid w:val="381E22EE"/>
    <w:rsid w:val="38262F51"/>
    <w:rsid w:val="38422CE2"/>
    <w:rsid w:val="38464281"/>
    <w:rsid w:val="386E21B0"/>
    <w:rsid w:val="38AE186D"/>
    <w:rsid w:val="38AE496C"/>
    <w:rsid w:val="38B54D45"/>
    <w:rsid w:val="38D242CD"/>
    <w:rsid w:val="38FE7A29"/>
    <w:rsid w:val="393E0C7A"/>
    <w:rsid w:val="394125EA"/>
    <w:rsid w:val="39470BCD"/>
    <w:rsid w:val="39821F75"/>
    <w:rsid w:val="398B5520"/>
    <w:rsid w:val="398C3DB7"/>
    <w:rsid w:val="39AB6275"/>
    <w:rsid w:val="39E17621"/>
    <w:rsid w:val="39E3734B"/>
    <w:rsid w:val="39E8044A"/>
    <w:rsid w:val="39F227B1"/>
    <w:rsid w:val="3A151290"/>
    <w:rsid w:val="3A201663"/>
    <w:rsid w:val="3A257964"/>
    <w:rsid w:val="3A292038"/>
    <w:rsid w:val="3A4A1178"/>
    <w:rsid w:val="3A4F678F"/>
    <w:rsid w:val="3A524E6B"/>
    <w:rsid w:val="3A571AE7"/>
    <w:rsid w:val="3A762A49"/>
    <w:rsid w:val="3A826354"/>
    <w:rsid w:val="3A9D28F5"/>
    <w:rsid w:val="3ACD43C9"/>
    <w:rsid w:val="3AFF2C64"/>
    <w:rsid w:val="3B135A0E"/>
    <w:rsid w:val="3B2B3539"/>
    <w:rsid w:val="3B2F69DB"/>
    <w:rsid w:val="3B49637F"/>
    <w:rsid w:val="3B79226F"/>
    <w:rsid w:val="3B7D557D"/>
    <w:rsid w:val="3B8F1138"/>
    <w:rsid w:val="3B904834"/>
    <w:rsid w:val="3B932344"/>
    <w:rsid w:val="3B9D20F5"/>
    <w:rsid w:val="3BB33F88"/>
    <w:rsid w:val="3BC15D34"/>
    <w:rsid w:val="3BD93153"/>
    <w:rsid w:val="3BDA6996"/>
    <w:rsid w:val="3C0A3047"/>
    <w:rsid w:val="3C2E50FB"/>
    <w:rsid w:val="3C37637A"/>
    <w:rsid w:val="3C4A12AD"/>
    <w:rsid w:val="3C5125FC"/>
    <w:rsid w:val="3C690ECB"/>
    <w:rsid w:val="3C7A386B"/>
    <w:rsid w:val="3C860AC6"/>
    <w:rsid w:val="3C8967A4"/>
    <w:rsid w:val="3C960BC8"/>
    <w:rsid w:val="3C9848A1"/>
    <w:rsid w:val="3CA509B7"/>
    <w:rsid w:val="3CA509D1"/>
    <w:rsid w:val="3CD537E6"/>
    <w:rsid w:val="3CD93879"/>
    <w:rsid w:val="3D2571D3"/>
    <w:rsid w:val="3D29776B"/>
    <w:rsid w:val="3D7A2818"/>
    <w:rsid w:val="3D8106EA"/>
    <w:rsid w:val="3D834DF8"/>
    <w:rsid w:val="3DA352B1"/>
    <w:rsid w:val="3DBA0AB6"/>
    <w:rsid w:val="3DBA61E7"/>
    <w:rsid w:val="3DC14624"/>
    <w:rsid w:val="3DD55956"/>
    <w:rsid w:val="3E100FFC"/>
    <w:rsid w:val="3E201534"/>
    <w:rsid w:val="3E497999"/>
    <w:rsid w:val="3E625352"/>
    <w:rsid w:val="3E651EE9"/>
    <w:rsid w:val="3E784A78"/>
    <w:rsid w:val="3E8554F5"/>
    <w:rsid w:val="3EB65E71"/>
    <w:rsid w:val="3EC33032"/>
    <w:rsid w:val="3EC61DB3"/>
    <w:rsid w:val="3ECE4FFB"/>
    <w:rsid w:val="3EF62661"/>
    <w:rsid w:val="3F136CC1"/>
    <w:rsid w:val="3F3C595E"/>
    <w:rsid w:val="3F59346C"/>
    <w:rsid w:val="3F657308"/>
    <w:rsid w:val="3F7856B5"/>
    <w:rsid w:val="3F7970EE"/>
    <w:rsid w:val="3F8003ED"/>
    <w:rsid w:val="3F8B5F41"/>
    <w:rsid w:val="3FC519F7"/>
    <w:rsid w:val="3FD0326B"/>
    <w:rsid w:val="3FD34D1A"/>
    <w:rsid w:val="3FED63B1"/>
    <w:rsid w:val="40031733"/>
    <w:rsid w:val="40076D3D"/>
    <w:rsid w:val="400F1FF7"/>
    <w:rsid w:val="401F65F0"/>
    <w:rsid w:val="403703F1"/>
    <w:rsid w:val="404470DB"/>
    <w:rsid w:val="404C2292"/>
    <w:rsid w:val="405D572D"/>
    <w:rsid w:val="406B009A"/>
    <w:rsid w:val="407209E5"/>
    <w:rsid w:val="408D1EA0"/>
    <w:rsid w:val="408E2DBF"/>
    <w:rsid w:val="409D2A1A"/>
    <w:rsid w:val="40A752D1"/>
    <w:rsid w:val="40B21FB5"/>
    <w:rsid w:val="40B51316"/>
    <w:rsid w:val="40B95E2E"/>
    <w:rsid w:val="40C17F9E"/>
    <w:rsid w:val="40C43B66"/>
    <w:rsid w:val="40E247F7"/>
    <w:rsid w:val="40EE5966"/>
    <w:rsid w:val="410F1967"/>
    <w:rsid w:val="41335FC7"/>
    <w:rsid w:val="415978C8"/>
    <w:rsid w:val="415C1B4D"/>
    <w:rsid w:val="417843F2"/>
    <w:rsid w:val="41807B75"/>
    <w:rsid w:val="418A1799"/>
    <w:rsid w:val="41943621"/>
    <w:rsid w:val="41A2189A"/>
    <w:rsid w:val="41A61C3F"/>
    <w:rsid w:val="41B17185"/>
    <w:rsid w:val="41F05895"/>
    <w:rsid w:val="42040076"/>
    <w:rsid w:val="420C70DA"/>
    <w:rsid w:val="4226611D"/>
    <w:rsid w:val="424D3EFC"/>
    <w:rsid w:val="425402BB"/>
    <w:rsid w:val="42564ADA"/>
    <w:rsid w:val="425D1C65"/>
    <w:rsid w:val="42747A95"/>
    <w:rsid w:val="427E52C8"/>
    <w:rsid w:val="429D02B3"/>
    <w:rsid w:val="42CA464A"/>
    <w:rsid w:val="42DE0FF8"/>
    <w:rsid w:val="42FA6BD0"/>
    <w:rsid w:val="42FB4E01"/>
    <w:rsid w:val="4301585B"/>
    <w:rsid w:val="431B31A4"/>
    <w:rsid w:val="43325808"/>
    <w:rsid w:val="43346E69"/>
    <w:rsid w:val="433E1CAF"/>
    <w:rsid w:val="43412297"/>
    <w:rsid w:val="43413ED4"/>
    <w:rsid w:val="43594499"/>
    <w:rsid w:val="435B2FB7"/>
    <w:rsid w:val="43636C3F"/>
    <w:rsid w:val="436E5353"/>
    <w:rsid w:val="438073DF"/>
    <w:rsid w:val="439D6340"/>
    <w:rsid w:val="43FD7280"/>
    <w:rsid w:val="44110F59"/>
    <w:rsid w:val="441532B2"/>
    <w:rsid w:val="441647C1"/>
    <w:rsid w:val="441C5686"/>
    <w:rsid w:val="441E55BD"/>
    <w:rsid w:val="442C59F4"/>
    <w:rsid w:val="442C5CE7"/>
    <w:rsid w:val="443F7EE3"/>
    <w:rsid w:val="44477A7A"/>
    <w:rsid w:val="445A5900"/>
    <w:rsid w:val="44831552"/>
    <w:rsid w:val="4492209A"/>
    <w:rsid w:val="44A72CB4"/>
    <w:rsid w:val="44DC0CFE"/>
    <w:rsid w:val="44DC4FCA"/>
    <w:rsid w:val="44FD1C6D"/>
    <w:rsid w:val="453F207E"/>
    <w:rsid w:val="454276A8"/>
    <w:rsid w:val="45465AD9"/>
    <w:rsid w:val="45763769"/>
    <w:rsid w:val="457C4AF8"/>
    <w:rsid w:val="45A100BA"/>
    <w:rsid w:val="45A31600"/>
    <w:rsid w:val="45E526C2"/>
    <w:rsid w:val="45ED75B7"/>
    <w:rsid w:val="45EF5694"/>
    <w:rsid w:val="45F32D75"/>
    <w:rsid w:val="45FE4441"/>
    <w:rsid w:val="460934CE"/>
    <w:rsid w:val="461F685B"/>
    <w:rsid w:val="463A35BA"/>
    <w:rsid w:val="464478D6"/>
    <w:rsid w:val="46594972"/>
    <w:rsid w:val="46763AFA"/>
    <w:rsid w:val="46A86AC5"/>
    <w:rsid w:val="46AF0ACC"/>
    <w:rsid w:val="46CD2EA3"/>
    <w:rsid w:val="46E33C2A"/>
    <w:rsid w:val="46EB5C2E"/>
    <w:rsid w:val="46F77BF9"/>
    <w:rsid w:val="47191F43"/>
    <w:rsid w:val="471B210D"/>
    <w:rsid w:val="47330BB1"/>
    <w:rsid w:val="474340E1"/>
    <w:rsid w:val="474D4056"/>
    <w:rsid w:val="47507FEA"/>
    <w:rsid w:val="4754737E"/>
    <w:rsid w:val="476E5DEA"/>
    <w:rsid w:val="478D50EB"/>
    <w:rsid w:val="47914A33"/>
    <w:rsid w:val="479B0044"/>
    <w:rsid w:val="479C10BC"/>
    <w:rsid w:val="47A4380D"/>
    <w:rsid w:val="47A6297A"/>
    <w:rsid w:val="47B35BF8"/>
    <w:rsid w:val="47C01A50"/>
    <w:rsid w:val="47C041C7"/>
    <w:rsid w:val="47CB4E60"/>
    <w:rsid w:val="47CD1E0C"/>
    <w:rsid w:val="47D964DB"/>
    <w:rsid w:val="47FC33A5"/>
    <w:rsid w:val="48012A31"/>
    <w:rsid w:val="48140B28"/>
    <w:rsid w:val="481D4366"/>
    <w:rsid w:val="485803F1"/>
    <w:rsid w:val="485E2C28"/>
    <w:rsid w:val="4865215C"/>
    <w:rsid w:val="486942C4"/>
    <w:rsid w:val="487B552A"/>
    <w:rsid w:val="48842F37"/>
    <w:rsid w:val="48970623"/>
    <w:rsid w:val="48A34F21"/>
    <w:rsid w:val="48B05292"/>
    <w:rsid w:val="48B12D0A"/>
    <w:rsid w:val="48B971DC"/>
    <w:rsid w:val="48F055E1"/>
    <w:rsid w:val="48F556EA"/>
    <w:rsid w:val="491946D3"/>
    <w:rsid w:val="4924047E"/>
    <w:rsid w:val="49276380"/>
    <w:rsid w:val="49441489"/>
    <w:rsid w:val="4948117F"/>
    <w:rsid w:val="494B0B0D"/>
    <w:rsid w:val="49510EF2"/>
    <w:rsid w:val="497E20AD"/>
    <w:rsid w:val="49820EB7"/>
    <w:rsid w:val="499416E9"/>
    <w:rsid w:val="49A63EAD"/>
    <w:rsid w:val="49B4166E"/>
    <w:rsid w:val="49BA2C9E"/>
    <w:rsid w:val="49BC3715"/>
    <w:rsid w:val="49C56A6D"/>
    <w:rsid w:val="49F72310"/>
    <w:rsid w:val="49FD2EE4"/>
    <w:rsid w:val="4A0B4FDE"/>
    <w:rsid w:val="4A343D11"/>
    <w:rsid w:val="4A497D35"/>
    <w:rsid w:val="4A722025"/>
    <w:rsid w:val="4A8A37D8"/>
    <w:rsid w:val="4A8B4AB2"/>
    <w:rsid w:val="4ABC0E71"/>
    <w:rsid w:val="4AD9595B"/>
    <w:rsid w:val="4AF93EAE"/>
    <w:rsid w:val="4AFC3A3A"/>
    <w:rsid w:val="4B232749"/>
    <w:rsid w:val="4B26353C"/>
    <w:rsid w:val="4B311212"/>
    <w:rsid w:val="4B3E6720"/>
    <w:rsid w:val="4B43535A"/>
    <w:rsid w:val="4B476348"/>
    <w:rsid w:val="4B625BF7"/>
    <w:rsid w:val="4BB21AF4"/>
    <w:rsid w:val="4BB351AA"/>
    <w:rsid w:val="4BB54107"/>
    <w:rsid w:val="4BB67EEE"/>
    <w:rsid w:val="4BD17814"/>
    <w:rsid w:val="4BDC5109"/>
    <w:rsid w:val="4BE84FA7"/>
    <w:rsid w:val="4BF70C92"/>
    <w:rsid w:val="4BFD0513"/>
    <w:rsid w:val="4C001FDF"/>
    <w:rsid w:val="4C005E77"/>
    <w:rsid w:val="4C1A02C6"/>
    <w:rsid w:val="4C2B76C1"/>
    <w:rsid w:val="4C5419A1"/>
    <w:rsid w:val="4C5429A3"/>
    <w:rsid w:val="4C645A11"/>
    <w:rsid w:val="4C87254B"/>
    <w:rsid w:val="4CDE4416"/>
    <w:rsid w:val="4D004DF6"/>
    <w:rsid w:val="4D1B69A4"/>
    <w:rsid w:val="4D1C2C8C"/>
    <w:rsid w:val="4D1E77BE"/>
    <w:rsid w:val="4D245FC5"/>
    <w:rsid w:val="4D2B3B2C"/>
    <w:rsid w:val="4DA943B0"/>
    <w:rsid w:val="4DC515BB"/>
    <w:rsid w:val="4DCB5984"/>
    <w:rsid w:val="4DD610A9"/>
    <w:rsid w:val="4DD64458"/>
    <w:rsid w:val="4DDD4E1A"/>
    <w:rsid w:val="4E01203E"/>
    <w:rsid w:val="4E135BFA"/>
    <w:rsid w:val="4E1B2DDB"/>
    <w:rsid w:val="4E2116E4"/>
    <w:rsid w:val="4E250E8C"/>
    <w:rsid w:val="4E355E12"/>
    <w:rsid w:val="4E5D7C3A"/>
    <w:rsid w:val="4E8D762E"/>
    <w:rsid w:val="4E9B1112"/>
    <w:rsid w:val="4EA06365"/>
    <w:rsid w:val="4EBD3915"/>
    <w:rsid w:val="4EC5306C"/>
    <w:rsid w:val="4ECD54B1"/>
    <w:rsid w:val="4ED4046B"/>
    <w:rsid w:val="4EDF4B15"/>
    <w:rsid w:val="4EF43B16"/>
    <w:rsid w:val="4F0E1E8F"/>
    <w:rsid w:val="4F2B6C13"/>
    <w:rsid w:val="4F3153D3"/>
    <w:rsid w:val="4F4928CD"/>
    <w:rsid w:val="4F5F3ED1"/>
    <w:rsid w:val="4F804E7C"/>
    <w:rsid w:val="4F85516A"/>
    <w:rsid w:val="4F944D8F"/>
    <w:rsid w:val="4FCA5221"/>
    <w:rsid w:val="4FED0FB9"/>
    <w:rsid w:val="4FF37764"/>
    <w:rsid w:val="500C3E41"/>
    <w:rsid w:val="507410D2"/>
    <w:rsid w:val="50A4392E"/>
    <w:rsid w:val="50A97681"/>
    <w:rsid w:val="50AE3B94"/>
    <w:rsid w:val="50AF7418"/>
    <w:rsid w:val="50E93575"/>
    <w:rsid w:val="50EE4AFC"/>
    <w:rsid w:val="50F04D4E"/>
    <w:rsid w:val="50F57385"/>
    <w:rsid w:val="50F6016F"/>
    <w:rsid w:val="50FB1FB9"/>
    <w:rsid w:val="51132FF4"/>
    <w:rsid w:val="51151213"/>
    <w:rsid w:val="5116195C"/>
    <w:rsid w:val="5119769F"/>
    <w:rsid w:val="513225F9"/>
    <w:rsid w:val="513F5114"/>
    <w:rsid w:val="51440384"/>
    <w:rsid w:val="515E6A1B"/>
    <w:rsid w:val="516B705C"/>
    <w:rsid w:val="5177537A"/>
    <w:rsid w:val="518806E3"/>
    <w:rsid w:val="519A635A"/>
    <w:rsid w:val="51A1217B"/>
    <w:rsid w:val="51A47CAD"/>
    <w:rsid w:val="51BC2004"/>
    <w:rsid w:val="51C462A1"/>
    <w:rsid w:val="51CB0C5C"/>
    <w:rsid w:val="51CB74F6"/>
    <w:rsid w:val="51D13948"/>
    <w:rsid w:val="51EB5979"/>
    <w:rsid w:val="521A0101"/>
    <w:rsid w:val="52241967"/>
    <w:rsid w:val="52263E21"/>
    <w:rsid w:val="522D1CB6"/>
    <w:rsid w:val="52444C58"/>
    <w:rsid w:val="5263075C"/>
    <w:rsid w:val="52660A26"/>
    <w:rsid w:val="52717995"/>
    <w:rsid w:val="528315FB"/>
    <w:rsid w:val="52910142"/>
    <w:rsid w:val="52990759"/>
    <w:rsid w:val="529E42FF"/>
    <w:rsid w:val="52B87033"/>
    <w:rsid w:val="52BE5917"/>
    <w:rsid w:val="52ED3633"/>
    <w:rsid w:val="531B72EC"/>
    <w:rsid w:val="531E35FC"/>
    <w:rsid w:val="531E3DBA"/>
    <w:rsid w:val="532B1547"/>
    <w:rsid w:val="532C2C22"/>
    <w:rsid w:val="533E6E17"/>
    <w:rsid w:val="5343182D"/>
    <w:rsid w:val="53552E21"/>
    <w:rsid w:val="535D3886"/>
    <w:rsid w:val="536A41E2"/>
    <w:rsid w:val="536C4A63"/>
    <w:rsid w:val="539B26A9"/>
    <w:rsid w:val="53A201DA"/>
    <w:rsid w:val="53B22D34"/>
    <w:rsid w:val="53B6236C"/>
    <w:rsid w:val="53BD6F30"/>
    <w:rsid w:val="540540F5"/>
    <w:rsid w:val="542913B3"/>
    <w:rsid w:val="543F18BA"/>
    <w:rsid w:val="54883400"/>
    <w:rsid w:val="54932F58"/>
    <w:rsid w:val="54A81CB5"/>
    <w:rsid w:val="54C41B11"/>
    <w:rsid w:val="54CF07A0"/>
    <w:rsid w:val="550E49C6"/>
    <w:rsid w:val="556E6B20"/>
    <w:rsid w:val="55A47D96"/>
    <w:rsid w:val="55C94049"/>
    <w:rsid w:val="55CB762E"/>
    <w:rsid w:val="55D02A22"/>
    <w:rsid w:val="55DA287E"/>
    <w:rsid w:val="55DD1819"/>
    <w:rsid w:val="55EE6DAD"/>
    <w:rsid w:val="56073162"/>
    <w:rsid w:val="5609127C"/>
    <w:rsid w:val="56243B92"/>
    <w:rsid w:val="563D619D"/>
    <w:rsid w:val="56413F2B"/>
    <w:rsid w:val="56537C47"/>
    <w:rsid w:val="569972B8"/>
    <w:rsid w:val="56A010C0"/>
    <w:rsid w:val="56A874FB"/>
    <w:rsid w:val="56B96B8E"/>
    <w:rsid w:val="56C747B5"/>
    <w:rsid w:val="56D42684"/>
    <w:rsid w:val="56DD2471"/>
    <w:rsid w:val="57210A6D"/>
    <w:rsid w:val="5744214A"/>
    <w:rsid w:val="574B480A"/>
    <w:rsid w:val="57543081"/>
    <w:rsid w:val="575E5D20"/>
    <w:rsid w:val="5789649C"/>
    <w:rsid w:val="57A373F0"/>
    <w:rsid w:val="57C83C57"/>
    <w:rsid w:val="57DD31D4"/>
    <w:rsid w:val="57FB2FB4"/>
    <w:rsid w:val="582028C2"/>
    <w:rsid w:val="582908A2"/>
    <w:rsid w:val="583D07DD"/>
    <w:rsid w:val="585F1862"/>
    <w:rsid w:val="58613E05"/>
    <w:rsid w:val="58620D26"/>
    <w:rsid w:val="58706FB1"/>
    <w:rsid w:val="587C5983"/>
    <w:rsid w:val="58E8415E"/>
    <w:rsid w:val="58ED1995"/>
    <w:rsid w:val="58FF1A45"/>
    <w:rsid w:val="591578E8"/>
    <w:rsid w:val="591C580B"/>
    <w:rsid w:val="5926497A"/>
    <w:rsid w:val="592941F7"/>
    <w:rsid w:val="592A1893"/>
    <w:rsid w:val="595D3E12"/>
    <w:rsid w:val="597A4916"/>
    <w:rsid w:val="59961EFB"/>
    <w:rsid w:val="59A11353"/>
    <w:rsid w:val="59B40569"/>
    <w:rsid w:val="59C90EB6"/>
    <w:rsid w:val="5A0336C4"/>
    <w:rsid w:val="5A1D0D82"/>
    <w:rsid w:val="5A20315B"/>
    <w:rsid w:val="5A4C2893"/>
    <w:rsid w:val="5A5827FE"/>
    <w:rsid w:val="5A70211C"/>
    <w:rsid w:val="5A9A53AC"/>
    <w:rsid w:val="5AAB2A29"/>
    <w:rsid w:val="5AAB3211"/>
    <w:rsid w:val="5AAB75B9"/>
    <w:rsid w:val="5AAC7307"/>
    <w:rsid w:val="5AB86388"/>
    <w:rsid w:val="5ABF41C0"/>
    <w:rsid w:val="5ACA577B"/>
    <w:rsid w:val="5AD07CB2"/>
    <w:rsid w:val="5AE37CAA"/>
    <w:rsid w:val="5AED7BD2"/>
    <w:rsid w:val="5AEF1DC1"/>
    <w:rsid w:val="5B09375B"/>
    <w:rsid w:val="5B1B7148"/>
    <w:rsid w:val="5B353486"/>
    <w:rsid w:val="5B3A7E78"/>
    <w:rsid w:val="5B3D442E"/>
    <w:rsid w:val="5B412C22"/>
    <w:rsid w:val="5B4B2EB1"/>
    <w:rsid w:val="5B510D60"/>
    <w:rsid w:val="5B570332"/>
    <w:rsid w:val="5B5714EF"/>
    <w:rsid w:val="5B5F0395"/>
    <w:rsid w:val="5B6300A3"/>
    <w:rsid w:val="5B6C0ED6"/>
    <w:rsid w:val="5B790B4E"/>
    <w:rsid w:val="5B7A2400"/>
    <w:rsid w:val="5B8B6B3E"/>
    <w:rsid w:val="5B9B626D"/>
    <w:rsid w:val="5BA762EC"/>
    <w:rsid w:val="5BCB77E7"/>
    <w:rsid w:val="5BD32897"/>
    <w:rsid w:val="5BF50A44"/>
    <w:rsid w:val="5C272C70"/>
    <w:rsid w:val="5C295CCC"/>
    <w:rsid w:val="5C381A3A"/>
    <w:rsid w:val="5C5C135C"/>
    <w:rsid w:val="5C872DAA"/>
    <w:rsid w:val="5C974816"/>
    <w:rsid w:val="5CA97228"/>
    <w:rsid w:val="5CBA57BD"/>
    <w:rsid w:val="5CC5471C"/>
    <w:rsid w:val="5CDC5386"/>
    <w:rsid w:val="5CEE7B85"/>
    <w:rsid w:val="5CF07506"/>
    <w:rsid w:val="5CF73D69"/>
    <w:rsid w:val="5D202057"/>
    <w:rsid w:val="5D4700C2"/>
    <w:rsid w:val="5D616655"/>
    <w:rsid w:val="5D6C4615"/>
    <w:rsid w:val="5D7C5A81"/>
    <w:rsid w:val="5D7E2D63"/>
    <w:rsid w:val="5DBE7604"/>
    <w:rsid w:val="5DD31E8F"/>
    <w:rsid w:val="5DDF2196"/>
    <w:rsid w:val="5DF01C4B"/>
    <w:rsid w:val="5DF704AE"/>
    <w:rsid w:val="5DF954B7"/>
    <w:rsid w:val="5DFF05CD"/>
    <w:rsid w:val="5E1672C2"/>
    <w:rsid w:val="5E1B6033"/>
    <w:rsid w:val="5E2612F9"/>
    <w:rsid w:val="5E287173"/>
    <w:rsid w:val="5E534129"/>
    <w:rsid w:val="5E6E3C24"/>
    <w:rsid w:val="5E7255BD"/>
    <w:rsid w:val="5E937CCC"/>
    <w:rsid w:val="5EB97DCB"/>
    <w:rsid w:val="5EF83794"/>
    <w:rsid w:val="5F0173CC"/>
    <w:rsid w:val="5F0F0BB5"/>
    <w:rsid w:val="5F1A1A93"/>
    <w:rsid w:val="5F287F7E"/>
    <w:rsid w:val="5F475677"/>
    <w:rsid w:val="5F484198"/>
    <w:rsid w:val="5F50072F"/>
    <w:rsid w:val="5F567498"/>
    <w:rsid w:val="5F7D71F9"/>
    <w:rsid w:val="5F8420E2"/>
    <w:rsid w:val="5F887220"/>
    <w:rsid w:val="5F9022AB"/>
    <w:rsid w:val="5F9F3708"/>
    <w:rsid w:val="5FB81E56"/>
    <w:rsid w:val="5FD85FDC"/>
    <w:rsid w:val="5FEB78D3"/>
    <w:rsid w:val="5FEC00EE"/>
    <w:rsid w:val="600951D4"/>
    <w:rsid w:val="6010358A"/>
    <w:rsid w:val="60156960"/>
    <w:rsid w:val="601A25EF"/>
    <w:rsid w:val="60250EC1"/>
    <w:rsid w:val="603E7832"/>
    <w:rsid w:val="6044067F"/>
    <w:rsid w:val="60793AF7"/>
    <w:rsid w:val="6099592B"/>
    <w:rsid w:val="60A13AB9"/>
    <w:rsid w:val="60A7744C"/>
    <w:rsid w:val="60CF04AB"/>
    <w:rsid w:val="60DB5486"/>
    <w:rsid w:val="60E82C1A"/>
    <w:rsid w:val="60EC0541"/>
    <w:rsid w:val="60FD245E"/>
    <w:rsid w:val="61033EA8"/>
    <w:rsid w:val="610A1613"/>
    <w:rsid w:val="610E0DD2"/>
    <w:rsid w:val="61157719"/>
    <w:rsid w:val="61251167"/>
    <w:rsid w:val="61432D9E"/>
    <w:rsid w:val="61683AEB"/>
    <w:rsid w:val="618A70BC"/>
    <w:rsid w:val="61963F6D"/>
    <w:rsid w:val="61BD1F9D"/>
    <w:rsid w:val="61C55405"/>
    <w:rsid w:val="61E17D65"/>
    <w:rsid w:val="61EA093B"/>
    <w:rsid w:val="62024DB4"/>
    <w:rsid w:val="62117D72"/>
    <w:rsid w:val="62140656"/>
    <w:rsid w:val="62210A89"/>
    <w:rsid w:val="62285DB7"/>
    <w:rsid w:val="626857C6"/>
    <w:rsid w:val="626C17E1"/>
    <w:rsid w:val="62923991"/>
    <w:rsid w:val="62966DA1"/>
    <w:rsid w:val="62F20D03"/>
    <w:rsid w:val="62F26EC0"/>
    <w:rsid w:val="62F75B83"/>
    <w:rsid w:val="63095375"/>
    <w:rsid w:val="6312135F"/>
    <w:rsid w:val="632A3D0D"/>
    <w:rsid w:val="632F68AE"/>
    <w:rsid w:val="633443AB"/>
    <w:rsid w:val="6353750E"/>
    <w:rsid w:val="638857E1"/>
    <w:rsid w:val="63AB78F4"/>
    <w:rsid w:val="63C642C7"/>
    <w:rsid w:val="63C85688"/>
    <w:rsid w:val="63CD05A1"/>
    <w:rsid w:val="63CD5666"/>
    <w:rsid w:val="63D01EF3"/>
    <w:rsid w:val="63D2038C"/>
    <w:rsid w:val="63E15DFA"/>
    <w:rsid w:val="63E631E1"/>
    <w:rsid w:val="63F66CE6"/>
    <w:rsid w:val="640E7E19"/>
    <w:rsid w:val="647527CB"/>
    <w:rsid w:val="648A0F84"/>
    <w:rsid w:val="648E4974"/>
    <w:rsid w:val="648F4377"/>
    <w:rsid w:val="64935AC5"/>
    <w:rsid w:val="64994927"/>
    <w:rsid w:val="649E65A7"/>
    <w:rsid w:val="64B70C4D"/>
    <w:rsid w:val="64D14920"/>
    <w:rsid w:val="64DC3A26"/>
    <w:rsid w:val="64E738E4"/>
    <w:rsid w:val="64EA382F"/>
    <w:rsid w:val="64ED3306"/>
    <w:rsid w:val="65112EA3"/>
    <w:rsid w:val="6511603A"/>
    <w:rsid w:val="65162422"/>
    <w:rsid w:val="65206DF6"/>
    <w:rsid w:val="652763A9"/>
    <w:rsid w:val="653B0F51"/>
    <w:rsid w:val="65434194"/>
    <w:rsid w:val="65477730"/>
    <w:rsid w:val="654912E0"/>
    <w:rsid w:val="656A4332"/>
    <w:rsid w:val="65733372"/>
    <w:rsid w:val="65744876"/>
    <w:rsid w:val="657845AE"/>
    <w:rsid w:val="658D0170"/>
    <w:rsid w:val="65991D3E"/>
    <w:rsid w:val="659E280B"/>
    <w:rsid w:val="65B74A52"/>
    <w:rsid w:val="65BD55BD"/>
    <w:rsid w:val="65C53449"/>
    <w:rsid w:val="65F27286"/>
    <w:rsid w:val="6602655A"/>
    <w:rsid w:val="66037BA1"/>
    <w:rsid w:val="660D45C7"/>
    <w:rsid w:val="66280ABB"/>
    <w:rsid w:val="666717B3"/>
    <w:rsid w:val="6668032B"/>
    <w:rsid w:val="667C4290"/>
    <w:rsid w:val="66821BEE"/>
    <w:rsid w:val="66AB481F"/>
    <w:rsid w:val="66C95898"/>
    <w:rsid w:val="66F8201A"/>
    <w:rsid w:val="671C5A04"/>
    <w:rsid w:val="673F01D2"/>
    <w:rsid w:val="6764746E"/>
    <w:rsid w:val="676777C3"/>
    <w:rsid w:val="677D4B8A"/>
    <w:rsid w:val="67802ACE"/>
    <w:rsid w:val="67804B33"/>
    <w:rsid w:val="67C40A09"/>
    <w:rsid w:val="67D020A7"/>
    <w:rsid w:val="67D600B8"/>
    <w:rsid w:val="67DF08A2"/>
    <w:rsid w:val="67E4087E"/>
    <w:rsid w:val="67E95901"/>
    <w:rsid w:val="67EC2FBF"/>
    <w:rsid w:val="6821192D"/>
    <w:rsid w:val="68337E89"/>
    <w:rsid w:val="68337EE8"/>
    <w:rsid w:val="683A6C76"/>
    <w:rsid w:val="685C5B46"/>
    <w:rsid w:val="686F1486"/>
    <w:rsid w:val="688C0656"/>
    <w:rsid w:val="68AE1735"/>
    <w:rsid w:val="68B72950"/>
    <w:rsid w:val="68D60630"/>
    <w:rsid w:val="68F00432"/>
    <w:rsid w:val="68F8555D"/>
    <w:rsid w:val="68F85BA3"/>
    <w:rsid w:val="691C78D4"/>
    <w:rsid w:val="691D712E"/>
    <w:rsid w:val="695D23C7"/>
    <w:rsid w:val="697E7396"/>
    <w:rsid w:val="69A009FE"/>
    <w:rsid w:val="69A729C5"/>
    <w:rsid w:val="69A73642"/>
    <w:rsid w:val="69BE2739"/>
    <w:rsid w:val="69BF206E"/>
    <w:rsid w:val="69E46DF1"/>
    <w:rsid w:val="69E8174D"/>
    <w:rsid w:val="69EB7655"/>
    <w:rsid w:val="69F66247"/>
    <w:rsid w:val="69F820EF"/>
    <w:rsid w:val="69F86AAF"/>
    <w:rsid w:val="6A1F6154"/>
    <w:rsid w:val="6A2746CC"/>
    <w:rsid w:val="6A4F7CF0"/>
    <w:rsid w:val="6A5517EC"/>
    <w:rsid w:val="6A694BA1"/>
    <w:rsid w:val="6A734205"/>
    <w:rsid w:val="6A995680"/>
    <w:rsid w:val="6ABC3292"/>
    <w:rsid w:val="6AC04F0B"/>
    <w:rsid w:val="6AD34458"/>
    <w:rsid w:val="6ADC4801"/>
    <w:rsid w:val="6ADF25FC"/>
    <w:rsid w:val="6B020CD0"/>
    <w:rsid w:val="6B0D3978"/>
    <w:rsid w:val="6B1148AC"/>
    <w:rsid w:val="6B3E0351"/>
    <w:rsid w:val="6B42449D"/>
    <w:rsid w:val="6B451364"/>
    <w:rsid w:val="6B4A5562"/>
    <w:rsid w:val="6B565807"/>
    <w:rsid w:val="6B7A369F"/>
    <w:rsid w:val="6BAC2823"/>
    <w:rsid w:val="6BBD5024"/>
    <w:rsid w:val="6BF37DF1"/>
    <w:rsid w:val="6C07486C"/>
    <w:rsid w:val="6C630CE9"/>
    <w:rsid w:val="6C914CAA"/>
    <w:rsid w:val="6CB57E24"/>
    <w:rsid w:val="6CCC3665"/>
    <w:rsid w:val="6CEC0F34"/>
    <w:rsid w:val="6CF73CA4"/>
    <w:rsid w:val="6CFA1CDB"/>
    <w:rsid w:val="6D005FF7"/>
    <w:rsid w:val="6D021C57"/>
    <w:rsid w:val="6D05105B"/>
    <w:rsid w:val="6D207FCD"/>
    <w:rsid w:val="6D280C36"/>
    <w:rsid w:val="6D286C4C"/>
    <w:rsid w:val="6D2B5B01"/>
    <w:rsid w:val="6D36363D"/>
    <w:rsid w:val="6D381497"/>
    <w:rsid w:val="6D6A2DB3"/>
    <w:rsid w:val="6D6A69AA"/>
    <w:rsid w:val="6D79127B"/>
    <w:rsid w:val="6D7952F5"/>
    <w:rsid w:val="6D8048D6"/>
    <w:rsid w:val="6D832281"/>
    <w:rsid w:val="6DC237AE"/>
    <w:rsid w:val="6DF1132F"/>
    <w:rsid w:val="6DF91502"/>
    <w:rsid w:val="6E01482E"/>
    <w:rsid w:val="6E0D1941"/>
    <w:rsid w:val="6E146DCC"/>
    <w:rsid w:val="6E18292B"/>
    <w:rsid w:val="6E402C35"/>
    <w:rsid w:val="6E403BCF"/>
    <w:rsid w:val="6E424CF7"/>
    <w:rsid w:val="6E70494A"/>
    <w:rsid w:val="6E96703D"/>
    <w:rsid w:val="6E984122"/>
    <w:rsid w:val="6EC15C51"/>
    <w:rsid w:val="6EC4761A"/>
    <w:rsid w:val="6ED26905"/>
    <w:rsid w:val="6ED924EF"/>
    <w:rsid w:val="6EE20566"/>
    <w:rsid w:val="6EEB6DD8"/>
    <w:rsid w:val="6EF513F6"/>
    <w:rsid w:val="6F1F0771"/>
    <w:rsid w:val="6F3669E2"/>
    <w:rsid w:val="6F3A0437"/>
    <w:rsid w:val="6F452492"/>
    <w:rsid w:val="6F4E1ABB"/>
    <w:rsid w:val="6F65489B"/>
    <w:rsid w:val="6F86274A"/>
    <w:rsid w:val="6F8A6B50"/>
    <w:rsid w:val="6F9E4E98"/>
    <w:rsid w:val="6FA26D85"/>
    <w:rsid w:val="6FB536E7"/>
    <w:rsid w:val="6FC169C6"/>
    <w:rsid w:val="6FD20CED"/>
    <w:rsid w:val="700148B1"/>
    <w:rsid w:val="700708F2"/>
    <w:rsid w:val="70262445"/>
    <w:rsid w:val="70334A73"/>
    <w:rsid w:val="706202C3"/>
    <w:rsid w:val="70796EB7"/>
    <w:rsid w:val="70846EFD"/>
    <w:rsid w:val="70891E2B"/>
    <w:rsid w:val="709304FC"/>
    <w:rsid w:val="70B21D55"/>
    <w:rsid w:val="70BA4068"/>
    <w:rsid w:val="70EF1D98"/>
    <w:rsid w:val="70F06D61"/>
    <w:rsid w:val="70F36F46"/>
    <w:rsid w:val="71231B23"/>
    <w:rsid w:val="713B214A"/>
    <w:rsid w:val="714633CE"/>
    <w:rsid w:val="714A76D4"/>
    <w:rsid w:val="716342F2"/>
    <w:rsid w:val="718621EE"/>
    <w:rsid w:val="71894FD2"/>
    <w:rsid w:val="71A3311F"/>
    <w:rsid w:val="71A57CB7"/>
    <w:rsid w:val="71AA4E1C"/>
    <w:rsid w:val="72005730"/>
    <w:rsid w:val="72280301"/>
    <w:rsid w:val="722F68CA"/>
    <w:rsid w:val="7231753D"/>
    <w:rsid w:val="72386C6E"/>
    <w:rsid w:val="723A3057"/>
    <w:rsid w:val="72400885"/>
    <w:rsid w:val="72451C4A"/>
    <w:rsid w:val="724B6026"/>
    <w:rsid w:val="725273EA"/>
    <w:rsid w:val="725B1897"/>
    <w:rsid w:val="72603689"/>
    <w:rsid w:val="726C47BC"/>
    <w:rsid w:val="728E7595"/>
    <w:rsid w:val="72CD2240"/>
    <w:rsid w:val="72DC19E2"/>
    <w:rsid w:val="72EC4E12"/>
    <w:rsid w:val="730B4C41"/>
    <w:rsid w:val="73373DED"/>
    <w:rsid w:val="73391B68"/>
    <w:rsid w:val="733F7A24"/>
    <w:rsid w:val="735C44F0"/>
    <w:rsid w:val="736A01CD"/>
    <w:rsid w:val="736B4D35"/>
    <w:rsid w:val="73741988"/>
    <w:rsid w:val="73814929"/>
    <w:rsid w:val="7393399F"/>
    <w:rsid w:val="73984022"/>
    <w:rsid w:val="73C11347"/>
    <w:rsid w:val="73E2421D"/>
    <w:rsid w:val="74000D97"/>
    <w:rsid w:val="74185CCF"/>
    <w:rsid w:val="741D2E7E"/>
    <w:rsid w:val="74563F0C"/>
    <w:rsid w:val="74694C3B"/>
    <w:rsid w:val="746A6AAD"/>
    <w:rsid w:val="747A4FBC"/>
    <w:rsid w:val="748B466B"/>
    <w:rsid w:val="749018A2"/>
    <w:rsid w:val="74A94712"/>
    <w:rsid w:val="74D94903"/>
    <w:rsid w:val="74DC7834"/>
    <w:rsid w:val="74E271F1"/>
    <w:rsid w:val="75096F5F"/>
    <w:rsid w:val="75326EC3"/>
    <w:rsid w:val="75371D1E"/>
    <w:rsid w:val="75474A77"/>
    <w:rsid w:val="7551327B"/>
    <w:rsid w:val="755F3E02"/>
    <w:rsid w:val="755F782E"/>
    <w:rsid w:val="75A16A9F"/>
    <w:rsid w:val="75BC6CCF"/>
    <w:rsid w:val="75E27D49"/>
    <w:rsid w:val="761867BE"/>
    <w:rsid w:val="76365AD0"/>
    <w:rsid w:val="765D57EA"/>
    <w:rsid w:val="7688585F"/>
    <w:rsid w:val="76BA3D3B"/>
    <w:rsid w:val="76E97048"/>
    <w:rsid w:val="76F54CF0"/>
    <w:rsid w:val="76FD5906"/>
    <w:rsid w:val="77072866"/>
    <w:rsid w:val="770B684E"/>
    <w:rsid w:val="771D50F3"/>
    <w:rsid w:val="77204CB1"/>
    <w:rsid w:val="7735228D"/>
    <w:rsid w:val="77356662"/>
    <w:rsid w:val="777C1603"/>
    <w:rsid w:val="77A14CDE"/>
    <w:rsid w:val="77AA2F7D"/>
    <w:rsid w:val="77B92EBE"/>
    <w:rsid w:val="77C96BD3"/>
    <w:rsid w:val="78266CE5"/>
    <w:rsid w:val="7827421F"/>
    <w:rsid w:val="782B4A23"/>
    <w:rsid w:val="78302F8F"/>
    <w:rsid w:val="784117AB"/>
    <w:rsid w:val="78510397"/>
    <w:rsid w:val="78552936"/>
    <w:rsid w:val="78731F0E"/>
    <w:rsid w:val="78754CBA"/>
    <w:rsid w:val="78962FA5"/>
    <w:rsid w:val="789631FF"/>
    <w:rsid w:val="78B611AB"/>
    <w:rsid w:val="78C148AC"/>
    <w:rsid w:val="78CA1FEE"/>
    <w:rsid w:val="78CB3FEB"/>
    <w:rsid w:val="78CF4963"/>
    <w:rsid w:val="791E4FA3"/>
    <w:rsid w:val="793B5CE2"/>
    <w:rsid w:val="79404E92"/>
    <w:rsid w:val="795C411F"/>
    <w:rsid w:val="796834B3"/>
    <w:rsid w:val="796D0618"/>
    <w:rsid w:val="797B3C8A"/>
    <w:rsid w:val="797F45FC"/>
    <w:rsid w:val="79970647"/>
    <w:rsid w:val="79B86E35"/>
    <w:rsid w:val="79D9682C"/>
    <w:rsid w:val="79DB75C0"/>
    <w:rsid w:val="79E373F2"/>
    <w:rsid w:val="79E37881"/>
    <w:rsid w:val="79E4486C"/>
    <w:rsid w:val="79EA2E0E"/>
    <w:rsid w:val="79ED08FA"/>
    <w:rsid w:val="7A067AFA"/>
    <w:rsid w:val="7A0C585A"/>
    <w:rsid w:val="7A2C7450"/>
    <w:rsid w:val="7A326B5A"/>
    <w:rsid w:val="7A553725"/>
    <w:rsid w:val="7A6115EB"/>
    <w:rsid w:val="7A616D0A"/>
    <w:rsid w:val="7A7F2C76"/>
    <w:rsid w:val="7AA84ADB"/>
    <w:rsid w:val="7AAC462A"/>
    <w:rsid w:val="7AF84FA0"/>
    <w:rsid w:val="7AF909C6"/>
    <w:rsid w:val="7B6273C9"/>
    <w:rsid w:val="7B6F1BD0"/>
    <w:rsid w:val="7B732126"/>
    <w:rsid w:val="7B755C15"/>
    <w:rsid w:val="7B7B20CE"/>
    <w:rsid w:val="7B8E1216"/>
    <w:rsid w:val="7B9A1345"/>
    <w:rsid w:val="7BBB7E74"/>
    <w:rsid w:val="7BCA6C86"/>
    <w:rsid w:val="7C003703"/>
    <w:rsid w:val="7C044DA1"/>
    <w:rsid w:val="7C176405"/>
    <w:rsid w:val="7C30406C"/>
    <w:rsid w:val="7C365DE1"/>
    <w:rsid w:val="7C741AA9"/>
    <w:rsid w:val="7CA33449"/>
    <w:rsid w:val="7CCE4D69"/>
    <w:rsid w:val="7D0A0BA4"/>
    <w:rsid w:val="7D107AF3"/>
    <w:rsid w:val="7D283C15"/>
    <w:rsid w:val="7D4253C7"/>
    <w:rsid w:val="7D4C5341"/>
    <w:rsid w:val="7D4E5EE6"/>
    <w:rsid w:val="7D8901AD"/>
    <w:rsid w:val="7D8E577D"/>
    <w:rsid w:val="7D9A426A"/>
    <w:rsid w:val="7DD00F61"/>
    <w:rsid w:val="7DEE3196"/>
    <w:rsid w:val="7DFC1D56"/>
    <w:rsid w:val="7E006F08"/>
    <w:rsid w:val="7E01736D"/>
    <w:rsid w:val="7E333E03"/>
    <w:rsid w:val="7E391FE6"/>
    <w:rsid w:val="7E916762"/>
    <w:rsid w:val="7EA916FD"/>
    <w:rsid w:val="7EAB552B"/>
    <w:rsid w:val="7EE53C64"/>
    <w:rsid w:val="7F403EC5"/>
    <w:rsid w:val="7F541580"/>
    <w:rsid w:val="7F5444E7"/>
    <w:rsid w:val="7F590594"/>
    <w:rsid w:val="7F667225"/>
    <w:rsid w:val="7F7B2EF8"/>
    <w:rsid w:val="7F844A6E"/>
    <w:rsid w:val="7FAA1C29"/>
    <w:rsid w:val="7FAC4830"/>
    <w:rsid w:val="7FB659E5"/>
    <w:rsid w:val="7FB7407D"/>
    <w:rsid w:val="7FBD3767"/>
    <w:rsid w:val="7FC76394"/>
    <w:rsid w:val="7FEF65CD"/>
    <w:rsid w:val="7FF337B8"/>
    <w:rsid w:val="7FF61AD5"/>
    <w:rsid w:val="7FFB60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envelope return"/>
    <w:basedOn w:val="1"/>
    <w:next w:val="12"/>
    <w:qFormat/>
    <w:uiPriority w:val="99"/>
    <w:pPr>
      <w:snapToGrid w:val="0"/>
    </w:pPr>
    <w:rPr>
      <w:rFonts w:ascii="Arial" w:hAnsi="Arial"/>
      <w:kern w:val="2"/>
    </w:rPr>
  </w:style>
  <w:style w:type="paragraph" w:styleId="12">
    <w:name w:val="Title"/>
    <w:basedOn w:val="1"/>
    <w:next w:val="1"/>
    <w:qFormat/>
    <w:uiPriority w:val="10"/>
    <w:pPr>
      <w:suppressAutoHyphens w:val="0"/>
      <w:spacing w:before="240" w:after="60"/>
      <w:jc w:val="center"/>
      <w:outlineLvl w:val="0"/>
    </w:pPr>
    <w:rPr>
      <w:rFonts w:ascii="Cambria" w:cs="Cambria"/>
      <w:b/>
      <w:bCs/>
      <w:kern w:val="0"/>
      <w:sz w:val="32"/>
      <w:szCs w:val="32"/>
      <w:lang w:eastAsia="zh-CN"/>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semiHidden/>
    <w:qFormat/>
    <w:uiPriority w:val="0"/>
    <w:pPr>
      <w:spacing w:line="440" w:lineRule="exact"/>
      <w:jc w:val="center"/>
    </w:p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7"/>
    <w:qFormat/>
    <w:uiPriority w:val="0"/>
    <w:pPr>
      <w:ind w:firstLine="420" w:firstLineChars="100"/>
    </w:pPr>
  </w:style>
  <w:style w:type="paragraph" w:styleId="17">
    <w:name w:val="Body Text First Indent 2"/>
    <w:basedOn w:val="8"/>
    <w:next w:val="1"/>
    <w:qFormat/>
    <w:uiPriority w:val="0"/>
    <w:pPr>
      <w:ind w:firstLine="420" w:firstLineChars="200"/>
    </w:pPr>
    <w:rPr>
      <w:kern w:val="2"/>
      <w:szCs w:val="22"/>
    </w:r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qFormat/>
    <w:uiPriority w:val="0"/>
  </w:style>
  <w:style w:type="paragraph" w:customStyle="1" w:styleId="22">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4">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5">
    <w:name w:val="列出段落1"/>
    <w:basedOn w:val="1"/>
    <w:qFormat/>
    <w:uiPriority w:val="34"/>
    <w:pPr>
      <w:ind w:firstLine="420" w:firstLineChars="200"/>
    </w:pPr>
  </w:style>
  <w:style w:type="character" w:customStyle="1" w:styleId="26">
    <w:name w:val="font11"/>
    <w:basedOn w:val="20"/>
    <w:qFormat/>
    <w:uiPriority w:val="0"/>
    <w:rPr>
      <w:rFonts w:ascii="Calibri" w:hAnsi="Calibri" w:cs="Calibri"/>
      <w:color w:val="000000"/>
      <w:sz w:val="21"/>
      <w:szCs w:val="21"/>
      <w:u w:val="none"/>
    </w:rPr>
  </w:style>
  <w:style w:type="character" w:customStyle="1" w:styleId="27">
    <w:name w:val="font21"/>
    <w:basedOn w:val="20"/>
    <w:qFormat/>
    <w:uiPriority w:val="0"/>
    <w:rPr>
      <w:rFonts w:hint="eastAsia" w:ascii="宋体" w:hAnsi="宋体" w:eastAsia="宋体" w:cs="宋体"/>
      <w:color w:val="000000"/>
      <w:sz w:val="21"/>
      <w:szCs w:val="21"/>
      <w:u w:val="none"/>
    </w:rPr>
  </w:style>
  <w:style w:type="character" w:customStyle="1" w:styleId="28">
    <w:name w:val="font01"/>
    <w:basedOn w:val="20"/>
    <w:qFormat/>
    <w:uiPriority w:val="0"/>
    <w:rPr>
      <w:rFonts w:ascii="Calibri" w:hAnsi="Calibri" w:cs="Calibri"/>
      <w:color w:val="000000"/>
      <w:sz w:val="21"/>
      <w:szCs w:val="21"/>
      <w:u w:val="none"/>
    </w:rPr>
  </w:style>
  <w:style w:type="character" w:customStyle="1" w:styleId="29">
    <w:name w:val="font31"/>
    <w:basedOn w:val="20"/>
    <w:qFormat/>
    <w:uiPriority w:val="0"/>
    <w:rPr>
      <w:rFonts w:hint="default" w:ascii="Calibri" w:hAnsi="Calibri" w:cs="Calibri"/>
      <w:color w:val="000000"/>
      <w:sz w:val="21"/>
      <w:szCs w:val="21"/>
      <w:u w:val="none"/>
    </w:rPr>
  </w:style>
  <w:style w:type="paragraph" w:customStyle="1" w:styleId="30">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36</Pages>
  <Words>10998</Words>
  <Characters>12386</Characters>
  <Lines>0</Lines>
  <Paragraphs>0</Paragraphs>
  <TotalTime>64</TotalTime>
  <ScaleCrop>false</ScaleCrop>
  <LinksUpToDate>false</LinksUpToDate>
  <CharactersWithSpaces>14237</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张迪</cp:lastModifiedBy>
  <cp:lastPrinted>2021-01-22T03:33:00Z</cp:lastPrinted>
  <dcterms:modified xsi:type="dcterms:W3CDTF">2023-12-29T08:11:36Z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A852AE08C46145EFB82407C09976E893_13</vt:lpwstr>
  </property>
</Properties>
</file>