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亳州交控智能零碳光储直柔停车场砌块采购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三、分项报价表；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四、资格审查资料；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（3）响应文件装订应牢固、不易拆散和换页。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亳州交控智能零碳光储直柔停车场砌块采购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247527834"/>
      <w:bookmarkStart w:id="2" w:name="_Toc152042583"/>
      <w:bookmarkStart w:id="3" w:name="_Toc300835216"/>
      <w:bookmarkStart w:id="4" w:name="_Toc152045794"/>
      <w:bookmarkStart w:id="5" w:name="_Toc24751428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安徽通康建设工程有限公司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亳州交控智能零碳光储直柔停车场砌块采购</w:t>
      </w:r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亳州交控智能零碳光储直柔停车场砌块采购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询价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0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13%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三个月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（暂定），质量标准：符合国家、地方、行业现行相关规范合格标准。</w:t>
      </w:r>
      <w:permEnd w:id="0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（一）报价函；（二）法定代表人（单位负责人）身份证明（三）分项报价表；（四）资格审查资料；（五）其他资料。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分项报价表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1.分项报价表说明</w:t>
      </w: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2.分项报价表</w:t>
      </w:r>
    </w:p>
    <w:tbl>
      <w:tblPr>
        <w:tblStyle w:val="15"/>
        <w:tblW w:w="8394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3271"/>
        <w:gridCol w:w="1012"/>
        <w:gridCol w:w="1207"/>
        <w:gridCol w:w="1368"/>
        <w:gridCol w:w="9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839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亳州交控智能零碳光储直柔能源站项目砌块清单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编号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材料用量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含税单价，税率：13%</w:t>
            </w: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含税合价（元）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标准砖 240×115×53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百块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911.342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混凝土实心砖 MU20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百块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31.207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加气混凝土砌块 600×240×200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1793.782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非承重蒸压砂加气混凝土砌块 B07</w:t>
            </w:r>
          </w:p>
        </w:tc>
        <w:tc>
          <w:tcPr>
            <w:tcW w:w="10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块</w:t>
            </w:r>
          </w:p>
        </w:tc>
        <w:tc>
          <w:tcPr>
            <w:tcW w:w="1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4806.748</w:t>
            </w:r>
          </w:p>
        </w:tc>
        <w:tc>
          <w:tcPr>
            <w:tcW w:w="13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03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6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ind w:firstLine="400" w:firstLineChars="200"/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合计：   </w:t>
            </w:r>
          </w:p>
        </w:tc>
      </w:tr>
    </w:tbl>
    <w:p>
      <w:pPr>
        <w:numPr>
          <w:ilvl w:val="0"/>
          <w:numId w:val="0"/>
        </w:numPr>
        <w:rPr>
          <w:rFonts w:hint="eastAsia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default" w:ascii="Times New Roman" w:hAnsi="Times New Roman" w:cs="Times New Roman"/>
          <w:lang w:val="en-US" w:eastAsia="zh-CN"/>
        </w:rPr>
      </w:pPr>
    </w:p>
    <w:p>
      <w:pPr>
        <w:ind w:firstLine="420" w:firstLineChars="200"/>
        <w:rPr>
          <w:rFonts w:hint="eastAsia" w:ascii="Times New Roman" w:hAnsi="Times New Roman" w:cs="Times New Roman"/>
          <w:lang w:val="en-US" w:eastAsia="zh-CN"/>
        </w:rPr>
      </w:pPr>
      <w:r>
        <w:rPr>
          <w:rFonts w:hint="eastAsia" w:ascii="Times New Roman" w:hAnsi="Times New Roman" w:cs="Times New Roman"/>
          <w:lang w:val="en-US" w:eastAsia="zh-CN"/>
        </w:rPr>
        <w:t>注：供应商可根据行业具体情况及采购项目特点对上表格式进行调整。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1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注：1.提供供应商营业执照的复印件或扫描件，并加盖供应商单位公章；2.提供招标人要求的业绩证明材料的复印件或扫描件，并加盖供应商单位公章；</w:t>
      </w:r>
      <w:permEnd w:id="1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五、其他资料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2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注：1.提供供应商信用中国的证明材料复印件或扫描件，并加盖供应商单位公章；</w:t>
      </w:r>
      <w:permEnd w:id="2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8727AC8-FB90-41D9-8292-DA145A16283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2" w:fontKey="{EDC37A4D-E34C-4445-95C9-86B7BA065118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50FA3678-AAA7-4AB1-A8FE-21F5D357BA1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20ED284F-D55C-46CB-980D-D976A64D67FD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xZGZjMjY1Yzg3ODkzMGUzYTYyMjQ3ZWIyZWU4YjI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9F4E0B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455AD9"/>
    <w:rsid w:val="26506FAD"/>
    <w:rsid w:val="26617429"/>
    <w:rsid w:val="26645CEF"/>
    <w:rsid w:val="26656277"/>
    <w:rsid w:val="26663117"/>
    <w:rsid w:val="26691540"/>
    <w:rsid w:val="2673017F"/>
    <w:rsid w:val="267434B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7D4F54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4126AB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9427ED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053E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28">
    <w:name w:val="font81"/>
    <w:basedOn w:val="17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1524</Words>
  <Characters>1549</Characters>
  <Lines>0</Lines>
  <Paragraphs>0</Paragraphs>
  <TotalTime>3</TotalTime>
  <ScaleCrop>false</ScaleCrop>
  <LinksUpToDate>false</LinksUpToDate>
  <CharactersWithSpaces>2397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溺小夜</cp:lastModifiedBy>
  <cp:lastPrinted>2021-03-03T02:52:00Z</cp:lastPrinted>
  <dcterms:modified xsi:type="dcterms:W3CDTF">2023-12-28T01:58:43Z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E2CB090A92CA4F34AC5824E49CC36B1F</vt:lpwstr>
  </property>
</Properties>
</file>