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S309一级公路养护工程（应急工程）水泥混凝土</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采购（二次）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041</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w:t>
      </w:r>
      <w:bookmarkStart w:id="6" w:name="_GoBack"/>
      <w:bookmarkEnd w:id="6"/>
      <w:r>
        <w:rPr>
          <w:rFonts w:hint="default" w:ascii="Times New Roman" w:hAnsi="Times New Roman" w:cs="Times New Roman"/>
          <w:highlight w:val="none"/>
          <w:lang w:val="en-US" w:eastAsia="zh-CN"/>
        </w:rPr>
        <w:t>；</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地址：亳州交通投资控股集团有限公司15楼开标室（药都路与希夷大道交叉口东北角15楼）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S309一级公路养护工程（应急工程）水泥混凝土采购（二次）</w:t>
            </w:r>
            <w:r>
              <w:rPr>
                <w:rFonts w:hint="eastAsia" w:ascii="Times New Roman" w:hAnsi="Times New Roman" w:cs="Times New Roman"/>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w:t>
            </w:r>
            <w:r>
              <w:rPr>
                <w:rFonts w:hint="default" w:ascii="Times New Roman" w:hAnsi="Times New Roman" w:cs="Times New Roman"/>
                <w:szCs w:val="21"/>
                <w:highlight w:val="none"/>
                <w:lang w:val="en-US" w:eastAsia="zh-CN"/>
              </w:rPr>
              <w:t>BZJK-20</w:t>
            </w:r>
            <w:r>
              <w:rPr>
                <w:rFonts w:hint="eastAsia" w:ascii="Times New Roman" w:hAnsi="Times New Roman" w:cs="Times New Roman"/>
                <w:szCs w:val="21"/>
                <w:highlight w:val="none"/>
                <w:lang w:val="en-US" w:eastAsia="zh-CN"/>
              </w:rPr>
              <w:t>23</w:t>
            </w:r>
            <w:r>
              <w:rPr>
                <w:rFonts w:hint="default" w:ascii="Times New Roman" w:hAnsi="Times New Roman" w:cs="Times New Roman"/>
                <w:szCs w:val="21"/>
                <w:highlight w:val="none"/>
                <w:lang w:val="en-US" w:eastAsia="zh-CN"/>
              </w:rPr>
              <w:t>-</w:t>
            </w:r>
            <w:r>
              <w:rPr>
                <w:rFonts w:hint="eastAsia" w:ascii="Times New Roman" w:hAnsi="Times New Roman" w:cs="Times New Roman"/>
                <w:szCs w:val="21"/>
                <w:highlight w:val="none"/>
                <w:lang w:val="en-US" w:eastAsia="zh-CN"/>
              </w:rPr>
              <w:t>041号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年1月2日15时00分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w:t>
            </w:r>
            <w:r>
              <w:rPr>
                <w:rFonts w:hint="eastAsia" w:ascii="Times New Roman" w:hAnsi="Times New Roman" w:cs="Times New Roman"/>
                <w:szCs w:val="21"/>
                <w:highlight w:val="none"/>
                <w:lang w:val="en-US" w:eastAsia="zh-CN"/>
              </w:rPr>
              <w:t>磋商</w:t>
            </w:r>
            <w:r>
              <w:rPr>
                <w:rFonts w:hint="default" w:ascii="Times New Roman" w:hAnsi="Times New Roman" w:cs="Times New Roman"/>
                <w:szCs w:val="21"/>
                <w:highlight w:val="none"/>
              </w:rPr>
              <w:t>会议，有效身份证件是指中华人民共和国第二代居民身份证，其他证明无效。</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44974862"/>
      <w:bookmarkStart w:id="1" w:name="_Toc300835216"/>
      <w:bookmarkStart w:id="2" w:name="_Toc247514286"/>
      <w:bookmarkStart w:id="3" w:name="_Toc247527834"/>
      <w:bookmarkStart w:id="4" w:name="_Toc152042583"/>
      <w:bookmarkStart w:id="5" w:name="_Toc152045794"/>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安徽通康建设工程有限公司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default" w:ascii="Times New Roman" w:hAnsi="Times New Roman" w:cs="Times New Roman"/>
          <w:szCs w:val="21"/>
          <w:lang w:val="en-US" w:eastAsia="zh-CN"/>
        </w:rPr>
        <w:t>S309一级公路养护工程（应急工程）水泥混凝土采购</w:t>
      </w:r>
      <w:r>
        <w:rPr>
          <w:rFonts w:hint="eastAsia" w:ascii="Times New Roman" w:hAnsi="Times New Roman" w:cs="Times New Roman"/>
          <w:szCs w:val="21"/>
          <w:lang w:val="en-US" w:eastAsia="zh-CN"/>
        </w:rPr>
        <w:t>（二次）</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default" w:ascii="Times New Roman" w:hAnsi="Times New Roman" w:cs="Times New Roman"/>
          <w:szCs w:val="21"/>
          <w:lang w:val="en-US" w:eastAsia="zh-CN"/>
        </w:rPr>
        <w:t>S309一级公路养护工程（应急工程）水泥混凝土采购</w:t>
      </w:r>
      <w:r>
        <w:rPr>
          <w:rFonts w:hint="eastAsia" w:ascii="Times New Roman" w:hAnsi="Times New Roman" w:cs="Times New Roman"/>
          <w:szCs w:val="21"/>
          <w:lang w:val="en-US" w:eastAsia="zh-CN"/>
        </w:rPr>
        <w:t>（二次）</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元每立方米</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元/m</w:t>
      </w:r>
      <w:r>
        <w:rPr>
          <w:rFonts w:hint="eastAsia" w:ascii="Times New Roman" w:hAnsi="Times New Roman" w:cs="Times New Roman"/>
          <w:szCs w:val="21"/>
          <w:u w:val="single"/>
          <w:vertAlign w:val="superscript"/>
          <w:lang w:val="en-US" w:eastAsia="zh-CN"/>
        </w:rPr>
        <w:t>3</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13%</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，供货期：自合同签订之日起</w:t>
      </w:r>
      <w:r>
        <w:rPr>
          <w:rFonts w:hint="eastAsia" w:ascii="Times New Roman" w:hAnsi="Times New Roman" w:cs="Times New Roman"/>
          <w:szCs w:val="21"/>
          <w:u w:val="single"/>
          <w:lang w:val="en-US" w:eastAsia="zh-CN"/>
        </w:rPr>
        <w:t>30</w:t>
      </w:r>
      <w:r>
        <w:rPr>
          <w:rFonts w:hint="eastAsia" w:ascii="Times New Roman" w:hAnsi="Times New Roman" w:cs="Times New Roman"/>
          <w:szCs w:val="21"/>
          <w:lang w:val="en-US" w:eastAsia="zh-CN"/>
        </w:rPr>
        <w:t>日历天，质量标准：符合国家、地方、行业现行相关规范合格标准。</w:t>
      </w:r>
      <w:permEnd w:id="3"/>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（一）报价函；（二）法定代表人（单位负责人）身份证明；（二）授权委托书；（三）分项报价表；（四）分项报价表；（五）资格审查资料；（六）其他资料。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pStyle w:val="3"/>
        <w:jc w:val="center"/>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tabs>
          <w:tab w:val="left" w:pos="720"/>
        </w:tabs>
        <w:spacing w:line="440" w:lineRule="exact"/>
        <w:jc w:val="right"/>
        <w:rPr>
          <w:rFonts w:hint="eastAsia"/>
          <w:lang w:val="en-US" w:eastAsia="zh-CN"/>
        </w:rPr>
      </w:pPr>
      <w:r>
        <w:rPr>
          <w:rFonts w:hint="eastAsia" w:ascii="Times New Roman" w:hAnsi="Times New Roman" w:cs="Times New Roman"/>
          <w:szCs w:val="21"/>
          <w:lang w:val="en-US" w:eastAsia="zh-CN"/>
        </w:rPr>
        <w:t>单位：人民币元，含13%增值税</w:t>
      </w:r>
    </w:p>
    <w:tbl>
      <w:tblPr>
        <w:tblStyle w:val="15"/>
        <w:tblW w:w="9595" w:type="dxa"/>
        <w:jc w:val="center"/>
        <w:tblLayout w:type="fixed"/>
        <w:tblCellMar>
          <w:top w:w="15" w:type="dxa"/>
          <w:left w:w="15" w:type="dxa"/>
          <w:bottom w:w="15" w:type="dxa"/>
          <w:right w:w="15" w:type="dxa"/>
        </w:tblCellMar>
      </w:tblPr>
      <w:tblGrid>
        <w:gridCol w:w="791"/>
        <w:gridCol w:w="2006"/>
        <w:gridCol w:w="2234"/>
        <w:gridCol w:w="1076"/>
        <w:gridCol w:w="1533"/>
        <w:gridCol w:w="1076"/>
        <w:gridCol w:w="879"/>
      </w:tblGrid>
      <w:tr>
        <w:tblPrEx>
          <w:tblCellMar>
            <w:top w:w="15" w:type="dxa"/>
            <w:left w:w="15" w:type="dxa"/>
            <w:bottom w:w="15" w:type="dxa"/>
            <w:right w:w="15" w:type="dxa"/>
          </w:tblCellMar>
        </w:tblPrEx>
        <w:trPr>
          <w:trHeight w:val="663" w:hRule="atLeast"/>
          <w:tblHeader/>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序号</w:t>
            </w:r>
          </w:p>
        </w:tc>
        <w:tc>
          <w:tcPr>
            <w:tcW w:w="200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材料名称</w:t>
            </w:r>
          </w:p>
        </w:tc>
        <w:tc>
          <w:tcPr>
            <w:tcW w:w="223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规格及型号</w:t>
            </w:r>
          </w:p>
        </w:tc>
        <w:tc>
          <w:tcPr>
            <w:tcW w:w="107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单位</w:t>
            </w:r>
          </w:p>
        </w:tc>
        <w:tc>
          <w:tcPr>
            <w:tcW w:w="153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hint="eastAsia" w:eastAsia="仿宋" w:cs="Times New Roman"/>
                <w:b/>
                <w:i w:val="0"/>
                <w:caps w:val="0"/>
                <w:spacing w:val="0"/>
                <w:w w:val="100"/>
                <w:sz w:val="24"/>
                <w:lang w:eastAsia="zh-CN"/>
              </w:rPr>
              <w:t>暂定</w:t>
            </w:r>
            <w:r>
              <w:rPr>
                <w:rFonts w:eastAsia="仿宋" w:cs="Times New Roman"/>
                <w:b/>
                <w:i w:val="0"/>
                <w:caps w:val="0"/>
                <w:spacing w:val="0"/>
                <w:w w:val="100"/>
                <w:sz w:val="24"/>
              </w:rPr>
              <w:t>数量</w:t>
            </w:r>
          </w:p>
        </w:tc>
        <w:tc>
          <w:tcPr>
            <w:tcW w:w="107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241" w:leftChars="0" w:hanging="241" w:hangingChars="100"/>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综合单</w:t>
            </w:r>
            <w:r>
              <w:rPr>
                <w:rFonts w:hint="eastAsia" w:eastAsia="仿宋" w:cs="Times New Roman"/>
                <w:b/>
                <w:i w:val="0"/>
                <w:caps w:val="0"/>
                <w:spacing w:val="0"/>
                <w:w w:val="100"/>
                <w:sz w:val="24"/>
                <w:lang w:eastAsia="zh-CN"/>
              </w:rPr>
              <w:t>价</w:t>
            </w:r>
            <w:r>
              <w:rPr>
                <w:rFonts w:eastAsia="仿宋" w:cs="Times New Roman"/>
                <w:b/>
                <w:i w:val="0"/>
                <w:caps w:val="0"/>
                <w:spacing w:val="0"/>
                <w:w w:val="100"/>
                <w:sz w:val="24"/>
              </w:rPr>
              <w:t>（元）</w:t>
            </w:r>
          </w:p>
        </w:tc>
        <w:tc>
          <w:tcPr>
            <w:tcW w:w="87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i w:val="0"/>
                <w:caps w:val="0"/>
                <w:spacing w:val="0"/>
                <w:w w:val="100"/>
                <w:sz w:val="24"/>
              </w:rPr>
            </w:pPr>
            <w:r>
              <w:rPr>
                <w:rFonts w:eastAsia="仿宋" w:cs="Times New Roman"/>
                <w:b/>
                <w:i w:val="0"/>
                <w:caps w:val="0"/>
                <w:spacing w:val="0"/>
                <w:w w:val="100"/>
                <w:sz w:val="24"/>
              </w:rPr>
              <w:t>总价（元）</w:t>
            </w:r>
          </w:p>
        </w:tc>
      </w:tr>
      <w:tr>
        <w:tblPrEx>
          <w:tblCellMar>
            <w:top w:w="15" w:type="dxa"/>
            <w:left w:w="15" w:type="dxa"/>
            <w:bottom w:w="15" w:type="dxa"/>
            <w:right w:w="15" w:type="dxa"/>
          </w:tblCellMar>
        </w:tblPrEx>
        <w:trPr>
          <w:trHeight w:val="1175"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ind w:left="0" w:leftChars="0" w:firstLine="0" w:firstLineChars="0"/>
              <w:jc w:val="center"/>
              <w:textAlignment w:val="baseline"/>
              <w:rPr>
                <w:rFonts w:eastAsia="仿宋" w:cs="Times New Roman"/>
                <w:b w:val="0"/>
                <w:i w:val="0"/>
                <w:caps w:val="0"/>
                <w:color w:val="000000"/>
                <w:spacing w:val="0"/>
                <w:w w:val="100"/>
                <w:sz w:val="24"/>
              </w:rPr>
            </w:pPr>
            <w:r>
              <w:rPr>
                <w:rFonts w:eastAsia="仿宋" w:cs="Times New Roman"/>
                <w:b w:val="0"/>
                <w:i w:val="0"/>
                <w:caps w:val="0"/>
                <w:color w:val="000000"/>
                <w:spacing w:val="0"/>
                <w:w w:val="100"/>
                <w:sz w:val="24"/>
              </w:rPr>
              <w:t>1</w:t>
            </w:r>
          </w:p>
        </w:tc>
        <w:tc>
          <w:tcPr>
            <w:tcW w:w="200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eastAsia="仿宋_GB2312" w:cs="仿宋_GB2312"/>
                <w:b w:val="0"/>
                <w:i w:val="0"/>
                <w:caps w:val="0"/>
                <w:color w:val="000000"/>
                <w:spacing w:val="0"/>
                <w:w w:val="100"/>
                <w:kern w:val="0"/>
                <w:sz w:val="32"/>
                <w:szCs w:val="32"/>
              </w:rPr>
              <w:t>混凝土</w:t>
            </w:r>
          </w:p>
        </w:tc>
        <w:tc>
          <w:tcPr>
            <w:tcW w:w="223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eastAsia" w:ascii="仿宋_GB2312" w:hAnsi="仿宋_GB2312" w:eastAsia="仿宋_GB2312" w:cs="仿宋_GB2312"/>
                <w:b w:val="0"/>
                <w:i w:val="0"/>
                <w:caps w:val="0"/>
                <w:color w:val="000000"/>
                <w:spacing w:val="0"/>
                <w:w w:val="100"/>
                <w:sz w:val="32"/>
                <w:szCs w:val="32"/>
              </w:rPr>
            </w:pPr>
            <w:r>
              <w:rPr>
                <w:rFonts w:hint="eastAsia" w:ascii="仿宋_GB2312" w:hAnsi="仿宋_GB2312" w:cs="仿宋_GB2312"/>
                <w:b w:val="0"/>
                <w:i w:val="0"/>
                <w:caps w:val="0"/>
                <w:color w:val="000000"/>
                <w:spacing w:val="0"/>
                <w:w w:val="100"/>
                <w:kern w:val="0"/>
                <w:sz w:val="32"/>
                <w:szCs w:val="32"/>
                <w:lang w:val="en-US" w:eastAsia="zh-CN"/>
              </w:rPr>
              <w:t>C20</w:t>
            </w:r>
          </w:p>
        </w:tc>
        <w:tc>
          <w:tcPr>
            <w:tcW w:w="10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仿宋_GB2312" w:hAnsi="仿宋_GB2312" w:cs="仿宋_GB2312"/>
                <w:b w:val="0"/>
                <w:i w:val="0"/>
                <w:spacing w:val="0"/>
                <w:w w:val="100"/>
                <w:sz w:val="32"/>
                <w:szCs w:val="32"/>
                <w:lang w:val="en-US" w:eastAsia="zh-CN"/>
              </w:rPr>
              <w:t>m³</w:t>
            </w:r>
          </w:p>
        </w:tc>
        <w:tc>
          <w:tcPr>
            <w:tcW w:w="153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仿宋_GB2312" w:hAnsi="仿宋_GB2312" w:cs="仿宋_GB2312"/>
                <w:b w:val="0"/>
                <w:i w:val="0"/>
                <w:caps w:val="0"/>
                <w:spacing w:val="0"/>
                <w:w w:val="100"/>
                <w:sz w:val="32"/>
                <w:szCs w:val="32"/>
                <w:lang w:val="en-US" w:eastAsia="zh-CN"/>
              </w:rPr>
              <w:t>1200</w:t>
            </w:r>
          </w:p>
        </w:tc>
        <w:tc>
          <w:tcPr>
            <w:tcW w:w="10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ind w:left="0" w:leftChars="0" w:firstLine="0" w:firstLineChars="0"/>
              <w:jc w:val="center"/>
              <w:textAlignment w:val="baseline"/>
              <w:rPr>
                <w:rFonts w:hint="default" w:ascii="仿宋_GB2312" w:hAnsi="仿宋_GB2312" w:eastAsia="仿宋_GB2312" w:cs="仿宋_GB2312"/>
                <w:b w:val="0"/>
                <w:i w:val="0"/>
                <w:caps w:val="0"/>
                <w:spacing w:val="0"/>
                <w:w w:val="100"/>
                <w:sz w:val="32"/>
                <w:szCs w:val="32"/>
                <w:lang w:val="en-US" w:eastAsia="zh-CN"/>
              </w:rPr>
            </w:pPr>
          </w:p>
        </w:tc>
        <w:tc>
          <w:tcPr>
            <w:tcW w:w="87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before="0" w:beforeAutospacing="0" w:after="0" w:afterAutospacing="0" w:line="440" w:lineRule="exact"/>
              <w:jc w:val="center"/>
              <w:textAlignment w:val="baseline"/>
              <w:rPr>
                <w:rFonts w:hint="eastAsia" w:ascii="仿宋_GB2312" w:hAnsi="仿宋_GB2312" w:eastAsia="仿宋_GB2312" w:cs="仿宋_GB2312"/>
                <w:b w:val="0"/>
                <w:i w:val="0"/>
                <w:caps w:val="0"/>
                <w:color w:val="000000"/>
                <w:spacing w:val="0"/>
                <w:w w:val="100"/>
                <w:sz w:val="32"/>
                <w:szCs w:val="32"/>
                <w:lang w:val="en-US" w:eastAsia="zh-CN"/>
              </w:rPr>
            </w:pPr>
          </w:p>
        </w:tc>
      </w:tr>
      <w:tr>
        <w:tblPrEx>
          <w:tblCellMar>
            <w:top w:w="15" w:type="dxa"/>
            <w:left w:w="15" w:type="dxa"/>
            <w:bottom w:w="15" w:type="dxa"/>
            <w:right w:w="15" w:type="dxa"/>
          </w:tblCellMar>
        </w:tblPrEx>
        <w:trPr>
          <w:trHeight w:val="673"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eastAsia="仿宋" w:cs="Times New Roman"/>
                <w:b w:val="0"/>
                <w:i w:val="0"/>
                <w:caps w:val="0"/>
                <w:color w:val="000000"/>
                <w:spacing w:val="0"/>
                <w:w w:val="100"/>
                <w:sz w:val="24"/>
              </w:rPr>
            </w:pPr>
          </w:p>
        </w:tc>
        <w:tc>
          <w:tcPr>
            <w:tcW w:w="200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i w:val="0"/>
                <w:caps w:val="0"/>
                <w:color w:val="000000"/>
                <w:spacing w:val="0"/>
                <w:w w:val="100"/>
                <w:sz w:val="32"/>
                <w:szCs w:val="32"/>
              </w:rPr>
            </w:pPr>
            <w:r>
              <w:rPr>
                <w:rFonts w:hint="eastAsia" w:ascii="仿宋_GB2312" w:hAnsi="仿宋_GB2312" w:eastAsia="仿宋_GB2312" w:cs="仿宋_GB2312"/>
                <w:b/>
                <w:i w:val="0"/>
                <w:caps w:val="0"/>
                <w:color w:val="000000"/>
                <w:spacing w:val="0"/>
                <w:w w:val="100"/>
                <w:sz w:val="32"/>
                <w:szCs w:val="32"/>
              </w:rPr>
              <w:t>合计</w:t>
            </w:r>
          </w:p>
        </w:tc>
        <w:tc>
          <w:tcPr>
            <w:tcW w:w="223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color w:val="000000"/>
                <w:spacing w:val="0"/>
                <w:w w:val="100"/>
                <w:sz w:val="32"/>
                <w:szCs w:val="32"/>
              </w:rPr>
            </w:pPr>
          </w:p>
        </w:tc>
        <w:tc>
          <w:tcPr>
            <w:tcW w:w="107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color w:val="000000"/>
                <w:spacing w:val="0"/>
                <w:w w:val="100"/>
                <w:sz w:val="32"/>
                <w:szCs w:val="32"/>
              </w:rPr>
            </w:pPr>
          </w:p>
        </w:tc>
        <w:tc>
          <w:tcPr>
            <w:tcW w:w="1533"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color w:val="000000"/>
                <w:spacing w:val="0"/>
                <w:w w:val="100"/>
                <w:sz w:val="32"/>
                <w:szCs w:val="32"/>
              </w:rPr>
            </w:pPr>
          </w:p>
        </w:tc>
        <w:tc>
          <w:tcPr>
            <w:tcW w:w="107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spacing w:val="0"/>
                <w:w w:val="100"/>
                <w:sz w:val="32"/>
                <w:szCs w:val="32"/>
              </w:rPr>
            </w:pPr>
          </w:p>
        </w:tc>
        <w:tc>
          <w:tcPr>
            <w:tcW w:w="87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Fonts w:hint="eastAsia" w:ascii="仿宋_GB2312" w:hAnsi="仿宋_GB2312" w:eastAsia="仿宋_GB2312" w:cs="仿宋_GB2312"/>
                <w:b w:val="0"/>
                <w:i w:val="0"/>
                <w:caps w:val="0"/>
                <w:spacing w:val="0"/>
                <w:w w:val="100"/>
                <w:sz w:val="32"/>
                <w:szCs w:val="32"/>
                <w:lang w:val="en-US" w:eastAsia="zh-CN"/>
              </w:rPr>
            </w:pPr>
          </w:p>
        </w:tc>
      </w:tr>
    </w:tbl>
    <w:p>
      <w:pPr>
        <w:ind w:firstLine="420" w:firstLineChars="200"/>
        <w:rPr>
          <w:rFonts w:hint="default"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注：1.提供供应商营业执照的复印件或扫描件，加盖供应商单位公章</w:t>
      </w:r>
    </w:p>
    <w:p>
      <w:pPr>
        <w:topLinePunct/>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2.供应商须具备预拌商品混凝土专业承包不分等级建筑业企业资质证书,加盖供应商单位公章。</w:t>
      </w:r>
      <w:permEnd w:id="4"/>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58F83CF-4AC5-4C21-8746-2C85662821E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6A33DD7F-3C20-4D50-BC6E-D564F1BA75D5}"/>
  </w:font>
  <w:font w:name="方正小标宋简体">
    <w:panose1 w:val="03000509000000000000"/>
    <w:charset w:val="86"/>
    <w:family w:val="auto"/>
    <w:pitch w:val="default"/>
    <w:sig w:usb0="00000001" w:usb1="080E0000" w:usb2="00000000" w:usb3="00000000" w:csb0="00040000" w:csb1="00000000"/>
    <w:embedRegular r:id="rId3" w:fontKey="{8C253281-D4AB-4EA4-AC16-44F8B0F92E66}"/>
  </w:font>
  <w:font w:name="楷体">
    <w:panose1 w:val="02010609060101010101"/>
    <w:charset w:val="86"/>
    <w:family w:val="auto"/>
    <w:pitch w:val="default"/>
    <w:sig w:usb0="800002BF" w:usb1="38CF7CFA" w:usb2="00000016" w:usb3="00000000" w:csb0="00040001" w:csb1="00000000"/>
    <w:embedRegular r:id="rId4" w:fontKey="{BBD33A94-B1D1-4438-BB13-C871C29703FB}"/>
  </w:font>
  <w:font w:name="仿宋">
    <w:panose1 w:val="02010609060101010101"/>
    <w:charset w:val="86"/>
    <w:family w:val="modern"/>
    <w:pitch w:val="default"/>
    <w:sig w:usb0="800002BF" w:usb1="38CF7CFA" w:usb2="00000016" w:usb3="00000000" w:csb0="00040001" w:csb1="00000000"/>
    <w:embedRegular r:id="rId5" w:fontKey="{750F24B3-267D-4021-8BEA-4DB2CCFA8DD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xZGZjMjY1Yzg3ODkzMGUzYTYyMjQ3ZWIyZWU4YjI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094E41"/>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7E60BAF"/>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747BB"/>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858CE"/>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8B0386"/>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496B07"/>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BF2488"/>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33B40"/>
    <w:rsid w:val="30EE0209"/>
    <w:rsid w:val="30F002EF"/>
    <w:rsid w:val="30FF4D69"/>
    <w:rsid w:val="31031D74"/>
    <w:rsid w:val="3113559B"/>
    <w:rsid w:val="311978DB"/>
    <w:rsid w:val="311C5E6A"/>
    <w:rsid w:val="312421F6"/>
    <w:rsid w:val="3127420C"/>
    <w:rsid w:val="31277147"/>
    <w:rsid w:val="31477BEB"/>
    <w:rsid w:val="315523B1"/>
    <w:rsid w:val="315F79F9"/>
    <w:rsid w:val="317A4765"/>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6801A3"/>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1C08A9"/>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4F3020"/>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9F186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DFD7CD4"/>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996B95"/>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55C1E"/>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4669D3"/>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0D61B3"/>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1524</Words>
  <Characters>1549</Characters>
  <Lines>0</Lines>
  <Paragraphs>0</Paragraphs>
  <TotalTime>1</TotalTime>
  <ScaleCrop>false</ScaleCrop>
  <LinksUpToDate>false</LinksUpToDate>
  <CharactersWithSpaces>2397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2023-12-01T02:24:00Z</cp:lastPrinted>
  <dcterms:modified xsi:type="dcterms:W3CDTF">2023-12-28T01:24:12Z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E2CB090A92CA4F34AC5824E49CC36B1F</vt:lpwstr>
  </property>
</Properties>
</file>