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亳州市公共交通集团有限公司公交车轮胎采购项目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045</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亳州市公共交通集团有限公司公交车轮胎采购项目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2295"/>
      <w:bookmarkStart w:id="2" w:name="_Toc247085680"/>
      <w:bookmarkStart w:id="3" w:name="_Toc144974487"/>
      <w:bookmarkStart w:id="4" w:name="_Toc246996166"/>
      <w:bookmarkStart w:id="5" w:name="_Toc152045519"/>
      <w:bookmarkStart w:id="6" w:name="_Toc246996909"/>
      <w:bookmarkStart w:id="7" w:name="_Toc179632536"/>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52042296"/>
      <w:bookmarkStart w:id="10" w:name="_Toc179632537"/>
      <w:bookmarkStart w:id="11" w:name="_Toc152045520"/>
      <w:bookmarkStart w:id="12" w:name="_Toc247085681"/>
      <w:bookmarkStart w:id="13" w:name="_Toc296602411"/>
      <w:bookmarkStart w:id="14" w:name="_Toc246996167"/>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亳州市公共交通集团有限公司公交车轮胎采购项目</w:t>
      </w:r>
    </w:p>
    <w:permEnd w:id="4"/>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5" w:edGrp="everyone"/>
      <w:r>
        <w:rPr>
          <w:rFonts w:hint="eastAsia" w:asciiTheme="minorEastAsia" w:hAnsiTheme="minorEastAsia" w:eastAsiaTheme="minorEastAsia" w:cstheme="minorEastAsia"/>
          <w:sz w:val="28"/>
          <w:szCs w:val="28"/>
          <w:highlight w:val="none"/>
          <w:lang w:val="en-US" w:eastAsia="zh-CN"/>
        </w:rPr>
        <w:t>BZJK-2023-</w:t>
      </w:r>
      <w:r>
        <w:rPr>
          <w:rFonts w:hint="eastAsia" w:asciiTheme="minorEastAsia" w:hAnsiTheme="minorEastAsia" w:cstheme="minorEastAsia"/>
          <w:sz w:val="28"/>
          <w:szCs w:val="28"/>
          <w:highlight w:val="none"/>
          <w:lang w:val="en-US" w:eastAsia="zh-CN"/>
        </w:rPr>
        <w:t>045</w:t>
      </w:r>
      <w:r>
        <w:rPr>
          <w:rFonts w:hint="eastAsia" w:asciiTheme="minorEastAsia" w:hAnsiTheme="minorEastAsia" w:eastAsiaTheme="minorEastAsia" w:cstheme="minorEastAsia"/>
          <w:sz w:val="28"/>
          <w:szCs w:val="28"/>
          <w:highlight w:val="none"/>
          <w:lang w:val="en-US" w:eastAsia="zh-CN"/>
        </w:rPr>
        <w:t xml:space="preserve">号 </w:t>
      </w:r>
      <w:permEnd w:id="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eastAsia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亳州市公共交通集团有限公</w:t>
      </w:r>
      <w:r>
        <w:rPr>
          <w:rFonts w:hint="eastAsia" w:asciiTheme="minorEastAsia" w:hAnsiTheme="minorEastAsia" w:cstheme="minorEastAsia"/>
          <w:sz w:val="28"/>
          <w:szCs w:val="28"/>
          <w:highlight w:val="none"/>
          <w:lang w:val="en-US" w:eastAsia="zh-CN"/>
        </w:rPr>
        <w:t>司</w:t>
      </w:r>
    </w:p>
    <w:permEnd w:id="7"/>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permStart w:id="8" w:edGrp="everyone"/>
      <w:r>
        <w:rPr>
          <w:rFonts w:hint="eastAsia" w:asciiTheme="minorEastAsia" w:hAnsiTheme="minorEastAsia" w:cstheme="minorEastAsia"/>
          <w:color w:val="auto"/>
          <w:sz w:val="28"/>
          <w:szCs w:val="28"/>
          <w:highlight w:val="none"/>
          <w:lang w:val="en-US" w:eastAsia="zh-CN"/>
        </w:rPr>
        <w:t>因公交车实际使用需要，我公司拟对在用的公交车辆轮胎进行2024年度公开招标采购，年预估费用约50万元，按照我公司零库存管理模式，分批供货，以实际供货量为准进行结算。</w:t>
      </w:r>
      <w:permEnd w:id="8"/>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permStart w:id="9" w:edGrp="everyone"/>
      <w:r>
        <w:rPr>
          <w:rFonts w:hint="eastAsia" w:asciiTheme="minorEastAsia" w:hAnsiTheme="minorEastAsia" w:cstheme="minorEastAsia"/>
          <w:color w:val="auto"/>
          <w:sz w:val="28"/>
          <w:szCs w:val="28"/>
          <w:highlight w:val="none"/>
          <w:lang w:val="en-US" w:eastAsia="zh-CN"/>
        </w:rPr>
        <w:t>为招标人提供</w:t>
      </w:r>
      <w:r>
        <w:rPr>
          <w:rFonts w:hint="eastAsia" w:asciiTheme="minorEastAsia" w:hAnsiTheme="minorEastAsia" w:eastAsiaTheme="minorEastAsia" w:cstheme="minorEastAsia"/>
          <w:b/>
          <w:bCs/>
          <w:color w:val="auto"/>
          <w:sz w:val="28"/>
          <w:szCs w:val="28"/>
          <w:highlight w:val="none"/>
          <w:u w:val="none"/>
          <w:lang w:val="en-US" w:eastAsia="zh-CN"/>
        </w:rPr>
        <w:t>825R20-16</w:t>
      </w:r>
      <w:r>
        <w:rPr>
          <w:rFonts w:hint="eastAsia" w:asciiTheme="minorEastAsia" w:hAnsiTheme="minorEastAsia" w:cstheme="minorEastAsia"/>
          <w:b/>
          <w:bCs/>
          <w:color w:val="auto"/>
          <w:sz w:val="28"/>
          <w:szCs w:val="28"/>
          <w:highlight w:val="none"/>
          <w:u w:val="none"/>
          <w:lang w:val="en-US" w:eastAsia="zh-CN"/>
        </w:rPr>
        <w:t>、245/70R19.5-18、215/75R17.5-16三种型号</w:t>
      </w:r>
      <w:r>
        <w:rPr>
          <w:rFonts w:hint="eastAsia" w:asciiTheme="minorEastAsia" w:hAnsiTheme="minorEastAsia" w:cstheme="minorEastAsia"/>
          <w:color w:val="auto"/>
          <w:sz w:val="28"/>
          <w:szCs w:val="28"/>
          <w:highlight w:val="none"/>
          <w:lang w:val="en-US" w:eastAsia="zh-CN"/>
        </w:rPr>
        <w:t>公交车轮胎，包括但不限于产品的包装、运输、保险、装卸、验收、保修等工作内容，具体轮胎型号、规格、预估数量等详见招标文件第五章供货要求。</w:t>
      </w:r>
      <w:permEnd w:id="9"/>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符合国家、地方、行业现行相关规范合格标准，符合招标文件</w:t>
      </w:r>
      <w:r>
        <w:rPr>
          <w:rFonts w:hint="eastAsia" w:asciiTheme="minorEastAsia" w:hAnsiTheme="minorEastAsia" w:cstheme="minorEastAsia"/>
          <w:sz w:val="28"/>
          <w:szCs w:val="28"/>
          <w:highlight w:val="none"/>
          <w:lang w:val="en-US" w:eastAsia="zh-CN"/>
        </w:rPr>
        <w:t>第五章</w:t>
      </w:r>
      <w:r>
        <w:rPr>
          <w:rFonts w:hint="eastAsia" w:asciiTheme="minorEastAsia" w:hAnsiTheme="minorEastAsia" w:eastAsiaTheme="minorEastAsia" w:cstheme="minorEastAsia"/>
          <w:sz w:val="28"/>
          <w:szCs w:val="28"/>
          <w:highlight w:val="none"/>
          <w:lang w:val="en-US" w:eastAsia="zh-CN"/>
        </w:rPr>
        <w:t>供货要求</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（四）交货地点和期限：</w:t>
      </w:r>
      <w:permStart w:id="11" w:edGrp="everyone"/>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招标人指定地点。</w:t>
      </w:r>
      <w:r>
        <w:rPr>
          <w:rFonts w:hint="eastAsia" w:asciiTheme="minorEastAsia" w:hAnsiTheme="minorEastAsia" w:cstheme="minorEastAsia"/>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标人应于收到招标人订单通知后3个工作日内完成供货。</w:t>
      </w:r>
    </w:p>
    <w:permEnd w:id="11"/>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（含税13%）</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825R20-16型号轮胎最高</w:t>
      </w:r>
      <w:r>
        <w:rPr>
          <w:rFonts w:hint="eastAsia" w:asciiTheme="minorEastAsia" w:hAnsiTheme="minorEastAsia" w:cstheme="minorEastAsia"/>
          <w:sz w:val="28"/>
          <w:szCs w:val="28"/>
          <w:highlight w:val="none"/>
          <w:u w:val="none"/>
          <w:lang w:val="en-US" w:eastAsia="zh-CN"/>
        </w:rPr>
        <w:t>投标</w:t>
      </w:r>
      <w:r>
        <w:rPr>
          <w:rFonts w:hint="eastAsia" w:asciiTheme="minorEastAsia" w:hAnsiTheme="minorEastAsia" w:eastAsiaTheme="minorEastAsia" w:cstheme="minorEastAsia"/>
          <w:sz w:val="28"/>
          <w:szCs w:val="28"/>
          <w:highlight w:val="none"/>
          <w:u w:val="none"/>
          <w:lang w:val="en-US" w:eastAsia="zh-CN"/>
        </w:rPr>
        <w:t>限价1060元每条、245/70R19.5-18型号轮胎最高</w:t>
      </w:r>
      <w:r>
        <w:rPr>
          <w:rFonts w:hint="eastAsia" w:asciiTheme="minorEastAsia" w:hAnsiTheme="minorEastAsia" w:cstheme="minorEastAsia"/>
          <w:sz w:val="28"/>
          <w:szCs w:val="28"/>
          <w:highlight w:val="none"/>
          <w:u w:val="none"/>
          <w:lang w:val="en-US" w:eastAsia="zh-CN"/>
        </w:rPr>
        <w:t>投标</w:t>
      </w:r>
      <w:r>
        <w:rPr>
          <w:rFonts w:hint="eastAsia" w:asciiTheme="minorEastAsia" w:hAnsiTheme="minorEastAsia" w:eastAsiaTheme="minorEastAsia" w:cstheme="minorEastAsia"/>
          <w:sz w:val="28"/>
          <w:szCs w:val="28"/>
          <w:highlight w:val="none"/>
          <w:u w:val="none"/>
          <w:lang w:val="en-US" w:eastAsia="zh-CN"/>
        </w:rPr>
        <w:t>限价855元每条、215/75R17.5-16型号轮胎最高</w:t>
      </w:r>
      <w:r>
        <w:rPr>
          <w:rFonts w:hint="eastAsia" w:asciiTheme="minorEastAsia" w:hAnsiTheme="minorEastAsia" w:cstheme="minorEastAsia"/>
          <w:sz w:val="28"/>
          <w:szCs w:val="28"/>
          <w:highlight w:val="none"/>
          <w:u w:val="none"/>
          <w:lang w:val="en-US" w:eastAsia="zh-CN"/>
        </w:rPr>
        <w:t>投标</w:t>
      </w:r>
      <w:r>
        <w:rPr>
          <w:rFonts w:hint="eastAsia" w:asciiTheme="minorEastAsia" w:hAnsiTheme="minorEastAsia" w:eastAsiaTheme="minorEastAsia" w:cstheme="minorEastAsia"/>
          <w:sz w:val="28"/>
          <w:szCs w:val="28"/>
          <w:highlight w:val="none"/>
          <w:u w:val="none"/>
          <w:lang w:val="en-US" w:eastAsia="zh-CN"/>
        </w:rPr>
        <w:t>限价755元每条</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color w:val="FF0000"/>
          <w:sz w:val="28"/>
          <w:szCs w:val="28"/>
          <w:highlight w:val="none"/>
          <w:u w:val="single"/>
          <w:lang w:val="en-US" w:eastAsia="zh-CN"/>
        </w:rPr>
        <w:t>固定单价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7" w:edGrp="everyone"/>
      <w:r>
        <w:rPr>
          <w:rFonts w:hint="eastAsia" w:asciiTheme="minorEastAsia" w:hAnsiTheme="minorEastAsia" w:cstheme="minorEastAsia"/>
          <w:sz w:val="28"/>
          <w:szCs w:val="28"/>
          <w:highlight w:val="none"/>
          <w:u w:val="single"/>
          <w:lang w:val="en-US" w:eastAsia="zh-CN"/>
        </w:rPr>
        <w:t>2021</w:t>
      </w:r>
      <w:permEnd w:id="17"/>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8" w:edGrp="everyone"/>
      <w:r>
        <w:rPr>
          <w:rFonts w:hint="eastAsia" w:asciiTheme="minorEastAsia" w:hAnsiTheme="minorEastAsia" w:cstheme="minorEastAsia"/>
          <w:sz w:val="28"/>
          <w:szCs w:val="28"/>
          <w:highlight w:val="none"/>
          <w:u w:val="single"/>
          <w:lang w:val="en-US" w:eastAsia="zh-CN"/>
        </w:rPr>
        <w:t>每年不少于1</w:t>
      </w:r>
      <w:bookmarkStart w:id="486" w:name="_GoBack"/>
      <w:bookmarkEnd w:id="486"/>
      <w:r>
        <w:rPr>
          <w:rFonts w:hint="eastAsia" w:asciiTheme="minorEastAsia" w:hAnsiTheme="minorEastAsia" w:cstheme="minorEastAsia"/>
          <w:sz w:val="28"/>
          <w:szCs w:val="28"/>
          <w:highlight w:val="none"/>
          <w:u w:val="single"/>
          <w:lang w:val="en-US" w:eastAsia="zh-CN"/>
        </w:rPr>
        <w:t>个（共3个业绩，2021年、2022年、2023年每年1个业绩）</w:t>
      </w:r>
      <w:permEnd w:id="18"/>
      <w:r>
        <w:rPr>
          <w:rFonts w:hint="eastAsia" w:asciiTheme="minorEastAsia" w:hAnsiTheme="minorEastAsia" w:eastAsiaTheme="minorEastAsia" w:cstheme="minorEastAsia"/>
          <w:sz w:val="28"/>
          <w:szCs w:val="28"/>
          <w:highlight w:val="none"/>
          <w:lang w:val="en-US" w:eastAsia="zh-CN"/>
        </w:rPr>
        <w:t>，以</w:t>
      </w:r>
      <w:permStart w:id="19"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9"/>
      <w:r>
        <w:rPr>
          <w:rFonts w:hint="eastAsia" w:asciiTheme="minorEastAsia" w:hAnsiTheme="minorEastAsia" w:eastAsiaTheme="minorEastAsia" w:cstheme="minorEastAsia"/>
          <w:sz w:val="28"/>
          <w:szCs w:val="28"/>
          <w:highlight w:val="none"/>
          <w:lang w:val="en-US" w:eastAsia="zh-CN"/>
        </w:rPr>
        <w:t>为准。类似项目业绩指：</w:t>
      </w:r>
      <w:permStart w:id="20" w:edGrp="everyone"/>
      <w:r>
        <w:rPr>
          <w:rFonts w:hint="eastAsia" w:asciiTheme="minorEastAsia" w:hAnsiTheme="minorEastAsia" w:eastAsiaTheme="minorEastAsia" w:cstheme="minorEastAsia"/>
          <w:sz w:val="28"/>
          <w:szCs w:val="28"/>
          <w:highlight w:val="none"/>
          <w:u w:val="single"/>
          <w:lang w:val="en-US" w:eastAsia="zh-CN"/>
        </w:rPr>
        <w:t>单项合同金额不低于50万元的</w:t>
      </w:r>
      <w:r>
        <w:rPr>
          <w:rFonts w:hint="eastAsia" w:asciiTheme="minorEastAsia" w:hAnsiTheme="minorEastAsia" w:cstheme="minorEastAsia"/>
          <w:sz w:val="28"/>
          <w:szCs w:val="28"/>
          <w:highlight w:val="none"/>
          <w:u w:val="single"/>
          <w:lang w:val="en-US" w:eastAsia="zh-CN"/>
        </w:rPr>
        <w:t>类似</w:t>
      </w:r>
      <w:r>
        <w:rPr>
          <w:rFonts w:hint="eastAsia" w:asciiTheme="minorEastAsia" w:hAnsiTheme="minorEastAsia" w:eastAsiaTheme="minorEastAsia" w:cstheme="minorEastAsia"/>
          <w:sz w:val="28"/>
          <w:szCs w:val="28"/>
          <w:highlight w:val="none"/>
          <w:u w:val="single"/>
          <w:lang w:val="en-US" w:eastAsia="zh-CN"/>
        </w:rPr>
        <w:t>轮胎销售业绩</w:t>
      </w:r>
      <w:permEnd w:id="20"/>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21"/>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2" w:edGrp="everyone"/>
      <w:r>
        <w:rPr>
          <w:rFonts w:hint="eastAsia" w:asciiTheme="minorEastAsia" w:hAnsiTheme="minorEastAsia" w:eastAsiaTheme="minorEastAsia" w:cstheme="minorEastAsia"/>
          <w:color w:val="FF0000"/>
          <w:sz w:val="28"/>
          <w:szCs w:val="28"/>
          <w:highlight w:val="none"/>
          <w:lang w:val="en-US" w:eastAsia="zh-CN"/>
        </w:rPr>
        <w:t>不接受</w:t>
      </w:r>
      <w:permEnd w:id="22"/>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3" w:edGrp="everyone"/>
      <w:r>
        <w:rPr>
          <w:rFonts w:hint="eastAsia" w:asciiTheme="minorEastAsia" w:hAnsiTheme="minorEastAsia" w:cstheme="minorEastAsia"/>
          <w:sz w:val="28"/>
          <w:szCs w:val="28"/>
          <w:highlight w:val="none"/>
          <w:lang w:val="en-US" w:eastAsia="zh-CN"/>
        </w:rPr>
        <w:t xml:space="preserve"> \ </w:t>
      </w:r>
      <w:permEnd w:id="23"/>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permStart w:id="25" w:edGrp="everyone"/>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七</w:t>
      </w:r>
      <w:r>
        <w:rPr>
          <w:rFonts w:hint="eastAsia" w:asciiTheme="minorEastAsia" w:hAnsiTheme="minorEastAsia" w:eastAsiaTheme="minorEastAsia" w:cstheme="minorEastAsia"/>
          <w:color w:val="FF0000"/>
          <w:sz w:val="28"/>
          <w:szCs w:val="28"/>
          <w:highlight w:val="none"/>
          <w:lang w:val="en-US" w:eastAsia="zh-CN"/>
        </w:rPr>
        <w:t>）投标人应为制造商或制造商授权的区域代理经销商</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投标人为代理经销商的，需提供产品制造商针对本项目授权投标人投标的唯一授权书。一个制造商对同一品牌同一型号的设备或材料，仅能委托一个代理商参加投标。</w:t>
      </w:r>
      <w:permEnd w:id="2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cstheme="minorEastAsia"/>
          <w:color w:val="FF0000"/>
          <w:sz w:val="28"/>
          <w:szCs w:val="28"/>
          <w:highlight w:val="none"/>
          <w:lang w:val="en-US" w:eastAsia="zh-CN"/>
        </w:rPr>
        <w:t>不</w:t>
      </w:r>
      <w:r>
        <w:rPr>
          <w:rFonts w:hint="default" w:asciiTheme="minorEastAsia" w:hAnsiTheme="minorEastAsia" w:eastAsiaTheme="minorEastAsia" w:cstheme="minorEastAsia"/>
          <w:color w:val="FF0000"/>
          <w:sz w:val="28"/>
          <w:szCs w:val="28"/>
          <w:highlight w:val="none"/>
          <w:lang w:val="en-US" w:eastAsia="zh-CN"/>
        </w:rPr>
        <w:t>允许</w:t>
      </w:r>
      <w:permEnd w:id="2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default" w:asciiTheme="minorEastAsia" w:hAnsiTheme="minorEastAsia" w:eastAsiaTheme="minorEastAsia" w:cstheme="minorEastAsia"/>
          <w:sz w:val="28"/>
          <w:szCs w:val="28"/>
          <w:highlight w:val="none"/>
          <w:u w:val="single"/>
          <w:lang w:val="en-US" w:eastAsia="zh-CN"/>
        </w:rPr>
        <w:t>10000</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亳州市公共交通集团有限公司</w:t>
      </w:r>
    </w:p>
    <w:permEnd w:id="29"/>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 xml:space="preserve">亳州市谯城区药都大道1289号 </w:t>
      </w:r>
      <w:permEnd w:id="30"/>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 xml:space="preserve">石工 </w:t>
      </w:r>
      <w:permEnd w:id="31"/>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eastAsia" w:asciiTheme="minorEastAsia" w:hAnsiTheme="minorEastAsia" w:cstheme="minorEastAsia"/>
          <w:sz w:val="28"/>
          <w:szCs w:val="28"/>
          <w:highlight w:val="none"/>
          <w:lang w:val="en-US" w:eastAsia="zh-CN"/>
        </w:rPr>
        <w:t xml:space="preserve">0558-5278669  </w:t>
      </w:r>
      <w:permEnd w:id="32"/>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color w:val="auto"/>
          <w:sz w:val="28"/>
          <w:szCs w:val="28"/>
          <w:highlight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u w:val="single"/>
                <w:lang w:val="en-US" w:eastAsia="zh-CN"/>
              </w:rPr>
              <w:t>中标人收到招标人发出的订单通知后，应于3个工作日内完成交货。</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6" w:edGrp="everyone"/>
            <w:r>
              <w:rPr>
                <w:rFonts w:hint="eastAsia" w:hAnsi="宋体"/>
                <w:sz w:val="21"/>
                <w:szCs w:val="21"/>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8" w:edGrp="everyone"/>
            <w:r>
              <w:rPr>
                <w:rFonts w:hint="eastAsia" w:hAnsi="宋体"/>
                <w:sz w:val="21"/>
                <w:szCs w:val="21"/>
                <w:lang w:val="en-US" w:eastAsia="zh-CN"/>
              </w:rPr>
              <w:t xml:space="preserve">\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1" w:edGrp="everyone"/>
            <w:r>
              <w:rPr>
                <w:rFonts w:hint="eastAsia" w:hAnsi="宋体"/>
                <w:sz w:val="21"/>
                <w:szCs w:val="21"/>
                <w:lang w:val="en-US" w:eastAsia="zh-CN"/>
              </w:rPr>
              <w:t xml:space="preserve">详见第一章招标公告、第四章合同条款及格式、第五章供货要求。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2" w:edGrp="everyone"/>
            <w:r>
              <w:rPr>
                <w:rFonts w:hint="eastAsia" w:hAnsi="宋体"/>
                <w:sz w:val="21"/>
                <w:szCs w:val="21"/>
                <w:lang w:val="en-US" w:eastAsia="zh-CN"/>
              </w:rPr>
              <w:t xml:space="preserve">技术支持资料以制造商公开发布的印刷资料，政府部门出具的公告或文件，或检测机构出具的检测报告为准，其他形式的技术支持资料视为无效。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3" w:edGrp="everyone"/>
            <w:r>
              <w:rPr>
                <w:rFonts w:hint="eastAsia" w:ascii="Times New Roman" w:hAnsi="Times New Roman" w:cs="Times New Roman"/>
                <w:szCs w:val="21"/>
                <w:highlight w:val="none"/>
                <w:u w:val="single"/>
                <w:lang w:val="en-US" w:eastAsia="zh-CN"/>
              </w:rPr>
              <w:t xml:space="preserve">详见第一章招标公告。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rPr>
            </w:pPr>
            <w:permStart w:id="44"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5" w:edGrp="everyone"/>
            <w:r>
              <w:rPr>
                <w:rFonts w:hint="eastAsia" w:ascii="Times New Roman" w:hAnsi="Times New Roman" w:cs="Times New Roman"/>
                <w:color w:val="auto"/>
                <w:szCs w:val="21"/>
                <w:highlight w:val="none"/>
                <w:u w:val="single"/>
                <w:lang w:val="en-US" w:eastAsia="zh-CN"/>
              </w:rPr>
              <w:t xml:space="preserve">10000元（人民币） </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6" w:edGrp="everyone"/>
            <w:r>
              <w:rPr>
                <w:rFonts w:hint="eastAsia" w:ascii="Times New Roman" w:hAnsi="Times New Roman" w:cs="Times New Roman"/>
                <w:color w:val="FF0000"/>
                <w:szCs w:val="21"/>
                <w:highlight w:val="none"/>
                <w:lang w:val="en-US" w:eastAsia="zh-CN"/>
              </w:rPr>
              <w:t>BZJK-2023-045号保证金</w:t>
            </w:r>
            <w:permEnd w:id="4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亳州市公共交通集团有限公司公交车轮胎采购项目投标文件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项目编号：BZJK-2023-045号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lang w:val="en-US" w:eastAsia="zh-CN"/>
              </w:rPr>
              <w:t>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auto"/>
                <w:szCs w:val="21"/>
                <w:highlight w:val="none"/>
                <w:u w:val="singl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无违约行为发生或违约行为已处理的情况下，服务期结束后返还全部履约保证金（本金无息）。</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79632546"/>
      <w:bookmarkStart w:id="17" w:name="_Toc296602420"/>
      <w:bookmarkStart w:id="18" w:name="_Toc152045529"/>
      <w:bookmarkStart w:id="19" w:name="_Toc246996918"/>
      <w:bookmarkStart w:id="20" w:name="_Toc246996175"/>
      <w:bookmarkStart w:id="21" w:name="_Toc144974497"/>
      <w:bookmarkStart w:id="22" w:name="_Toc152042305"/>
      <w:bookmarkStart w:id="23" w:name="_Toc24708568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296602421"/>
      <w:bookmarkStart w:id="26" w:name="_Toc152045530"/>
      <w:bookmarkStart w:id="27" w:name="_Toc247085690"/>
      <w:bookmarkStart w:id="28" w:name="_Toc152042306"/>
      <w:bookmarkStart w:id="29" w:name="_Toc179632547"/>
      <w:bookmarkStart w:id="30" w:name="_Toc246996919"/>
      <w:bookmarkStart w:id="31" w:name="_Toc144974498"/>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96602422"/>
      <w:bookmarkStart w:id="34" w:name="_Toc152045531"/>
      <w:bookmarkStart w:id="35" w:name="_Toc152042307"/>
      <w:bookmarkStart w:id="36" w:name="_Toc247085691"/>
      <w:bookmarkStart w:id="37" w:name="_Toc144974499"/>
      <w:bookmarkStart w:id="38" w:name="_Toc246996177"/>
      <w:bookmarkStart w:id="39" w:name="_Toc246996920"/>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7085692"/>
      <w:bookmarkStart w:id="42" w:name="_Toc152045532"/>
      <w:bookmarkStart w:id="43" w:name="_Toc179632549"/>
      <w:bookmarkStart w:id="44" w:name="_Toc246996921"/>
      <w:bookmarkStart w:id="45" w:name="_Toc296602423"/>
      <w:bookmarkStart w:id="46" w:name="_Toc144974500"/>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79632551"/>
      <w:bookmarkStart w:id="50" w:name="_Toc144974502"/>
      <w:bookmarkStart w:id="51" w:name="_Toc247085693"/>
      <w:bookmarkStart w:id="52" w:name="_Toc152042310"/>
      <w:bookmarkStart w:id="53" w:name="_Toc296602424"/>
      <w:bookmarkStart w:id="54" w:name="_Toc152045534"/>
      <w:bookmarkStart w:id="55" w:name="_Toc24699692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179632552"/>
      <w:bookmarkStart w:id="58" w:name="_Toc152045535"/>
      <w:bookmarkStart w:id="59" w:name="_Toc247085694"/>
      <w:bookmarkStart w:id="60" w:name="_Toc296602425"/>
      <w:bookmarkStart w:id="61" w:name="_Toc246996923"/>
      <w:bookmarkStart w:id="62" w:name="_Toc246996180"/>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247085695"/>
      <w:bookmarkStart w:id="66" w:name="_Toc179632553"/>
      <w:bookmarkStart w:id="67" w:name="_Toc152042312"/>
      <w:bookmarkStart w:id="68" w:name="_Toc246996924"/>
      <w:bookmarkStart w:id="69" w:name="_Toc144974504"/>
      <w:bookmarkStart w:id="70" w:name="_Toc152045536"/>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96602427"/>
      <w:bookmarkStart w:id="75" w:name="_Toc246996925"/>
      <w:bookmarkStart w:id="76" w:name="_Toc152042313"/>
      <w:bookmarkStart w:id="77" w:name="_Toc179632554"/>
      <w:bookmarkStart w:id="78" w:name="_Toc247085696"/>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246996926"/>
      <w:bookmarkStart w:id="82" w:name="_Toc179632555"/>
      <w:bookmarkStart w:id="83" w:name="_Toc246996183"/>
      <w:bookmarkStart w:id="84" w:name="_Toc247085697"/>
      <w:bookmarkStart w:id="85" w:name="_Toc144974506"/>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144974507"/>
      <w:bookmarkStart w:id="90" w:name="_Toc296602429"/>
      <w:bookmarkStart w:id="91" w:name="_Toc247527563"/>
      <w:bookmarkStart w:id="92" w:name="_Toc152042315"/>
      <w:bookmarkStart w:id="93" w:name="_Toc152045539"/>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92877"/>
      <w:bookmarkStart w:id="96" w:name="_Toc247527564"/>
      <w:bookmarkStart w:id="97" w:name="_Toc152045540"/>
      <w:bookmarkStart w:id="98" w:name="_Toc296602430"/>
      <w:bookmarkStart w:id="99" w:name="_Toc247513963"/>
      <w:bookmarkStart w:id="100" w:name="_Toc144974508"/>
      <w:bookmarkStart w:id="101" w:name="_Toc152042316"/>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296602432"/>
      <w:bookmarkStart w:id="105" w:name="_Toc246996187"/>
      <w:bookmarkStart w:id="106" w:name="_Toc152042318"/>
      <w:bookmarkStart w:id="107" w:name="_Toc246996930"/>
      <w:bookmarkStart w:id="108" w:name="_Toc179632560"/>
      <w:bookmarkStart w:id="109" w:name="_Toc152045542"/>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152045543"/>
      <w:bookmarkStart w:id="113" w:name="_Toc152042319"/>
      <w:bookmarkStart w:id="114" w:name="_Toc296602433"/>
      <w:bookmarkStart w:id="115" w:name="_Toc144974511"/>
      <w:bookmarkStart w:id="116" w:name="_Toc247085702"/>
      <w:bookmarkStart w:id="117" w:name="_Toc246996188"/>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52042320"/>
      <w:bookmarkStart w:id="121" w:name="_Toc246996189"/>
      <w:bookmarkStart w:id="122" w:name="_Toc152045544"/>
      <w:bookmarkStart w:id="123" w:name="_Toc247085703"/>
      <w:bookmarkStart w:id="124" w:name="_Toc296602434"/>
      <w:bookmarkStart w:id="125" w:name="_Toc14497451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144974513"/>
      <w:bookmarkStart w:id="129" w:name="_Toc246996933"/>
      <w:bookmarkStart w:id="130" w:name="_Toc247085704"/>
      <w:bookmarkStart w:id="131" w:name="_Toc246996190"/>
      <w:bookmarkStart w:id="132" w:name="_Toc296602435"/>
      <w:bookmarkStart w:id="133" w:name="_Toc179632563"/>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296602436"/>
      <w:bookmarkStart w:id="137" w:name="_Toc246996934"/>
      <w:bookmarkStart w:id="138" w:name="_Toc152042322"/>
      <w:bookmarkStart w:id="139" w:name="_Toc144974514"/>
      <w:bookmarkStart w:id="140" w:name="_Toc179632564"/>
      <w:bookmarkStart w:id="141" w:name="_Toc246996191"/>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144974515"/>
      <w:bookmarkStart w:id="145" w:name="_Toc246996935"/>
      <w:bookmarkStart w:id="146" w:name="_Toc179632565"/>
      <w:bookmarkStart w:id="147" w:name="_Toc247085706"/>
      <w:bookmarkStart w:id="148" w:name="_Toc296602437"/>
      <w:bookmarkStart w:id="149" w:name="_Toc246996192"/>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7085707"/>
      <w:bookmarkStart w:id="153" w:name="_Toc144974516"/>
      <w:bookmarkStart w:id="154" w:name="_Toc179632566"/>
      <w:bookmarkStart w:id="155" w:name="_Toc152042324"/>
      <w:bookmarkStart w:id="156" w:name="_Toc246996936"/>
      <w:bookmarkStart w:id="157" w:name="_Toc296602438"/>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52042325"/>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46996195"/>
      <w:bookmarkStart w:id="169" w:name="_Toc152042326"/>
      <w:bookmarkStart w:id="170" w:name="_Toc296602440"/>
      <w:bookmarkStart w:id="171" w:name="_Toc179632568"/>
      <w:bookmarkStart w:id="172" w:name="_Toc144974518"/>
      <w:bookmarkStart w:id="173" w:name="_Toc247085709"/>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152042328"/>
      <w:bookmarkStart w:id="177" w:name="_Toc296602441"/>
      <w:bookmarkStart w:id="178" w:name="_Toc246996939"/>
      <w:bookmarkStart w:id="179" w:name="_Toc152045552"/>
      <w:bookmarkStart w:id="180" w:name="_Toc144974520"/>
      <w:bookmarkStart w:id="181" w:name="_Toc24708571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6996197"/>
      <w:bookmarkStart w:id="185" w:name="_Toc144974521"/>
      <w:bookmarkStart w:id="186" w:name="_Toc247085711"/>
      <w:bookmarkStart w:id="187" w:name="_Toc152042329"/>
      <w:bookmarkStart w:id="188" w:name="_Toc179632571"/>
      <w:bookmarkStart w:id="189" w:name="_Toc246996940"/>
      <w:bookmarkStart w:id="190" w:name="_Toc152045553"/>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942"/>
      <w:bookmarkStart w:id="192" w:name="_Toc144974523"/>
      <w:bookmarkStart w:id="193" w:name="_Toc179632573"/>
      <w:bookmarkStart w:id="194" w:name="_Toc152045555"/>
      <w:bookmarkStart w:id="195" w:name="_Toc247085713"/>
      <w:bookmarkStart w:id="196" w:name="_Toc246996199"/>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47085714"/>
      <w:bookmarkStart w:id="201" w:name="_Toc296602444"/>
      <w:bookmarkStart w:id="202" w:name="_Toc246996200"/>
      <w:bookmarkStart w:id="203" w:name="_Toc144974524"/>
      <w:bookmarkStart w:id="204" w:name="_Toc152045556"/>
      <w:bookmarkStart w:id="205" w:name="_Toc246996943"/>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246996201"/>
      <w:bookmarkStart w:id="209" w:name="_Toc247085715"/>
      <w:bookmarkStart w:id="210" w:name="_Toc152042333"/>
      <w:bookmarkStart w:id="211" w:name="_Toc144974525"/>
      <w:bookmarkStart w:id="212" w:name="_Toc246996944"/>
      <w:bookmarkStart w:id="213" w:name="_Toc179632575"/>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79632576"/>
      <w:bookmarkStart w:id="217" w:name="_Toc152045558"/>
      <w:bookmarkStart w:id="218" w:name="_Toc296602446"/>
      <w:bookmarkStart w:id="219" w:name="_Toc144974526"/>
      <w:bookmarkStart w:id="220" w:name="_Toc247085716"/>
      <w:bookmarkStart w:id="221" w:name="_Toc246996202"/>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246996946"/>
      <w:bookmarkStart w:id="225" w:name="_Toc152045559"/>
      <w:bookmarkStart w:id="226" w:name="_Toc296602447"/>
      <w:bookmarkStart w:id="227" w:name="_Toc246996203"/>
      <w:bookmarkStart w:id="228" w:name="_Toc152042335"/>
      <w:bookmarkStart w:id="229" w:name="_Toc179632577"/>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46996947"/>
      <w:bookmarkStart w:id="233" w:name="_Toc247085718"/>
      <w:bookmarkStart w:id="234" w:name="_Toc179632578"/>
      <w:bookmarkStart w:id="235" w:name="_Toc152042336"/>
      <w:bookmarkStart w:id="236" w:name="_Toc296602448"/>
      <w:bookmarkStart w:id="237" w:name="_Toc152045560"/>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96602449"/>
      <w:bookmarkStart w:id="241" w:name="_Toc152042337"/>
      <w:bookmarkStart w:id="242" w:name="_Toc246996948"/>
      <w:bookmarkStart w:id="243" w:name="_Toc246996205"/>
      <w:bookmarkStart w:id="244" w:name="_Toc179632579"/>
      <w:bookmarkStart w:id="245" w:name="_Toc152045561"/>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46996949"/>
      <w:bookmarkStart w:id="250" w:name="_Toc152045562"/>
      <w:bookmarkStart w:id="251" w:name="_Toc152042338"/>
      <w:bookmarkStart w:id="252" w:name="_Toc179632580"/>
      <w:bookmarkStart w:id="253" w:name="_Toc247085720"/>
      <w:bookmarkStart w:id="254" w:name="_Toc296602451"/>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152045563"/>
      <w:bookmarkStart w:id="258" w:name="_Toc247085721"/>
      <w:bookmarkStart w:id="259" w:name="_Toc152042339"/>
      <w:bookmarkStart w:id="260" w:name="_Toc144974531"/>
      <w:bookmarkStart w:id="261" w:name="_Toc296602452"/>
      <w:bookmarkStart w:id="262" w:name="_Toc246996207"/>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152045564"/>
      <w:bookmarkStart w:id="266" w:name="_Toc144974532"/>
      <w:bookmarkStart w:id="267" w:name="_Toc246996208"/>
      <w:bookmarkStart w:id="268" w:name="_Toc179632582"/>
      <w:bookmarkStart w:id="269" w:name="_Toc247085722"/>
      <w:bookmarkStart w:id="270" w:name="_Toc246996951"/>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52042341"/>
      <w:bookmarkStart w:id="274" w:name="_Toc246996209"/>
      <w:bookmarkStart w:id="275" w:name="_Toc296602454"/>
      <w:bookmarkStart w:id="276" w:name="_Toc179632583"/>
      <w:bookmarkStart w:id="277" w:name="_Toc144974533"/>
      <w:bookmarkStart w:id="278" w:name="_Toc246996952"/>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6996953"/>
      <w:bookmarkStart w:id="282" w:name="_Toc246996210"/>
      <w:bookmarkStart w:id="283" w:name="_Toc144974534"/>
      <w:bookmarkStart w:id="284" w:name="_Toc247085724"/>
      <w:bookmarkStart w:id="285" w:name="_Toc296602455"/>
      <w:bookmarkStart w:id="286" w:name="_Toc152042342"/>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955"/>
      <w:bookmarkStart w:id="290" w:name="_Toc179632586"/>
      <w:bookmarkStart w:id="291" w:name="_Toc247085726"/>
      <w:bookmarkStart w:id="292" w:name="_Toc144974536"/>
      <w:bookmarkStart w:id="293" w:name="_Toc296602458"/>
      <w:bookmarkStart w:id="294" w:name="_Toc152042344"/>
      <w:bookmarkStart w:id="295" w:name="_Toc246996212"/>
      <w:bookmarkStart w:id="296" w:name="_Toc152045568"/>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3"/>
      <w:bookmarkStart w:id="298" w:name="_Toc144974537"/>
      <w:bookmarkStart w:id="299" w:name="_Toc296602459"/>
      <w:bookmarkStart w:id="300" w:name="_Toc152045569"/>
      <w:bookmarkStart w:id="301" w:name="_Toc152042345"/>
      <w:bookmarkStart w:id="302" w:name="_Toc179632587"/>
      <w:bookmarkStart w:id="303" w:name="_Toc247085727"/>
      <w:bookmarkStart w:id="304" w:name="_Toc246996956"/>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46996214"/>
      <w:bookmarkStart w:id="306" w:name="_Toc152042346"/>
      <w:bookmarkStart w:id="307" w:name="_Toc144974538"/>
      <w:bookmarkStart w:id="308" w:name="_Toc152045570"/>
      <w:bookmarkStart w:id="309" w:name="_Toc246996957"/>
      <w:bookmarkStart w:id="310" w:name="_Toc247085728"/>
      <w:bookmarkStart w:id="311" w:name="_Toc296602460"/>
      <w:bookmarkStart w:id="312" w:name="_Toc17963258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152042351"/>
      <w:bookmarkStart w:id="315" w:name="_Toc247085733"/>
      <w:bookmarkStart w:id="316" w:name="_Toc296590983"/>
      <w:bookmarkStart w:id="317" w:name="_Toc144974543"/>
      <w:bookmarkStart w:id="318" w:name="_Toc246996962"/>
      <w:bookmarkStart w:id="319" w:name="_Toc296602462"/>
      <w:bookmarkStart w:id="320" w:name="_Toc246996219"/>
      <w:bookmarkStart w:id="321" w:name="_Toc152045575"/>
      <w:bookmarkStart w:id="322" w:name="_Toc17963259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247085734"/>
      <w:bookmarkStart w:id="324" w:name="_Toc144974544"/>
      <w:bookmarkStart w:id="325" w:name="_Toc246996220"/>
      <w:bookmarkStart w:id="326" w:name="_Toc179632594"/>
      <w:bookmarkStart w:id="327" w:name="_Toc246996963"/>
      <w:bookmarkStart w:id="328" w:name="_Toc296602463"/>
      <w:bookmarkStart w:id="329" w:name="_Toc152045576"/>
      <w:bookmarkStart w:id="330" w:name="_Toc152042352"/>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52042353"/>
      <w:bookmarkStart w:id="332" w:name="_Toc246996221"/>
      <w:bookmarkStart w:id="333" w:name="_Toc247085735"/>
      <w:bookmarkStart w:id="334" w:name="_Toc246996964"/>
      <w:bookmarkStart w:id="335" w:name="_Toc179632595"/>
      <w:bookmarkStart w:id="336" w:name="_Toc152045577"/>
      <w:bookmarkStart w:id="337" w:name="_Toc144974545"/>
      <w:bookmarkStart w:id="338" w:name="_Toc296602464"/>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6"/>
      <w:bookmarkStart w:id="340" w:name="_Toc296602465"/>
      <w:bookmarkStart w:id="341" w:name="_Toc247085736"/>
      <w:bookmarkStart w:id="342" w:name="_Toc152045578"/>
      <w:bookmarkStart w:id="343" w:name="_Toc246996965"/>
      <w:bookmarkStart w:id="344" w:name="_Toc246996222"/>
      <w:bookmarkStart w:id="345" w:name="_Toc152042354"/>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79632597"/>
      <w:bookmarkStart w:id="349" w:name="_Toc246996223"/>
      <w:bookmarkStart w:id="350" w:name="_Toc296602466"/>
      <w:bookmarkStart w:id="351" w:name="_Toc246996966"/>
      <w:bookmarkStart w:id="352" w:name="_Toc152045579"/>
      <w:bookmarkStart w:id="353" w:name="_Toc247085737"/>
      <w:bookmarkStart w:id="354" w:name="_Toc15204235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80"/>
      <w:bookmarkStart w:id="357" w:name="_Toc144974547"/>
      <w:bookmarkStart w:id="358" w:name="_Toc296602467"/>
      <w:bookmarkStart w:id="359" w:name="_Toc179632598"/>
      <w:bookmarkStart w:id="360" w:name="_Toc246996224"/>
      <w:bookmarkStart w:id="361" w:name="_Toc247085738"/>
      <w:bookmarkStart w:id="362" w:name="_Toc152042357"/>
      <w:bookmarkStart w:id="363" w:name="_Toc24699696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58" w:edGrp="everyone"/>
            <w:r>
              <w:rPr>
                <w:rFonts w:hint="eastAsia" w:ascii="Times New Roman" w:hAnsi="Times New Roman" w:cs="Times New Roman"/>
                <w:kern w:val="0"/>
                <w:sz w:val="24"/>
                <w:szCs w:val="24"/>
                <w:highlight w:val="none"/>
                <w:lang w:val="en-US" w:eastAsia="zh-CN"/>
              </w:rPr>
              <w:t>符合第二章“投 标人须知”第1.4.1项规定</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61" w:edGrp="everyone"/>
            <w:r>
              <w:rPr>
                <w:rFonts w:hint="eastAsia" w:ascii="Times New Roman" w:hAnsi="Times New Roman" w:cs="Times New Roman"/>
                <w:kern w:val="0"/>
                <w:sz w:val="24"/>
                <w:szCs w:val="24"/>
                <w:highlight w:val="none"/>
                <w:lang w:val="en-US" w:eastAsia="zh-CN"/>
              </w:rPr>
              <w:t>符合第二章“投标人须知”第1.4.1项规定</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2"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符合第二章“投标人须知”第1.3.4项规定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color w:val="auto"/>
                <w:kern w:val="0"/>
                <w:sz w:val="24"/>
                <w:szCs w:val="24"/>
                <w:highlight w:val="none"/>
                <w:lang w:val="en-US" w:eastAsia="zh-CN" w:bidi="ar-SA"/>
              </w:rPr>
            </w:pPr>
            <w:permStart w:id="69"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144974556"/>
            <w:bookmarkStart w:id="365" w:name="_Toc247085747"/>
            <w:bookmarkStart w:id="366" w:name="_Toc179632607"/>
            <w:bookmarkStart w:id="367" w:name="_Toc296602477"/>
            <w:bookmarkStart w:id="368" w:name="_Toc152045589"/>
            <w:bookmarkStart w:id="369" w:name="_Toc152042366"/>
            <w:bookmarkStart w:id="370" w:name="_Toc246996232"/>
            <w:bookmarkStart w:id="371"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permStart w:id="70"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ermEnd w:id="7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1" w:edGrp="everyone"/>
            <w:r>
              <w:rPr>
                <w:rFonts w:hint="eastAsia" w:ascii="Times New Roman" w:hAnsi="Times New Roman" w:cs="Times New Roman"/>
                <w:i w:val="0"/>
                <w:iCs w:val="0"/>
                <w:color w:val="FF0000"/>
                <w:kern w:val="0"/>
                <w:sz w:val="24"/>
                <w:szCs w:val="24"/>
                <w:highlight w:val="none"/>
                <w:u w:val="single"/>
                <w:lang w:val="en-US" w:eastAsia="zh-CN"/>
              </w:rPr>
              <w:t>\</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2" w:edGrp="everyone"/>
            <w:r>
              <w:rPr>
                <w:rFonts w:hint="eastAsia" w:ascii="Times New Roman" w:hAnsi="Times New Roman" w:cs="Times New Roman"/>
                <w:i w:val="0"/>
                <w:iCs w:val="0"/>
                <w:color w:val="FF0000"/>
                <w:kern w:val="0"/>
                <w:sz w:val="24"/>
                <w:szCs w:val="24"/>
                <w:highlight w:val="none"/>
                <w:u w:val="single"/>
                <w:lang w:val="en-US" w:eastAsia="zh-CN"/>
              </w:rPr>
              <w:t>\</w:t>
            </w:r>
            <w:permEnd w:id="7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3" w:edGrp="everyone" w:colFirst="0" w:colLast="0"/>
            <w:permStart w:id="74" w:edGrp="everyone" w:colFirst="1" w:colLast="1"/>
            <w:permStart w:id="75" w:edGrp="everyone" w:colFirst="2" w:colLast="2"/>
            <w:permStart w:id="7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10 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w:t>
            </w:r>
            <w:r>
              <w:rPr>
                <w:rFonts w:hint="eastAsia" w:ascii="Times New Roman" w:hAnsi="Times New Roman" w:cs="Times New Roman"/>
                <w:i w:val="0"/>
                <w:iCs w:val="0"/>
                <w:color w:val="FF0000"/>
                <w:kern w:val="0"/>
                <w:sz w:val="24"/>
                <w:szCs w:val="24"/>
                <w:highlight w:val="none"/>
                <w:u w:val="single"/>
                <w:lang w:val="en-US" w:eastAsia="zh-CN"/>
              </w:rPr>
              <w:t>产品</w:t>
            </w:r>
            <w:r>
              <w:rPr>
                <w:rFonts w:hint="eastAsia" w:ascii="Times New Roman" w:hAnsi="Times New Roman" w:cs="Times New Roman"/>
                <w:i w:val="0"/>
                <w:iCs w:val="0"/>
                <w:kern w:val="0"/>
                <w:sz w:val="24"/>
                <w:szCs w:val="24"/>
                <w:highlight w:val="none"/>
                <w:lang w:val="en-US" w:eastAsia="zh-CN"/>
              </w:rPr>
              <w:t>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投标人所投产品近3年（2021年1月1日至今）内，与公交企业有轮胎供货业绩的，每提供1家得2.5分，满分10分。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注：投标文件内附合同复印件，以合同签订日期为准，合同供货品牌须与本次招标所投品牌一致。</w:t>
            </w:r>
          </w:p>
        </w:tc>
      </w:tr>
      <w:permEnd w:id="73"/>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0" w:colLast="0"/>
            <w:permStart w:id="78" w:edGrp="everyone" w:colFirst="1" w:colLast="1"/>
            <w:permStart w:id="79" w:edGrp="everyone" w:colFirst="2" w:colLast="2"/>
            <w:permStart w:id="8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  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技术服务和质保期服务能力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heme="minorEastAsia" w:hAnsiTheme="minorEastAsia" w:cstheme="minorEastAsia"/>
                <w:color w:val="FF0000"/>
                <w:kern w:val="0"/>
                <w:sz w:val="24"/>
                <w:szCs w:val="24"/>
                <w:u w:val="none"/>
                <w:lang w:eastAsia="zh-CN"/>
              </w:rPr>
              <w:t>根据投标人提供的供货方案，从产品特色、响应供货、服务内容、应急处理及其他服务承诺等方面综合分析，由评委酌情评分。优：</w:t>
            </w:r>
            <w:r>
              <w:rPr>
                <w:rFonts w:hint="eastAsia" w:asciiTheme="minorEastAsia" w:hAnsiTheme="minorEastAsia" w:cstheme="minorEastAsia"/>
                <w:color w:val="FF0000"/>
                <w:kern w:val="0"/>
                <w:sz w:val="24"/>
                <w:szCs w:val="24"/>
                <w:u w:val="none"/>
                <w:lang w:val="en-US" w:eastAsia="zh-CN"/>
              </w:rPr>
              <w:t>8＜F≤10，良：4＜F≤8一般：0≤F≤4，未提供不得分。</w:t>
            </w:r>
          </w:p>
        </w:tc>
      </w:tr>
      <w:permEnd w:id="77"/>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0" w:colLast="0"/>
            <w:permStart w:id="82" w:edGrp="everyone" w:colFirst="1" w:colLast="1"/>
            <w:permStart w:id="83" w:edGrp="everyone" w:colFirst="2" w:colLast="2"/>
            <w:permStart w:id="84"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u w:val="none"/>
                <w:lang w:val="en-US" w:eastAsia="zh-CN"/>
              </w:rPr>
            </w:pPr>
            <w:r>
              <w:rPr>
                <w:rFonts w:hint="eastAsia" w:asciiTheme="minorEastAsia" w:hAnsiTheme="minorEastAsia" w:cstheme="minorEastAsia"/>
                <w:color w:val="FF0000"/>
                <w:kern w:val="0"/>
                <w:sz w:val="24"/>
                <w:szCs w:val="24"/>
                <w:u w:val="none"/>
                <w:lang w:eastAsia="zh-CN"/>
              </w:rPr>
              <w:t>从产品特色、售后供货、服务内容、应急处理、质保及其他服务承诺等方面综合分析，由评委酌情评分。优：</w:t>
            </w:r>
            <w:r>
              <w:rPr>
                <w:rFonts w:hint="eastAsia" w:asciiTheme="minorEastAsia" w:hAnsiTheme="minorEastAsia" w:cstheme="minorEastAsia"/>
                <w:color w:val="FF0000"/>
                <w:kern w:val="0"/>
                <w:sz w:val="24"/>
                <w:szCs w:val="24"/>
                <w:u w:val="none"/>
                <w:lang w:val="en-US" w:eastAsia="zh-CN"/>
              </w:rPr>
              <w:t>8＜F≤10，良：4＜F≤8，一般：0≤F≤4，未提供不得分。</w:t>
            </w:r>
          </w:p>
        </w:tc>
      </w:tr>
      <w:permEnd w:id="81"/>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0" w:colLast="0"/>
            <w:permStart w:id="86" w:edGrp="everyone" w:colFirst="1" w:colLast="1"/>
            <w:permStart w:id="87" w:edGrp="everyone" w:colFirst="2" w:colLast="2"/>
            <w:permStart w:id="8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60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60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每个型号轮胎单价除以质保里程公里数，所得出每公里价格，然后乘以数量系数后相加，得到综合价格最低的为60分，每高于（大于）最低价1%（不足1%按1%计算）扣0.5分。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注：各个型号轮胎对应的数量系数详见招标文件第五章供货要求。</w:t>
            </w:r>
            <w:r>
              <w:rPr>
                <w:rFonts w:hint="eastAsia" w:ascii="Times New Roman" w:hAnsi="Times New Roman" w:cs="Times New Roman"/>
                <w:color w:val="FF0000"/>
                <w:kern w:val="0"/>
                <w:sz w:val="24"/>
                <w:highlight w:val="none"/>
                <w:u w:val="none"/>
              </w:rPr>
              <w:t>投标人同时承诺质保期限和质保里程</w:t>
            </w:r>
            <w:r>
              <w:rPr>
                <w:rFonts w:hint="eastAsia" w:ascii="Times New Roman" w:hAnsi="Times New Roman" w:cs="Times New Roman"/>
                <w:color w:val="FF0000"/>
                <w:kern w:val="0"/>
                <w:sz w:val="24"/>
                <w:highlight w:val="none"/>
                <w:u w:val="none"/>
                <w:lang w:val="en-US" w:eastAsia="zh-CN"/>
              </w:rPr>
              <w:t>的</w:t>
            </w:r>
            <w:r>
              <w:rPr>
                <w:rFonts w:hint="eastAsia" w:ascii="Times New Roman" w:hAnsi="Times New Roman" w:cs="Times New Roman"/>
                <w:color w:val="FF0000"/>
                <w:kern w:val="0"/>
                <w:sz w:val="24"/>
                <w:highlight w:val="none"/>
                <w:u w:val="none"/>
              </w:rPr>
              <w:t>，参照招标人公交车辆运营情况，按照3年10万公里进行折算，以折算后最低质保里程为准。</w:t>
            </w:r>
          </w:p>
        </w:tc>
      </w:tr>
      <w:permEnd w:id="85"/>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9" w:edGrp="everyone"/>
            <w:permStart w:id="90" w:edGrp="everyone" w:colFirst="1" w:colLast="1"/>
            <w:permStart w:id="91" w:edGrp="everyone" w:colFirst="2" w:colLast="2"/>
            <w:permStart w:id="9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89"/>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废旧轮胎处理报价</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ascii="宋体" w:hAnsi="宋体" w:eastAsia="宋体" w:cs="宋体"/>
                <w:color w:val="FF0000"/>
                <w:sz w:val="24"/>
                <w:szCs w:val="24"/>
                <w:u w:val="none"/>
              </w:rPr>
            </w:pPr>
            <w:r>
              <w:rPr>
                <w:rFonts w:ascii="宋体" w:hAnsi="宋体" w:eastAsia="宋体" w:cs="宋体"/>
                <w:color w:val="FF0000"/>
                <w:sz w:val="24"/>
                <w:szCs w:val="24"/>
                <w:u w:val="none"/>
              </w:rPr>
              <w:t>投标人具有废旧轮胎回收能力，每个型号轮胎回收单价乘以数量系数后相加，按照价格高低排序，第一名得10分，第二名得9分，</w:t>
            </w:r>
            <w:r>
              <w:rPr>
                <w:rFonts w:hint="eastAsia" w:ascii="宋体" w:hAnsi="宋体" w:eastAsia="宋体" w:cs="宋体"/>
                <w:color w:val="FF0000"/>
                <w:sz w:val="24"/>
                <w:szCs w:val="24"/>
                <w:u w:val="none"/>
                <w:lang w:eastAsia="zh-CN"/>
              </w:rPr>
              <w:t>第三名得</w:t>
            </w:r>
            <w:r>
              <w:rPr>
                <w:rFonts w:hint="eastAsia" w:ascii="宋体" w:hAnsi="宋体" w:eastAsia="宋体" w:cs="宋体"/>
                <w:color w:val="FF0000"/>
                <w:sz w:val="24"/>
                <w:szCs w:val="24"/>
                <w:u w:val="none"/>
                <w:lang w:val="en-US" w:eastAsia="zh-CN"/>
              </w:rPr>
              <w:t>8分，</w:t>
            </w:r>
            <w:r>
              <w:rPr>
                <w:rFonts w:ascii="宋体" w:hAnsi="宋体" w:eastAsia="宋体" w:cs="宋体"/>
                <w:color w:val="FF0000"/>
                <w:sz w:val="24"/>
                <w:szCs w:val="24"/>
                <w:u w:val="none"/>
              </w:rPr>
              <w:t>以此类推</w:t>
            </w:r>
            <w:r>
              <w:rPr>
                <w:rFonts w:hint="eastAsia" w:ascii="宋体" w:hAnsi="宋体" w:eastAsia="宋体" w:cs="宋体"/>
                <w:color w:val="FF0000"/>
                <w:sz w:val="24"/>
                <w:szCs w:val="24"/>
                <w:u w:val="none"/>
                <w:lang w:eastAsia="zh-CN"/>
              </w:rPr>
              <w:t>，</w:t>
            </w:r>
            <w:r>
              <w:rPr>
                <w:rFonts w:hint="eastAsia" w:ascii="宋体" w:hAnsi="宋体" w:eastAsia="宋体" w:cs="宋体"/>
                <w:color w:val="FF0000"/>
                <w:sz w:val="24"/>
                <w:szCs w:val="24"/>
                <w:u w:val="none"/>
                <w:lang w:val="en-US" w:eastAsia="zh-CN"/>
              </w:rPr>
              <w:t>最低得0分。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FF0000"/>
                <w:sz w:val="24"/>
                <w:szCs w:val="24"/>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注：各个型号轮胎对应的数量系数详见招标文件第五章供货要求。</w:t>
            </w:r>
          </w:p>
        </w:tc>
      </w:tr>
      <w:permEnd w:id="90"/>
      <w:permEnd w:id="91"/>
      <w:permEnd w:id="9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52042367"/>
      <w:bookmarkStart w:id="373" w:name="_Toc179632608"/>
      <w:bookmarkStart w:id="374" w:name="_Toc246996976"/>
      <w:bookmarkStart w:id="375" w:name="_Toc246996233"/>
      <w:bookmarkStart w:id="376" w:name="_Toc296602478"/>
      <w:bookmarkStart w:id="377" w:name="_Toc247085748"/>
      <w:bookmarkStart w:id="378" w:name="_Toc152045590"/>
      <w:bookmarkStart w:id="379" w:name="_Toc144974557"/>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7"/>
      <w:bookmarkStart w:id="381" w:name="_Toc247085749"/>
      <w:bookmarkStart w:id="382" w:name="_Toc246996234"/>
      <w:bookmarkStart w:id="383" w:name="_Toc152045591"/>
      <w:bookmarkStart w:id="384" w:name="_Toc144974558"/>
      <w:bookmarkStart w:id="385" w:name="_Toc296602479"/>
      <w:bookmarkStart w:id="386" w:name="_Toc152042368"/>
      <w:bookmarkStart w:id="387"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96602481"/>
      <w:bookmarkStart w:id="389" w:name="_Toc247085751"/>
      <w:bookmarkStart w:id="390" w:name="_Toc152045593"/>
      <w:bookmarkStart w:id="391" w:name="_Toc246996236"/>
      <w:bookmarkStart w:id="392" w:name="_Toc144974560"/>
      <w:bookmarkStart w:id="393" w:name="_Toc179632611"/>
      <w:bookmarkStart w:id="394" w:name="_Toc152042370"/>
      <w:bookmarkStart w:id="395"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3" w:edGrp="everyone"/>
      <w:r>
        <w:rPr>
          <w:rFonts w:hint="eastAsia" w:ascii="Times New Roman" w:hAnsi="Times New Roman" w:cs="Times New Roman"/>
          <w:kern w:val="0"/>
          <w:sz w:val="24"/>
          <w:szCs w:val="24"/>
          <w:highlight w:val="none"/>
          <w:lang w:val="en-US" w:eastAsia="zh-CN"/>
        </w:rPr>
        <w:t>商务部分</w:t>
      </w:r>
      <w:permEnd w:id="9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4" w:edGrp="everyone"/>
      <w:r>
        <w:rPr>
          <w:rFonts w:hint="eastAsia" w:ascii="Times New Roman" w:hAnsi="Times New Roman" w:cs="Times New Roman"/>
          <w:kern w:val="0"/>
          <w:sz w:val="24"/>
          <w:szCs w:val="24"/>
          <w:highlight w:val="none"/>
          <w:lang w:val="en-US" w:eastAsia="zh-CN"/>
        </w:rPr>
        <w:t>技术部分</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5" w:edGrp="everyone"/>
      <w:r>
        <w:rPr>
          <w:rFonts w:hint="eastAsia" w:ascii="Times New Roman" w:hAnsi="Times New Roman" w:cs="Times New Roman" w:eastAsiaTheme="minorEastAsia"/>
          <w:kern w:val="0"/>
          <w:sz w:val="24"/>
          <w:szCs w:val="24"/>
          <w:highlight w:val="none"/>
          <w:lang w:val="en-US" w:eastAsia="zh-CN"/>
        </w:rPr>
        <w:t>投标报价</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6" w:edGrp="everyone"/>
      <w:r>
        <w:rPr>
          <w:rFonts w:hint="eastAsia" w:ascii="Times New Roman" w:hAnsi="Times New Roman" w:cs="Times New Roman" w:eastAsiaTheme="minorEastAsia"/>
          <w:kern w:val="0"/>
          <w:sz w:val="24"/>
          <w:szCs w:val="24"/>
          <w:highlight w:val="none"/>
          <w:lang w:val="en-US" w:eastAsia="zh-CN"/>
        </w:rPr>
        <w:t>其他评分因素</w:t>
      </w:r>
      <w:permEnd w:id="9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96602482"/>
      <w:bookmarkStart w:id="397" w:name="_Toc179632612"/>
      <w:bookmarkStart w:id="398" w:name="_Toc246996237"/>
      <w:bookmarkStart w:id="399" w:name="_Toc246996980"/>
      <w:bookmarkStart w:id="400" w:name="_Toc152045594"/>
      <w:bookmarkStart w:id="401" w:name="_Toc247085752"/>
      <w:bookmarkStart w:id="402" w:name="_Toc152042371"/>
      <w:bookmarkStart w:id="403" w:name="_Toc14497456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7085753"/>
      <w:bookmarkStart w:id="405" w:name="_Toc152045595"/>
      <w:bookmarkStart w:id="406" w:name="_Toc246996238"/>
      <w:bookmarkStart w:id="407" w:name="_Toc152042372"/>
      <w:bookmarkStart w:id="408" w:name="_Toc246996981"/>
      <w:bookmarkStart w:id="409" w:name="_Toc144974562"/>
      <w:bookmarkStart w:id="410" w:name="_Toc296602483"/>
      <w:bookmarkStart w:id="411" w:name="_Toc17963261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5596"/>
      <w:bookmarkStart w:id="414" w:name="_Toc246996239"/>
      <w:bookmarkStart w:id="415" w:name="_Toc152042373"/>
      <w:bookmarkStart w:id="416" w:name="_Toc179632614"/>
      <w:bookmarkStart w:id="417" w:name="_Toc296602484"/>
      <w:bookmarkStart w:id="418" w:name="_Toc247085754"/>
      <w:bookmarkStart w:id="419"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101"/>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4"/>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5"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亳州市公共交通集团有限公司 </w:t>
            </w:r>
            <w:perm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6"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符合亳州市公共交通集团有限公司仓库零库存管理要求，每月对账一次，按季度结算费用，供货清单不作为报账凭证，以招标方实际使用配件数量进行结算，下一季度初20日前结算上一季度费用。</w:t>
            </w:r>
            <w:permEnd w:id="10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详见第五章供货要求。</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在质保里程内，如果轮胎磨损至胎面花纹磨损指示线，供应商应无偿更换同品牌同规格全新轮胎。 </w:t>
            </w:r>
            <w:permEnd w:id="108"/>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109" w:edGrp="everyone"/>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质保期内发生质量问题时应及时更换并承担相应的费用。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所供</w:t>
      </w:r>
      <w:r>
        <w:rPr>
          <w:rFonts w:hint="eastAsia" w:ascii="Times New Roman" w:hAnsi="Times New Roman" w:cs="Times New Roman"/>
          <w:sz w:val="32"/>
          <w:szCs w:val="32"/>
          <w:lang w:val="en-US" w:eastAsia="zh-CN"/>
        </w:rPr>
        <w:t>轮胎</w:t>
      </w:r>
      <w:r>
        <w:rPr>
          <w:rFonts w:hint="default" w:ascii="Times New Roman" w:hAnsi="Times New Roman" w:cs="Times New Roman"/>
          <w:sz w:val="32"/>
          <w:szCs w:val="32"/>
          <w:lang w:val="en-US" w:eastAsia="zh-CN"/>
        </w:rPr>
        <w:t>不合格，造成财产损失或交通事故由供货方承担全部责任。</w:t>
      </w:r>
    </w:p>
    <w:tbl>
      <w:tblPr>
        <w:tblStyle w:val="15"/>
        <w:tblW w:w="8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37"/>
        <w:gridCol w:w="1355"/>
        <w:gridCol w:w="1532"/>
        <w:gridCol w:w="1387"/>
        <w:gridCol w:w="1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轮胎型号</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层级(PR)</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负荷指数</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速度级别</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花纹深度(MM)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825R20-16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139/137</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245/70R19.5-18</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141/140</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215/75R17.5-16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127/124</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en-US" w:eastAsia="zh-CN"/>
        </w:rPr>
        <w:t>.</w:t>
      </w:r>
      <w:r>
        <w:rPr>
          <w:rFonts w:hint="default" w:ascii="Times New Roman" w:hAnsi="Times New Roman" w:cs="Times New Roman"/>
          <w:sz w:val="32"/>
          <w:szCs w:val="32"/>
          <w:u w:val="single"/>
          <w:lang w:val="en-US" w:eastAsia="zh-CN"/>
        </w:rPr>
        <w:t>轮胎质保里程按照投标方报价的质保里程执行，</w:t>
      </w:r>
      <w:r>
        <w:rPr>
          <w:rFonts w:hint="default" w:ascii="Times New Roman" w:hAnsi="Times New Roman" w:cs="Times New Roman"/>
          <w:b/>
          <w:bCs/>
          <w:sz w:val="32"/>
          <w:szCs w:val="32"/>
          <w:u w:val="single"/>
          <w:lang w:val="en-US" w:eastAsia="zh-CN"/>
        </w:rPr>
        <w:t>需出具轮胎生产厂家提供的质保承诺</w:t>
      </w:r>
      <w:r>
        <w:rPr>
          <w:rFonts w:hint="eastAsia" w:ascii="Times New Roman" w:hAnsi="Times New Roman" w:cs="Times New Roman"/>
          <w:b/>
          <w:bCs/>
          <w:sz w:val="32"/>
          <w:szCs w:val="32"/>
          <w:u w:val="single"/>
          <w:lang w:val="en-US" w:eastAsia="zh-CN"/>
        </w:rPr>
        <w:t>，</w:t>
      </w:r>
      <w:r>
        <w:rPr>
          <w:rFonts w:hint="eastAsia" w:ascii="Times New Roman" w:hAnsi="Times New Roman" w:cs="Times New Roman"/>
          <w:b/>
          <w:bCs/>
          <w:color w:val="FF0000"/>
          <w:sz w:val="32"/>
          <w:szCs w:val="32"/>
          <w:u w:val="single"/>
          <w:lang w:val="en-US" w:eastAsia="zh-CN"/>
        </w:rPr>
        <w:t>质保承诺应包括质保时间及质保里程，</w:t>
      </w:r>
      <w:r>
        <w:rPr>
          <w:rFonts w:hint="eastAsia" w:ascii="Times New Roman" w:hAnsi="Times New Roman" w:cs="Times New Roman"/>
          <w:b/>
          <w:bCs/>
          <w:sz w:val="32"/>
          <w:szCs w:val="32"/>
          <w:u w:val="single"/>
          <w:lang w:val="en-US" w:eastAsia="zh-CN"/>
        </w:rPr>
        <w:t>装订入投标文件中，</w:t>
      </w:r>
      <w:r>
        <w:rPr>
          <w:rFonts w:hint="eastAsia" w:ascii="Times New Roman" w:hAnsi="Times New Roman" w:cs="Times New Roman"/>
          <w:b/>
          <w:bCs/>
          <w:color w:val="FF0000"/>
          <w:sz w:val="32"/>
          <w:szCs w:val="32"/>
          <w:u w:val="single"/>
          <w:lang w:val="en-US" w:eastAsia="zh-CN"/>
        </w:rPr>
        <w:t>中标后签订合同前向招标人提供厂家质保承诺原件，如无法提供，中标无效。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w:t>
      </w:r>
      <w:r>
        <w:rPr>
          <w:rFonts w:hint="default" w:ascii="Times New Roman" w:hAnsi="Times New Roman" w:cs="Times New Roman"/>
          <w:sz w:val="32"/>
          <w:szCs w:val="32"/>
          <w:lang w:val="en-US" w:eastAsia="zh-CN"/>
        </w:rPr>
        <w:t>.中标方派人配合采购方对轮胎使用里程进行登记，未派人配合的以采购方对轮胎使用里程登记为准。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w:t>
      </w:r>
      <w:r>
        <w:rPr>
          <w:rFonts w:hint="default" w:ascii="Times New Roman" w:hAnsi="Times New Roman" w:cs="Times New Roman"/>
          <w:sz w:val="32"/>
          <w:szCs w:val="32"/>
          <w:lang w:val="en-US" w:eastAsia="zh-CN"/>
        </w:rPr>
        <w:t>.对于轮胎质量异常情况发生率超过5%或者</w:t>
      </w:r>
      <w:r>
        <w:rPr>
          <w:rFonts w:hint="eastAsia" w:ascii="Times New Roman" w:hAnsi="Times New Roman" w:cs="Times New Roman"/>
          <w:sz w:val="32"/>
          <w:szCs w:val="32"/>
          <w:lang w:val="en-US" w:eastAsia="zh-CN"/>
        </w:rPr>
        <w:t>因质量问题在合同期限内</w:t>
      </w:r>
      <w:r>
        <w:rPr>
          <w:rFonts w:hint="default" w:ascii="Times New Roman" w:hAnsi="Times New Roman" w:cs="Times New Roman"/>
          <w:sz w:val="32"/>
          <w:szCs w:val="32"/>
          <w:lang w:val="en-US" w:eastAsia="zh-CN"/>
        </w:rPr>
        <w:t xml:space="preserve">造成其他损失达2000元及以上的，采购方有权对中标方按照损失的总额进行处罚，保留解除合同权利。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b/>
          <w:bCs/>
          <w:sz w:val="32"/>
          <w:szCs w:val="32"/>
          <w:lang w:val="en-US" w:eastAsia="zh-CN"/>
        </w:rPr>
      </w:pPr>
      <w:r>
        <w:rPr>
          <w:rFonts w:hint="eastAsia" w:ascii="Times New Roman" w:hAnsi="Times New Roman" w:cs="Times New Roman"/>
          <w:sz w:val="32"/>
          <w:szCs w:val="32"/>
          <w:lang w:val="en-US" w:eastAsia="zh-CN"/>
        </w:rPr>
        <w:t>6</w:t>
      </w:r>
      <w:r>
        <w:rPr>
          <w:rFonts w:hint="default" w:ascii="Times New Roman" w:hAnsi="Times New Roman" w:cs="Times New Roman"/>
          <w:sz w:val="32"/>
          <w:szCs w:val="32"/>
          <w:lang w:val="en-US" w:eastAsia="zh-CN"/>
        </w:rPr>
        <w:t>.投标人提供：</w:t>
      </w:r>
      <w:r>
        <w:rPr>
          <w:rFonts w:hint="default" w:ascii="Times New Roman" w:hAnsi="Times New Roman" w:cs="Times New Roman"/>
          <w:b/>
          <w:bCs/>
          <w:sz w:val="32"/>
          <w:szCs w:val="32"/>
          <w:lang w:val="en-US" w:eastAsia="zh-CN"/>
        </w:rPr>
        <w:t>耐久性试验与外缘尺寸检验报告、外观质量检验合格报告、强度试验合格报告，</w:t>
      </w:r>
      <w:r>
        <w:rPr>
          <w:rFonts w:hint="eastAsia" w:ascii="Times New Roman" w:hAnsi="Times New Roman" w:cs="Times New Roman"/>
          <w:b/>
          <w:bCs/>
          <w:sz w:val="32"/>
          <w:szCs w:val="32"/>
          <w:lang w:val="en-US" w:eastAsia="zh-CN"/>
        </w:rPr>
        <w:t>中标后签订合同前提供</w:t>
      </w:r>
      <w:r>
        <w:rPr>
          <w:rFonts w:hint="default" w:ascii="Times New Roman" w:hAnsi="Times New Roman" w:cs="Times New Roman"/>
          <w:b/>
          <w:bCs/>
          <w:sz w:val="32"/>
          <w:szCs w:val="32"/>
          <w:lang w:val="en-US" w:eastAsia="zh-CN"/>
        </w:rPr>
        <w:t>中标品牌每个</w:t>
      </w:r>
      <w:r>
        <w:rPr>
          <w:rFonts w:hint="eastAsia" w:ascii="Times New Roman" w:hAnsi="Times New Roman" w:cs="Times New Roman"/>
          <w:b/>
          <w:bCs/>
          <w:color w:val="auto"/>
          <w:sz w:val="32"/>
          <w:szCs w:val="32"/>
          <w:lang w:val="en-US" w:eastAsia="zh-CN"/>
        </w:rPr>
        <w:t>规格</w:t>
      </w:r>
      <w:r>
        <w:rPr>
          <w:rFonts w:hint="eastAsia" w:ascii="Times New Roman" w:hAnsi="Times New Roman" w:cs="Times New Roman"/>
          <w:b/>
          <w:bCs/>
          <w:sz w:val="32"/>
          <w:szCs w:val="32"/>
          <w:lang w:val="en-US" w:eastAsia="zh-CN"/>
        </w:rPr>
        <w:t>轮胎报告各</w:t>
      </w:r>
      <w:r>
        <w:rPr>
          <w:rFonts w:hint="default" w:ascii="Times New Roman" w:hAnsi="Times New Roman" w:cs="Times New Roman"/>
          <w:b/>
          <w:bCs/>
          <w:sz w:val="32"/>
          <w:szCs w:val="32"/>
          <w:lang w:val="en-US" w:eastAsia="zh-CN"/>
        </w:rPr>
        <w:t>一</w:t>
      </w:r>
      <w:r>
        <w:rPr>
          <w:rFonts w:hint="eastAsia" w:ascii="Times New Roman" w:hAnsi="Times New Roman" w:cs="Times New Roman"/>
          <w:b/>
          <w:bCs/>
          <w:sz w:val="32"/>
          <w:szCs w:val="32"/>
          <w:lang w:val="en-US" w:eastAsia="zh-CN"/>
        </w:rPr>
        <w:t>套，如无法提供，中标无效。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7</w:t>
      </w:r>
      <w:r>
        <w:rPr>
          <w:rFonts w:hint="default" w:ascii="Times New Roman" w:hAnsi="Times New Roman" w:cs="Times New Roman"/>
          <w:sz w:val="32"/>
          <w:szCs w:val="32"/>
          <w:lang w:val="en-US" w:eastAsia="zh-CN"/>
        </w:rPr>
        <w:t xml:space="preserve">.投标人承诺从轮胎售出之日起三个月内，因下列制造问题（不危及人身和财产安全且不产生不良影响的情况下）而引起早期损坏的轮胎，采购人有权向中标供应商要求按实际条数对应理赔，造成更大损失的，采购方有权要求中标方赔偿，并保留解除合同的权利。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（1）因各部件粘合不牢引起的冠空、肩空、肩泡、侧泡、脱接头、脱层。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（2）因轮胎钢丝松散、与橡胶粘合不牢、或两胎圈严重错位引起的胎圈空、胎圈爆。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（3）因帘线层排列松散，充气后引起的兼鼓、侧鼓。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（4）因缺胶引起的胎里线外露。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（5）因设计、配方、工艺等原因，引起的胎冠露丝、胎面胶起层。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（6）轮胎异常磨损无法达到质保里程的。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8.推荐品牌：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default" w:ascii="Times New Roman" w:hAnsi="Times New Roman" w:cs="Times New Roman"/>
          <w:sz w:val="32"/>
          <w:szCs w:val="32"/>
          <w:lang w:val="en-US" w:eastAsia="zh-CN"/>
        </w:rPr>
        <w:t>米其林</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普利司通</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固特异</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佳通</w:t>
      </w:r>
      <w:r>
        <w:rPr>
          <w:rFonts w:hint="eastAsia" w:ascii="Times New Roman" w:hAnsi="Times New Roman" w:cs="Times New Roman"/>
          <w:sz w:val="32"/>
          <w:szCs w:val="32"/>
          <w:lang w:val="en-US" w:eastAsia="zh-CN"/>
        </w:rPr>
        <w:t>、韩泰、</w:t>
      </w:r>
      <w:r>
        <w:rPr>
          <w:rFonts w:hint="eastAsia" w:ascii="Times New Roman" w:hAnsi="Times New Roman" w:cs="Times New Roman"/>
          <w:color w:val="auto"/>
          <w:sz w:val="32"/>
          <w:szCs w:val="32"/>
          <w:lang w:val="en-US" w:eastAsia="zh-CN"/>
        </w:rPr>
        <w:t>玛吉斯、正新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6"/>
        <w:gridCol w:w="2053"/>
        <w:gridCol w:w="1312"/>
        <w:gridCol w:w="1180"/>
        <w:gridCol w:w="877"/>
        <w:gridCol w:w="1139"/>
        <w:gridCol w:w="11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拟采购轮胎清单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轮胎型号</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最低质保时间（年）</w:t>
            </w:r>
          </w:p>
        </w:tc>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最低质保里程（公里）</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数量（个）</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单价控制价（元）</w:t>
            </w:r>
          </w:p>
        </w:tc>
        <w:tc>
          <w:tcPr>
            <w:tcW w:w="7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8.25R20-16</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1060</w:t>
            </w:r>
          </w:p>
        </w:tc>
        <w:tc>
          <w:tcPr>
            <w:tcW w:w="7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245/70R19.5-18</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855</w:t>
            </w:r>
          </w:p>
        </w:tc>
        <w:tc>
          <w:tcPr>
            <w:tcW w:w="7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215/75R17.5-16</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755</w:t>
            </w:r>
          </w:p>
        </w:tc>
        <w:tc>
          <w:tcPr>
            <w:tcW w:w="7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0.63</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备注：本次招标轮胎均为原厂全新钢丝轮胎，</w:t>
      </w:r>
      <w:r>
        <w:rPr>
          <w:rFonts w:hint="eastAsia" w:ascii="Times New Roman" w:hAnsi="Times New Roman" w:cs="Times New Roman"/>
          <w:color w:val="FF0000"/>
          <w:sz w:val="32"/>
          <w:szCs w:val="32"/>
          <w:u w:val="single"/>
          <w:lang w:val="en-US" w:eastAsia="zh-CN"/>
        </w:rPr>
        <w:t>质保时间自轮胎装车之日开始计算。</w:t>
      </w:r>
      <w:r>
        <w:rPr>
          <w:rFonts w:hint="eastAsia" w:ascii="Times New Roman" w:hAnsi="Times New Roman" w:cs="Times New Roman"/>
          <w:sz w:val="32"/>
          <w:szCs w:val="32"/>
          <w:lang w:val="en-US" w:eastAsia="zh-CN"/>
        </w:rPr>
        <w:t>（每个投标人所投三种型号轮胎须为同一品牌，适用于公交特性，245/70R19.5-18及215/75R17.5-16两种无内真空轮胎须具有胎体胎侧磨耗标识，标有公交专用标识。）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4.本章供货要求关键技术参数必须响应或优于响应，否则其投标无效。</w:t>
      </w:r>
    </w:p>
    <w:permEnd w:id="109"/>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247527827"/>
      <w:bookmarkStart w:id="421" w:name="_Toc144974856"/>
      <w:bookmarkStart w:id="422" w:name="_Toc247514246"/>
      <w:bookmarkStart w:id="423" w:name="_Toc300835209"/>
      <w:bookmarkStart w:id="424" w:name="_Toc152042576"/>
      <w:bookmarkStart w:id="425" w:name="_Toc152045787"/>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eastAsia"/>
          <w:lang w:eastAsia="zh-CN"/>
        </w:rPr>
      </w:pPr>
      <w:bookmarkStart w:id="426" w:name="_Toc247527828"/>
      <w:bookmarkStart w:id="427" w:name="_Toc152045788"/>
      <w:bookmarkStart w:id="428" w:name="_Toc300835210"/>
      <w:bookmarkStart w:id="429" w:name="_Toc152042577"/>
      <w:bookmarkStart w:id="430" w:name="_Toc247514247"/>
      <w:bookmarkStart w:id="431" w:name="_Toc14497485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10" w:edGrp="everyone"/>
      <w:r>
        <w:rPr>
          <w:rFonts w:hint="eastAsia" w:ascii="Times New Roman" w:hAnsi="Times New Roman" w:cs="Times New Roman"/>
          <w:szCs w:val="21"/>
          <w:lang w:val="en-US" w:eastAsia="zh-CN"/>
        </w:rPr>
        <w:t>825R20-16型号轮胎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元/条、245/70R19.5-18型号轮胎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元/条、215/75R17.5-16型号轮胎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元/条（其中，增值税税率为</w:t>
      </w:r>
      <w:r>
        <w:rPr>
          <w:rFonts w:hint="eastAsia" w:ascii="Times New Roman" w:hAnsi="Times New Roman" w:cs="Times New Roman"/>
          <w:szCs w:val="21"/>
          <w:u w:val="single"/>
          <w:lang w:val="en-US" w:eastAsia="zh-CN"/>
        </w:rPr>
        <w:t>13%</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）的投标单价，并承诺按照825R20-16型号轮胎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元/条、245/70R19.5-18型号轮胎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元/条、215/75R17.5-16型号轮胎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元/条的单价进行废旧轮胎的回收，</w:t>
      </w:r>
      <w:permEnd w:id="110"/>
      <w:r>
        <w:rPr>
          <w:rFonts w:hint="eastAsia" w:ascii="Times New Roman" w:hAnsi="Times New Roman" w:cs="Times New Roman"/>
          <w:szCs w:val="21"/>
          <w:lang w:val="en-US" w:eastAsia="zh-CN"/>
        </w:rPr>
        <w:t>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300835213"/>
      <w:bookmarkStart w:id="433" w:name="_Toc152042580"/>
      <w:bookmarkStart w:id="434" w:name="_Toc144974860"/>
      <w:bookmarkStart w:id="435" w:name="_Toc247527831"/>
      <w:bookmarkStart w:id="436" w:name="_Toc152045791"/>
      <w:bookmarkStart w:id="437" w:name="_Toc247514283"/>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numPr>
          <w:ilvl w:val="0"/>
          <w:numId w:val="0"/>
        </w:numPr>
        <w:jc w:val="both"/>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144974861"/>
      <w:bookmarkStart w:id="439" w:name="_Toc152042581"/>
      <w:bookmarkStart w:id="440" w:name="_Toc247514284"/>
      <w:bookmarkStart w:id="441" w:name="_Toc247527832"/>
      <w:bookmarkStart w:id="442" w:name="_Toc152045792"/>
      <w:bookmarkStart w:id="443" w:name="_Toc300835214"/>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152042583"/>
      <w:bookmarkStart w:id="445" w:name="_Toc247527834"/>
      <w:bookmarkStart w:id="446" w:name="_Toc247514286"/>
      <w:bookmarkStart w:id="447" w:name="_Toc152045794"/>
      <w:bookmarkStart w:id="448" w:name="_Toc144974862"/>
      <w:bookmarkStart w:id="449"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247527835"/>
      <w:bookmarkStart w:id="452" w:name="_Toc247514287"/>
      <w:bookmarkStart w:id="453" w:name="_Toc144974863"/>
      <w:bookmarkStart w:id="454" w:name="_Toc152042584"/>
      <w:bookmarkStart w:id="455" w:name="_Toc152045795"/>
      <w:bookmarkStart w:id="456"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152042585"/>
            <w:bookmarkStart w:id="458" w:name="_Toc152045796"/>
            <w:bookmarkStart w:id="459" w:name="_Toc247514288"/>
            <w:bookmarkStart w:id="460" w:name="_Toc300835221"/>
            <w:bookmarkStart w:id="461" w:name="_Toc247527836"/>
            <w:bookmarkStart w:id="462" w:name="_Toc144974864"/>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color w:val="FF0000"/>
          <w:highlight w:val="none"/>
          <w:lang w:val="en-US" w:eastAsia="zh-CN"/>
        </w:rPr>
      </w:pPr>
      <w:r>
        <w:rPr>
          <w:rFonts w:hint="eastAsia" w:ascii="Times New Roman" w:hAnsi="Times New Roman" w:cs="Times New Roman"/>
          <w:color w:val="FF0000"/>
          <w:highlight w:val="none"/>
          <w:lang w:val="en-US" w:eastAsia="zh-CN"/>
        </w:rPr>
        <w:t>五</w:t>
      </w:r>
      <w:r>
        <w:rPr>
          <w:rFonts w:hint="default" w:ascii="Times New Roman" w:hAnsi="Times New Roman" w:cs="Times New Roman"/>
          <w:color w:val="FF0000"/>
          <w:highlight w:val="none"/>
        </w:rPr>
        <w:t>、</w:t>
      </w:r>
      <w:bookmarkEnd w:id="457"/>
      <w:bookmarkEnd w:id="458"/>
      <w:bookmarkEnd w:id="459"/>
      <w:bookmarkEnd w:id="460"/>
      <w:bookmarkEnd w:id="461"/>
      <w:bookmarkEnd w:id="462"/>
      <w:r>
        <w:rPr>
          <w:rFonts w:hint="eastAsia" w:ascii="Times New Roman" w:hAnsi="Times New Roman" w:cs="Times New Roman"/>
          <w:color w:val="FF0000"/>
          <w:highlight w:val="none"/>
          <w:lang w:val="en-US" w:eastAsia="zh-CN"/>
        </w:rPr>
        <w:t>分项报价表</w:t>
      </w:r>
    </w:p>
    <w:p>
      <w:pPr>
        <w:spacing w:line="440" w:lineRule="exact"/>
        <w:rPr>
          <w:rFonts w:hint="default" w:ascii="Times New Roman" w:hAnsi="Times New Roman" w:eastAsia="黑体" w:cs="Times New Roman"/>
          <w:color w:val="FF0000"/>
          <w:szCs w:val="21"/>
          <w:highlight w:val="green"/>
        </w:rPr>
      </w:pPr>
    </w:p>
    <w:p>
      <w:pPr>
        <w:tabs>
          <w:tab w:val="left" w:pos="720"/>
        </w:tabs>
        <w:spacing w:line="440" w:lineRule="exact"/>
        <w:ind w:firstLine="420" w:firstLineChars="200"/>
        <w:rPr>
          <w:rFonts w:hint="default" w:ascii="Times New Roman" w:hAnsi="Times New Roman" w:cs="Times New Roman" w:eastAsiaTheme="minorEastAsia"/>
          <w:color w:val="FF0000"/>
          <w:szCs w:val="21"/>
          <w:lang w:val="en-US" w:eastAsia="zh-CN"/>
        </w:rPr>
      </w:pPr>
      <w:bookmarkStart w:id="463" w:name="_Toc300835223"/>
      <w:r>
        <w:rPr>
          <w:rFonts w:hint="eastAsia" w:ascii="Times New Roman" w:hAnsi="Times New Roman" w:cs="Times New Roman"/>
          <w:color w:val="FF0000"/>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color w:val="FF0000"/>
          <w:szCs w:val="21"/>
          <w:lang w:val="en-US" w:eastAsia="zh-CN"/>
        </w:rPr>
      </w:pPr>
      <w:r>
        <w:rPr>
          <w:rFonts w:hint="default" w:ascii="Times New Roman" w:hAnsi="Times New Roman" w:cs="Times New Roman"/>
          <w:color w:val="FF0000"/>
          <w:szCs w:val="21"/>
        </w:rPr>
        <w:t>2</w:t>
      </w:r>
      <w:r>
        <w:rPr>
          <w:rFonts w:hint="eastAsia" w:ascii="Times New Roman" w:hAnsi="Times New Roman" w:cs="Times New Roman"/>
          <w:color w:val="FF0000"/>
          <w:szCs w:val="21"/>
          <w:lang w:val="en-US" w:eastAsia="zh-CN"/>
        </w:rPr>
        <w:t>. 分项报价表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1306"/>
        <w:gridCol w:w="1350"/>
        <w:gridCol w:w="1309"/>
        <w:gridCol w:w="2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产品型号</w:t>
            </w:r>
          </w:p>
        </w:tc>
        <w:tc>
          <w:tcPr>
            <w:tcW w:w="1306"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质保时间（年）</w:t>
            </w:r>
          </w:p>
        </w:tc>
        <w:tc>
          <w:tcPr>
            <w:tcW w:w="1350"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质保路程（公里）</w:t>
            </w:r>
          </w:p>
        </w:tc>
        <w:tc>
          <w:tcPr>
            <w:tcW w:w="1309"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单价（元）</w:t>
            </w:r>
          </w:p>
        </w:tc>
        <w:tc>
          <w:tcPr>
            <w:tcW w:w="2168" w:type="dxa"/>
            <w:vAlign w:val="center"/>
          </w:tcPr>
          <w:p>
            <w:pPr>
              <w:tabs>
                <w:tab w:val="left" w:pos="720"/>
              </w:tabs>
              <w:spacing w:line="440" w:lineRule="exact"/>
              <w:jc w:val="center"/>
              <w:rPr>
                <w:rFonts w:hint="default" w:ascii="Times New Roman" w:hAnsi="Times New Roman" w:cs="Times New Roman"/>
                <w:b/>
                <w:bCs/>
                <w:color w:val="FF0000"/>
                <w:szCs w:val="21"/>
                <w:vertAlign w:val="baseline"/>
                <w:lang w:val="en-US" w:eastAsia="zh-CN"/>
              </w:rPr>
            </w:pPr>
            <w:r>
              <w:rPr>
                <w:rFonts w:hint="eastAsia" w:ascii="Times New Roman" w:hAnsi="Times New Roman" w:cs="Times New Roman"/>
                <w:b/>
                <w:bCs/>
                <w:color w:val="FF0000"/>
                <w:szCs w:val="21"/>
                <w:vertAlign w:val="baseline"/>
                <w:lang w:val="en-US" w:eastAsia="zh-CN"/>
              </w:rPr>
              <w:t>投标品牌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FF0000"/>
                <w:szCs w:val="21"/>
                <w:vertAlign w:val="baseline"/>
                <w:lang w:val="en-US" w:eastAsia="zh-CN"/>
              </w:rPr>
            </w:pPr>
            <w:r>
              <w:rPr>
                <w:rFonts w:hint="eastAsia" w:ascii="Times New Roman" w:hAnsi="Times New Roman" w:cs="Times New Roman"/>
                <w:color w:val="FF0000"/>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6"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50"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9"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2168" w:type="dxa"/>
            <w:vMerge w:val="restart"/>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FF0000"/>
                <w:szCs w:val="21"/>
                <w:vertAlign w:val="baseline"/>
                <w:lang w:val="en-US" w:eastAsia="zh-CN"/>
              </w:rPr>
            </w:pPr>
            <w:r>
              <w:rPr>
                <w:rFonts w:hint="eastAsia" w:ascii="Times New Roman" w:hAnsi="Times New Roman" w:cs="Times New Roman"/>
                <w:color w:val="FF0000"/>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6"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50"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9"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2168" w:type="dxa"/>
            <w:vMerge w:val="continue"/>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FF0000"/>
                <w:szCs w:val="21"/>
                <w:vertAlign w:val="baseline"/>
                <w:lang w:val="en-US" w:eastAsia="zh-CN"/>
              </w:rPr>
            </w:pPr>
            <w:r>
              <w:rPr>
                <w:rFonts w:hint="eastAsia" w:ascii="Times New Roman" w:hAnsi="Times New Roman" w:cs="Times New Roman"/>
                <w:color w:val="FF0000"/>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6"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50"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9"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2168" w:type="dxa"/>
            <w:vMerge w:val="continue"/>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FF0000"/>
                <w:szCs w:val="21"/>
                <w:vertAlign w:val="baseline"/>
                <w:lang w:val="en-US" w:eastAsia="zh-CN"/>
              </w:rPr>
            </w:pPr>
            <w:r>
              <w:rPr>
                <w:rFonts w:hint="eastAsia" w:ascii="Times New Roman" w:hAnsi="Times New Roman" w:cs="Times New Roman"/>
                <w:color w:val="FF0000"/>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6"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50"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9"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2168" w:type="dxa"/>
            <w:vMerge w:val="continue"/>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FF0000"/>
                <w:szCs w:val="21"/>
                <w:vertAlign w:val="baseline"/>
                <w:lang w:val="en-US" w:eastAsia="zh-CN"/>
              </w:rPr>
            </w:pPr>
            <w:r>
              <w:rPr>
                <w:rFonts w:hint="eastAsia" w:ascii="Times New Roman" w:hAnsi="Times New Roman" w:cs="Times New Roman"/>
                <w:color w:val="FF0000"/>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6"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50"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1309" w:type="dxa"/>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c>
          <w:tcPr>
            <w:tcW w:w="2168" w:type="dxa"/>
            <w:vMerge w:val="continue"/>
            <w:vAlign w:val="center"/>
          </w:tcPr>
          <w:p>
            <w:pPr>
              <w:tabs>
                <w:tab w:val="left" w:pos="720"/>
              </w:tabs>
              <w:spacing w:line="440" w:lineRule="exact"/>
              <w:jc w:val="center"/>
              <w:rPr>
                <w:rFonts w:hint="eastAsia" w:ascii="Times New Roman" w:hAnsi="Times New Roman" w:cs="Times New Roman"/>
                <w:color w:val="FF0000"/>
                <w:szCs w:val="21"/>
                <w:vertAlign w:val="baseline"/>
                <w:lang w:val="en-US" w:eastAsia="zh-CN"/>
              </w:rPr>
            </w:pPr>
          </w:p>
        </w:tc>
      </w:tr>
    </w:tbl>
    <w:p>
      <w:pPr>
        <w:tabs>
          <w:tab w:val="left" w:pos="720"/>
        </w:tabs>
        <w:spacing w:line="440" w:lineRule="exact"/>
        <w:jc w:val="right"/>
        <w:rPr>
          <w:rFonts w:hint="eastAsia" w:ascii="Times New Roman" w:hAnsi="Times New Roman" w:cs="Times New Roman"/>
          <w:color w:val="FF0000"/>
          <w:szCs w:val="21"/>
          <w:lang w:val="en-US" w:eastAsia="zh-CN"/>
        </w:rPr>
      </w:pPr>
      <w:r>
        <w:rPr>
          <w:rFonts w:hint="eastAsia" w:ascii="Times New Roman" w:hAnsi="Times New Roman" w:cs="Times New Roman"/>
          <w:color w:val="FF0000"/>
          <w:szCs w:val="21"/>
          <w:lang w:val="en-US" w:eastAsia="zh-CN"/>
        </w:rPr>
        <w:t>单位：人民币元</w:t>
      </w:r>
    </w:p>
    <w:p>
      <w:pPr>
        <w:tabs>
          <w:tab w:val="left" w:pos="720"/>
        </w:tabs>
        <w:spacing w:line="440" w:lineRule="exact"/>
        <w:rPr>
          <w:rFonts w:hint="eastAsia" w:ascii="Times New Roman" w:hAnsi="Times New Roman" w:cs="Times New Roman"/>
          <w:color w:val="FF0000"/>
          <w:szCs w:val="21"/>
          <w:lang w:val="en-US" w:eastAsia="zh-CN"/>
        </w:rPr>
      </w:pPr>
      <w:r>
        <w:rPr>
          <w:rFonts w:hint="eastAsia" w:ascii="Times New Roman" w:hAnsi="Times New Roman" w:cs="Times New Roman"/>
          <w:color w:val="FF0000"/>
          <w:lang w:val="en-US" w:eastAsia="zh-CN"/>
        </w:rPr>
        <w:t>注：投标人可根据行业具体情况及招标项目特点对上表格式进行调整。投标人在填写报价表时应填写产品型号、质保时间（自装车之日计算）、质保里程、单价及投标品牌。投标人同时承诺质保期限和质保里程的，参照招标人公交车辆运营情况，按照3年10万公里进行折算，以折算后最低质保里程为准。</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3"/>
        <w:jc w:val="center"/>
        <w:rPr>
          <w:rFonts w:hint="eastAsia"/>
          <w:highlight w:val="none"/>
        </w:rPr>
      </w:pPr>
      <w:bookmarkStart w:id="464" w:name="_Toc246996369"/>
      <w:bookmarkStart w:id="465" w:name="_Toc247085887"/>
      <w:bookmarkStart w:id="466" w:name="_Toc144974871"/>
      <w:bookmarkStart w:id="467" w:name="_Toc179632823"/>
      <w:bookmarkStart w:id="468" w:name="_Toc246997112"/>
      <w:bookmarkStart w:id="469" w:name="_Toc152042592"/>
      <w:bookmarkStart w:id="470" w:name="_Toc152045803"/>
      <w:bookmarkStart w:id="471" w:name="_Toc296602614"/>
      <w:bookmarkStart w:id="472" w:name="_Toc152045808"/>
      <w:bookmarkStart w:id="473" w:name="_Toc300835224"/>
      <w:bookmarkStart w:id="474" w:name="_Toc247514300"/>
      <w:bookmarkStart w:id="475" w:name="_Toc247527848"/>
      <w:bookmarkStart w:id="476" w:name="_Toc152042597"/>
      <w:bookmarkStart w:id="477" w:name="_Toc144974876"/>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1"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1"/>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112"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12"/>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247514305"/>
      <w:bookmarkStart w:id="479" w:name="_Toc247530162"/>
      <w:bookmarkStart w:id="480" w:name="_Toc152045813"/>
      <w:bookmarkStart w:id="481" w:name="_Toc247527853"/>
      <w:bookmarkStart w:id="482" w:name="_Toc152042602"/>
      <w:bookmarkStart w:id="483" w:name="_Toc144974881"/>
    </w:p>
    <w:bookmarkEnd w:id="478"/>
    <w:bookmarkEnd w:id="479"/>
    <w:bookmarkEnd w:id="480"/>
    <w:bookmarkEnd w:id="481"/>
    <w:bookmarkEnd w:id="482"/>
    <w:bookmarkEnd w:id="483"/>
    <w:p>
      <w:pPr>
        <w:pStyle w:val="3"/>
        <w:jc w:val="center"/>
        <w:rPr>
          <w:rFonts w:hint="default" w:ascii="Times New Roman" w:hAnsi="Times New Roman" w:cs="Times New Roman"/>
        </w:rPr>
      </w:pPr>
      <w:bookmarkStart w:id="484" w:name="_Toc271821942"/>
      <w:bookmarkStart w:id="485"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11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3"/>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C069E"/>
    <w:rsid w:val="0040224D"/>
    <w:rsid w:val="00733B0B"/>
    <w:rsid w:val="00764376"/>
    <w:rsid w:val="00796B76"/>
    <w:rsid w:val="00850CC0"/>
    <w:rsid w:val="00B00F2F"/>
    <w:rsid w:val="00D032BE"/>
    <w:rsid w:val="00FF308E"/>
    <w:rsid w:val="011E6004"/>
    <w:rsid w:val="0145105E"/>
    <w:rsid w:val="014A102B"/>
    <w:rsid w:val="0178495D"/>
    <w:rsid w:val="018E53BB"/>
    <w:rsid w:val="019846E3"/>
    <w:rsid w:val="01B3097E"/>
    <w:rsid w:val="01CB0CDF"/>
    <w:rsid w:val="01CD2334"/>
    <w:rsid w:val="01E140D3"/>
    <w:rsid w:val="01EE4D0C"/>
    <w:rsid w:val="01F16263"/>
    <w:rsid w:val="02016132"/>
    <w:rsid w:val="0204567E"/>
    <w:rsid w:val="0212370C"/>
    <w:rsid w:val="021D348F"/>
    <w:rsid w:val="024C62D4"/>
    <w:rsid w:val="025B2DC4"/>
    <w:rsid w:val="026E5FAB"/>
    <w:rsid w:val="026F1774"/>
    <w:rsid w:val="02881E0B"/>
    <w:rsid w:val="02983D41"/>
    <w:rsid w:val="029F2BC9"/>
    <w:rsid w:val="02A31129"/>
    <w:rsid w:val="02A46690"/>
    <w:rsid w:val="02AC508C"/>
    <w:rsid w:val="02BA5D3C"/>
    <w:rsid w:val="02BE075F"/>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2D0A47"/>
    <w:rsid w:val="05524952"/>
    <w:rsid w:val="055625ED"/>
    <w:rsid w:val="0560706F"/>
    <w:rsid w:val="05647814"/>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59586C"/>
    <w:rsid w:val="06624967"/>
    <w:rsid w:val="06626753"/>
    <w:rsid w:val="06714440"/>
    <w:rsid w:val="067240CC"/>
    <w:rsid w:val="06866D3C"/>
    <w:rsid w:val="06972E4E"/>
    <w:rsid w:val="06A31B6E"/>
    <w:rsid w:val="06A848F7"/>
    <w:rsid w:val="06A905A2"/>
    <w:rsid w:val="06B86823"/>
    <w:rsid w:val="06BF2153"/>
    <w:rsid w:val="06C638E3"/>
    <w:rsid w:val="06D375E0"/>
    <w:rsid w:val="06D9502E"/>
    <w:rsid w:val="06E329B2"/>
    <w:rsid w:val="06EB4F76"/>
    <w:rsid w:val="06ED1728"/>
    <w:rsid w:val="06F81D74"/>
    <w:rsid w:val="071A70F3"/>
    <w:rsid w:val="074267A8"/>
    <w:rsid w:val="074A7C93"/>
    <w:rsid w:val="07666E00"/>
    <w:rsid w:val="07723470"/>
    <w:rsid w:val="077965A7"/>
    <w:rsid w:val="07832BA1"/>
    <w:rsid w:val="078F7797"/>
    <w:rsid w:val="07972327"/>
    <w:rsid w:val="07A85930"/>
    <w:rsid w:val="07EE56D8"/>
    <w:rsid w:val="07F43A9E"/>
    <w:rsid w:val="080C2B15"/>
    <w:rsid w:val="0828199A"/>
    <w:rsid w:val="083726B7"/>
    <w:rsid w:val="08554A0D"/>
    <w:rsid w:val="08563EE1"/>
    <w:rsid w:val="086D3DA1"/>
    <w:rsid w:val="08774BE1"/>
    <w:rsid w:val="088B4E03"/>
    <w:rsid w:val="088F5820"/>
    <w:rsid w:val="08903F11"/>
    <w:rsid w:val="08932D8F"/>
    <w:rsid w:val="08ED571D"/>
    <w:rsid w:val="08F024B8"/>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12DB4"/>
    <w:rsid w:val="0A8B5261"/>
    <w:rsid w:val="0A8E5075"/>
    <w:rsid w:val="0AA913FB"/>
    <w:rsid w:val="0AAE6B76"/>
    <w:rsid w:val="0AB37F43"/>
    <w:rsid w:val="0AB930A2"/>
    <w:rsid w:val="0ADD0DF0"/>
    <w:rsid w:val="0AEB40E8"/>
    <w:rsid w:val="0B0E131B"/>
    <w:rsid w:val="0B416906"/>
    <w:rsid w:val="0B5D1C2A"/>
    <w:rsid w:val="0B685C3C"/>
    <w:rsid w:val="0B711D5B"/>
    <w:rsid w:val="0B7202E7"/>
    <w:rsid w:val="0B991D46"/>
    <w:rsid w:val="0B9F686D"/>
    <w:rsid w:val="0BDE31B0"/>
    <w:rsid w:val="0C110CA2"/>
    <w:rsid w:val="0C773477"/>
    <w:rsid w:val="0C9F113B"/>
    <w:rsid w:val="0CD3448B"/>
    <w:rsid w:val="0CEA6C31"/>
    <w:rsid w:val="0CF072F3"/>
    <w:rsid w:val="0D2466BD"/>
    <w:rsid w:val="0D3A1668"/>
    <w:rsid w:val="0D3C216F"/>
    <w:rsid w:val="0D5C2246"/>
    <w:rsid w:val="0D6A3C45"/>
    <w:rsid w:val="0D7F3B4D"/>
    <w:rsid w:val="0D84383E"/>
    <w:rsid w:val="0DA13B17"/>
    <w:rsid w:val="0DA277FF"/>
    <w:rsid w:val="0DB22432"/>
    <w:rsid w:val="0DB8057F"/>
    <w:rsid w:val="0DBD75AC"/>
    <w:rsid w:val="0DC57869"/>
    <w:rsid w:val="0DCD1019"/>
    <w:rsid w:val="0DD331D8"/>
    <w:rsid w:val="0DDB677F"/>
    <w:rsid w:val="0E012A71"/>
    <w:rsid w:val="0E093A81"/>
    <w:rsid w:val="0E1201C4"/>
    <w:rsid w:val="0E124C7E"/>
    <w:rsid w:val="0E35096D"/>
    <w:rsid w:val="0E3C08A3"/>
    <w:rsid w:val="0E626142"/>
    <w:rsid w:val="0E6D3EE4"/>
    <w:rsid w:val="0E8168AC"/>
    <w:rsid w:val="0E9601D9"/>
    <w:rsid w:val="0E9E4764"/>
    <w:rsid w:val="0EA855E3"/>
    <w:rsid w:val="0EAA3109"/>
    <w:rsid w:val="0EDF4D5E"/>
    <w:rsid w:val="0EF860F0"/>
    <w:rsid w:val="0EFF16A6"/>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173FB"/>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AF6F40"/>
    <w:rsid w:val="12BF2922"/>
    <w:rsid w:val="12C942C8"/>
    <w:rsid w:val="12DC5F5E"/>
    <w:rsid w:val="12DC7F8C"/>
    <w:rsid w:val="12E82A0B"/>
    <w:rsid w:val="12ED5CBA"/>
    <w:rsid w:val="131873D2"/>
    <w:rsid w:val="13274F9C"/>
    <w:rsid w:val="13325EC2"/>
    <w:rsid w:val="13417410"/>
    <w:rsid w:val="134A448A"/>
    <w:rsid w:val="134F7EA7"/>
    <w:rsid w:val="135107A8"/>
    <w:rsid w:val="136066CF"/>
    <w:rsid w:val="13657E31"/>
    <w:rsid w:val="136C3340"/>
    <w:rsid w:val="1387094F"/>
    <w:rsid w:val="139C08EB"/>
    <w:rsid w:val="13D35238"/>
    <w:rsid w:val="13D81B1F"/>
    <w:rsid w:val="13DB3D64"/>
    <w:rsid w:val="14061B66"/>
    <w:rsid w:val="142B5FE2"/>
    <w:rsid w:val="14542872"/>
    <w:rsid w:val="147E2423"/>
    <w:rsid w:val="1487273A"/>
    <w:rsid w:val="148C28CB"/>
    <w:rsid w:val="14944440"/>
    <w:rsid w:val="14A059A0"/>
    <w:rsid w:val="14B97B05"/>
    <w:rsid w:val="14C44177"/>
    <w:rsid w:val="14CD31B9"/>
    <w:rsid w:val="14D26F15"/>
    <w:rsid w:val="14DA6BBE"/>
    <w:rsid w:val="14E67563"/>
    <w:rsid w:val="14F926F4"/>
    <w:rsid w:val="15021B62"/>
    <w:rsid w:val="150A21BA"/>
    <w:rsid w:val="151779D1"/>
    <w:rsid w:val="1522437E"/>
    <w:rsid w:val="15283931"/>
    <w:rsid w:val="15382F40"/>
    <w:rsid w:val="155B33AF"/>
    <w:rsid w:val="158374C1"/>
    <w:rsid w:val="15A62ECC"/>
    <w:rsid w:val="15AE56B5"/>
    <w:rsid w:val="15B14179"/>
    <w:rsid w:val="15C516BD"/>
    <w:rsid w:val="16026A2A"/>
    <w:rsid w:val="166266B1"/>
    <w:rsid w:val="167069E6"/>
    <w:rsid w:val="169528F0"/>
    <w:rsid w:val="16C724D4"/>
    <w:rsid w:val="16D411E7"/>
    <w:rsid w:val="16ED0036"/>
    <w:rsid w:val="170756D4"/>
    <w:rsid w:val="170F4587"/>
    <w:rsid w:val="176115DC"/>
    <w:rsid w:val="176D7525"/>
    <w:rsid w:val="17824660"/>
    <w:rsid w:val="178A3AD7"/>
    <w:rsid w:val="178F2FF8"/>
    <w:rsid w:val="179121FE"/>
    <w:rsid w:val="17915931"/>
    <w:rsid w:val="17AD77C6"/>
    <w:rsid w:val="17C41ABF"/>
    <w:rsid w:val="1804388A"/>
    <w:rsid w:val="181066D2"/>
    <w:rsid w:val="18175D56"/>
    <w:rsid w:val="18276B10"/>
    <w:rsid w:val="184E71FB"/>
    <w:rsid w:val="188E3A9B"/>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1335A"/>
    <w:rsid w:val="19A73D74"/>
    <w:rsid w:val="19AA5416"/>
    <w:rsid w:val="19CE7FF6"/>
    <w:rsid w:val="19D70C6D"/>
    <w:rsid w:val="19E2271F"/>
    <w:rsid w:val="1A0320D1"/>
    <w:rsid w:val="1A075570"/>
    <w:rsid w:val="1A1C623A"/>
    <w:rsid w:val="1A270D5F"/>
    <w:rsid w:val="1A4D4CED"/>
    <w:rsid w:val="1A797469"/>
    <w:rsid w:val="1A8011C2"/>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45C95"/>
    <w:rsid w:val="1BFE7E24"/>
    <w:rsid w:val="1C100B6A"/>
    <w:rsid w:val="1C2075D6"/>
    <w:rsid w:val="1C2B6CB4"/>
    <w:rsid w:val="1C3109C5"/>
    <w:rsid w:val="1C3774BA"/>
    <w:rsid w:val="1C4E114E"/>
    <w:rsid w:val="1C533032"/>
    <w:rsid w:val="1C5D5F8B"/>
    <w:rsid w:val="1C6E241C"/>
    <w:rsid w:val="1C7D00AF"/>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3E73CA"/>
    <w:rsid w:val="1E5A61EE"/>
    <w:rsid w:val="1E713E2F"/>
    <w:rsid w:val="1E805C34"/>
    <w:rsid w:val="1E875215"/>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3738D"/>
    <w:rsid w:val="1F4D1086"/>
    <w:rsid w:val="1F5D00BF"/>
    <w:rsid w:val="1F5E5F75"/>
    <w:rsid w:val="1F640255"/>
    <w:rsid w:val="1F671677"/>
    <w:rsid w:val="1F722047"/>
    <w:rsid w:val="1F904945"/>
    <w:rsid w:val="1FAA6A2E"/>
    <w:rsid w:val="1FC11059"/>
    <w:rsid w:val="1FDC7161"/>
    <w:rsid w:val="1FE4351E"/>
    <w:rsid w:val="1FE570E2"/>
    <w:rsid w:val="1FE7673E"/>
    <w:rsid w:val="200E38F2"/>
    <w:rsid w:val="201E585F"/>
    <w:rsid w:val="202B1BD0"/>
    <w:rsid w:val="2049266D"/>
    <w:rsid w:val="20534B67"/>
    <w:rsid w:val="20557DC5"/>
    <w:rsid w:val="205A5C16"/>
    <w:rsid w:val="205B7D6A"/>
    <w:rsid w:val="207C33EE"/>
    <w:rsid w:val="2081342E"/>
    <w:rsid w:val="208337BA"/>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8B501C"/>
    <w:rsid w:val="21A61686"/>
    <w:rsid w:val="21C13A32"/>
    <w:rsid w:val="22270787"/>
    <w:rsid w:val="224D73DD"/>
    <w:rsid w:val="22592601"/>
    <w:rsid w:val="22603DB2"/>
    <w:rsid w:val="226D7B83"/>
    <w:rsid w:val="2293123C"/>
    <w:rsid w:val="22A570EC"/>
    <w:rsid w:val="22BF62A8"/>
    <w:rsid w:val="22EF3388"/>
    <w:rsid w:val="23294AEC"/>
    <w:rsid w:val="232E56FD"/>
    <w:rsid w:val="233F5F96"/>
    <w:rsid w:val="235F4D23"/>
    <w:rsid w:val="236D4028"/>
    <w:rsid w:val="238A4DFC"/>
    <w:rsid w:val="24226CC5"/>
    <w:rsid w:val="24312A4A"/>
    <w:rsid w:val="243629A0"/>
    <w:rsid w:val="244A5E9A"/>
    <w:rsid w:val="244C4BB8"/>
    <w:rsid w:val="24691193"/>
    <w:rsid w:val="246C3A46"/>
    <w:rsid w:val="247152E7"/>
    <w:rsid w:val="24724271"/>
    <w:rsid w:val="24A43FC7"/>
    <w:rsid w:val="24BD0029"/>
    <w:rsid w:val="24BE3012"/>
    <w:rsid w:val="24FF7718"/>
    <w:rsid w:val="25070E5D"/>
    <w:rsid w:val="251A7612"/>
    <w:rsid w:val="25237A22"/>
    <w:rsid w:val="252E0774"/>
    <w:rsid w:val="253B28B5"/>
    <w:rsid w:val="25481BCE"/>
    <w:rsid w:val="25653D41"/>
    <w:rsid w:val="256E1E26"/>
    <w:rsid w:val="256E2C8A"/>
    <w:rsid w:val="25812F8D"/>
    <w:rsid w:val="25814DB7"/>
    <w:rsid w:val="25824959"/>
    <w:rsid w:val="25987A23"/>
    <w:rsid w:val="25BC46FF"/>
    <w:rsid w:val="25C517A2"/>
    <w:rsid w:val="25EF41EA"/>
    <w:rsid w:val="25F5789E"/>
    <w:rsid w:val="25FD6A72"/>
    <w:rsid w:val="2608561B"/>
    <w:rsid w:val="26196938"/>
    <w:rsid w:val="262112BF"/>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610D5"/>
    <w:rsid w:val="284D302B"/>
    <w:rsid w:val="285F5293"/>
    <w:rsid w:val="28622D71"/>
    <w:rsid w:val="286E69FD"/>
    <w:rsid w:val="287E4F92"/>
    <w:rsid w:val="28A10C81"/>
    <w:rsid w:val="28B44E58"/>
    <w:rsid w:val="28C56178"/>
    <w:rsid w:val="28FA546B"/>
    <w:rsid w:val="28FE025E"/>
    <w:rsid w:val="29245F1A"/>
    <w:rsid w:val="29366359"/>
    <w:rsid w:val="29586D7A"/>
    <w:rsid w:val="29772B51"/>
    <w:rsid w:val="29791894"/>
    <w:rsid w:val="2984235F"/>
    <w:rsid w:val="29967FD2"/>
    <w:rsid w:val="29A52D8F"/>
    <w:rsid w:val="29C56C3A"/>
    <w:rsid w:val="29C94933"/>
    <w:rsid w:val="29D137E8"/>
    <w:rsid w:val="29D85278"/>
    <w:rsid w:val="29E1380C"/>
    <w:rsid w:val="29E85046"/>
    <w:rsid w:val="29EC23D0"/>
    <w:rsid w:val="2A017BFD"/>
    <w:rsid w:val="2A0A71F8"/>
    <w:rsid w:val="2A4913A2"/>
    <w:rsid w:val="2A9154D8"/>
    <w:rsid w:val="2AA04C57"/>
    <w:rsid w:val="2AD750C3"/>
    <w:rsid w:val="2AE77D08"/>
    <w:rsid w:val="2AEA3011"/>
    <w:rsid w:val="2AEB08D9"/>
    <w:rsid w:val="2B151AF7"/>
    <w:rsid w:val="2B252D72"/>
    <w:rsid w:val="2B261911"/>
    <w:rsid w:val="2B3E0375"/>
    <w:rsid w:val="2B492499"/>
    <w:rsid w:val="2B652A8D"/>
    <w:rsid w:val="2B6C55DB"/>
    <w:rsid w:val="2B8D5640"/>
    <w:rsid w:val="2B9176D3"/>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5B1D46"/>
    <w:rsid w:val="2D772574"/>
    <w:rsid w:val="2D8D31B7"/>
    <w:rsid w:val="2D8D5835"/>
    <w:rsid w:val="2DAB1C25"/>
    <w:rsid w:val="2DCC12FC"/>
    <w:rsid w:val="2DD66E3A"/>
    <w:rsid w:val="2DF17D73"/>
    <w:rsid w:val="2E016ADE"/>
    <w:rsid w:val="2E652B8E"/>
    <w:rsid w:val="2E66167A"/>
    <w:rsid w:val="2E6C7EF1"/>
    <w:rsid w:val="2E6D69DB"/>
    <w:rsid w:val="2E6F6584"/>
    <w:rsid w:val="2E7823B0"/>
    <w:rsid w:val="2E7D5CEC"/>
    <w:rsid w:val="2E933BCE"/>
    <w:rsid w:val="2E9C6490"/>
    <w:rsid w:val="2EA40069"/>
    <w:rsid w:val="2EAA3B87"/>
    <w:rsid w:val="2EB21E3A"/>
    <w:rsid w:val="2EB66E96"/>
    <w:rsid w:val="2EBC23A0"/>
    <w:rsid w:val="2EF7784D"/>
    <w:rsid w:val="2EFA0191"/>
    <w:rsid w:val="2EFB69EF"/>
    <w:rsid w:val="2F436846"/>
    <w:rsid w:val="2F4556CE"/>
    <w:rsid w:val="2F6F3C93"/>
    <w:rsid w:val="2F754A27"/>
    <w:rsid w:val="2F890E3A"/>
    <w:rsid w:val="2FA1186B"/>
    <w:rsid w:val="2FB1448A"/>
    <w:rsid w:val="2FC802AE"/>
    <w:rsid w:val="2FE66F94"/>
    <w:rsid w:val="301C41BF"/>
    <w:rsid w:val="302369A0"/>
    <w:rsid w:val="303474C0"/>
    <w:rsid w:val="30550CCF"/>
    <w:rsid w:val="305C41A9"/>
    <w:rsid w:val="306058C5"/>
    <w:rsid w:val="307C26FF"/>
    <w:rsid w:val="30820205"/>
    <w:rsid w:val="308E41B5"/>
    <w:rsid w:val="30952C59"/>
    <w:rsid w:val="309D5FE7"/>
    <w:rsid w:val="30FF4D69"/>
    <w:rsid w:val="310E5321"/>
    <w:rsid w:val="3113559B"/>
    <w:rsid w:val="311978DB"/>
    <w:rsid w:val="312421F6"/>
    <w:rsid w:val="3127420C"/>
    <w:rsid w:val="31477BEB"/>
    <w:rsid w:val="315523B1"/>
    <w:rsid w:val="3198056E"/>
    <w:rsid w:val="31C53C32"/>
    <w:rsid w:val="31CD31BF"/>
    <w:rsid w:val="31E10F55"/>
    <w:rsid w:val="31EF5153"/>
    <w:rsid w:val="31FA3D10"/>
    <w:rsid w:val="320B7F80"/>
    <w:rsid w:val="3219008D"/>
    <w:rsid w:val="32215B79"/>
    <w:rsid w:val="322241F2"/>
    <w:rsid w:val="3229379D"/>
    <w:rsid w:val="32294133"/>
    <w:rsid w:val="322D5AFA"/>
    <w:rsid w:val="32514C44"/>
    <w:rsid w:val="325D030E"/>
    <w:rsid w:val="328916BE"/>
    <w:rsid w:val="32974C7A"/>
    <w:rsid w:val="32BB4ABE"/>
    <w:rsid w:val="32C8549C"/>
    <w:rsid w:val="32CA16D9"/>
    <w:rsid w:val="32E83928"/>
    <w:rsid w:val="32F45590"/>
    <w:rsid w:val="33010C9A"/>
    <w:rsid w:val="331C19F3"/>
    <w:rsid w:val="332E5807"/>
    <w:rsid w:val="33380434"/>
    <w:rsid w:val="334234A4"/>
    <w:rsid w:val="33552D94"/>
    <w:rsid w:val="33582884"/>
    <w:rsid w:val="33773188"/>
    <w:rsid w:val="337E77C9"/>
    <w:rsid w:val="33843883"/>
    <w:rsid w:val="338F53C2"/>
    <w:rsid w:val="33925662"/>
    <w:rsid w:val="339B7AA1"/>
    <w:rsid w:val="33B7637D"/>
    <w:rsid w:val="33C837B3"/>
    <w:rsid w:val="33D4661F"/>
    <w:rsid w:val="33ED39C2"/>
    <w:rsid w:val="340F56DE"/>
    <w:rsid w:val="3425597D"/>
    <w:rsid w:val="342A5DF5"/>
    <w:rsid w:val="343B467F"/>
    <w:rsid w:val="344851FD"/>
    <w:rsid w:val="34986785"/>
    <w:rsid w:val="349B5E0E"/>
    <w:rsid w:val="34A432B6"/>
    <w:rsid w:val="34AA020B"/>
    <w:rsid w:val="34BC17DA"/>
    <w:rsid w:val="34D015E3"/>
    <w:rsid w:val="34F85DA8"/>
    <w:rsid w:val="3509398E"/>
    <w:rsid w:val="3547266B"/>
    <w:rsid w:val="3554479E"/>
    <w:rsid w:val="35777939"/>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AE496C"/>
    <w:rsid w:val="38B54D45"/>
    <w:rsid w:val="38D242CD"/>
    <w:rsid w:val="38EA21D0"/>
    <w:rsid w:val="393E0C7A"/>
    <w:rsid w:val="394125EA"/>
    <w:rsid w:val="39470BCD"/>
    <w:rsid w:val="39821F75"/>
    <w:rsid w:val="398B5520"/>
    <w:rsid w:val="398C3DB7"/>
    <w:rsid w:val="39AB6275"/>
    <w:rsid w:val="39E17621"/>
    <w:rsid w:val="39E8044A"/>
    <w:rsid w:val="39F227B1"/>
    <w:rsid w:val="3A092B2A"/>
    <w:rsid w:val="3A151290"/>
    <w:rsid w:val="3A201663"/>
    <w:rsid w:val="3A257964"/>
    <w:rsid w:val="3A292038"/>
    <w:rsid w:val="3A404967"/>
    <w:rsid w:val="3A4A1178"/>
    <w:rsid w:val="3A524E6B"/>
    <w:rsid w:val="3A762A49"/>
    <w:rsid w:val="3A826354"/>
    <w:rsid w:val="3A9D28F5"/>
    <w:rsid w:val="3ACD43C9"/>
    <w:rsid w:val="3AF31810"/>
    <w:rsid w:val="3AFF2C64"/>
    <w:rsid w:val="3B135A0E"/>
    <w:rsid w:val="3B2F69DB"/>
    <w:rsid w:val="3B49637F"/>
    <w:rsid w:val="3B79226F"/>
    <w:rsid w:val="3B8F1138"/>
    <w:rsid w:val="3B904834"/>
    <w:rsid w:val="3B932344"/>
    <w:rsid w:val="3B9D20F5"/>
    <w:rsid w:val="3BB33F88"/>
    <w:rsid w:val="3BC15D34"/>
    <w:rsid w:val="3BD93153"/>
    <w:rsid w:val="3BDA6996"/>
    <w:rsid w:val="3C0A3047"/>
    <w:rsid w:val="3C21415B"/>
    <w:rsid w:val="3C2E50FB"/>
    <w:rsid w:val="3C37637A"/>
    <w:rsid w:val="3C4A12AD"/>
    <w:rsid w:val="3C5125FC"/>
    <w:rsid w:val="3C690ECB"/>
    <w:rsid w:val="3C7A386B"/>
    <w:rsid w:val="3C860AC6"/>
    <w:rsid w:val="3C8967A4"/>
    <w:rsid w:val="3C960BC8"/>
    <w:rsid w:val="3C9848A1"/>
    <w:rsid w:val="3CA509B7"/>
    <w:rsid w:val="3CA509D1"/>
    <w:rsid w:val="3CAA4150"/>
    <w:rsid w:val="3CD537E6"/>
    <w:rsid w:val="3CD93879"/>
    <w:rsid w:val="3D2571D3"/>
    <w:rsid w:val="3D29776B"/>
    <w:rsid w:val="3D3B749E"/>
    <w:rsid w:val="3D7A2818"/>
    <w:rsid w:val="3D8106EA"/>
    <w:rsid w:val="3D834DF8"/>
    <w:rsid w:val="3DA352B1"/>
    <w:rsid w:val="3DBA0AB6"/>
    <w:rsid w:val="3DBA61E7"/>
    <w:rsid w:val="3DC14624"/>
    <w:rsid w:val="3DD55956"/>
    <w:rsid w:val="3E100FFC"/>
    <w:rsid w:val="3E201534"/>
    <w:rsid w:val="3E625352"/>
    <w:rsid w:val="3E651EE9"/>
    <w:rsid w:val="3E784A78"/>
    <w:rsid w:val="3E8554F5"/>
    <w:rsid w:val="3EB65E71"/>
    <w:rsid w:val="3EC33032"/>
    <w:rsid w:val="3EC61DB3"/>
    <w:rsid w:val="3ECE4FFB"/>
    <w:rsid w:val="3EF62661"/>
    <w:rsid w:val="3F0F3A3D"/>
    <w:rsid w:val="3F3C595E"/>
    <w:rsid w:val="3F59346C"/>
    <w:rsid w:val="3F657308"/>
    <w:rsid w:val="3F7856B5"/>
    <w:rsid w:val="3F7970EE"/>
    <w:rsid w:val="3F8003ED"/>
    <w:rsid w:val="3F8B5F41"/>
    <w:rsid w:val="3FB577A3"/>
    <w:rsid w:val="3FC519F7"/>
    <w:rsid w:val="3FD0326B"/>
    <w:rsid w:val="3FD34D1A"/>
    <w:rsid w:val="3FE34229"/>
    <w:rsid w:val="3FED63B1"/>
    <w:rsid w:val="40031733"/>
    <w:rsid w:val="40076D3D"/>
    <w:rsid w:val="401F65F0"/>
    <w:rsid w:val="404470DB"/>
    <w:rsid w:val="404C2292"/>
    <w:rsid w:val="405D572D"/>
    <w:rsid w:val="405D597D"/>
    <w:rsid w:val="408D1EA0"/>
    <w:rsid w:val="408E2DBF"/>
    <w:rsid w:val="409D2A1A"/>
    <w:rsid w:val="40A752D1"/>
    <w:rsid w:val="40B21FB5"/>
    <w:rsid w:val="40B90E06"/>
    <w:rsid w:val="40B95E2E"/>
    <w:rsid w:val="40C17F9E"/>
    <w:rsid w:val="40C43B66"/>
    <w:rsid w:val="40E247F7"/>
    <w:rsid w:val="40ED0AAF"/>
    <w:rsid w:val="40EE5966"/>
    <w:rsid w:val="410A115D"/>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CA464A"/>
    <w:rsid w:val="42FA6BD0"/>
    <w:rsid w:val="42FB4E01"/>
    <w:rsid w:val="4301585B"/>
    <w:rsid w:val="431B31A4"/>
    <w:rsid w:val="43325808"/>
    <w:rsid w:val="433E1CAF"/>
    <w:rsid w:val="43412297"/>
    <w:rsid w:val="43413ED4"/>
    <w:rsid w:val="434B5F61"/>
    <w:rsid w:val="43594499"/>
    <w:rsid w:val="43636C3F"/>
    <w:rsid w:val="436E5353"/>
    <w:rsid w:val="438073DF"/>
    <w:rsid w:val="439D6340"/>
    <w:rsid w:val="43FD7280"/>
    <w:rsid w:val="441532B2"/>
    <w:rsid w:val="441C5686"/>
    <w:rsid w:val="441E55BD"/>
    <w:rsid w:val="442C59F4"/>
    <w:rsid w:val="442C5CE7"/>
    <w:rsid w:val="443C4228"/>
    <w:rsid w:val="443F7EE3"/>
    <w:rsid w:val="44477A7A"/>
    <w:rsid w:val="445A5900"/>
    <w:rsid w:val="4467501D"/>
    <w:rsid w:val="44831552"/>
    <w:rsid w:val="4492209A"/>
    <w:rsid w:val="44A72CB4"/>
    <w:rsid w:val="44DC0CFE"/>
    <w:rsid w:val="44DC4FCA"/>
    <w:rsid w:val="44FD1C6D"/>
    <w:rsid w:val="453F207E"/>
    <w:rsid w:val="454276A8"/>
    <w:rsid w:val="45465AD9"/>
    <w:rsid w:val="457C4AF8"/>
    <w:rsid w:val="45A100BA"/>
    <w:rsid w:val="45A31600"/>
    <w:rsid w:val="45BE6EBE"/>
    <w:rsid w:val="45E526C2"/>
    <w:rsid w:val="45ED75B7"/>
    <w:rsid w:val="45EF5694"/>
    <w:rsid w:val="45F32D75"/>
    <w:rsid w:val="45FE4441"/>
    <w:rsid w:val="460934CE"/>
    <w:rsid w:val="461F685B"/>
    <w:rsid w:val="463A35BA"/>
    <w:rsid w:val="464478D6"/>
    <w:rsid w:val="46594972"/>
    <w:rsid w:val="46763AFA"/>
    <w:rsid w:val="46981853"/>
    <w:rsid w:val="46A86AC5"/>
    <w:rsid w:val="46AF0ACC"/>
    <w:rsid w:val="46CD2EA3"/>
    <w:rsid w:val="46E33C2A"/>
    <w:rsid w:val="46E5779E"/>
    <w:rsid w:val="46EB5C2E"/>
    <w:rsid w:val="46F77BF9"/>
    <w:rsid w:val="46FE6731"/>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26623"/>
    <w:rsid w:val="48A34F21"/>
    <w:rsid w:val="48B05292"/>
    <w:rsid w:val="48B12D0A"/>
    <w:rsid w:val="48B971DC"/>
    <w:rsid w:val="48E374F8"/>
    <w:rsid w:val="48F556EA"/>
    <w:rsid w:val="491946D3"/>
    <w:rsid w:val="4924047E"/>
    <w:rsid w:val="49276380"/>
    <w:rsid w:val="49441489"/>
    <w:rsid w:val="4948117F"/>
    <w:rsid w:val="494B0B0D"/>
    <w:rsid w:val="49510EF2"/>
    <w:rsid w:val="497E20AD"/>
    <w:rsid w:val="49820EB7"/>
    <w:rsid w:val="499416E9"/>
    <w:rsid w:val="49A63EAD"/>
    <w:rsid w:val="49B4166E"/>
    <w:rsid w:val="49B760FE"/>
    <w:rsid w:val="49BA2C9E"/>
    <w:rsid w:val="49BC3715"/>
    <w:rsid w:val="49C56A6D"/>
    <w:rsid w:val="49F72310"/>
    <w:rsid w:val="49FD2EE4"/>
    <w:rsid w:val="4A0B4FDE"/>
    <w:rsid w:val="4A233794"/>
    <w:rsid w:val="4A343D11"/>
    <w:rsid w:val="4A497D35"/>
    <w:rsid w:val="4A8A37D8"/>
    <w:rsid w:val="4A8B4AB2"/>
    <w:rsid w:val="4AA5064D"/>
    <w:rsid w:val="4ABC0E71"/>
    <w:rsid w:val="4AD9595B"/>
    <w:rsid w:val="4ADA20A4"/>
    <w:rsid w:val="4AF93EAE"/>
    <w:rsid w:val="4AFC3A3A"/>
    <w:rsid w:val="4B232749"/>
    <w:rsid w:val="4B26353C"/>
    <w:rsid w:val="4B311212"/>
    <w:rsid w:val="4B3E6720"/>
    <w:rsid w:val="4B43535A"/>
    <w:rsid w:val="4B476348"/>
    <w:rsid w:val="4B625BF7"/>
    <w:rsid w:val="4B941C34"/>
    <w:rsid w:val="4BB21AF4"/>
    <w:rsid w:val="4BB351AA"/>
    <w:rsid w:val="4BB54107"/>
    <w:rsid w:val="4BB67EEE"/>
    <w:rsid w:val="4BD17814"/>
    <w:rsid w:val="4BDC5109"/>
    <w:rsid w:val="4BE84FA7"/>
    <w:rsid w:val="4BF70C92"/>
    <w:rsid w:val="4BFB49C8"/>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891B60"/>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4800A3"/>
    <w:rsid w:val="4F5148FF"/>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16195C"/>
    <w:rsid w:val="512C1180"/>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10E3A"/>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46A8C"/>
    <w:rsid w:val="54883400"/>
    <w:rsid w:val="54932F58"/>
    <w:rsid w:val="54A81CB5"/>
    <w:rsid w:val="54C41B11"/>
    <w:rsid w:val="550E49C6"/>
    <w:rsid w:val="556C5FEF"/>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A00F6"/>
    <w:rsid w:val="575E5D20"/>
    <w:rsid w:val="57623B4D"/>
    <w:rsid w:val="5789649C"/>
    <w:rsid w:val="57A373F0"/>
    <w:rsid w:val="57BB325E"/>
    <w:rsid w:val="57C83C57"/>
    <w:rsid w:val="57F81DBC"/>
    <w:rsid w:val="57FB2FB4"/>
    <w:rsid w:val="582028C2"/>
    <w:rsid w:val="582908A2"/>
    <w:rsid w:val="58366D88"/>
    <w:rsid w:val="583D0117"/>
    <w:rsid w:val="583D07DD"/>
    <w:rsid w:val="585F1862"/>
    <w:rsid w:val="58613E05"/>
    <w:rsid w:val="58620D26"/>
    <w:rsid w:val="58706FB1"/>
    <w:rsid w:val="587C5983"/>
    <w:rsid w:val="58DF3A45"/>
    <w:rsid w:val="58E8415E"/>
    <w:rsid w:val="58ED1995"/>
    <w:rsid w:val="58FF1A45"/>
    <w:rsid w:val="591578E8"/>
    <w:rsid w:val="591C580B"/>
    <w:rsid w:val="5926497A"/>
    <w:rsid w:val="592A1893"/>
    <w:rsid w:val="595D3E12"/>
    <w:rsid w:val="59961EFB"/>
    <w:rsid w:val="599B0CA4"/>
    <w:rsid w:val="59A11353"/>
    <w:rsid w:val="59B40569"/>
    <w:rsid w:val="5A0336C4"/>
    <w:rsid w:val="5A054C64"/>
    <w:rsid w:val="5A1D0D82"/>
    <w:rsid w:val="5A20315B"/>
    <w:rsid w:val="5A4C2893"/>
    <w:rsid w:val="5A5827FE"/>
    <w:rsid w:val="5A5A124E"/>
    <w:rsid w:val="5A70211C"/>
    <w:rsid w:val="5A951B44"/>
    <w:rsid w:val="5A9A53AC"/>
    <w:rsid w:val="5AAB2A29"/>
    <w:rsid w:val="5AAB3211"/>
    <w:rsid w:val="5AAC7307"/>
    <w:rsid w:val="5AB86388"/>
    <w:rsid w:val="5ABF41C0"/>
    <w:rsid w:val="5ACA577B"/>
    <w:rsid w:val="5AD07CB2"/>
    <w:rsid w:val="5AE37CAA"/>
    <w:rsid w:val="5AEF1DC1"/>
    <w:rsid w:val="5B09375B"/>
    <w:rsid w:val="5B2426A4"/>
    <w:rsid w:val="5B353486"/>
    <w:rsid w:val="5B3A7E78"/>
    <w:rsid w:val="5B3D442E"/>
    <w:rsid w:val="5B412C22"/>
    <w:rsid w:val="5B4B2EB1"/>
    <w:rsid w:val="5B510D60"/>
    <w:rsid w:val="5B570332"/>
    <w:rsid w:val="5B5714EF"/>
    <w:rsid w:val="5B5F0395"/>
    <w:rsid w:val="5B6300A3"/>
    <w:rsid w:val="5B6C0ED6"/>
    <w:rsid w:val="5B790B4E"/>
    <w:rsid w:val="5B7A2400"/>
    <w:rsid w:val="5B9938B6"/>
    <w:rsid w:val="5B9B626D"/>
    <w:rsid w:val="5BA762EC"/>
    <w:rsid w:val="5BB93F58"/>
    <w:rsid w:val="5BD32897"/>
    <w:rsid w:val="5BF50A44"/>
    <w:rsid w:val="5C272C70"/>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2765A"/>
    <w:rsid w:val="5D7C5A81"/>
    <w:rsid w:val="5DD31E8F"/>
    <w:rsid w:val="5DDF2196"/>
    <w:rsid w:val="5DF01C4B"/>
    <w:rsid w:val="5DF704AE"/>
    <w:rsid w:val="5DF954B7"/>
    <w:rsid w:val="5DFF05CD"/>
    <w:rsid w:val="5E1672C2"/>
    <w:rsid w:val="5E1B6033"/>
    <w:rsid w:val="5E2612F9"/>
    <w:rsid w:val="5E48511F"/>
    <w:rsid w:val="5E534129"/>
    <w:rsid w:val="5E6E3C24"/>
    <w:rsid w:val="5E7255BD"/>
    <w:rsid w:val="5E934044"/>
    <w:rsid w:val="5E937CCC"/>
    <w:rsid w:val="5EF83794"/>
    <w:rsid w:val="5F0173CC"/>
    <w:rsid w:val="5F1A1A93"/>
    <w:rsid w:val="5F287F7E"/>
    <w:rsid w:val="5F2C67EF"/>
    <w:rsid w:val="5F3F649A"/>
    <w:rsid w:val="5F4619C0"/>
    <w:rsid w:val="5F475677"/>
    <w:rsid w:val="5F484198"/>
    <w:rsid w:val="5F50072F"/>
    <w:rsid w:val="5F567498"/>
    <w:rsid w:val="5F7D71F9"/>
    <w:rsid w:val="5F8420E2"/>
    <w:rsid w:val="5F887220"/>
    <w:rsid w:val="5F9022AB"/>
    <w:rsid w:val="5FAD7930"/>
    <w:rsid w:val="5FB81E56"/>
    <w:rsid w:val="5FD85FDC"/>
    <w:rsid w:val="5FEB78D3"/>
    <w:rsid w:val="5FEC00EE"/>
    <w:rsid w:val="5FF05A6E"/>
    <w:rsid w:val="600951D4"/>
    <w:rsid w:val="6010358A"/>
    <w:rsid w:val="60156960"/>
    <w:rsid w:val="601A25EF"/>
    <w:rsid w:val="60250EC1"/>
    <w:rsid w:val="603E7832"/>
    <w:rsid w:val="6044067F"/>
    <w:rsid w:val="60793AF7"/>
    <w:rsid w:val="60803296"/>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1405C"/>
    <w:rsid w:val="62923991"/>
    <w:rsid w:val="62966DA1"/>
    <w:rsid w:val="62E73159"/>
    <w:rsid w:val="62F20D03"/>
    <w:rsid w:val="62F26EC0"/>
    <w:rsid w:val="62F75B83"/>
    <w:rsid w:val="63095375"/>
    <w:rsid w:val="6312135F"/>
    <w:rsid w:val="632A3D0D"/>
    <w:rsid w:val="633443AB"/>
    <w:rsid w:val="6353750E"/>
    <w:rsid w:val="638857E1"/>
    <w:rsid w:val="63AB78F4"/>
    <w:rsid w:val="63B05C41"/>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77730"/>
    <w:rsid w:val="654912E0"/>
    <w:rsid w:val="656A4332"/>
    <w:rsid w:val="656E5DB3"/>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AA2E1B"/>
    <w:rsid w:val="66AB481F"/>
    <w:rsid w:val="66C95898"/>
    <w:rsid w:val="66F10A4A"/>
    <w:rsid w:val="66F8201A"/>
    <w:rsid w:val="671C5A04"/>
    <w:rsid w:val="673D3C8F"/>
    <w:rsid w:val="673F01D2"/>
    <w:rsid w:val="674A63AC"/>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45648"/>
    <w:rsid w:val="68AE1735"/>
    <w:rsid w:val="68B72950"/>
    <w:rsid w:val="68D60630"/>
    <w:rsid w:val="68F00432"/>
    <w:rsid w:val="68F8555D"/>
    <w:rsid w:val="691D712E"/>
    <w:rsid w:val="695D23C7"/>
    <w:rsid w:val="697E7396"/>
    <w:rsid w:val="69A009FE"/>
    <w:rsid w:val="69A729C5"/>
    <w:rsid w:val="69A73642"/>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4A76AE"/>
    <w:rsid w:val="6B565807"/>
    <w:rsid w:val="6B76151E"/>
    <w:rsid w:val="6B7A369F"/>
    <w:rsid w:val="6BAC2823"/>
    <w:rsid w:val="6BBD5024"/>
    <w:rsid w:val="6BF37DF1"/>
    <w:rsid w:val="6C07486C"/>
    <w:rsid w:val="6C2A1A18"/>
    <w:rsid w:val="6C630CE9"/>
    <w:rsid w:val="6C914CAA"/>
    <w:rsid w:val="6CB57E24"/>
    <w:rsid w:val="6CB93DB8"/>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854A1D"/>
    <w:rsid w:val="6DC237AE"/>
    <w:rsid w:val="6DE64D6F"/>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9A7A5C"/>
    <w:rsid w:val="70B21D55"/>
    <w:rsid w:val="70BA4068"/>
    <w:rsid w:val="70EF1D98"/>
    <w:rsid w:val="70F06D61"/>
    <w:rsid w:val="70F36F46"/>
    <w:rsid w:val="71231B23"/>
    <w:rsid w:val="713B214A"/>
    <w:rsid w:val="714633CE"/>
    <w:rsid w:val="714A76D4"/>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13233"/>
    <w:rsid w:val="736A01CD"/>
    <w:rsid w:val="736B4D35"/>
    <w:rsid w:val="73741988"/>
    <w:rsid w:val="73814929"/>
    <w:rsid w:val="7393399F"/>
    <w:rsid w:val="73984022"/>
    <w:rsid w:val="73C11347"/>
    <w:rsid w:val="73E2421D"/>
    <w:rsid w:val="74000D97"/>
    <w:rsid w:val="74185CCF"/>
    <w:rsid w:val="741D2E7E"/>
    <w:rsid w:val="74253AE1"/>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BC6CCF"/>
    <w:rsid w:val="75E27D49"/>
    <w:rsid w:val="760F67F7"/>
    <w:rsid w:val="761867BE"/>
    <w:rsid w:val="76365AD0"/>
    <w:rsid w:val="765D57EA"/>
    <w:rsid w:val="7688585F"/>
    <w:rsid w:val="76BD6253"/>
    <w:rsid w:val="76E97048"/>
    <w:rsid w:val="76F54CF0"/>
    <w:rsid w:val="76FD5906"/>
    <w:rsid w:val="77072866"/>
    <w:rsid w:val="770B684E"/>
    <w:rsid w:val="771D50F3"/>
    <w:rsid w:val="77204CB1"/>
    <w:rsid w:val="77356662"/>
    <w:rsid w:val="777C1603"/>
    <w:rsid w:val="77A14CDE"/>
    <w:rsid w:val="77AA2F7D"/>
    <w:rsid w:val="77B8543C"/>
    <w:rsid w:val="77C47AB5"/>
    <w:rsid w:val="77C96BD3"/>
    <w:rsid w:val="78266CE5"/>
    <w:rsid w:val="7827421F"/>
    <w:rsid w:val="782B4A23"/>
    <w:rsid w:val="78302F8F"/>
    <w:rsid w:val="784117AB"/>
    <w:rsid w:val="78510397"/>
    <w:rsid w:val="78552936"/>
    <w:rsid w:val="78731F0E"/>
    <w:rsid w:val="78754CBA"/>
    <w:rsid w:val="78962FA5"/>
    <w:rsid w:val="78B611AB"/>
    <w:rsid w:val="78C148AC"/>
    <w:rsid w:val="78CA1FEE"/>
    <w:rsid w:val="78CB3FEB"/>
    <w:rsid w:val="78CF4963"/>
    <w:rsid w:val="78D12489"/>
    <w:rsid w:val="793B5CE2"/>
    <w:rsid w:val="79404E92"/>
    <w:rsid w:val="7947274B"/>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4621E0"/>
    <w:rsid w:val="7A553725"/>
    <w:rsid w:val="7A616D0A"/>
    <w:rsid w:val="7A7F2C76"/>
    <w:rsid w:val="7A8037AE"/>
    <w:rsid w:val="7A807CC3"/>
    <w:rsid w:val="7AAC462A"/>
    <w:rsid w:val="7AF84FA0"/>
    <w:rsid w:val="7AF909C6"/>
    <w:rsid w:val="7B1E128A"/>
    <w:rsid w:val="7B6273C9"/>
    <w:rsid w:val="7B6F1BD0"/>
    <w:rsid w:val="7B732126"/>
    <w:rsid w:val="7B755C15"/>
    <w:rsid w:val="7B7B20CE"/>
    <w:rsid w:val="7B8E1216"/>
    <w:rsid w:val="7B9A1345"/>
    <w:rsid w:val="7BBB7E74"/>
    <w:rsid w:val="7BCA6C86"/>
    <w:rsid w:val="7C003703"/>
    <w:rsid w:val="7C044DA1"/>
    <w:rsid w:val="7C176405"/>
    <w:rsid w:val="7C30406C"/>
    <w:rsid w:val="7C365DE1"/>
    <w:rsid w:val="7C3C5E6C"/>
    <w:rsid w:val="7C547659"/>
    <w:rsid w:val="7CA33449"/>
    <w:rsid w:val="7CCE4D69"/>
    <w:rsid w:val="7D0A0BA4"/>
    <w:rsid w:val="7D107AF3"/>
    <w:rsid w:val="7D2C7C8E"/>
    <w:rsid w:val="7D4253C7"/>
    <w:rsid w:val="7D4C5341"/>
    <w:rsid w:val="7D4E5EE6"/>
    <w:rsid w:val="7D8901AD"/>
    <w:rsid w:val="7D8E577D"/>
    <w:rsid w:val="7D9A426A"/>
    <w:rsid w:val="7E006F08"/>
    <w:rsid w:val="7E01736D"/>
    <w:rsid w:val="7E333E03"/>
    <w:rsid w:val="7E391FE6"/>
    <w:rsid w:val="7E90249F"/>
    <w:rsid w:val="7E916762"/>
    <w:rsid w:val="7EA916FD"/>
    <w:rsid w:val="7EAB552B"/>
    <w:rsid w:val="7EE53C64"/>
    <w:rsid w:val="7F144E7E"/>
    <w:rsid w:val="7F25708B"/>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10998</Words>
  <Characters>12386</Characters>
  <Lines>0</Lines>
  <Paragraphs>0</Paragraphs>
  <TotalTime>94</TotalTime>
  <ScaleCrop>false</ScaleCrop>
  <LinksUpToDate>false</LinksUpToDate>
  <CharactersWithSpaces>14237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2023-12-12T06:35:00Z</cp:lastPrinted>
  <dcterms:modified xsi:type="dcterms:W3CDTF">2023-12-13T02:33:54Z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