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1.合同外发生的零星工程，供应商应积极配合施工，招标人按照大工290元每日每人、小工150元每日每人的标准，据实与供应商结算；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2.拟派人员每月在劳务作业现场的时间，每月在工地不少于24天，每少一天，供应商应承担1000元/天的违约金。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3、供应商所有特种作业人员必须持证上岗。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其他说明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供应商提供的辅助材料范围：石棉橡胶板、塑料薄膜、聚四氟乙烯生料带、三色塑料带、钢钉、对拉螺栓、六角螺栓、膨胀螺栓 、低碳钢焊条、砂纸、铁钉、垫铁、塑料胀管 、钢压条、光漆、调和漆、防锈漆、粘结剂、自粘性橡胶带、石棉灰 、输水软管、橡胶软管、黑玛钢活接头、黑玛钢六角内接头、黑玛钢弯头、固定卡子、黑玛钢管箍、电气绝缘胶带 、胶木板、难燃塑料管卡子、铝接线端子、铜接地端子带螺栓、电缆吊挂、镀锌电缆卡子、位号牌、养护土工布、B1级橡塑保温材料、成品管卡、压力表等以及单项材料项目总使用量金额不超过500元的材料。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2812C3E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2023-12-04T07:28:31Z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