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  <w:highlight w:val="none"/>
          <w:u w:val="single"/>
          <w:lang w:val="en-US" w:eastAsia="zh-CN"/>
        </w:rPr>
        <w:t>亳州交控智能零碳光</w:t>
      </w:r>
      <w:bookmarkStart w:id="6" w:name="_GoBack"/>
      <w:bookmarkEnd w:id="6"/>
      <w:r>
        <w:rPr>
          <w:rFonts w:hint="eastAsia" w:ascii="Times New Roman" w:hAnsi="Times New Roman" w:eastAsia="黑体" w:cs="Times New Roman"/>
          <w:sz w:val="28"/>
          <w:szCs w:val="28"/>
          <w:highlight w:val="none"/>
          <w:u w:val="single"/>
          <w:lang w:val="en-US" w:eastAsia="zh-CN"/>
        </w:rPr>
        <w:t>储直柔停车场土方工程项目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亳州交控智能零碳光储直柔停车场土方工程项目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亳州交控智能零碳光储直柔停车场土方工程项目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亳州交控智能零碳光储直柔停车场土方工程项目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元每开挖一立方米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元/开挖1m³，人民币（大写）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元每回填一立方米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元/回填1m³，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20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（一）报价函；（二）法定代表人（单位负责人）身份证明；（三）分项报价表；（四）资格审查资料。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905"/>
        <w:gridCol w:w="1363"/>
        <w:gridCol w:w="1517"/>
        <w:gridCol w:w="1500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数量（暂定）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单价（元），含9%增值税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总价（元）含9%增值税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  <w:t>土方开挖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m³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6000m³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  <w:t>土方回填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32"/>
                <w:vertAlign w:val="baseline"/>
                <w:lang w:val="en-US" w:eastAsia="zh-CN"/>
              </w:rPr>
              <w:t>m³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4000m³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6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注：1.提供应商营业执照（经营范围包含土石方工程施工相关内容）的复印件，加盖供应商单位公章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791FFB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11A12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827D9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476BB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2023-11-22T08:39:00Z</cp:lastPrinted>
  <dcterms:modified xsi:type="dcterms:W3CDTF">2023-12-04T01:05:54Z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