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逸合府项目售楼部配套工程</w:t>
      </w:r>
      <w:permEnd w:id="0"/>
      <w:r>
        <w:rPr>
          <w:rFonts w:hint="eastAsia" w:ascii="Times New Roman" w:hAnsi="Times New Roman" w:eastAsia="黑体" w:cs="Times New Roman"/>
          <w:kern w:val="0"/>
          <w:sz w:val="32"/>
          <w:szCs w:val="32"/>
          <w:highlight w:val="none"/>
          <w:u w:val="none"/>
          <w:shd w:val="clear" w:color="auto" w:fill="auto"/>
          <w:lang w:val="en-US" w:eastAsia="zh-CN"/>
        </w:rPr>
        <w:t>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007</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月1日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43</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color w:val="auto"/>
          <w:kern w:val="2"/>
          <w:sz w:val="28"/>
          <w:szCs w:val="28"/>
          <w:highlight w:val="none"/>
          <w:u w:val="none"/>
          <w:shd w:val="clear" w:color="auto" w:fill="auto"/>
          <w:lang w:val="en-US" w:eastAsia="zh-CN"/>
        </w:rPr>
        <w:t>逸合府项目售楼部配套工程</w:t>
      </w:r>
      <w:permEnd w:id="5"/>
      <w:r>
        <w:rPr>
          <w:rFonts w:hint="eastAsia" w:ascii="Times New Roman" w:hAnsi="Times New Roman" w:eastAsia="黑体" w:cs="Times New Roman"/>
          <w:sz w:val="28"/>
          <w:szCs w:val="28"/>
          <w:highlight w:val="none"/>
          <w:u w:val="none"/>
          <w:lang w:val="en-US" w:eastAsia="zh-CN"/>
        </w:rPr>
        <w:t>施工</w:t>
      </w:r>
      <w:r>
        <w:rPr>
          <w:rFonts w:hint="eastAsia" w:ascii="Times New Roman" w:hAnsi="Times New Roman" w:eastAsia="黑体" w:cs="Times New Roman"/>
          <w:sz w:val="28"/>
          <w:szCs w:val="28"/>
          <w:highlight w:val="none"/>
          <w:lang w:val="en-US" w:eastAsia="zh-CN"/>
        </w:rPr>
        <w:t>招标公告</w:t>
      </w:r>
      <w:bookmarkStart w:id="0" w:name="_Toc152045519"/>
      <w:bookmarkStart w:id="1" w:name="_Toc152042295"/>
      <w:bookmarkStart w:id="2" w:name="_Toc179632536"/>
      <w:bookmarkStart w:id="3" w:name="_Toc246996166"/>
      <w:bookmarkStart w:id="4" w:name="_Toc246996909"/>
      <w:bookmarkStart w:id="5" w:name="_Toc247085680"/>
      <w:bookmarkStart w:id="6" w:name="_Toc144974487"/>
      <w:bookmarkStart w:id="7" w:name="_Toc296602410"/>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kern w:val="2"/>
          <w:sz w:val="28"/>
          <w:szCs w:val="28"/>
          <w:highlight w:val="none"/>
          <w:u w:val="none"/>
          <w:shd w:val="clear" w:color="auto" w:fill="auto"/>
          <w:lang w:val="en-US" w:eastAsia="zh-CN"/>
        </w:rPr>
      </w:pPr>
      <w:bookmarkStart w:id="8" w:name="_Toc247085681"/>
      <w:bookmarkStart w:id="9" w:name="_Toc152045520"/>
      <w:bookmarkStart w:id="10" w:name="_Toc296602411"/>
      <w:bookmarkStart w:id="11" w:name="_Toc246996167"/>
      <w:bookmarkStart w:id="12" w:name="_Toc144974488"/>
      <w:bookmarkStart w:id="13" w:name="_Toc152042296"/>
      <w:bookmarkStart w:id="14" w:name="_Toc179632537"/>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color w:val="auto"/>
          <w:kern w:val="2"/>
          <w:sz w:val="28"/>
          <w:szCs w:val="28"/>
          <w:highlight w:val="none"/>
          <w:u w:val="none"/>
          <w:shd w:val="clear" w:color="auto" w:fill="auto"/>
          <w:lang w:val="en-US" w:eastAsia="zh-CN"/>
        </w:rPr>
        <w:t>逸合府项目售楼部</w:t>
      </w:r>
      <w:r>
        <w:rPr>
          <w:rFonts w:hint="eastAsia" w:asciiTheme="minorEastAsia" w:hAnsiTheme="minorEastAsia" w:cstheme="minorEastAsia"/>
          <w:color w:val="auto"/>
          <w:kern w:val="2"/>
          <w:sz w:val="28"/>
          <w:szCs w:val="28"/>
          <w:highlight w:val="none"/>
          <w:u w:val="none"/>
          <w:shd w:val="clear" w:color="auto" w:fill="auto"/>
          <w:lang w:val="en-US" w:eastAsia="zh-CN"/>
        </w:rPr>
        <w:t>配套工程施工</w:t>
      </w:r>
    </w:p>
    <w:permEnd w:id="6"/>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BZJKGYS-2023-007号</w:t>
      </w:r>
      <w:permEnd w:id="7"/>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bookmarkStart w:id="574" w:name="_GoBack"/>
      <w:bookmarkEnd w:id="574"/>
    </w:p>
    <w:permEnd w:id="9"/>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sz w:val="28"/>
          <w:szCs w:val="28"/>
          <w:highlight w:val="none"/>
          <w:lang w:val="en-US" w:eastAsia="zh-CN"/>
        </w:rPr>
        <w:t>逸合府项目售楼部位于亳州市谯城经济技术产业开发区华佗大道与利辛路交叉口，</w:t>
      </w:r>
      <w:r>
        <w:rPr>
          <w:rFonts w:hint="eastAsia" w:asciiTheme="minorEastAsia" w:hAnsiTheme="minorEastAsia" w:cstheme="minorEastAsia"/>
          <w:sz w:val="28"/>
          <w:szCs w:val="28"/>
          <w:highlight w:val="none"/>
          <w:lang w:val="en-US" w:eastAsia="zh-CN"/>
        </w:rPr>
        <w:t>配套工程面积约3622.3平方米。</w:t>
      </w:r>
    </w:p>
    <w:permEnd w:id="10"/>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highlight w:val="none"/>
          <w:lang w:val="en-US" w:eastAsia="zh-CN"/>
        </w:rPr>
        <w:t>主要包含</w:t>
      </w:r>
      <w:r>
        <w:rPr>
          <w:rFonts w:hint="eastAsia" w:asciiTheme="minorEastAsia" w:hAnsiTheme="minorEastAsia" w:eastAsiaTheme="minorEastAsia" w:cstheme="minorEastAsia"/>
          <w:sz w:val="28"/>
          <w:szCs w:val="28"/>
          <w:highlight w:val="none"/>
          <w:lang w:val="en-US" w:eastAsia="zh-CN"/>
        </w:rPr>
        <w:t>室外硬质铺装、水景、景观小品营建、道路铺设、景观给排水、室外灯具及配套电气工程、乔灌木等绿化种植、成品保护及后期养护等；详见招标文件、工程量清单编制说明描述的范围和施工图纸、招标答疑澄清的所有内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，符合设计图纸要求，符合发包人要求。</w:t>
      </w:r>
      <w:permEnd w:id="11"/>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2"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u w:val="single"/>
          <w:lang w:val="en-US" w:eastAsia="zh-CN"/>
        </w:rPr>
        <w:t>40</w:t>
      </w:r>
      <w:r>
        <w:rPr>
          <w:rFonts w:hint="eastAsia" w:asciiTheme="minorEastAsia" w:hAnsiTheme="minorEastAsia" w:eastAsiaTheme="minorEastAsia" w:cstheme="minorEastAsia"/>
          <w:sz w:val="28"/>
          <w:szCs w:val="28"/>
          <w:highlight w:val="none"/>
          <w:lang w:val="en-US" w:eastAsia="zh-CN"/>
        </w:rPr>
        <w:t>日历天</w:t>
      </w:r>
      <w:permEnd w:id="1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sz w:val="28"/>
          <w:szCs w:val="28"/>
          <w:highlight w:val="none"/>
          <w:lang w:val="en-US" w:eastAsia="zh-CN"/>
        </w:rPr>
        <w:t>（含税：9%）</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3067748.53元，低于最高投标限价的95%为有效报价，</w:t>
      </w:r>
      <w:permEnd w:id="14"/>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sz w:val="28"/>
          <w:szCs w:val="28"/>
          <w:highlight w:val="none"/>
          <w:u w:val="none"/>
          <w:lang w:val="en-US" w:eastAsia="zh-CN"/>
        </w:rPr>
        <w:t>固定总价</w:t>
      </w:r>
      <w:permEnd w:id="15"/>
      <w:r>
        <w:rPr>
          <w:rFonts w:hint="eastAsia" w:asciiTheme="minorEastAsia" w:hAnsiTheme="minorEastAsia" w:eastAsiaTheme="minorEastAsia" w:cstheme="minorEastAsia"/>
          <w:sz w:val="28"/>
          <w:szCs w:val="28"/>
          <w:highlight w:val="none"/>
          <w:lang w:val="en-US" w:eastAsia="zh-CN"/>
        </w:rPr>
        <w:t>报价。投标人投标报价超出限价或低于成本价的，按无效投标处理；投标报价应包括为完成本项目招标范围内各阶段工作内容所需的全部费用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default" w:asciiTheme="minorEastAsia" w:hAnsiTheme="minorEastAsia" w:eastAsiaTheme="minorEastAsia" w:cstheme="minorEastAsia"/>
          <w:sz w:val="28"/>
          <w:szCs w:val="28"/>
          <w:highlight w:val="none"/>
          <w:lang w:val="en-US" w:eastAsia="zh-CN"/>
        </w:rPr>
        <w:t>亳州交控集团工程类供应商库入库单位(</w:t>
      </w:r>
      <w:r>
        <w:rPr>
          <w:rFonts w:hint="eastAsia" w:asciiTheme="minorEastAsia" w:hAnsiTheme="minorEastAsia" w:cstheme="minorEastAsia"/>
          <w:sz w:val="28"/>
          <w:szCs w:val="28"/>
          <w:highlight w:val="none"/>
          <w:lang w:val="en-US" w:eastAsia="zh-CN"/>
        </w:rPr>
        <w:t>室外配套工程专业类别</w:t>
      </w:r>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）本次招</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标</w:t>
      </w:r>
      <w:permStart w:id="16" w:edGrp="everyone"/>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不接受</w:t>
      </w:r>
      <w:permEnd w:id="1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联合体投标</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7"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permEnd w:id="1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lang w:val="en-US" w:eastAsia="zh-CN"/>
        </w:rPr>
        <w:t>不允许</w:t>
      </w:r>
      <w:permEnd w:id="1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u w:val="single"/>
          <w:lang w:val="en-US" w:eastAsia="zh-CN"/>
        </w:rPr>
        <w:t>60000元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eastAsiaTheme="minorEastAsia" w:cstheme="minorEastAsia"/>
          <w:sz w:val="28"/>
          <w:szCs w:val="28"/>
          <w:highlight w:val="none"/>
          <w:lang w:val="en-US" w:eastAsia="zh-CN"/>
        </w:rPr>
        <w:t>亳州通恒置业有限公司</w:t>
      </w:r>
    </w:p>
    <w:permEnd w:id="21"/>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2" w:edGrp="everyone"/>
      <w:r>
        <w:rPr>
          <w:rFonts w:hint="eastAsia" w:asciiTheme="minorEastAsia" w:hAnsiTheme="minorEastAsia" w:eastAsiaTheme="minorEastAsia" w:cstheme="minorEastAsia"/>
          <w:sz w:val="28"/>
          <w:szCs w:val="28"/>
          <w:highlight w:val="none"/>
          <w:lang w:val="en-US" w:eastAsia="zh-CN"/>
        </w:rPr>
        <w:t>亳州市谯城区药都大道1289号</w:t>
      </w:r>
      <w:permEnd w:id="22"/>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秦工</w:t>
      </w:r>
      <w:permEnd w:id="23"/>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4" w:edGrp="everyone"/>
      <w:r>
        <w:rPr>
          <w:rFonts w:hint="eastAsia" w:asciiTheme="minorEastAsia" w:hAnsiTheme="minorEastAsia" w:cstheme="minorEastAsia"/>
          <w:sz w:val="28"/>
          <w:szCs w:val="28"/>
          <w:highlight w:val="none"/>
          <w:lang w:val="en-US" w:eastAsia="zh-CN"/>
        </w:rPr>
        <w:t>15205679165</w:t>
      </w:r>
      <w:permEnd w:id="24"/>
    </w:p>
    <w:p>
      <w:pPr>
        <w:keepNext w:val="0"/>
        <w:keepLines w:val="0"/>
        <w:pageBreakBefore w:val="0"/>
        <w:widowControl w:val="0"/>
        <w:kinsoku/>
        <w:wordWrap w:val="0"/>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pStyle w:val="2"/>
        <w:ind w:left="0" w:leftChars="0" w:firstLine="0" w:firstLineChars="0"/>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cstheme="minorEastAsia"/>
          <w:color w:val="FF0000"/>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日</w:t>
      </w:r>
      <w:permEnd w:id="2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6"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6"/>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permStart w:id="27" w:edGrp="everyone"/>
            <w:r>
              <w:rPr>
                <w:rFonts w:hint="eastAsia"/>
              </w:rPr>
              <w:t>（1）</w:t>
            </w:r>
            <w:r>
              <w:rPr>
                <w:rFonts w:hint="eastAsia"/>
                <w:lang w:val="en-US" w:eastAsia="zh-CN"/>
              </w:rPr>
              <w:t>项目</w:t>
            </w:r>
            <w:r>
              <w:rPr>
                <w:rFonts w:hint="eastAsia"/>
              </w:rPr>
              <w:t>负责人：具有</w:t>
            </w:r>
            <w:r>
              <w:rPr>
                <w:rFonts w:hint="eastAsia"/>
                <w:lang w:val="en-US" w:eastAsia="zh-CN"/>
              </w:rPr>
              <w:t>市政工程专业</w:t>
            </w:r>
            <w:r>
              <w:rPr>
                <w:rFonts w:hint="eastAsia" w:hAnsiTheme="minorHAnsi"/>
                <w:snapToGrid/>
                <w:spacing w:val="0"/>
                <w:kern w:val="2"/>
                <w:sz w:val="21"/>
                <w:u w:val="none"/>
                <w:lang w:val="en-US" w:eastAsia="zh-CN"/>
              </w:rPr>
              <w:t>二级建造师</w:t>
            </w:r>
            <w:r>
              <w:rPr>
                <w:rFonts w:hint="eastAsia"/>
                <w:snapToGrid/>
                <w:spacing w:val="0"/>
                <w:kern w:val="2"/>
                <w:sz w:val="21"/>
                <w:u w:val="none"/>
                <w:lang w:val="en-US" w:eastAsia="zh-CN"/>
              </w:rPr>
              <w:t>及以上执业资格证书，具备有效的</w:t>
            </w:r>
            <w:r>
              <w:rPr>
                <w:rFonts w:hint="eastAsia"/>
                <w:u w:val="none"/>
              </w:rPr>
              <w:t>安全生产考核合格证（B类）</w:t>
            </w:r>
            <w:r>
              <w:rPr>
                <w:rFonts w:hint="eastAsia"/>
                <w:u w:val="none"/>
                <w:lang w:eastAsia="zh-CN"/>
              </w:rPr>
              <w:t>，</w:t>
            </w:r>
            <w:r>
              <w:rPr>
                <w:rFonts w:hint="eastAsia"/>
                <w:u w:val="none"/>
              </w:rPr>
              <w:t>无被亳州市市本级及县区各行业主管部门或公共资源交易监管部门限制投标的不良行为记录（有效期内），未在其他项目上任职，或虽然在其他项目上任职，但承诺本项目中标通知书发放后，10个工作日内，且在合同签订前能够从其他项目变更至本项目并全面履约，且符合注册建造师执业管理办法规定；</w:t>
            </w:r>
          </w:p>
          <w:p>
            <w:pPr>
              <w:autoSpaceDE w:val="0"/>
              <w:autoSpaceDN w:val="0"/>
              <w:adjustRightInd w:val="0"/>
              <w:snapToGrid w:val="0"/>
              <w:spacing w:line="440" w:lineRule="exact"/>
              <w:ind w:firstLine="411" w:firstLineChars="196"/>
              <w:jc w:val="left"/>
              <w:rPr>
                <w:rFonts w:hint="eastAsia"/>
              </w:rPr>
            </w:pPr>
            <w:r>
              <w:rPr>
                <w:rFonts w:hint="eastAsia"/>
                <w:lang w:eastAsia="zh-CN"/>
              </w:rPr>
              <w:t>（</w:t>
            </w:r>
            <w:r>
              <w:rPr>
                <w:rFonts w:hint="eastAsia"/>
                <w:lang w:val="en-US" w:eastAsia="zh-CN"/>
              </w:rPr>
              <w:t>2</w:t>
            </w:r>
            <w:r>
              <w:rPr>
                <w:rFonts w:hint="eastAsia"/>
                <w:lang w:eastAsia="zh-CN"/>
              </w:rPr>
              <w:t>）</w:t>
            </w:r>
            <w:r>
              <w:rPr>
                <w:rFonts w:hint="eastAsia"/>
              </w:rPr>
              <w:t>技术负责人：具有</w:t>
            </w:r>
            <w:r>
              <w:rPr>
                <w:rFonts w:hint="eastAsia" w:hAnsi="宋体"/>
                <w:snapToGrid w:val="0"/>
                <w:spacing w:val="-4"/>
                <w:kern w:val="0"/>
                <w:sz w:val="21"/>
                <w:szCs w:val="21"/>
                <w:u w:val="single"/>
                <w:lang w:val="en-US" w:eastAsia="zh-CN"/>
              </w:rPr>
              <w:t>市政工程</w:t>
            </w:r>
            <w:r>
              <w:rPr>
                <w:rFonts w:hint="eastAsia" w:ascii="_x000B__x000C_" w:hAnsi="_x000B__x000C_"/>
                <w:szCs w:val="21"/>
              </w:rPr>
              <w:t>（专业类别），</w:t>
            </w:r>
            <w:r>
              <w:rPr>
                <w:rFonts w:hint="eastAsia"/>
                <w:b/>
                <w:sz w:val="21"/>
                <w:szCs w:val="21"/>
              </w:rPr>
              <w:t>中级</w:t>
            </w:r>
            <w:r>
              <w:rPr>
                <w:rFonts w:hint="eastAsia"/>
              </w:rPr>
              <w:t>及以上职称。</w:t>
            </w:r>
          </w:p>
          <w:p>
            <w:pPr>
              <w:spacing w:line="440" w:lineRule="exact"/>
              <w:ind w:firstLine="415" w:firstLineChars="198"/>
              <w:rPr>
                <w:rFonts w:hint="eastAsia" w:hAnsi="宋体"/>
                <w:szCs w:val="21"/>
              </w:rPr>
            </w:pPr>
            <w:r>
              <w:rPr>
                <w:rFonts w:hint="eastAsia" w:hAnsi="宋体"/>
                <w:szCs w:val="21"/>
              </w:rPr>
              <w:t>（</w:t>
            </w:r>
            <w:r>
              <w:rPr>
                <w:rFonts w:hint="eastAsia" w:hAnsi="宋体"/>
                <w:szCs w:val="21"/>
                <w:lang w:val="en-US" w:eastAsia="zh-CN"/>
              </w:rPr>
              <w:t>3</w:t>
            </w:r>
            <w:r>
              <w:rPr>
                <w:rFonts w:hint="eastAsia" w:hAnsi="宋体"/>
                <w:szCs w:val="21"/>
              </w:rPr>
              <w:t>）</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 xml:space="preserve"> 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
            <w:pPr>
              <w:spacing w:line="440" w:lineRule="exact"/>
              <w:ind w:firstLine="420" w:firstLineChars="200"/>
              <w:rPr>
                <w:rFonts w:hint="eastAsia" w:ascii="宋体" w:hAnsi="宋体" w:cs="MingLiU"/>
                <w:spacing w:val="-24"/>
                <w:kern w:val="0"/>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w:t>
            </w:r>
            <w:r>
              <w:rPr>
                <w:rFonts w:hint="eastAsia" w:ascii="宋体" w:hAnsi="宋体" w:cs="MingLiU"/>
                <w:kern w:val="0"/>
                <w:szCs w:val="21"/>
                <w:lang w:val="en-US" w:eastAsia="zh-CN"/>
              </w:rPr>
              <w:t>有效的</w:t>
            </w:r>
            <w:r>
              <w:rPr>
                <w:rFonts w:hint="eastAsia" w:ascii="宋体" w:hAnsi="宋体" w:cs="MingLiU"/>
                <w:kern w:val="0"/>
                <w:szCs w:val="21"/>
              </w:rPr>
              <w:t>建造师注册证、职称证（如有）、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11"/>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27"/>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28" w:edGrp="everyone"/>
            <w:r>
              <w:rPr>
                <w:rFonts w:hint="eastAsia" w:hAnsi="宋体"/>
                <w:snapToGrid w:val="0"/>
                <w:spacing w:val="-4"/>
                <w:kern w:val="0"/>
                <w:sz w:val="24"/>
                <w:u w:val="single"/>
                <w:lang w:val="en-US" w:eastAsia="zh-CN"/>
              </w:rPr>
              <w:t>2023</w:t>
            </w:r>
            <w:permEnd w:id="28"/>
            <w:r>
              <w:rPr>
                <w:rFonts w:hint="eastAsia" w:ascii="宋体" w:hAnsi="宋体" w:cs="MingLiU"/>
                <w:kern w:val="0"/>
                <w:szCs w:val="21"/>
              </w:rPr>
              <w:t>年</w:t>
            </w:r>
            <w:permStart w:id="29" w:edGrp="everyone"/>
            <w:r>
              <w:rPr>
                <w:rFonts w:hint="eastAsia" w:ascii="宋体" w:hAnsi="宋体" w:cs="MingLiU"/>
                <w:kern w:val="0"/>
                <w:szCs w:val="21"/>
                <w:u w:val="single"/>
                <w:lang w:val="en-US" w:eastAsia="zh-CN"/>
              </w:rPr>
              <w:t>6</w:t>
            </w:r>
            <w:permEnd w:id="29"/>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3" w:edGrp="everyone"/>
            <w:r>
              <w:rPr>
                <w:rFonts w:hint="default" w:ascii="Times New Roman" w:hAnsi="Times New Roman" w:cs="Times New Roman"/>
                <w:color w:val="auto"/>
                <w:szCs w:val="21"/>
                <w:highlight w:val="none"/>
                <w:u w:val="single"/>
                <w:lang w:val="en-US" w:eastAsia="zh-CN"/>
              </w:rPr>
              <w:t>600</w:t>
            </w:r>
            <w:r>
              <w:rPr>
                <w:rFonts w:hint="eastAsia" w:ascii="Times New Roman" w:hAnsi="Times New Roman" w:cs="Times New Roman"/>
                <w:color w:val="auto"/>
                <w:szCs w:val="21"/>
                <w:highlight w:val="none"/>
                <w:u w:val="single"/>
                <w:lang w:val="en-US" w:eastAsia="zh-CN"/>
              </w:rPr>
              <w:t>00元</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BZJKGYS-2023-007号保证金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5" w:edGrp="everyone"/>
            <w:permEnd w:id="35"/>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逸合府项目售楼部配套工程施工</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项目编号：BZJKGYS-2023-</w:t>
            </w:r>
            <w:r>
              <w:rPr>
                <w:rFonts w:hint="eastAsia" w:ascii="Times New Roman" w:hAnsi="Times New Roman" w:cs="Times New Roman"/>
                <w:color w:val="FF0000"/>
                <w:szCs w:val="21"/>
                <w:highlight w:val="none"/>
                <w:u w:val="single"/>
                <w:lang w:val="en-US" w:eastAsia="zh-CN"/>
              </w:rPr>
              <w:t>007</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8" w:edGrp="everyone"/>
            <w:r>
              <w:rPr>
                <w:rFonts w:hint="default" w:ascii="Times New Roman" w:hAnsi="Times New Roman" w:cs="Times New Roman"/>
                <w:color w:val="FF0000"/>
                <w:szCs w:val="21"/>
                <w:highlight w:val="none"/>
              </w:rPr>
              <w:t>中标后，投标保证金自动转为履约保证金</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rPr>
              <w:t>履约保证金不足部分由中标人在收到中标通知书后10日内从其基本账户开户行银行汇款。</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lang w:val="en-US" w:eastAsia="zh-CN"/>
              </w:rPr>
              <w:t>4</w:t>
            </w:r>
            <w:r>
              <w:rPr>
                <w:rFonts w:hint="eastAsia" w:ascii="宋体" w:hAnsi="宋体"/>
                <w:szCs w:val="21"/>
              </w:rPr>
              <w:t>.工程建设地点所涉及的场地情况、基础条件等。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0"/>
      <w:bookmarkStart w:id="17" w:name="_Toc179632546"/>
      <w:bookmarkStart w:id="18" w:name="_Toc152045529"/>
      <w:bookmarkStart w:id="19" w:name="_Toc144974497"/>
      <w:bookmarkStart w:id="20" w:name="_Toc247085689"/>
      <w:bookmarkStart w:id="21" w:name="_Toc246996175"/>
      <w:bookmarkStart w:id="22" w:name="_Toc246996918"/>
      <w:bookmarkStart w:id="23" w:name="_Toc152042305"/>
      <w:r>
        <w:rPr>
          <w:rFonts w:hint="eastAsia"/>
        </w:rPr>
        <w:t>1. 总则</w:t>
      </w:r>
      <w:bookmarkEnd w:id="16"/>
      <w:bookmarkEnd w:id="17"/>
      <w:bookmarkEnd w:id="18"/>
      <w:bookmarkEnd w:id="19"/>
      <w:bookmarkEnd w:id="20"/>
      <w:bookmarkEnd w:id="21"/>
      <w:bookmarkEnd w:id="22"/>
      <w:bookmarkEnd w:id="23"/>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0"/>
      <w:bookmarkStart w:id="25" w:name="_Toc246996176"/>
      <w:bookmarkStart w:id="26" w:name="_Toc246996919"/>
      <w:bookmarkStart w:id="27" w:name="_Toc144974498"/>
      <w:bookmarkStart w:id="28" w:name="_Toc296602421"/>
      <w:bookmarkStart w:id="29" w:name="_Toc247085690"/>
      <w:bookmarkStart w:id="30" w:name="_Toc179632547"/>
      <w:bookmarkStart w:id="31" w:name="_Toc15204230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177"/>
      <w:bookmarkStart w:id="33" w:name="_Toc152042307"/>
      <w:bookmarkStart w:id="34" w:name="_Toc246996920"/>
      <w:bookmarkStart w:id="35" w:name="_Toc179632548"/>
      <w:bookmarkStart w:id="36" w:name="_Toc296602422"/>
      <w:bookmarkStart w:id="37" w:name="_Toc247085691"/>
      <w:bookmarkStart w:id="38" w:name="_Toc144974499"/>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247085692"/>
      <w:bookmarkStart w:id="42" w:name="_Toc246996178"/>
      <w:bookmarkStart w:id="43" w:name="_Toc246996921"/>
      <w:bookmarkStart w:id="44" w:name="_Toc152045532"/>
      <w:bookmarkStart w:id="45" w:name="_Toc152042308"/>
      <w:bookmarkStart w:id="46" w:name="_Toc179632549"/>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96602424"/>
      <w:bookmarkStart w:id="49" w:name="_Toc246996922"/>
      <w:bookmarkStart w:id="50" w:name="_Toc144974502"/>
      <w:bookmarkStart w:id="51" w:name="_Toc179632551"/>
      <w:bookmarkStart w:id="52" w:name="_Toc152042310"/>
      <w:bookmarkStart w:id="53" w:name="_Toc247085693"/>
      <w:bookmarkStart w:id="54" w:name="_Toc246996179"/>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0"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0"/>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694"/>
      <w:bookmarkStart w:id="57" w:name="_Toc296602425"/>
      <w:bookmarkStart w:id="58" w:name="_Toc144974503"/>
      <w:bookmarkStart w:id="59" w:name="_Toc152045535"/>
      <w:bookmarkStart w:id="60" w:name="_Toc179632552"/>
      <w:bookmarkStart w:id="61" w:name="_Toc152042311"/>
      <w:bookmarkStart w:id="62" w:name="_Toc246996180"/>
      <w:bookmarkStart w:id="63" w:name="_Toc24699692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152045536"/>
      <w:bookmarkStart w:id="66" w:name="_Toc152042312"/>
      <w:bookmarkStart w:id="67" w:name="_Toc144974504"/>
      <w:bookmarkStart w:id="68" w:name="_Toc246996924"/>
      <w:bookmarkStart w:id="69" w:name="_Toc246996181"/>
      <w:bookmarkStart w:id="70" w:name="_Toc247085695"/>
      <w:bookmarkStart w:id="71" w:name="_Toc29660242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246996925"/>
      <w:bookmarkStart w:id="75" w:name="_Toc152045537"/>
      <w:bookmarkStart w:id="76" w:name="_Toc152042313"/>
      <w:bookmarkStart w:id="77" w:name="_Toc247085696"/>
      <w:bookmarkStart w:id="78" w:name="_Toc179632554"/>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152042314"/>
      <w:bookmarkStart w:id="82" w:name="_Toc152045538"/>
      <w:bookmarkStart w:id="83" w:name="_Toc247085697"/>
      <w:bookmarkStart w:id="84" w:name="_Toc246996926"/>
      <w:bookmarkStart w:id="85" w:name="_Toc144974506"/>
      <w:bookmarkStart w:id="86" w:name="_Toc246996183"/>
      <w:r>
        <w:rPr>
          <w:rFonts w:hint="eastAsia"/>
        </w:rPr>
        <w:t>招标投标文件使用的语言文字为中文。专用术语使用外文的，应附有中文注释。</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247592876"/>
      <w:bookmarkStart w:id="90" w:name="_Toc152045539"/>
      <w:bookmarkStart w:id="91" w:name="_Toc144974507"/>
      <w:bookmarkStart w:id="92" w:name="_Toc247527563"/>
      <w:bookmarkStart w:id="93" w:name="_Toc296602429"/>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152042316"/>
      <w:bookmarkStart w:id="97" w:name="_Toc144974508"/>
      <w:bookmarkStart w:id="98" w:name="_Toc152045540"/>
      <w:bookmarkStart w:id="99" w:name="_Toc296602430"/>
      <w:bookmarkStart w:id="100" w:name="_Toc247592877"/>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247085701"/>
      <w:bookmarkStart w:id="105" w:name="_Toc296602432"/>
      <w:bookmarkStart w:id="106" w:name="_Toc246996187"/>
      <w:bookmarkStart w:id="107" w:name="_Toc246996930"/>
      <w:bookmarkStart w:id="108" w:name="_Toc179632560"/>
      <w:bookmarkStart w:id="109" w:name="_Toc152045542"/>
      <w:bookmarkStart w:id="110" w:name="_Toc144974510"/>
      <w:r>
        <w:rPr>
          <w:rFonts w:hint="eastAsia"/>
        </w:rPr>
        <w:t>2. 招标文件</w:t>
      </w:r>
      <w:bookmarkEnd w:id="103"/>
      <w:bookmarkEnd w:id="104"/>
      <w:bookmarkEnd w:id="105"/>
      <w:bookmarkEnd w:id="106"/>
      <w:bookmarkEnd w:id="107"/>
      <w:bookmarkEnd w:id="108"/>
      <w:bookmarkEnd w:id="109"/>
      <w:bookmarkEnd w:id="110"/>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179632561"/>
      <w:bookmarkStart w:id="113" w:name="_Toc152042319"/>
      <w:bookmarkStart w:id="114" w:name="_Toc296602433"/>
      <w:bookmarkStart w:id="115" w:name="_Toc152045543"/>
      <w:bookmarkStart w:id="116" w:name="_Toc246996188"/>
      <w:bookmarkStart w:id="117" w:name="_Toc144974511"/>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247085703"/>
      <w:bookmarkStart w:id="121" w:name="_Toc179632562"/>
      <w:bookmarkStart w:id="122" w:name="_Toc246996189"/>
      <w:bookmarkStart w:id="123" w:name="_Toc152042320"/>
      <w:bookmarkStart w:id="124" w:name="_Toc144974512"/>
      <w:bookmarkStart w:id="125" w:name="_Toc296602434"/>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296602435"/>
      <w:bookmarkStart w:id="129" w:name="_Toc246996190"/>
      <w:bookmarkStart w:id="130" w:name="_Toc144974513"/>
      <w:bookmarkStart w:id="131" w:name="_Toc152045545"/>
      <w:bookmarkStart w:id="132" w:name="_Toc247085704"/>
      <w:bookmarkStart w:id="133" w:name="_Toc152042321"/>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4"/>
      <w:bookmarkStart w:id="136" w:name="_Toc152045546"/>
      <w:bookmarkStart w:id="137" w:name="_Toc247085705"/>
      <w:bookmarkStart w:id="138" w:name="_Toc296602436"/>
      <w:bookmarkStart w:id="139" w:name="_Toc246996191"/>
      <w:bookmarkStart w:id="140" w:name="_Toc144974514"/>
      <w:bookmarkStart w:id="141" w:name="_Toc152042322"/>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935"/>
      <w:bookmarkStart w:id="144" w:name="_Toc247085706"/>
      <w:bookmarkStart w:id="145" w:name="_Toc296602437"/>
      <w:bookmarkStart w:id="146" w:name="_Toc144974515"/>
      <w:bookmarkStart w:id="147" w:name="_Toc246996192"/>
      <w:bookmarkStart w:id="148" w:name="_Toc152042323"/>
      <w:bookmarkStart w:id="149" w:name="_Toc152045547"/>
      <w:bookmarkStart w:id="150" w:name="_Toc17963256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8"/>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152045548"/>
      <w:bookmarkStart w:id="153" w:name="_Toc246996936"/>
      <w:bookmarkStart w:id="154" w:name="_Toc247085707"/>
      <w:bookmarkStart w:id="155" w:name="_Toc296602438"/>
      <w:bookmarkStart w:id="156" w:name="_Toc144974516"/>
      <w:bookmarkStart w:id="157" w:name="_Toc179632566"/>
      <w:bookmarkStart w:id="158" w:name="_Toc152042324"/>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79632567"/>
      <w:bookmarkStart w:id="161" w:name="_Toc152042325"/>
      <w:bookmarkStart w:id="162" w:name="_Toc14497451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47085708"/>
      <w:bookmarkStart w:id="165" w:name="_Toc296602439"/>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296602440"/>
      <w:bookmarkStart w:id="169" w:name="_Toc246996195"/>
      <w:bookmarkStart w:id="170" w:name="_Toc152042326"/>
      <w:bookmarkStart w:id="171" w:name="_Toc247085709"/>
      <w:bookmarkStart w:id="172" w:name="_Toc179632568"/>
      <w:bookmarkStart w:id="173" w:name="_Toc152045550"/>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52042328"/>
      <w:bookmarkStart w:id="177" w:name="_Toc246996196"/>
      <w:bookmarkStart w:id="178" w:name="_Toc246996939"/>
      <w:bookmarkStart w:id="179" w:name="_Toc296602441"/>
      <w:bookmarkStart w:id="180" w:name="_Toc144974520"/>
      <w:bookmarkStart w:id="181" w:name="_Toc247085710"/>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5553"/>
      <w:bookmarkStart w:id="185" w:name="_Toc179632571"/>
      <w:bookmarkStart w:id="186" w:name="_Toc246996940"/>
      <w:bookmarkStart w:id="187" w:name="_Toc152042329"/>
      <w:bookmarkStart w:id="188" w:name="_Toc247085711"/>
      <w:bookmarkStart w:id="189" w:name="_Toc246996197"/>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199"/>
      <w:bookmarkStart w:id="192" w:name="_Toc246996942"/>
      <w:bookmarkStart w:id="193" w:name="_Toc152042331"/>
      <w:bookmarkStart w:id="194" w:name="_Toc179632573"/>
      <w:bookmarkStart w:id="195" w:name="_Toc144974523"/>
      <w:bookmarkStart w:id="196" w:name="_Toc247085713"/>
      <w:bookmarkStart w:id="197" w:name="_Toc1520455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246996943"/>
      <w:bookmarkStart w:id="201" w:name="_Toc152042332"/>
      <w:bookmarkStart w:id="202" w:name="_Toc296602444"/>
      <w:bookmarkStart w:id="203" w:name="_Toc247085714"/>
      <w:bookmarkStart w:id="204" w:name="_Toc246996200"/>
      <w:bookmarkStart w:id="205" w:name="_Toc14497452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6996201"/>
      <w:bookmarkStart w:id="208" w:name="_Toc247085715"/>
      <w:bookmarkStart w:id="209" w:name="_Toc179632575"/>
      <w:bookmarkStart w:id="210" w:name="_Toc246996944"/>
      <w:bookmarkStart w:id="211" w:name="_Toc152045557"/>
      <w:bookmarkStart w:id="212" w:name="_Toc152042333"/>
      <w:bookmarkStart w:id="213" w:name="_Toc14497452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144974526"/>
      <w:bookmarkStart w:id="217" w:name="_Toc152045558"/>
      <w:bookmarkStart w:id="218" w:name="_Toc179632576"/>
      <w:bookmarkStart w:id="219" w:name="_Toc296602446"/>
      <w:bookmarkStart w:id="220" w:name="_Toc247085716"/>
      <w:bookmarkStart w:id="221" w:name="_Toc246996945"/>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96602447"/>
      <w:bookmarkStart w:id="224" w:name="_Toc247085717"/>
      <w:bookmarkStart w:id="225" w:name="_Toc152045559"/>
      <w:bookmarkStart w:id="226" w:name="_Toc144974527"/>
      <w:bookmarkStart w:id="227" w:name="_Toc246996946"/>
      <w:bookmarkStart w:id="228" w:name="_Toc152042335"/>
      <w:bookmarkStart w:id="229" w:name="_Toc246996203"/>
      <w:bookmarkStart w:id="230" w:name="_Toc179632577"/>
      <w:r>
        <w:rPr>
          <w:rFonts w:hint="eastAsia"/>
        </w:rPr>
        <w:t>5. 开标</w:t>
      </w:r>
      <w:bookmarkEnd w:id="223"/>
      <w:bookmarkEnd w:id="224"/>
      <w:bookmarkEnd w:id="225"/>
      <w:bookmarkEnd w:id="226"/>
      <w:bookmarkEnd w:id="227"/>
      <w:bookmarkEnd w:id="228"/>
      <w:bookmarkEnd w:id="229"/>
      <w:bookmarkEnd w:id="230"/>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144974528"/>
      <w:bookmarkStart w:id="233" w:name="_Toc247085718"/>
      <w:bookmarkStart w:id="234" w:name="_Toc246996204"/>
      <w:bookmarkStart w:id="235" w:name="_Toc246996947"/>
      <w:bookmarkStart w:id="236" w:name="_Toc152042336"/>
      <w:bookmarkStart w:id="237" w:name="_Toc296602448"/>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144974529"/>
      <w:bookmarkStart w:id="241" w:name="_Toc246996205"/>
      <w:bookmarkStart w:id="242" w:name="_Toc296602449"/>
      <w:bookmarkStart w:id="243" w:name="_Toc179632579"/>
      <w:bookmarkStart w:id="244" w:name="_Toc152045561"/>
      <w:bookmarkStart w:id="245" w:name="_Toc247085719"/>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49"/>
      <w:bookmarkStart w:id="249" w:name="_Toc296602451"/>
      <w:bookmarkStart w:id="250" w:name="_Toc247085720"/>
      <w:bookmarkStart w:id="251" w:name="_Toc144974530"/>
      <w:bookmarkStart w:id="252" w:name="_Toc246996206"/>
      <w:bookmarkStart w:id="253" w:name="_Toc152045562"/>
      <w:bookmarkStart w:id="254" w:name="_Toc179632580"/>
      <w:bookmarkStart w:id="255" w:name="_Toc152042338"/>
      <w:r>
        <w:rPr>
          <w:rFonts w:hint="eastAsia"/>
        </w:rPr>
        <w:t>6. 评标</w:t>
      </w:r>
      <w:bookmarkEnd w:id="248"/>
      <w:bookmarkEnd w:id="249"/>
      <w:bookmarkEnd w:id="250"/>
      <w:bookmarkEnd w:id="251"/>
      <w:bookmarkEnd w:id="252"/>
      <w:bookmarkEnd w:id="253"/>
      <w:bookmarkEnd w:id="254"/>
      <w:bookmarkEnd w:id="255"/>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1"/>
      <w:bookmarkStart w:id="257" w:name="_Toc179632581"/>
      <w:bookmarkStart w:id="258" w:name="_Toc152045563"/>
      <w:bookmarkStart w:id="259" w:name="_Toc246996950"/>
      <w:bookmarkStart w:id="260" w:name="_Toc246996207"/>
      <w:bookmarkStart w:id="261" w:name="_Toc152042339"/>
      <w:bookmarkStart w:id="262" w:name="_Toc144974531"/>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246996951"/>
      <w:bookmarkStart w:id="266" w:name="_Toc296602453"/>
      <w:bookmarkStart w:id="267" w:name="_Toc246996208"/>
      <w:bookmarkStart w:id="268" w:name="_Toc247085722"/>
      <w:bookmarkStart w:id="269" w:name="_Toc144974532"/>
      <w:bookmarkStart w:id="270" w:name="_Toc179632582"/>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296602454"/>
      <w:bookmarkStart w:id="274" w:name="_Toc246996952"/>
      <w:bookmarkStart w:id="275" w:name="_Toc144974533"/>
      <w:bookmarkStart w:id="276" w:name="_Toc246996209"/>
      <w:bookmarkStart w:id="277" w:name="_Toc179632583"/>
      <w:bookmarkStart w:id="278" w:name="_Toc247085723"/>
      <w:bookmarkStart w:id="279" w:name="_Toc152042341"/>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247085724"/>
      <w:bookmarkStart w:id="282" w:name="_Toc152042342"/>
      <w:bookmarkStart w:id="283" w:name="_Toc152045566"/>
      <w:bookmarkStart w:id="284" w:name="_Toc144974534"/>
      <w:bookmarkStart w:id="285" w:name="_Toc179632584"/>
      <w:bookmarkStart w:id="286" w:name="_Toc246996953"/>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296602456"/>
      <w:bookmarkStart w:id="290" w:name="_Toc152042343"/>
      <w:bookmarkStart w:id="291" w:name="_Toc144974535"/>
      <w:bookmarkStart w:id="292" w:name="_Toc179632585"/>
      <w:bookmarkStart w:id="293" w:name="_Toc247085725"/>
      <w:bookmarkStart w:id="294" w:name="_Toc152045567"/>
      <w:bookmarkStart w:id="295" w:name="_Toc246996211"/>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2344"/>
      <w:bookmarkStart w:id="298" w:name="_Toc152045568"/>
      <w:bookmarkStart w:id="299" w:name="_Toc247085726"/>
      <w:bookmarkStart w:id="300" w:name="_Toc144974536"/>
      <w:bookmarkStart w:id="301" w:name="_Toc179632586"/>
      <w:bookmarkStart w:id="302" w:name="_Toc296602458"/>
      <w:bookmarkStart w:id="303" w:name="_Toc246996955"/>
      <w:bookmarkStart w:id="304" w:name="_Toc246996212"/>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956"/>
      <w:bookmarkStart w:id="306" w:name="_Toc247085727"/>
      <w:bookmarkStart w:id="307" w:name="_Toc296602459"/>
      <w:bookmarkStart w:id="308" w:name="_Toc152045569"/>
      <w:bookmarkStart w:id="309" w:name="_Toc179632587"/>
      <w:bookmarkStart w:id="310" w:name="_Toc144974537"/>
      <w:bookmarkStart w:id="311" w:name="_Toc246996213"/>
      <w:bookmarkStart w:id="312" w:name="_Toc152042345"/>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957"/>
      <w:bookmarkStart w:id="314" w:name="_Toc247085728"/>
      <w:bookmarkStart w:id="315" w:name="_Toc296602460"/>
      <w:bookmarkStart w:id="316" w:name="_Toc152045570"/>
      <w:bookmarkStart w:id="317" w:name="_Toc152042346"/>
      <w:bookmarkStart w:id="318" w:name="_Toc179632588"/>
      <w:bookmarkStart w:id="319" w:name="_Toc144974538"/>
      <w:bookmarkStart w:id="320" w:name="_Toc246996214"/>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44974543"/>
      <w:bookmarkStart w:id="323" w:name="_Toc296590983"/>
      <w:bookmarkStart w:id="324" w:name="_Toc246996962"/>
      <w:bookmarkStart w:id="325" w:name="_Toc247085733"/>
      <w:bookmarkStart w:id="326" w:name="_Toc152045575"/>
      <w:bookmarkStart w:id="327" w:name="_Toc246996219"/>
      <w:bookmarkStart w:id="328" w:name="_Toc296602462"/>
      <w:bookmarkStart w:id="329" w:name="_Toc179632593"/>
      <w:bookmarkStart w:id="330" w:name="_Toc152042351"/>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7"/>
        <w:bidi w:val="0"/>
        <w:rPr>
          <w:rFonts w:hint="eastAsia"/>
        </w:rPr>
      </w:pPr>
      <w:bookmarkStart w:id="331" w:name="_Toc152045576"/>
      <w:bookmarkStart w:id="332" w:name="_Toc247085734"/>
      <w:bookmarkStart w:id="333" w:name="_Toc246996220"/>
      <w:bookmarkStart w:id="334" w:name="_Toc144974544"/>
      <w:bookmarkStart w:id="335" w:name="_Toc152042352"/>
      <w:bookmarkStart w:id="336" w:name="_Toc246996963"/>
      <w:bookmarkStart w:id="337" w:name="_Toc179632594"/>
      <w:bookmarkStart w:id="338" w:name="_Toc296602463"/>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96602464"/>
      <w:bookmarkStart w:id="340" w:name="_Toc152045577"/>
      <w:bookmarkStart w:id="341" w:name="_Toc246996964"/>
      <w:bookmarkStart w:id="342" w:name="_Toc247085735"/>
      <w:bookmarkStart w:id="343" w:name="_Toc246996221"/>
      <w:bookmarkStart w:id="344" w:name="_Toc179632595"/>
      <w:bookmarkStart w:id="345" w:name="_Toc152042353"/>
      <w:bookmarkStart w:id="346" w:name="_Toc14497454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2354"/>
      <w:bookmarkStart w:id="348" w:name="_Toc246996222"/>
      <w:bookmarkStart w:id="349" w:name="_Toc247085736"/>
      <w:bookmarkStart w:id="350" w:name="_Toc246996965"/>
      <w:bookmarkStart w:id="351" w:name="_Toc179632596"/>
      <w:bookmarkStart w:id="352" w:name="_Toc152045578"/>
      <w:bookmarkStart w:id="353" w:name="_Toc2966024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7085737"/>
      <w:bookmarkStart w:id="357" w:name="_Toc296602466"/>
      <w:bookmarkStart w:id="358" w:name="_Toc246996966"/>
      <w:bookmarkStart w:id="359" w:name="_Toc152042356"/>
      <w:bookmarkStart w:id="360" w:name="_Toc179632597"/>
      <w:bookmarkStart w:id="361" w:name="_Toc246996223"/>
      <w:bookmarkStart w:id="362" w:name="_Toc152045579"/>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296602467"/>
      <w:bookmarkStart w:id="365" w:name="_Toc246996224"/>
      <w:bookmarkStart w:id="366" w:name="_Toc144974547"/>
      <w:bookmarkStart w:id="367" w:name="_Toc247085738"/>
      <w:bookmarkStart w:id="368" w:name="_Toc246996967"/>
      <w:bookmarkStart w:id="369" w:name="_Toc152042357"/>
      <w:bookmarkStart w:id="370" w:name="_Toc17963259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1"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247085747"/>
            <w:bookmarkStart w:id="373" w:name="_Toc246996232"/>
            <w:bookmarkStart w:id="374" w:name="_Toc246996975"/>
            <w:bookmarkStart w:id="375" w:name="_Toc152045589"/>
            <w:bookmarkStart w:id="376" w:name="_Toc179632607"/>
            <w:bookmarkStart w:id="377" w:name="_Toc152042366"/>
            <w:bookmarkStart w:id="378" w:name="_Toc144974556"/>
            <w:bookmarkStart w:id="379"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施工组织设计</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w:t>
            </w:r>
            <w:r>
              <w:rPr>
                <w:rFonts w:hint="default" w:ascii="Times New Roman" w:hAnsi="Times New Roman" w:cs="Times New Roman" w:eastAsiaTheme="minorEastAsia"/>
                <w:i w:val="0"/>
                <w:iCs w:val="0"/>
                <w:color w:val="auto"/>
                <w:kern w:val="0"/>
                <w:sz w:val="24"/>
                <w:szCs w:val="24"/>
                <w:highlight w:val="none"/>
              </w:rPr>
              <w:t>分</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8"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4"/>
                <w:szCs w:val="24"/>
                <w:highlight w:val="none"/>
                <w:u w:val="single"/>
                <w:lang w:val="en-US" w:eastAsia="zh-CN"/>
                <w14:textFill>
                  <w14:solidFill>
                    <w14:schemeClr w14:val="tx1"/>
                  </w14:solidFill>
                </w14:textFill>
              </w:rPr>
              <w:t>以所有有效投标人报价算数平均值作为基准价。</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59" w:edGrp="everyone" w:colFirst="1" w:colLast="1"/>
            <w:permStart w:id="60" w:edGrp="everyone" w:colFirst="2" w:colLast="2"/>
            <w:permStart w:id="6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yellow"/>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yellow"/>
                <w:lang w:val="en-US" w:eastAsia="zh-CN"/>
                <w14:textFill>
                  <w14:solidFill>
                    <w14:schemeClr w14:val="tx1"/>
                  </w14:solidFill>
                </w14:textFill>
              </w:rPr>
              <w:t>内容完整性和编制水平</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yellow"/>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2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内容完整，方案合理、科学的得2分；内容存在一般缺陷，方案可行的得1分；内容存在重大缺陷，方案不可行的得0分</w:t>
            </w:r>
          </w:p>
        </w:tc>
      </w:tr>
      <w:permEnd w:id="59"/>
      <w:permEnd w:id="60"/>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2" w:edGrp="everyone" w:colFirst="1" w:colLast="1"/>
            <w:permStart w:id="63" w:edGrp="everyone" w:colFirst="2" w:colLast="2"/>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10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3-5</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1-3</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优得3-5分，良得1-3分，一般得0-1分，差得 0分。</w:t>
            </w:r>
          </w:p>
        </w:tc>
      </w:tr>
      <w:permEnd w:id="62"/>
      <w:permEnd w:id="63"/>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5" w:edGrp="everyone" w:colFirst="1" w:colLast="1"/>
            <w:permStart w:id="66" w:edGrp="everyone" w:colFirst="2" w:colLast="2"/>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2-4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65"/>
      <w:permEnd w:id="66"/>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8" w:edGrp="everyone" w:colFirst="1" w:colLast="1"/>
            <w:permStart w:id="69" w:edGrp="everyone" w:colFirst="2" w:colLast="2"/>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2-4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2-4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2-4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2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优得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1-2</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分，良得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0.5-1</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分，一般得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0-0.5</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分，差得</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1" w:colLast="1"/>
            <w:permStart w:id="81" w:edGrp="everyone" w:colFirst="2" w:colLast="2"/>
            <w:permStart w:id="8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10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firstLine="480" w:firstLineChars="200"/>
              <w:jc w:val="left"/>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投标人每提供1个2021年至今</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单项合同金额</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在3</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00万元及以上的</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室外配套工程业绩的</w:t>
            </w:r>
            <w:r>
              <w:rPr>
                <w:rFonts w:hint="eastAsia" w:ascii="Times New Roman" w:hAnsi="Times New Roman" w:cs="Times New Roman" w:eastAsiaTheme="minorEastAsia"/>
                <w:color w:val="000000" w:themeColor="text1"/>
                <w:kern w:val="0"/>
                <w:sz w:val="24"/>
                <w:szCs w:val="24"/>
                <w:highlight w:val="none"/>
                <w:lang w:val="en-US" w:eastAsia="zh-CN" w:bidi="ar"/>
                <w14:textFill>
                  <w14:solidFill>
                    <w14:schemeClr w14:val="tx1"/>
                  </w14:solidFill>
                </w14:textFill>
              </w:rPr>
              <w:t>得5分，满分10分</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，多分不计。</w:t>
            </w:r>
          </w:p>
          <w:p>
            <w:pPr>
              <w:keepNext w:val="0"/>
              <w:keepLines w:val="0"/>
              <w:widowControl/>
              <w:suppressLineNumbers w:val="0"/>
              <w:ind w:firstLine="480" w:firstLineChars="200"/>
              <w:jc w:val="left"/>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highlight w:val="none"/>
                <w:lang w:bidi="ar"/>
                <w14:textFill>
                  <w14:solidFill>
                    <w14:schemeClr w14:val="tx1"/>
                  </w14:solidFill>
                </w14:textFill>
              </w:rPr>
              <w:t>注：业绩时间以竣工验收时间为准；提供业绩合同、竣工验收文件（验收报告、验收备案表或业主证明等）等资料复印件装订入投标文件中。</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ermStart w:id="8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拟派项目负责人资格</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10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ermEnd w:id="83"/>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投标人提供拟派项目负责人2021年至今单项合同金额在300万元及以上的景观配套工程业绩，得5分；拟派项目负责人</w:t>
            </w:r>
            <w:r>
              <w:rPr>
                <w:rFonts w:hint="eastAsia" w:ascii="Times New Roman" w:hAnsi="Times New Roman" w:cs="Times New Roman"/>
                <w:color w:val="000000" w:themeColor="text1"/>
                <w:kern w:val="0"/>
                <w:sz w:val="24"/>
                <w:highlight w:val="none"/>
                <w14:textFill>
                  <w14:solidFill>
                    <w14:schemeClr w14:val="tx1"/>
                  </w14:solidFill>
                </w14:textFill>
              </w:rPr>
              <w:t>具有市政工程（专业类别）中级及以上职称</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，得5分 。</w:t>
            </w:r>
          </w:p>
          <w:p>
            <w:pPr>
              <w:pStyle w:val="2"/>
              <w:ind w:left="0" w:leftChars="0" w:firstLine="480" w:firstLineChars="200"/>
              <w:rPr>
                <w:rFonts w:hint="default"/>
                <w:lang w:val="en-US" w:eastAsia="zh-CN"/>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注：业绩时间以竣工验收时间为准，提供业绩合同、竣工验收文件（验收报告、验收备案表或业主证明等）等资料复印件装订入投标文件中。业绩合同中需体现项目负责人身份信息，或提供业主单位出具的材料予以证明，否则不予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1" w:colLast="1"/>
            <w:permStart w:id="85" w:edGrp="everyone" w:colFirst="2" w:colLast="2"/>
            <w:permStart w:id="86" w:edGrp="everyone" w:colFirst="3" w:colLast="3"/>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以所有有效投标人报价算数平均值作为基准价，公式如下：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等于基准价的报价为满分50分，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高于基准价的报价得分计算式：50-（投标报价-基准价）/基准价*0.5*100；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低于基准价的报价得分计算式：50+（投标报价-基准价）/基准价*0.3*100。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注：保留得分小数点后两位，第三位四舍五入。</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1" w:colLast="1"/>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w:t>
            </w:r>
          </w:p>
        </w:tc>
      </w:tr>
      <w:permEnd w:id="87"/>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52042367"/>
      <w:bookmarkStart w:id="381" w:name="_Toc246996976"/>
      <w:bookmarkStart w:id="382" w:name="_Toc179632608"/>
      <w:bookmarkStart w:id="383" w:name="_Toc247085748"/>
      <w:bookmarkStart w:id="384" w:name="_Toc144974557"/>
      <w:bookmarkStart w:id="385" w:name="_Toc296602478"/>
      <w:bookmarkStart w:id="386" w:name="_Toc152045590"/>
      <w:bookmarkStart w:id="387" w:name="_Toc246996233"/>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96602479"/>
      <w:bookmarkStart w:id="389" w:name="_Toc144974558"/>
      <w:bookmarkStart w:id="390" w:name="_Toc246996977"/>
      <w:bookmarkStart w:id="391" w:name="_Toc179632609"/>
      <w:bookmarkStart w:id="392" w:name="_Toc246996234"/>
      <w:bookmarkStart w:id="393" w:name="_Toc247085749"/>
      <w:bookmarkStart w:id="394" w:name="_Toc152042368"/>
      <w:bookmarkStart w:id="395"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296602481"/>
      <w:bookmarkStart w:id="397" w:name="_Toc246996236"/>
      <w:bookmarkStart w:id="398" w:name="_Toc247085751"/>
      <w:bookmarkStart w:id="399" w:name="_Toc179632611"/>
      <w:bookmarkStart w:id="400" w:name="_Toc152045593"/>
      <w:bookmarkStart w:id="401" w:name="_Toc144974560"/>
      <w:bookmarkStart w:id="402" w:name="_Toc152042370"/>
      <w:bookmarkStart w:id="403"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8" w:edGrp="everyone"/>
      <w:r>
        <w:rPr>
          <w:rFonts w:hint="eastAsia" w:ascii="Times New Roman" w:hAnsi="Times New Roman" w:cs="Times New Roman" w:eastAsiaTheme="minorEastAsia"/>
          <w:kern w:val="0"/>
          <w:sz w:val="24"/>
          <w:szCs w:val="24"/>
          <w:highlight w:val="none"/>
          <w:lang w:val="en-US" w:eastAsia="zh-CN"/>
        </w:rPr>
        <w:t>施工组织设计</w:t>
      </w:r>
      <w:permEnd w:id="8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9" w:edGrp="everyone"/>
      <w:r>
        <w:rPr>
          <w:rFonts w:hint="eastAsia" w:ascii="Times New Roman" w:hAnsi="Times New Roman" w:cs="Times New Roman"/>
          <w:kern w:val="0"/>
          <w:sz w:val="24"/>
          <w:szCs w:val="24"/>
          <w:highlight w:val="none"/>
          <w:lang w:val="en-US" w:eastAsia="zh-CN"/>
        </w:rPr>
        <w:t>企业荣誉</w:t>
      </w:r>
      <w:permEnd w:id="8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0" w:edGrp="everyone"/>
      <w:r>
        <w:rPr>
          <w:rFonts w:hint="eastAsia" w:ascii="Times New Roman" w:hAnsi="Times New Roman" w:cs="Times New Roman" w:eastAsiaTheme="minorEastAsia"/>
          <w:kern w:val="0"/>
          <w:sz w:val="24"/>
          <w:szCs w:val="24"/>
          <w:highlight w:val="none"/>
          <w:lang w:val="en-US" w:eastAsia="zh-CN"/>
        </w:rPr>
        <w:t>投标报价</w:t>
      </w:r>
      <w:permEnd w:id="9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1" w:edGrp="everyone"/>
      <w:r>
        <w:rPr>
          <w:rFonts w:hint="eastAsia" w:ascii="Times New Roman" w:hAnsi="Times New Roman" w:cs="Times New Roman" w:eastAsiaTheme="minorEastAsia"/>
          <w:kern w:val="0"/>
          <w:sz w:val="24"/>
          <w:szCs w:val="24"/>
          <w:highlight w:val="none"/>
          <w:lang w:val="en-US" w:eastAsia="zh-CN"/>
        </w:rPr>
        <w:t>其他评分因素</w:t>
      </w:r>
      <w:permEnd w:id="9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施工组织设计评分标准</w:t>
      </w:r>
      <w:permEnd w:id="9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4"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6996237"/>
      <w:bookmarkStart w:id="405" w:name="_Toc144974561"/>
      <w:bookmarkStart w:id="406" w:name="_Toc247085752"/>
      <w:bookmarkStart w:id="407" w:name="_Toc246996980"/>
      <w:bookmarkStart w:id="408" w:name="_Toc152042371"/>
      <w:bookmarkStart w:id="409" w:name="_Toc179632612"/>
      <w:bookmarkStart w:id="410" w:name="_Toc152045594"/>
      <w:bookmarkStart w:id="411" w:name="_Toc296602482"/>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47085753"/>
      <w:bookmarkStart w:id="413" w:name="_Toc152045595"/>
      <w:bookmarkStart w:id="414" w:name="_Toc246996981"/>
      <w:bookmarkStart w:id="415" w:name="_Toc152042372"/>
      <w:bookmarkStart w:id="416" w:name="_Toc144974562"/>
      <w:bookmarkStart w:id="417" w:name="_Toc296602483"/>
      <w:bookmarkStart w:id="418" w:name="_Toc179632613"/>
      <w:bookmarkStart w:id="419" w:name="_Toc246996238"/>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247085754"/>
      <w:bookmarkStart w:id="422" w:name="_Toc296602484"/>
      <w:bookmarkStart w:id="423" w:name="_Toc152045596"/>
      <w:bookmarkStart w:id="424" w:name="_Toc152042373"/>
      <w:bookmarkStart w:id="425" w:name="_Toc246996982"/>
      <w:bookmarkStart w:id="426" w:name="_Toc179632614"/>
      <w:bookmarkStart w:id="427"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9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施工组织设计</w:t>
      </w:r>
      <w:permEnd w:id="96"/>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9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9"/>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0" w:edGrp="everyone"/>
            <w:r>
              <w:rPr>
                <w:rFonts w:hint="eastAsia" w:ascii="Times New Roman" w:hAnsi="Times New Roman" w:cs="Times New Roman"/>
                <w:kern w:val="0"/>
                <w:sz w:val="24"/>
                <w:szCs w:val="24"/>
                <w:highlight w:val="none"/>
                <w:shd w:val="clear" w:color="auto" w:fill="auto"/>
                <w:vertAlign w:val="baseline"/>
                <w:lang w:val="en-US" w:eastAsia="zh-CN"/>
              </w:rPr>
              <w:t>亳州通恒置业有限公司</w:t>
            </w:r>
            <w:permEnd w:id="1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eastAsiaTheme="minorEastAsia"/>
                <w:color w:val="auto"/>
                <w:kern w:val="0"/>
                <w:sz w:val="24"/>
                <w:szCs w:val="24"/>
                <w:highlight w:val="none"/>
                <w:shd w:val="clear" w:color="auto" w:fill="auto"/>
                <w:lang w:val="en-US" w:eastAsia="zh-CN" w:bidi="ar"/>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1.施工完成经</w:t>
            </w:r>
            <w:r>
              <w:rPr>
                <w:rFonts w:hint="eastAsia" w:ascii="Times New Roman" w:hAnsi="Times New Roman" w:cs="Times New Roman"/>
                <w:color w:val="auto"/>
                <w:kern w:val="0"/>
                <w:sz w:val="24"/>
                <w:szCs w:val="24"/>
                <w:highlight w:val="none"/>
                <w:shd w:val="clear" w:color="auto" w:fill="auto"/>
                <w:lang w:val="en-US" w:eastAsia="zh-CN" w:bidi="ar"/>
              </w:rPr>
              <w:t>初步</w:t>
            </w:r>
            <w:r>
              <w:rPr>
                <w:rFonts w:hint="eastAsia" w:ascii="Times New Roman" w:hAnsi="Times New Roman" w:cs="Times New Roman" w:eastAsiaTheme="minorEastAsia"/>
                <w:color w:val="auto"/>
                <w:kern w:val="0"/>
                <w:sz w:val="24"/>
                <w:szCs w:val="24"/>
                <w:highlight w:val="none"/>
                <w:shd w:val="clear" w:color="auto" w:fill="auto"/>
                <w:lang w:val="en-US" w:eastAsia="zh-CN" w:bidi="ar"/>
              </w:rPr>
              <w:t>验收合格付至合同额的85%；</w:t>
            </w:r>
          </w:p>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eastAsiaTheme="minorEastAsia"/>
                <w:color w:val="auto"/>
                <w:kern w:val="0"/>
                <w:sz w:val="24"/>
                <w:szCs w:val="24"/>
                <w:highlight w:val="none"/>
                <w:shd w:val="clear" w:color="auto" w:fill="auto"/>
                <w:lang w:val="en-US" w:eastAsia="zh-CN" w:bidi="ar"/>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2.竣工验收合格（工期约2年）付至合同额的90%；</w:t>
            </w:r>
          </w:p>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eastAsiaTheme="minorEastAsia"/>
                <w:color w:val="auto"/>
                <w:kern w:val="0"/>
                <w:sz w:val="24"/>
                <w:szCs w:val="24"/>
                <w:highlight w:val="none"/>
                <w:shd w:val="clear" w:color="auto" w:fill="auto"/>
                <w:lang w:val="en-US" w:eastAsia="zh-CN" w:bidi="ar"/>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3.</w:t>
            </w:r>
            <w:r>
              <w:rPr>
                <w:rFonts w:hint="eastAsia" w:ascii="Times New Roman" w:hAnsi="Times New Roman" w:cs="Times New Roman"/>
                <w:color w:val="auto"/>
                <w:kern w:val="0"/>
                <w:sz w:val="24"/>
                <w:szCs w:val="24"/>
                <w:highlight w:val="none"/>
                <w:shd w:val="clear" w:color="auto" w:fill="auto"/>
                <w:lang w:val="en-US" w:eastAsia="zh-CN" w:bidi="ar"/>
              </w:rPr>
              <w:t>项目一期（工期约2年）工程结算审核</w:t>
            </w:r>
            <w:r>
              <w:rPr>
                <w:rFonts w:hint="eastAsia" w:ascii="Times New Roman" w:hAnsi="Times New Roman" w:cs="Times New Roman" w:eastAsiaTheme="minorEastAsia"/>
                <w:color w:val="auto"/>
                <w:kern w:val="0"/>
                <w:sz w:val="24"/>
                <w:szCs w:val="24"/>
                <w:highlight w:val="none"/>
                <w:shd w:val="clear" w:color="auto" w:fill="auto"/>
                <w:lang w:val="en-US" w:eastAsia="zh-CN" w:bidi="ar"/>
              </w:rPr>
              <w:t>完成，付至</w:t>
            </w:r>
            <w:r>
              <w:rPr>
                <w:rFonts w:hint="eastAsia" w:ascii="Times New Roman" w:hAnsi="Times New Roman" w:cs="Times New Roman"/>
                <w:color w:val="auto"/>
                <w:kern w:val="0"/>
                <w:sz w:val="24"/>
                <w:szCs w:val="24"/>
                <w:highlight w:val="none"/>
                <w:shd w:val="clear" w:color="auto" w:fill="auto"/>
                <w:lang w:val="en-US" w:eastAsia="zh-CN" w:bidi="ar"/>
              </w:rPr>
              <w:t>审定金额</w:t>
            </w:r>
            <w:r>
              <w:rPr>
                <w:rFonts w:hint="eastAsia" w:ascii="Times New Roman" w:hAnsi="Times New Roman" w:cs="Times New Roman" w:eastAsiaTheme="minorEastAsia"/>
                <w:color w:val="auto"/>
                <w:kern w:val="0"/>
                <w:sz w:val="24"/>
                <w:szCs w:val="24"/>
                <w:highlight w:val="none"/>
                <w:shd w:val="clear" w:color="auto" w:fill="auto"/>
                <w:lang w:val="en-US" w:eastAsia="zh-CN" w:bidi="ar"/>
              </w:rPr>
              <w:t>的97%；</w:t>
            </w:r>
          </w:p>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eastAsiaTheme="minorEastAsia"/>
                <w:color w:val="auto"/>
                <w:kern w:val="0"/>
                <w:sz w:val="24"/>
                <w:szCs w:val="24"/>
                <w:highlight w:val="none"/>
                <w:shd w:val="clear" w:color="auto" w:fill="auto"/>
                <w:lang w:val="en-US" w:eastAsia="zh-CN" w:bidi="ar"/>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4.</w:t>
            </w:r>
            <w:r>
              <w:rPr>
                <w:rFonts w:hint="eastAsia" w:ascii="Times New Roman" w:hAnsi="Times New Roman" w:cs="Times New Roman"/>
                <w:color w:val="auto"/>
                <w:kern w:val="0"/>
                <w:sz w:val="24"/>
                <w:szCs w:val="24"/>
                <w:highlight w:val="none"/>
                <w:shd w:val="clear" w:color="auto" w:fill="auto"/>
                <w:lang w:val="en-US" w:eastAsia="zh-CN" w:bidi="ar"/>
              </w:rPr>
              <w:t>余款</w:t>
            </w:r>
            <w:r>
              <w:rPr>
                <w:rFonts w:hint="eastAsia" w:ascii="Times New Roman" w:hAnsi="Times New Roman" w:cs="Times New Roman" w:eastAsiaTheme="minorEastAsia"/>
                <w:color w:val="auto"/>
                <w:kern w:val="0"/>
                <w:sz w:val="24"/>
                <w:szCs w:val="24"/>
                <w:highlight w:val="none"/>
                <w:shd w:val="clear" w:color="auto" w:fill="auto"/>
                <w:lang w:val="en-US" w:eastAsia="zh-CN" w:bidi="ar"/>
              </w:rPr>
              <w:t>3%作为质量保证金，待质保期结束后，无息退还。</w:t>
            </w:r>
          </w:p>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kern w:val="0"/>
                <w:sz w:val="24"/>
                <w:highlight w:val="none"/>
                <w:shd w:val="clear" w:color="auto" w:fill="auto"/>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由发包人委托有资质的审计单位对工程进行</w:t>
            </w:r>
            <w:r>
              <w:rPr>
                <w:rFonts w:hint="eastAsia" w:ascii="Times New Roman" w:hAnsi="Times New Roman" w:cs="Times New Roman"/>
                <w:color w:val="auto"/>
                <w:kern w:val="0"/>
                <w:sz w:val="24"/>
                <w:szCs w:val="24"/>
                <w:highlight w:val="none"/>
                <w:shd w:val="clear" w:color="auto" w:fill="auto"/>
                <w:lang w:val="en-US" w:eastAsia="zh-CN" w:bidi="ar"/>
              </w:rPr>
              <w:t>结算</w:t>
            </w:r>
            <w:r>
              <w:rPr>
                <w:rFonts w:hint="eastAsia" w:ascii="Times New Roman" w:hAnsi="Times New Roman" w:cs="Times New Roman" w:eastAsiaTheme="minorEastAsia"/>
                <w:color w:val="auto"/>
                <w:kern w:val="0"/>
                <w:sz w:val="24"/>
                <w:szCs w:val="24"/>
                <w:highlight w:val="none"/>
                <w:shd w:val="clear" w:color="auto" w:fill="auto"/>
                <w:lang w:val="en-US" w:eastAsia="zh-CN" w:bidi="ar"/>
              </w:rPr>
              <w:t>审核；核减超过5%，超出部分</w:t>
            </w:r>
            <w:r>
              <w:rPr>
                <w:rFonts w:hint="eastAsia" w:ascii="Times New Roman" w:hAnsi="Times New Roman" w:cs="Times New Roman"/>
                <w:color w:val="auto"/>
                <w:kern w:val="0"/>
                <w:sz w:val="24"/>
                <w:szCs w:val="24"/>
                <w:highlight w:val="none"/>
                <w:shd w:val="clear" w:color="auto" w:fill="auto"/>
                <w:lang w:val="en-US" w:eastAsia="zh-CN" w:bidi="ar"/>
              </w:rPr>
              <w:t>产生</w:t>
            </w:r>
            <w:r>
              <w:rPr>
                <w:rFonts w:hint="eastAsia" w:ascii="Times New Roman" w:hAnsi="Times New Roman" w:cs="Times New Roman" w:eastAsiaTheme="minorEastAsia"/>
                <w:color w:val="auto"/>
                <w:kern w:val="0"/>
                <w:sz w:val="24"/>
                <w:szCs w:val="24"/>
                <w:highlight w:val="none"/>
                <w:shd w:val="clear" w:color="auto" w:fill="auto"/>
                <w:lang w:val="en-US" w:eastAsia="zh-CN" w:bidi="ar"/>
              </w:rPr>
              <w:t>的审计费用由承包人承担。应由施工方承担的审计费用在竣工结算时，由发包人从工程款内直接扣除。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注：招标人付款前，中标人应按照国家税收有关规定开具等额增值税专用发票，否则招标人有权暂停付款。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1"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01"/>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2"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103"/>
          </w:p>
        </w:tc>
      </w:tr>
    </w:tbl>
    <w:p>
      <w:pPr>
        <w:rPr>
          <w:rFonts w:hint="eastAsia" w:ascii="宋体" w:hAnsi="宋体"/>
          <w:b/>
        </w:rPr>
      </w:pPr>
    </w:p>
    <w:p>
      <w:pPr>
        <w:ind w:firstLine="321" w:firstLineChars="100"/>
        <w:rPr>
          <w:rFonts w:hint="eastAsia"/>
          <w:color w:val="000000" w:themeColor="text1"/>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本项目使用住房和城乡建设部、国家工商行政管理总局2017年发布的《建设工程施工合同（示范文本）》 （GF-2017-0201)。</w:t>
      </w:r>
      <w:r>
        <w:rPr>
          <w:rFonts w:hint="eastAsia" w:ascii="宋体" w:hAnsi="宋体"/>
          <w:b/>
          <w:color w:val="000000" w:themeColor="text1"/>
          <w:sz w:val="32"/>
          <w:szCs w:val="32"/>
          <w:lang w:val="en-US" w:eastAsia="zh-CN"/>
          <w14:textFill>
            <w14:solidFill>
              <w14:schemeClr w14:val="tx1"/>
            </w14:solidFill>
          </w14:textFill>
        </w:rPr>
        <w:t>合同主要条款包括但不限于：</w:t>
      </w:r>
      <w:permStart w:id="104" w:edGrp="everyone"/>
    </w:p>
    <w:p>
      <w:pPr>
        <w:rPr>
          <w:rFonts w:hint="eastAsia"/>
          <w:color w:val="000000" w:themeColor="text1"/>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1.承包人违约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 承包人违约的情形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承包人违约的其他情形：劳动力、材料、设备投入计划不能按投标文件中的承诺到场；更换项目班子管理人员或项目班子管理人员在施工期间不积极到位履行职责等。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1.2 承包人违约的责任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承包人违约责任的承担方式和计算方法：因承包人原因造成工程质量不合格的，承包人应无 条件修复达到合同约定的质量标准；无法维修的，双方协商处理。发生该条违约时，发包人有权停止支付所有工程款项，不退还履约担保。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（1）如更换项目经理，须向发包人支付违约金 20 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（2）如更换技术负责人，须向发包人支付违约金 10 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（3）更换其他管理人员，须向发包人支付违约金 5万元/人次。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（4）项目班子人员在施工期间不能满足工程的需要，建设单位有权要求更换，承包人应在收 到书面更换通知后 7 天内进行更换，并视中标人为违约一次并按照上述（1）至（3）约定进行处罚。 在缺陷责任期或质保期违约的，按相关条款执行。发包人因维权产生的包括但不限于诉讼费、律师费、保全费、执行费、交通费、住宿费等一切费用损失均由承包人承担。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承包人其他违约责任如下：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1、人员管理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（1）承包人签订施工合同后 7 日内，项目部组成人员必须按投标承诺全部到位。项目经理、项 目技术负责人未按时到位的，发包人有权要求承包人支付 5000 元/天的违约金，其他人员未到位的，发包人有权要求承包人支付 2000 元/天/人的违约金。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（2）承包人必须服从发包人的调度，做好检查配合工作及其他有关的协调配合工作，若承包人拒不执行的，发包人有权要求承包人支付 5000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（3）项目主要管理人员及分包主要管理人员必须按要求参加发包人（监理人）组织的工程会议，确有特殊情况必须提前向发包人请假并经发包人同意，否则，发包人有权要求承包人支付 2000元/次/人的违约金。经会议决议后统一布置的任务，承包人必须认真实施，对完成事项执行不力或未有效落实的，发包人有权要求承包人支付 5000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如承包人在质量、安全、进度等方面无法满足招标文件要求和投标文件承诺，发包人有权约谈承包人单位或承包人上级主管单位法定代表人或主要负责人，如被约谈的该法定代表人或主要负责人未在约定时间到场约谈，发包人有权要求承包人支付 20000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2、安全文明施工管理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 对于检查中发现的存在安全隐患、文明施工不符合要求，发包人有权要求承包人支付 1000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（2）如发现承包人安全设施不按程序报验、无施工方案擅自施工或未经验收合格擅自使用，发包人有权要求承包人支付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（3）如发现承包人安全管理资料不完善、不按要求编制、与工程进度不同步、弄虚作假， 需向发包人支付违约金 2000 元/次/项。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（4）施工人员不按规范带安全帽进入施工现场，发包人有权要求承包人支付违约金 200 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（5）承包人的焊工、电工、起重工等特殊工种必须持证上岗，报监理核查，所报证件人员必须与实际施工人员一致， 无证上岗的， 需向发包人支付违约金 1000 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（6）承包人需考虑作业期间的噪音控制，合理安排作业时间，避免噪音扰民，如因噪音扰民被投诉,发包人有权要求承包人支付 2000 元/ 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（7）承包人履行合同过程中，未经发包人同意擅自超越发包人指定施工范围，占用他人土地，由此发生的一切责任由承包人自行承担。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施工中必须首先通过人工探挖掌握施工区域内全部管线的类别、规格、数量、材质、埋深等相关准确信息，制定出详尽保护方案并报监理及设计、产权、建设、项目管理等单位认可后方可组织实施。因施工原因（或开展业务）损坏给排水、强弱电、通讯光缆、油气管线、冷暖管道等, 由承包人承担一切法律及经济责任，赔偿一切经济损失,且发包人有权要求承包人支付 2 万元/次违约金。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（9）未建立符合生产需要的安全经费使用计划、使用记录，责令限期改正，如未在限期内整改落实，承包人应当支付 10000 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（10）如检查中发现的安全、文明施工问题在以往检查中已被发现有类似问题， 发包人有权要求 承包人按上述（1） -（9）违约金的两倍支付违约金。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（11）如承包人不能按时、按要求对安全、文明施工问题进行整改的， 发包人有权责令停工整顿，且每延期一天发包人有权要求承包人支付 1000 元/ 处的违约金； 延期超过 3 天的， 发包人有权发函通报至承包人公司；延期超过 5 天的， 发包人有权约谈承包人企业负责人。 如承包人拒不整改或整改后不能满足要求的， 发包人在通知承包人后，无需得到确认即可有权安排其他人整改，费用可直接从工程款中扣除，且发包人另有权要求承包人支付 10 万元/次/处的违约金。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（12）如被发包人组织的第三方安全检查时通报批评， 发包人有权要求承包人支付 10000-50000元/次的违约金；三次及三次以上被通报批评， 发包人有权约谈承包人企业负责人， 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（13）如被主管部门通报批评或被媒体曝光，包人有权要求承包人支付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14）工程每发生一起因承包人原因造成的安全事故，承包人除接受政府相关部门处罚外，包人有权要求承包人支付一定违约金，并承担由事故引发的一切后果。发生特别重大事故，发包人有权要求承包人支付违约金 50 万元/次；发生重大事故， 发包人有权要求承包人支付违约金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20 万元/次；发生较大事故， 发包人有权要求承包人支付违约金 10 万元/次；发生一般事故， 发包人有权要求承包人支付违约金 2 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3、质量管理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（1）对于检查中发现的施工质量问题， 发包人有权要求承包人支付 1000 -50000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（2）如发现承包人未报验、无施工方案擅自施工、未经验收合格擅自进行下道工序，发包人有权要求承包人支付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（3）如发现承包人质量管理资料不完善、不按要求编制、与工程进度不同步、弄虚作假， 发包人有权要求承包人支付 2000 元/次/项的违约金。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（4）如发现承包人材料未按规定进行进场验收、送检、见证取样或按要求进行实体检测、留取试块、试件等，发包人有权要求承包人支付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（5）承包人应按照合同专用条款约定及设计和有关标准要求采购材料或设备，并提供产品合格证明，对材料设备质量负责，不符合招标文件及合同约定的，发包人有权要求承包人支付 20000 元 /批次的违约金，且必须及时清场，否则，发包人有权要求承包人支付该种设备、材料价格的 20% 的违约金, 情节严重的，发包人有权单方面解除合同，有权追求由此造成的损失。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（6）如检查中发现的质量问题在以往检查中已被发现有类似问题， 发包人有权要求承包人按上述（1）-（5）违约金的两倍支付违约金。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（7）如承包人不能按时、按要求对质量问题进行整改的，发包人有权责令停工整顿，且每延期一 天发包人有权要求承包人支付 1000 元/ 处的违约金；延期超过 3 天的，发包人有权发函通报至承包人公司；延期超过 5 天的，发包人有权约谈承包人企业负责人。 如承包人拒不整改或整改后不能满足要求的， 发包人在通知承包人后，无需得到确认即可有权安排其他人进行整改，费用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可直接从工程款中扣除，且发包人另有权要求承包人支付 10 万元/次/处的违约金。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（8）如被发包人组织的第三方质量检查时通报批评，发包人有权要求承包人支付 10000-50000 元 /次的违约金；三次及三次以上被通报批评，发包人有权约谈承包人企业负责人， 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（9）如被主管部门通报批评或被媒体曝光，发包人有权要求承包人支付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工程每发生一起因承包人原因造成的质量事故，发承包人除接受政府相关部门处罚外，发包人有权要求承包人支付一定违约金，并承担由事故引发的一切后果。发生特别重大事故，发包人有权要求承包人支付违约金 50 万元/次；发生重大事故，发包人有权要求承包人支付违约金 20 万元/次；发生较大事故，发包人有权要求承包人支付违约金 10 万元/次；发生一般事故，发包人有权要求承包人支付违约金 2 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（11）承包人对工程质量终身负责，出现重大质量事故，将按有关程序追究法律责任。在质保期内，如果发生质量缺陷，承包人应在接到口头或书面通知后 24 小时内到达现场，并应于 3 日内完成整改；发生紧急事故需抢修的，承包人在接到事故通知后，应当立即到达事故现场抢修，确保事态不扩大；如因承包人维修不及时造成损失的，由承包人承担，且发包人有权自行修理、更换或委托第三方修理、更换，修理、更换产生的费用从质保金中扣除，并有权要求承包人支付2000-50000 元/次违约金；质保金不足以支付的，承包人应另行承担。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 进度管理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（1）承包人必须服从发包人和监理人对各专业施工次序的安排，否则， 发包人有权要求承包人支付 2000～20000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承包人应严格按照总工期要求和报审的施工总进度计划、关键节点计划安排施工。为了确保进度计划的实施，承包人必须按招标文件要求编制工程总体关键节点计划，并严格按关键节点计划完成。按照服务期要求完成施工的，每延误一天对施工单位处以合同总价的万分之五的处罚，对拒不缴纳罚款的，可从工程款中相应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（3）承包人必须按招标文件的要求及投标文件承诺配置施工机械设备，未按投标文件配置或配置不到位，发包人有权要求承包人支付违约金 2000 元/台，未经同意擅自调走的，发包人有权要求承包人支付违约金 2000 元/台，情节严重的，违约金加倍。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（4）各种材料、设备必须按计划进场，充分满足进度计划需求，如因材料设备进场滞后对工程进度产生影响， 发包人有权要求承包人支付违约金 2000 元／次，情节严重的，违约金加倍。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（5）承包人在工程符合验收条件应及时报请验收，无故拖延验收，自发包人催告后 7 日内不报请并组织参与验收的，应承担 2000 元/天的违约金；自发包人催告后 28 日内不报请并组织参与验收的，应承担 4000 元/天的违约金；自发包人催告后 56 日内仍不报请并组织参与验收的，发包人除有权按前述追究承包人的违约责任外，另有权要求承包人承担工程竣工审定金额 20%的违约金。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5、其他管理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（1）严禁挂靠、转包或违法分包，若发现承包人挂靠、转包或未经备案擅自进行分包， 发包人有权要求承包人支付违约金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发包人有权增加或减少合同中的任何工作，或追加额外工作、有权取消合同中任何工作、有权改变合同中任何工作的质量标准或其他特性、有权改变工程的基线、标高、位置和尺寸、有权改变工程的时间安排或实施顺序，承包人必须立即配合办理相关变更手续，必须无条件立即执行，不得以此为理由延误施工，否则应视为违约，承包人应承担由此造成的一切损失，且发包人有权要求承包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（3）所有变更需完善审批手续后方可实施，如承包人擅自进行施工，发包人有权不支付此部分工程费用，并有权要求承包人支付违约金 2 万元/次，如擅自取消部分工程不施工，发包人有权要求承包人按取消工程造价的两倍金额支付违约金，且发包人有权单方面解除合同，并有权追究由此造成的损失。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定义：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（1）货不对版：指所提供的材料的品牌与合同约定不符；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（2）偷工减料：指材料的规格、型号、产地等技术参数与合同约定不符；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（3）弄虚作假：指通过人为操作，刻意掩盖事实真相等欺诈行为；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（4）方案不符：指现场施工方案与发包人审批的方案不一致；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1.3 因承包人违约解除合同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关于承包人违约解除合同的特别约定：因承包人原因出现下列情形的，发包人有权解除合同：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在开工通知发出后 30 日内，非因发包人原因不进场的；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关键岗位人员未经发包人同意擅自长期脱岗离岗不履行职务的（连续 1 个月考勤率不足 50%的）；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工期严重滞后（超过合同工期 50%及以上的）经催告后在合理期限内仍未采取有效措施的；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质量、安全行政主管部门现场检查中发现问题要求整改，拒不整改的或多次（3 次及以上）整改不到位的；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拖欠劳务人员工资，引起群体性事件的。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（6）承包人明确表示或者以其行为表明不履行合同主要义务的；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（7）有证据证明承包人无能力继续履行义务的；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（8）法律、法规规定或合同约定的其他情形。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施工过程中如承包人违约造成的合同解除，招标人只支付已完成工程量 50%的价款，并且履约保证金不予退还。 发包人继续使用承包人在施工现场的材料、设备、临时工程、承包人文件和由承包人或以其 名义编制的其他文件的费用承担方式：由承包人承担。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（8）材料调差：施工期间材料价格不允许调整材料差价。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安全生产：施工方采取严格的安全防护措施，严格执行操作规程，做好安全生产教育。承担由于自身原因造成的事故责任、机损、人身伤亡事故和因此而发生的费用，若给发包人造成损失，则应按合同约定给予赔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（10）材料、设备供应：本工程所用材料全部由施工方提供，主要材料施工方在采购前必须将拟选定的厂家等情况报发包人，发包人同意后方可进行采购。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（11）环保要求：成交人需做好施工现场的扬尘治理工作。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（12）农民工工资要求：成交人需按照主管部门要求做好农民工工资管理工作。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6.工程量清单及最高投标限价的确认：由发包人编制的工程量清单，作为本次招标报价的基础依据，投标人应在投标答疑截止时间前对发包人提供的工程量清单和施工图工程量进行核算并提出异议，分项工程量误差在正负 3%之内不调整，若投标人没在规定的期限内提出异议，以投标人中标价所报价格作为合同价款结算依据；若经投标人核算清单项目工程量误差在正负 3% 之外或漏项、错项的，则投标人须在自取得招标文件 10 日内必须提供相应的工程量计算书，以 利发包人及时核对，并以发包人重新确定的清单工程量作为报价依据， 开工后工程量一律不予调整（设计变更、经济签证、工程联系单等除外）。 技术规范要求的费用应包括在投标报价中。在设计图中如没图示、或没表达明确的，且各投 标单位没在规定期限内提出异议，决算时不得调整造价，视为该项费用已包括在投标总价内。 开标后提出工程量清单中有错项、漏项、工程量偏差的视为已含在投标报价中，由此所产生的所有风险损失由中标单位自行承担。漏算工程量视为已含入其他工程项目的单价和合价之中，中标后不再重新计入；施工图标注不清楚部分，以设计单位解释为准。 发包人编制的工程量清单及最高投标限价中以暂估价形式包括在总承包范围内的工程、货物 和服务，属于依法必须进行招标的项目范围且达到国家规定规模标准的，由承包人和发包人作为暂估价项目发包人。暂估价项目包括在总承包范围内，由承包人负责承担工期、质量和安全责任。 暂估价项目的工程量清单最高投标限价的编制须经发包人及业主确认后方可进行招标。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对于发包人提供的工程量清单中单项子目工程量的误差，投标人在招标文件规定的截止日期前提出异议未被招标人接受，但事后被证明异议的实质性内容是正确的，其工程量可以调整，但只调整单项子目工程量误差超出 3%以外的部分。如投标人未在招标文件规定的截止日期前对于发包人提供的工程量清单中单项子目工程量的误差提出异议，或未对工程量清单与图纸不符的内容提出异议，则，投标单位中标后不得以任何理由提出索赔。本条仅针对该单项子目造价占合同价款3%以上的情况。 对于发包人提供的工程量清单中的单项子目，承包人没有报价的，发包人认为视同该项 价格已经包括在其他项目中。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 材料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8.1 材料要求：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主材采购须满足发包人及业主要求，须经发包人及业主确认方可进场，否则视为其违约，将不予退还其履约保证金。对于业主及发包人提出的参考品牌的材料及设备，承包人在采购、使用进场前须经业主及招标人确认。承包人自行采购的材料应满足设计和规范要求的质量等级，必须按有关技术规范要求对材料质量进行检验。承包人选定的材料品牌、质量须经发包人及业主或发包人及业主委托的相关部门和监理单位认可。如发包人及业主或发包人及业主委托的相关部门和监理单位对某种或某些材料的质量有异议，有权提出停止使用的要求，承包人必须服从该要求。 由此产生的一切费用由承包人负担。因承包人自行采购的材料质量引起的工程质量问题由承包人承担所造成的一切损失。除发包人供材及实行暂定价的材料及设备以外，由承包人自行采购的非调差范围内的材料均按投标报价一次性包死，承包人在确定投标报价时应充分考虑材料价格上涨等市场风险因素。承包人使用的材料不得侵犯第三方知识产权，否则，给发包人造成的损失由承包人承担，损失范围包括但不限于向第三方支付的赔偿款、律师费、诉讼费、差旅费等相关费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9投标报价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9.1 本次招标所用所涉及到的所有材料（暂定价部分除外），均由投标人自行到市场考察，以合理的价格进行报价，中标后不得以亳州市信息价与市场价不一致等因素为由（亳州市信息价仅供参考）向建设单位提出调整要求。进场前，“三通一平”（电通、水通、路通、场地平整、临时围墙等）费用、地形整理、清苗费用、临时出入道口、施工用水和排水由投标人踏勘现场后，自行考虑，并包含在投标报价内，中标后不再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9.2 对于后期因遇特殊情况导致无法施工，承包人应该提前勘察现场（自行勘察），充分考 虑其中风险，自行承担由于范围及其他原因导致的工期增加造成的损失。承包人已考虑到开工时 间的不确定性，并充分考虑到人工、材料设备、价格升降等各方面因素，中标后不得因此原因提出索赔。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9.3 投标报价时必须考虑不利气候条件等因素应采取的相关措施。此部分所需费用由投标人自行考虑并纳入投标报价，招标人不为此追加任何费用。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9.4 承包人须依法缴纳国家规定的各种税费（包括工程排污费、渣土运输等）。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10农民工工资管理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施工总承包单位或者分包单位应当依法与所招用的农民工订立劳动合同并进行用工实名登记，经监理单位审核后，报发包人等其他相关部门备案，并与亳州市建设领域农民工实名制登记及工资支付监管信息化平台联网进行用工实名登记、管理。未与施工总承包单位或者分包单位订立劳动合同并进行用工实名登记的人员，不得进入项目现场施工。因未签订劳动合同而产生劳资纠纷的，由施工总承包单位具体负责协调解决。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 施工总承包单位、分包单位应当建立用工管理台账，登录包括姓名、性别、身份证号码、工种、特殊工种证件号、联系方式等基本信息，并将用工管理台账保存至工程完工且工资全部结清后至少 3 年。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 施工总承包单位须在施工现场大门出入处设立面部识别门禁系统，对所有农民工出入施工场区进行考勤，考勤记录作为工资发放和解决劳资纠纷的依据；市政、管网等不具备封闭式管理条件的工程项目，应采用移动定位等技术实施考勤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（4）施工总承包、分包单位应当按照工资支付周期编制书面工资支付台账，并至少保存 3 年。书面工资支付台账应当包括用人单位名称，支付周期，支付日期，支付对象姓名、身份证号码、联系方式，工作时间，应发工资项目及数额，代扣、代缴、扣除项目和数额，实发工资数额，银行代发工资凭证或者农民工签字等内容。 施工总承包、分包单位向农民工支付工资时，应当提供农民工本人的工资清单。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 施工总承包单位应当在施工现场醒目位置设立维权信息告示牌，明示建设单位、施工总承包单位、监理单位及所在项目部、分包单位、相关行业工程建设主管部门、劳资专管员等基本信息；当地最低工资标准、工资支付日期等基本信息；相关行业工程建设主管部门和劳动保障监察投诉举报电话、劳动争议调解仲裁申请渠道、法律援助申请渠道、公共法律服务热线等信息。在农民工生活区公示农民工工资投诉电话，包括业主代表、项目总监联系方式。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（6） 施工总承包单位须按月统计、结算、支付农民工工资，报经监理单位审核无误后，在施工现场、办公区、农民工生活区等醒目位置设立公示牌，将每月用工情况、工资结算、工资支付情况等信息予以公示，报发包人备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 分包单位对所招用农民工的实名制管理和工资支付负直接责任，施工总承包单位对分包单位劳动用工和工资发放等情况进行监督管理。分包单位拖欠农民工工资的，由施工总承包单位先行清偿，再依法进行追偿。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 施工总承包单位将建设工程分包给个人或者不具备合法经营资格的单位，导致拖欠农民工工资的，由施工总承包单位负责清偿；施工总承包单位允许其他单位和个人以施工总承包单位的名义对外承揽建设工程，导致拖欠农民工工资的，由施工总承包单位负责清偿。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（9）在检查时，如发现承包人未按照要求落实农民工工资管理相关措施的，视为违约。第一次发现的， 发包人有权要求承包人支付 2000 元违约金，且有权约谈承包人企业相关人员；第二次发现的， 发包人进行通报批评，发包人有权要求承包人支付 5000 元违约金，且有权约谈承包人企业相关人员；第三次发现的，函告承包人企业总部，发包人有权要求承包人支付 10000 元 违约金，且有权约谈承包人企业法定代表人或其授权委托代理人（公司副总以上级别）； 第四次发现的，上报至市、区建设行政主管部门及人力资源社会保障行政部门处理，且发包人有权要求承包人支付 20000 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 在项目实施过程中，尤其在元旦、春节、中秋节等特殊时段，对施工总承包单位自身原因引起农民工上访的，视为违约，发生 10 人（不含 10 人）以下上访的，发包人有权要求施工 总承包单位支付 5000 元/次违约金，且有权约谈承包人企业相关人员；发生 10 人（含 10 人）以 上上访的， 发包人有权要求承包人支付 10000 元/次违约金，且有权约谈承包人企业法定代表人或其授权委托代理人（公司副总以上级别）；发生 30 人（含 30 人）以上上访的，或虽然人数较 少，但上访事件不能及时妥善解决造成恶劣影响的，发包人有权要求承包人支付 20000 元/次违约金，并上报至市、区建设行政主管部门及人力资源社会保障行政部门处理。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b/>
          <w:bCs/>
          <w:color w:val="000000" w:themeColor="text1"/>
          <w:sz w:val="32"/>
          <w:szCs w:val="32"/>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11签订合同后，如发现项目经理在其他项目中仍有在建工程的，招标人有权单方面终止合同，不予退还其履约保证金，已实施的工程量不予支付工程价款，因此造成的损失由中标单位予以赔偿。 </w:t>
      </w:r>
    </w:p>
    <w:p>
      <w:pPr>
        <w:rPr>
          <w:rFonts w:hint="eastAsia"/>
          <w:color w:val="000000" w:themeColor="text1"/>
          <w14:textFill>
            <w14:solidFill>
              <w14:schemeClr w14:val="tx1"/>
            </w14:solidFill>
          </w14:textFill>
        </w:rPr>
      </w:pPr>
    </w:p>
    <w:p>
      <w:pPr>
        <w:wordWrap w:val="0"/>
        <w:spacing w:line="440" w:lineRule="exact"/>
        <w:ind w:firstLine="420" w:firstLineChars="200"/>
        <w:rPr>
          <w:rFonts w:hint="eastAsia" w:ascii="Times New Roman" w:hAnsi="Times New Roman" w:cs="Times New Roman"/>
          <w:color w:val="000000" w:themeColor="text1"/>
          <w:kern w:val="0"/>
          <w:sz w:val="24"/>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 xml:space="preserve">2.承包人应履行的其他义务： </w:t>
      </w:r>
    </w:p>
    <w:p>
      <w:pPr>
        <w:wordWrap w:val="0"/>
        <w:spacing w:line="440" w:lineRule="exact"/>
        <w:ind w:firstLine="480" w:firstLineChars="200"/>
        <w:rPr>
          <w:rFonts w:hint="eastAsia"/>
        </w:rPr>
      </w:pP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①提供施工进度总计划、施工组织设计和材料（设备）进场计划、报表等资料。②施工场地清洁卫生的要求：本工程必须达到亳州市安全文明示范工地标准，发包人不另行支付费用。③承担施工安全保卫工作及非夜间施工照明的责任和要求：承包人应按建设行政主管部门和相关部门的要求，自费承担施工安全保卫工作及非夜间施工照明并采取相应安全设施（如封闭护板、封闭围栏等），以保护公共安全，负责施工区域内的安全防护和因施工、进料等与周边发生纠纷所造成的经济损失和责任，负责夜间照明及场内外交口交通疏导，按市级安全文明示范工地的标准搞好施工现场管理，其费用由承包人承担。④需承包人办理的有关施工场地交通、环卫和施工噪音管理等手续：有关施工场地交通、环保、环卫等相关手续由承包人办理，按亳州市有关规定办理并承担相应费用。⑤已完工程成品保护的特殊要求及费用承担：工程交付前成品保护由承包人负责，费用由承包人承担；工程交验合格后如属发包人委托承包人代管的由承包人负责，发包人承担相应费用。⑥施工场地周围地下管线和邻近建筑物、构筑物（含文物保护建筑）、古树名木的保护要求及费用承担：承包人必须负责清除工程范围内的所有地下障碍物，采取切实可靠的措施保护好各类地下管线和周围建筑物、构筑物的完整与安全，采取切实可靠的措施保护好施工场地附近环境，包括在本工程施工期间有可能开工的建设工程。对本工程可能造成的影响和所需要的相关配合。相关费用已包含在总价中。对由于承包人在施工过程造成的地下管线和各类建筑物、构筑物伤害，承包人应负全部责任，并承担由此而产生的一切赔偿。发包人按情节轻重，对承包人处于违约金书面通报。⑦双方约定承包人应做的其他工作：a、积极配合建筑业管理部门、当地卫生防疫部门、派出所等相关部门做好施工人员的卫生防疫、办理暂住证等，费用自理。b、承包人必须遵守当地的地方法规，服从行业主管部门的管理，凡涉及到承包单位的施工备案、车辆准运等有关证、照，包括外地施工单位进亳施工备案费用、排污管理费、噪声排放费、垃圾管理费等，均由承包人自行办理，发包人给予配合，发生的费用全部由承包人承担。c、节假日、环保要求、疫情防控、市内重大活动期间以及业主需要的时间段内，可能对施工作出某些限制和配合要求，承包人应按照要求作出必要的配合，并承担有可能因此而引起工效降低需增加的一切费用，施工单位报价时自行考虑。d、废弃建筑垃圾清运工作由承包人负责，费用由承包人承担。e、承包人应独立做好上述以外的其他外部环境协调工作，发生费用自理。</w:t>
      </w:r>
    </w:p>
    <w:permEnd w:id="104"/>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2.4 </w:t>
      </w:r>
      <w:r>
        <w:rPr>
          <w:rFonts w:hint="eastAsia" w:ascii="宋体" w:hAnsi="宋体" w:eastAsia="宋体" w:cs="宋体"/>
          <w:color w:val="000000"/>
          <w:kern w:val="0"/>
          <w:sz w:val="21"/>
          <w:szCs w:val="21"/>
          <w:lang w:val="en-US" w:eastAsia="zh-CN" w:bidi="ar"/>
        </w:rPr>
        <w:t xml:space="preserve">投标人依据招标文件编制投标文件时，应对施工期间除可能出现的政策、施工环境和市场的变化以及由于招标人分期付款带来的资金占用风险等可能影响工程造价的因素，作出正确的评估， 并体现到投标报价中。否则，造成的经济风险责任自负。尤其是工程材料，无论是政策变化还是市场变化引起的价格变动，工程实施中投标人不得要求调整（除非合同另有约定）。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2.5 </w:t>
      </w:r>
      <w:r>
        <w:rPr>
          <w:rFonts w:hint="eastAsia" w:ascii="宋体" w:hAnsi="宋体" w:eastAsia="宋体" w:cs="宋体"/>
          <w:color w:val="000000"/>
          <w:kern w:val="0"/>
          <w:sz w:val="21"/>
          <w:szCs w:val="21"/>
          <w:lang w:val="en-US" w:eastAsia="zh-CN" w:bidi="ar"/>
        </w:rPr>
        <w:t xml:space="preserve">人工费工资标准应严格执行招标文件及相关规定。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2.6 </w:t>
      </w:r>
      <w:r>
        <w:rPr>
          <w:rFonts w:hint="eastAsia" w:ascii="宋体" w:hAnsi="宋体" w:eastAsia="宋体" w:cs="宋体"/>
          <w:color w:val="000000"/>
          <w:kern w:val="0"/>
          <w:sz w:val="21"/>
          <w:szCs w:val="21"/>
          <w:lang w:val="en-US" w:eastAsia="zh-CN" w:bidi="ar"/>
        </w:rPr>
        <w:t xml:space="preserve">措施费计算按现行安徽省工程量清单费用标准执行以及招标文件报价格式文件要求计算。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2.7 </w:t>
      </w:r>
      <w:r>
        <w:rPr>
          <w:rFonts w:hint="eastAsia" w:ascii="宋体" w:hAnsi="宋体" w:eastAsia="宋体" w:cs="宋体"/>
          <w:color w:val="000000"/>
          <w:kern w:val="0"/>
          <w:sz w:val="21"/>
          <w:szCs w:val="21"/>
          <w:lang w:val="en-US" w:eastAsia="zh-CN" w:bidi="ar"/>
        </w:rPr>
        <w:t>投标报价的币种为人民币。</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widowControl/>
        <w:suppressLineNumbers w:val="0"/>
        <w:jc w:val="left"/>
        <w:rPr>
          <w:rFonts w:hint="default" w:ascii="Times New Roman" w:hAnsi="Times New Roman" w:cs="Times New Roman"/>
          <w:kern w:val="0"/>
          <w:sz w:val="24"/>
          <w:szCs w:val="24"/>
          <w:highlight w:val="none"/>
          <w:u w:val="none"/>
          <w:lang w:val="en-US" w:eastAsia="zh-CN"/>
        </w:rPr>
      </w:pPr>
      <w:permStart w:id="105" w:edGrp="everyone"/>
      <w:r>
        <w:rPr>
          <w:rFonts w:hint="eastAsia" w:ascii="Times New Roman" w:hAnsi="Times New Roman" w:cs="Times New Roman"/>
          <w:kern w:val="0"/>
          <w:sz w:val="24"/>
          <w:szCs w:val="24"/>
          <w:highlight w:val="none"/>
          <w:lang w:val="en-US" w:eastAsia="zh-CN"/>
        </w:rPr>
        <w:t xml:space="preserve"> </w:t>
      </w:r>
      <w:r>
        <w:rPr>
          <w:rFonts w:hint="eastAsia" w:ascii="宋体" w:hAnsi="宋体" w:eastAsia="宋体" w:cs="宋体"/>
          <w:color w:val="000000"/>
          <w:kern w:val="0"/>
          <w:sz w:val="21"/>
          <w:szCs w:val="21"/>
          <w:lang w:val="en-US" w:eastAsia="zh-CN" w:bidi="ar"/>
        </w:rPr>
        <w:t>投标人对投标报价如有需要说明的事项，请将说明材料与投标报价表一并报送。</w:t>
      </w:r>
      <w:r>
        <w:rPr>
          <w:rFonts w:hint="eastAsia" w:ascii="Times New Roman" w:hAnsi="Times New Roman" w:cs="Times New Roman"/>
          <w:kern w:val="0"/>
          <w:sz w:val="24"/>
          <w:szCs w:val="24"/>
          <w:highlight w:val="none"/>
          <w:lang w:val="en-US" w:eastAsia="zh-CN"/>
        </w:rPr>
        <w:t xml:space="preserve">  </w:t>
      </w:r>
      <w:permEnd w:id="105"/>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widowControl/>
        <w:suppressLineNumbers w:val="0"/>
        <w:jc w:val="left"/>
        <w:rPr>
          <w:rFonts w:hint="default" w:ascii="Times New Roman" w:hAnsi="Times New Roman" w:cs="Times New Roman"/>
          <w:kern w:val="0"/>
          <w:sz w:val="24"/>
          <w:szCs w:val="24"/>
          <w:highlight w:val="none"/>
          <w:lang w:val="en-US" w:eastAsia="zh-CN"/>
        </w:rPr>
      </w:pPr>
      <w:permStart w:id="106" w:edGrp="everyone"/>
      <w:r>
        <w:rPr>
          <w:rFonts w:hint="eastAsia" w:ascii="宋体" w:hAnsi="宋体" w:eastAsia="宋体" w:cs="宋体"/>
          <w:color w:val="000000"/>
          <w:kern w:val="0"/>
          <w:sz w:val="21"/>
          <w:szCs w:val="21"/>
          <w:lang w:val="en-US" w:eastAsia="zh-CN" w:bidi="ar"/>
        </w:rPr>
        <w:t>工程量清单及工程量清单编制说明详见附件。</w:t>
      </w:r>
    </w:p>
    <w:permEnd w:id="106"/>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07" w:edGrp="everyone" w:colFirst="0" w:colLast="0"/>
            <w:permStart w:id="108"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格式 </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dwg\jpg\pdf</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电子版 </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07"/>
      <w:permEnd w:id="10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09" w:edGrp="everyone"/>
      <w:r>
        <w:rPr>
          <w:rFonts w:hint="eastAsia" w:ascii="Times New Roman" w:hAnsi="Times New Roman" w:cs="Times New Roman"/>
          <w:kern w:val="0"/>
          <w:sz w:val="24"/>
          <w:szCs w:val="24"/>
          <w:highlight w:val="none"/>
          <w:lang w:val="en-US" w:eastAsia="zh-CN"/>
        </w:rPr>
        <w:t>详见附件。</w:t>
      </w:r>
    </w:p>
    <w:permEnd w:id="109"/>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widowControl/>
        <w:suppressLineNumbers w:val="0"/>
        <w:jc w:val="left"/>
      </w:pPr>
      <w:permStart w:id="110" w:edGrp="everyone"/>
      <w:r>
        <w:rPr>
          <w:rFonts w:ascii="黑体" w:hAnsi="宋体" w:eastAsia="黑体" w:cs="黑体"/>
          <w:color w:val="000000"/>
          <w:kern w:val="0"/>
          <w:sz w:val="31"/>
          <w:szCs w:val="31"/>
          <w:lang w:val="en-US" w:eastAsia="zh-CN" w:bidi="ar"/>
        </w:rPr>
        <w:t>一、</w:t>
      </w:r>
      <w:r>
        <w:rPr>
          <w:rFonts w:hint="eastAsia" w:asciiTheme="majorEastAsia" w:hAnsiTheme="majorEastAsia" w:eastAsiaTheme="majorEastAsia" w:cstheme="majorEastAsia"/>
          <w:b/>
          <w:bCs/>
          <w:color w:val="auto"/>
          <w:kern w:val="2"/>
          <w:sz w:val="32"/>
          <w:szCs w:val="32"/>
          <w:highlight w:val="none"/>
          <w:lang w:val="en-US" w:eastAsia="zh-CN" w:bidi="ar"/>
        </w:rPr>
        <w:t xml:space="preserve">执行国家现行相关技术规范。 </w:t>
      </w:r>
    </w:p>
    <w:p>
      <w:pPr>
        <w:keepNext w:val="0"/>
        <w:keepLines w:val="0"/>
        <w:widowControl/>
        <w:suppressLineNumbers w:val="0"/>
        <w:jc w:val="left"/>
        <w:rPr>
          <w:rFonts w:hint="eastAsia" w:asciiTheme="minorEastAsia" w:hAnsiTheme="minorEastAsia" w:eastAsiaTheme="minorEastAsia" w:cstheme="minorEastAsia"/>
          <w:sz w:val="28"/>
          <w:szCs w:val="28"/>
          <w:highlight w:val="none"/>
          <w:lang w:val="en-US" w:eastAsia="zh-CN"/>
        </w:rPr>
      </w:pPr>
      <w:r>
        <w:rPr>
          <w:rFonts w:hint="eastAsia" w:ascii="黑体" w:hAnsi="宋体" w:eastAsia="黑体" w:cs="黑体"/>
          <w:color w:val="000000"/>
          <w:kern w:val="0"/>
          <w:sz w:val="31"/>
          <w:szCs w:val="31"/>
          <w:lang w:val="en-US" w:eastAsia="zh-CN" w:bidi="ar"/>
        </w:rPr>
        <w:t>二、其他要求</w:t>
      </w:r>
      <w:r>
        <w:rPr>
          <w:rFonts w:hint="eastAsia" w:asciiTheme="minorEastAsia" w:hAnsiTheme="minorEastAsia" w:eastAsiaTheme="minorEastAsia" w:cstheme="minorEastAsia"/>
          <w:i w:val="0"/>
          <w:iCs w:val="0"/>
          <w:color w:val="FF0000"/>
          <w:sz w:val="28"/>
          <w:szCs w:val="28"/>
          <w:highlight w:val="none"/>
          <w:u w:val="none"/>
          <w:lang w:val="en-US" w:eastAsia="zh-CN"/>
        </w:rPr>
        <w:t>。</w:t>
      </w:r>
      <w:permEnd w:id="110"/>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7"/>
        <w:jc w:val="center"/>
        <w:rPr>
          <w:rFonts w:hint="default" w:ascii="Times New Roman" w:hAnsi="Times New Roman" w:cs="Times New Roman"/>
        </w:rPr>
      </w:pPr>
      <w:bookmarkStart w:id="428" w:name="_Toc144974856"/>
      <w:bookmarkStart w:id="429" w:name="_Toc247527827"/>
      <w:bookmarkStart w:id="430" w:name="_Toc300835209"/>
      <w:bookmarkStart w:id="431" w:name="_Toc247514246"/>
      <w:bookmarkStart w:id="432" w:name="_Toc152045787"/>
      <w:bookmarkStart w:id="433" w:name="_Toc152042576"/>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7"/>
        <w:jc w:val="center"/>
        <w:rPr>
          <w:rFonts w:hint="default" w:ascii="Times New Roman" w:hAnsi="Times New Roman" w:cs="Times New Roman"/>
        </w:rPr>
      </w:pPr>
      <w:bookmarkStart w:id="434" w:name="_Toc152042577"/>
      <w:bookmarkStart w:id="435" w:name="_Toc300835210"/>
      <w:bookmarkStart w:id="436" w:name="_Toc144974857"/>
      <w:bookmarkStart w:id="437" w:name="_Toc247527828"/>
      <w:bookmarkStart w:id="438" w:name="_Toc247514247"/>
      <w:bookmarkStart w:id="439" w:name="_Toc152045788"/>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8"/>
        <w:rPr>
          <w:rFonts w:hint="default" w:ascii="Times New Roman" w:hAnsi="Times New Roman" w:cs="Times New Roman"/>
        </w:rPr>
      </w:pPr>
      <w:bookmarkStart w:id="440" w:name="_Toc144974858"/>
      <w:bookmarkStart w:id="441" w:name="_Toc300835211"/>
      <w:bookmarkStart w:id="442" w:name="_Toc247514248"/>
      <w:bookmarkStart w:id="443" w:name="_Toc152045789"/>
      <w:bookmarkStart w:id="444" w:name="_Toc247527829"/>
      <w:bookmarkStart w:id="445" w:name="_Toc152042578"/>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1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11"/>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8"/>
        <w:rPr>
          <w:rFonts w:hint="default" w:ascii="Times New Roman" w:hAnsi="Times New Roman" w:cs="Times New Roman"/>
        </w:rPr>
      </w:pPr>
      <w:bookmarkStart w:id="446" w:name="_Toc300835212"/>
      <w:bookmarkStart w:id="447" w:name="_Toc247514249"/>
      <w:bookmarkStart w:id="448" w:name="_Toc247527830"/>
      <w:bookmarkStart w:id="449" w:name="_Toc144974859"/>
      <w:bookmarkStart w:id="450" w:name="_Toc152045790"/>
      <w:bookmarkStart w:id="451" w:name="_Toc152042579"/>
    </w:p>
    <w:p>
      <w:pPr>
        <w:pStyle w:val="8"/>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7"/>
        <w:jc w:val="center"/>
        <w:rPr>
          <w:rFonts w:hint="default" w:ascii="Times New Roman" w:hAnsi="Times New Roman" w:cs="Times New Roman"/>
        </w:rPr>
      </w:pPr>
      <w:bookmarkStart w:id="452" w:name="_Toc152045791"/>
      <w:bookmarkStart w:id="453" w:name="_Toc300835213"/>
      <w:bookmarkStart w:id="454" w:name="_Toc144974860"/>
      <w:bookmarkStart w:id="455" w:name="_Toc247527831"/>
      <w:bookmarkStart w:id="456" w:name="_Toc247514283"/>
      <w:bookmarkStart w:id="457" w:name="_Toc152042580"/>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7"/>
        <w:jc w:val="center"/>
        <w:rPr>
          <w:rFonts w:hint="default" w:ascii="Times New Roman" w:hAnsi="Times New Roman" w:cs="Times New Roman"/>
        </w:rPr>
      </w:pPr>
      <w:bookmarkStart w:id="458" w:name="_Toc152045792"/>
      <w:bookmarkStart w:id="459" w:name="_Toc152042581"/>
      <w:bookmarkStart w:id="460" w:name="_Toc247514284"/>
      <w:bookmarkStart w:id="461" w:name="_Toc247527832"/>
      <w:bookmarkStart w:id="462" w:name="_Toc144974861"/>
      <w:bookmarkStart w:id="463" w:name="_Toc300835214"/>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7"/>
        <w:jc w:val="center"/>
        <w:rPr>
          <w:rFonts w:hint="default" w:ascii="Times New Roman" w:hAnsi="Times New Roman" w:cs="Times New Roman"/>
        </w:rPr>
      </w:pPr>
      <w:bookmarkStart w:id="464" w:name="_Toc152042583"/>
      <w:bookmarkStart w:id="465" w:name="_Toc152045794"/>
      <w:bookmarkStart w:id="466" w:name="_Toc300835216"/>
      <w:bookmarkStart w:id="467" w:name="_Toc144974862"/>
      <w:bookmarkStart w:id="468" w:name="_Toc247527834"/>
      <w:bookmarkStart w:id="469"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300835218"/>
      <w:bookmarkStart w:id="472" w:name="_Toc247527835"/>
      <w:bookmarkStart w:id="473" w:name="_Toc144974863"/>
      <w:bookmarkStart w:id="474" w:name="_Toc152045795"/>
      <w:bookmarkStart w:id="475" w:name="_Toc247514287"/>
      <w:bookmarkStart w:id="476" w:name="_Toc152042584"/>
      <w:r>
        <w:rPr>
          <w:rFonts w:hint="default" w:ascii="Times New Roman" w:hAnsi="Times New Roman" w:cs="Times New Roman"/>
        </w:rPr>
        <w:br w:type="page"/>
      </w:r>
    </w:p>
    <w:p>
      <w:pPr>
        <w:pStyle w:val="7"/>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152042585"/>
      <w:bookmarkStart w:id="478" w:name="_Toc247514288"/>
      <w:bookmarkStart w:id="479" w:name="_Toc247527836"/>
      <w:bookmarkStart w:id="480" w:name="_Toc300835221"/>
      <w:bookmarkStart w:id="481" w:name="_Toc144974864"/>
      <w:bookmarkStart w:id="482" w:name="_Toc15204579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7"/>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8"/>
        <w:rPr>
          <w:rFonts w:hint="default" w:ascii="Times New Roman" w:hAnsi="Times New Roman" w:cs="Times New Roman"/>
        </w:rPr>
      </w:pPr>
      <w:bookmarkStart w:id="484" w:name="_Toc179632817"/>
      <w:bookmarkStart w:id="485" w:name="_Toc152042586"/>
      <w:bookmarkStart w:id="486" w:name="_Toc296602610"/>
      <w:bookmarkStart w:id="487" w:name="_Toc246996365"/>
      <w:bookmarkStart w:id="488" w:name="_Toc152045797"/>
      <w:bookmarkStart w:id="489" w:name="_Toc144974865"/>
      <w:bookmarkStart w:id="490" w:name="_Toc246997108"/>
      <w:bookmarkStart w:id="491" w:name="_Toc247085883"/>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8"/>
        <w:rPr>
          <w:rFonts w:hint="default" w:ascii="Times New Roman" w:hAnsi="Times New Roman" w:cs="Times New Roman"/>
        </w:rPr>
      </w:pPr>
      <w:bookmarkStart w:id="492" w:name="_Toc179632819"/>
      <w:bookmarkStart w:id="493" w:name="_Toc246996366"/>
      <w:bookmarkStart w:id="494" w:name="_Toc152045799"/>
      <w:bookmarkStart w:id="495" w:name="_Toc246997109"/>
      <w:bookmarkStart w:id="496" w:name="_Toc144974867"/>
      <w:bookmarkStart w:id="497" w:name="_Toc296602611"/>
      <w:bookmarkStart w:id="498" w:name="_Toc152042588"/>
      <w:bookmarkStart w:id="499" w:name="_Toc247085884"/>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3"/>
        <w:rPr>
          <w:rFonts w:hint="default" w:ascii="Times New Roman" w:hAnsi="Times New Roman" w:cs="Times New Roman"/>
        </w:rPr>
      </w:pPr>
      <w:bookmarkStart w:id="500" w:name="_Toc246997110"/>
      <w:bookmarkStart w:id="501" w:name="_Toc246996367"/>
      <w:bookmarkStart w:id="502" w:name="_Toc144974868"/>
      <w:bookmarkStart w:id="503" w:name="_Toc152045800"/>
      <w:bookmarkStart w:id="504" w:name="_Toc179632820"/>
      <w:bookmarkStart w:id="505" w:name="_Toc152042589"/>
    </w:p>
    <w:p>
      <w:pPr>
        <w:pStyle w:val="13"/>
        <w:rPr>
          <w:rFonts w:hint="default" w:ascii="Times New Roman" w:hAnsi="Times New Roman" w:cs="Times New Roman"/>
        </w:rPr>
      </w:pPr>
      <w:r>
        <w:rPr>
          <w:rFonts w:hint="default" w:ascii="Times New Roman" w:hAnsi="Times New Roman" w:cs="Times New Roman"/>
        </w:rPr>
        <w:br w:type="page"/>
      </w:r>
    </w:p>
    <w:p>
      <w:pPr>
        <w:pStyle w:val="8"/>
        <w:rPr>
          <w:rFonts w:hint="default" w:ascii="Times New Roman" w:hAnsi="Times New Roman" w:cs="Times New Roman"/>
        </w:rPr>
      </w:pPr>
      <w:bookmarkStart w:id="506" w:name="_Toc247085885"/>
      <w:bookmarkStart w:id="507" w:name="_Toc296602612"/>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7"/>
        <w:jc w:val="center"/>
        <w:rPr>
          <w:szCs w:val="21"/>
        </w:rPr>
      </w:pPr>
      <w:bookmarkStart w:id="508" w:name="_Toc296602614"/>
      <w:bookmarkStart w:id="509" w:name="_Toc247085887"/>
      <w:bookmarkStart w:id="510" w:name="_Toc179632823"/>
      <w:bookmarkStart w:id="511" w:name="_Toc152042592"/>
      <w:bookmarkStart w:id="512" w:name="_Toc246996369"/>
      <w:bookmarkStart w:id="513" w:name="_Toc152045803"/>
      <w:bookmarkStart w:id="514" w:name="_Toc144974871"/>
      <w:bookmarkStart w:id="515" w:name="_Toc246997112"/>
      <w:bookmarkStart w:id="516" w:name="_Toc152042597"/>
      <w:bookmarkStart w:id="517" w:name="_Toc152045808"/>
      <w:bookmarkStart w:id="518" w:name="_Toc247514300"/>
      <w:bookmarkStart w:id="519" w:name="_Toc300835224"/>
      <w:bookmarkStart w:id="520" w:name="_Toc247527848"/>
      <w:bookmarkStart w:id="521" w:name="_Toc144974876"/>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8"/>
        <w:jc w:val="both"/>
      </w:pPr>
      <w:bookmarkStart w:id="522" w:name="_Toc246996370"/>
      <w:bookmarkStart w:id="523" w:name="_Toc296602615"/>
      <w:bookmarkStart w:id="524" w:name="_Toc247085888"/>
      <w:bookmarkStart w:id="525" w:name="_Toc246997113"/>
      <w:r>
        <w:t>（一）项目管理机构组成表</w:t>
      </w:r>
      <w:bookmarkEnd w:id="522"/>
      <w:bookmarkEnd w:id="523"/>
      <w:bookmarkEnd w:id="524"/>
      <w:bookmarkEnd w:id="525"/>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8"/>
        <w:jc w:val="both"/>
      </w:pPr>
      <w:bookmarkStart w:id="526" w:name="_Toc296602616"/>
      <w:bookmarkStart w:id="527" w:name="_Toc246997114"/>
      <w:bookmarkStart w:id="528" w:name="_Toc247085889"/>
      <w:bookmarkStart w:id="529" w:name="_Toc246996371"/>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7"/>
        <w:jc w:val="center"/>
        <w:rPr>
          <w:rFonts w:hint="eastAsia"/>
        </w:rPr>
      </w:pPr>
      <w:bookmarkStart w:id="530" w:name="_Toc296602617"/>
      <w:bookmarkStart w:id="531" w:name="_Toc179632827"/>
      <w:bookmarkStart w:id="532" w:name="_Toc246996372"/>
      <w:bookmarkStart w:id="533" w:name="_Toc152045807"/>
      <w:bookmarkStart w:id="534" w:name="_Toc152042596"/>
      <w:bookmarkStart w:id="535" w:name="_Toc144974875"/>
      <w:bookmarkStart w:id="536" w:name="_Toc247085890"/>
      <w:bookmarkStart w:id="537" w:name="_Toc246997115"/>
      <w:r>
        <w:rPr>
          <w:rFonts w:hint="eastAsia"/>
        </w:rPr>
        <w:t>七</w:t>
      </w:r>
      <w:r>
        <w:t>、资格审查资料</w:t>
      </w:r>
      <w:bookmarkEnd w:id="530"/>
      <w:bookmarkEnd w:id="531"/>
      <w:bookmarkEnd w:id="532"/>
      <w:bookmarkEnd w:id="533"/>
      <w:bookmarkEnd w:id="534"/>
      <w:bookmarkEnd w:id="535"/>
      <w:bookmarkEnd w:id="536"/>
      <w:bookmarkEnd w:id="537"/>
    </w:p>
    <w:p>
      <w:pPr>
        <w:pStyle w:val="8"/>
        <w:jc w:val="both"/>
        <w:rPr>
          <w:rFonts w:hint="eastAsia"/>
        </w:rPr>
      </w:pPr>
      <w:bookmarkStart w:id="538" w:name="_Toc179632828"/>
      <w:bookmarkStart w:id="539" w:name="_Toc247085891"/>
      <w:bookmarkStart w:id="540" w:name="_Toc296602618"/>
      <w:bookmarkStart w:id="541" w:name="_Toc246997116"/>
      <w:bookmarkStart w:id="542" w:name="_Toc246996373"/>
      <w:r>
        <w:t>（一）投标人基本情况表</w:t>
      </w:r>
      <w:bookmarkEnd w:id="538"/>
      <w:bookmarkEnd w:id="539"/>
      <w:bookmarkEnd w:id="540"/>
      <w:bookmarkEnd w:id="541"/>
      <w:bookmarkEnd w:id="542"/>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8"/>
        <w:rPr>
          <w:rFonts w:hint="default" w:ascii="Times New Roman" w:hAnsi="Times New Roman" w:cs="Times New Roman"/>
        </w:rPr>
      </w:pPr>
      <w:bookmarkStart w:id="543" w:name="_Toc152045809"/>
      <w:bookmarkStart w:id="544" w:name="_Toc247527849"/>
      <w:bookmarkStart w:id="545" w:name="_Toc144974877"/>
      <w:bookmarkStart w:id="546" w:name="_Toc300835225"/>
      <w:bookmarkStart w:id="547" w:name="_Toc247514301"/>
      <w:bookmarkStart w:id="548" w:name="_Toc152042598"/>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8"/>
        <w:rPr>
          <w:rFonts w:hint="default" w:ascii="Times New Roman" w:hAnsi="Times New Roman" w:cs="Times New Roman"/>
        </w:rPr>
      </w:pPr>
      <w:bookmarkStart w:id="549" w:name="_Toc247514302"/>
      <w:bookmarkStart w:id="550" w:name="_Toc247527850"/>
      <w:bookmarkStart w:id="551" w:name="_Toc300835226"/>
      <w:bookmarkStart w:id="552" w:name="_Toc144974878"/>
      <w:bookmarkStart w:id="553" w:name="_Toc152042599"/>
      <w:bookmarkStart w:id="554" w:name="_Toc152045810"/>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152042600"/>
      <w:bookmarkStart w:id="556" w:name="_Toc152045811"/>
      <w:bookmarkStart w:id="557" w:name="_Toc247527851"/>
      <w:bookmarkStart w:id="558" w:name="_Toc144974879"/>
      <w:bookmarkStart w:id="559" w:name="_Toc247514303"/>
    </w:p>
    <w:p>
      <w:pPr>
        <w:spacing w:line="440" w:lineRule="exact"/>
        <w:rPr>
          <w:rFonts w:hint="default" w:ascii="Times New Roman" w:hAnsi="Times New Roman" w:cs="Times New Roman"/>
        </w:rPr>
      </w:pPr>
    </w:p>
    <w:p>
      <w:pPr>
        <w:pStyle w:val="8"/>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247514304"/>
      <w:bookmarkStart w:id="562" w:name="_Toc152045812"/>
      <w:bookmarkStart w:id="563" w:name="_Toc152042601"/>
      <w:bookmarkStart w:id="564" w:name="_Toc144974880"/>
      <w:bookmarkStart w:id="565" w:name="_Toc247527852"/>
    </w:p>
    <w:p>
      <w:pPr>
        <w:spacing w:line="440" w:lineRule="exact"/>
        <w:rPr>
          <w:rFonts w:hint="default" w:ascii="Times New Roman" w:hAnsi="Times New Roman" w:cs="Times New Roman"/>
        </w:rPr>
      </w:pPr>
    </w:p>
    <w:bookmarkEnd w:id="561"/>
    <w:bookmarkEnd w:id="562"/>
    <w:bookmarkEnd w:id="563"/>
    <w:bookmarkEnd w:id="564"/>
    <w:bookmarkEnd w:id="565"/>
    <w:p>
      <w:pPr>
        <w:pStyle w:val="8"/>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12" w:edGrp="everyone"/>
      <w:r>
        <w:rPr>
          <w:rFonts w:ascii="Times New Roman" w:hAnsi="Times New Roman"/>
        </w:rPr>
        <w:t>注：</w:t>
      </w:r>
      <w:r>
        <w:rPr>
          <w:rFonts w:hint="eastAsia" w:ascii="Times New Roman" w:hAnsi="Times New Roman"/>
          <w:lang w:val="en-US" w:eastAsia="zh-CN"/>
        </w:rPr>
        <w:t>如有，按招标文件要求提供。</w:t>
      </w:r>
    </w:p>
    <w:permEnd w:id="112"/>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152045813"/>
      <w:bookmarkStart w:id="567" w:name="_Toc247527853"/>
      <w:bookmarkStart w:id="568" w:name="_Toc144974881"/>
      <w:bookmarkStart w:id="569" w:name="_Toc152042602"/>
      <w:bookmarkStart w:id="570" w:name="_Toc247514305"/>
      <w:bookmarkStart w:id="571" w:name="_Toc247530162"/>
    </w:p>
    <w:bookmarkEnd w:id="566"/>
    <w:bookmarkEnd w:id="567"/>
    <w:bookmarkEnd w:id="568"/>
    <w:bookmarkEnd w:id="569"/>
    <w:bookmarkEnd w:id="570"/>
    <w:bookmarkEnd w:id="571"/>
    <w:p>
      <w:pPr>
        <w:pStyle w:val="7"/>
        <w:jc w:val="center"/>
        <w:rPr>
          <w:rFonts w:hint="default" w:ascii="Times New Roman" w:hAnsi="Times New Roman" w:cs="Times New Roman"/>
        </w:rPr>
      </w:pPr>
      <w:bookmarkStart w:id="572" w:name="_Toc271821942"/>
      <w:bookmarkStart w:id="573"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13"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13"/>
    <w:p>
      <w:pPr>
        <w:spacing w:line="400" w:lineRule="exact"/>
        <w:rPr>
          <w:rFonts w:hint="default" w:ascii="Times New Roman" w:hAnsi="Times New Roman" w:cs="Times New Roman"/>
        </w:rPr>
      </w:pPr>
    </w:p>
    <w:p>
      <w:pPr>
        <w:pStyle w:val="10"/>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0" w:usb3="00000000" w:csb0="00100000"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F37CE"/>
    <w:multiLevelType w:val="singleLevel"/>
    <w:tmpl w:val="F57F37C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CE72AE"/>
    <w:rsid w:val="00FF308E"/>
    <w:rsid w:val="011E6004"/>
    <w:rsid w:val="0145105E"/>
    <w:rsid w:val="016B0046"/>
    <w:rsid w:val="019846E3"/>
    <w:rsid w:val="01CB0CDF"/>
    <w:rsid w:val="01CD2334"/>
    <w:rsid w:val="01E140D3"/>
    <w:rsid w:val="01F16263"/>
    <w:rsid w:val="02016132"/>
    <w:rsid w:val="02025461"/>
    <w:rsid w:val="021D348F"/>
    <w:rsid w:val="026E5FAB"/>
    <w:rsid w:val="02983D41"/>
    <w:rsid w:val="029F2BC9"/>
    <w:rsid w:val="02A31129"/>
    <w:rsid w:val="02A46690"/>
    <w:rsid w:val="02AC508C"/>
    <w:rsid w:val="02BE075F"/>
    <w:rsid w:val="02BE3A7E"/>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6E5030"/>
    <w:rsid w:val="04885B47"/>
    <w:rsid w:val="048A43A6"/>
    <w:rsid w:val="04A52387"/>
    <w:rsid w:val="04B54547"/>
    <w:rsid w:val="04CD15E8"/>
    <w:rsid w:val="04CF4810"/>
    <w:rsid w:val="04D63FDF"/>
    <w:rsid w:val="04EB08D2"/>
    <w:rsid w:val="04EC7DA2"/>
    <w:rsid w:val="050252F6"/>
    <w:rsid w:val="05507F0F"/>
    <w:rsid w:val="055625ED"/>
    <w:rsid w:val="0572490A"/>
    <w:rsid w:val="057E3D65"/>
    <w:rsid w:val="058253F2"/>
    <w:rsid w:val="05872EB9"/>
    <w:rsid w:val="05933026"/>
    <w:rsid w:val="059D6B5E"/>
    <w:rsid w:val="05B9677F"/>
    <w:rsid w:val="05BA17C0"/>
    <w:rsid w:val="05D9116E"/>
    <w:rsid w:val="05DD246D"/>
    <w:rsid w:val="060914B4"/>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309F6"/>
    <w:rsid w:val="074A7C93"/>
    <w:rsid w:val="07666E00"/>
    <w:rsid w:val="07723470"/>
    <w:rsid w:val="0777244E"/>
    <w:rsid w:val="077965A7"/>
    <w:rsid w:val="07832BA1"/>
    <w:rsid w:val="07972327"/>
    <w:rsid w:val="07A85930"/>
    <w:rsid w:val="07EE56D8"/>
    <w:rsid w:val="081E0B1B"/>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922DF"/>
    <w:rsid w:val="0A5D394D"/>
    <w:rsid w:val="0A704DEE"/>
    <w:rsid w:val="0A8B5261"/>
    <w:rsid w:val="0A8E5075"/>
    <w:rsid w:val="0AA913FB"/>
    <w:rsid w:val="0AAE6B76"/>
    <w:rsid w:val="0AB37F43"/>
    <w:rsid w:val="0AB930A2"/>
    <w:rsid w:val="0ACA439A"/>
    <w:rsid w:val="0ADD0DF0"/>
    <w:rsid w:val="0AEB40E8"/>
    <w:rsid w:val="0B0009AC"/>
    <w:rsid w:val="0B022976"/>
    <w:rsid w:val="0B29130F"/>
    <w:rsid w:val="0B416906"/>
    <w:rsid w:val="0B5D1C2A"/>
    <w:rsid w:val="0B685C3C"/>
    <w:rsid w:val="0B7202E7"/>
    <w:rsid w:val="0B991D46"/>
    <w:rsid w:val="0B9F686D"/>
    <w:rsid w:val="0BDE31B0"/>
    <w:rsid w:val="0BE557DC"/>
    <w:rsid w:val="0C110CA2"/>
    <w:rsid w:val="0C216E2C"/>
    <w:rsid w:val="0C773477"/>
    <w:rsid w:val="0C9F113B"/>
    <w:rsid w:val="0CD3448B"/>
    <w:rsid w:val="0CF072F3"/>
    <w:rsid w:val="0D2466BD"/>
    <w:rsid w:val="0D3A1668"/>
    <w:rsid w:val="0D5C2246"/>
    <w:rsid w:val="0D642122"/>
    <w:rsid w:val="0D6A3C45"/>
    <w:rsid w:val="0D7F3B4D"/>
    <w:rsid w:val="0D84383E"/>
    <w:rsid w:val="0DA13B17"/>
    <w:rsid w:val="0DA277FF"/>
    <w:rsid w:val="0DB8057F"/>
    <w:rsid w:val="0DC57869"/>
    <w:rsid w:val="0DD331D8"/>
    <w:rsid w:val="0DDB677F"/>
    <w:rsid w:val="0DF56EF1"/>
    <w:rsid w:val="0E093A81"/>
    <w:rsid w:val="0E1201C4"/>
    <w:rsid w:val="0E3C08A3"/>
    <w:rsid w:val="0E43752E"/>
    <w:rsid w:val="0E626142"/>
    <w:rsid w:val="0E6D3EE4"/>
    <w:rsid w:val="0E80608C"/>
    <w:rsid w:val="0E8168AC"/>
    <w:rsid w:val="0E9601D9"/>
    <w:rsid w:val="0EDF4D5E"/>
    <w:rsid w:val="0EE539C7"/>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0FFE370C"/>
    <w:rsid w:val="101038A7"/>
    <w:rsid w:val="101E2D38"/>
    <w:rsid w:val="10446D2F"/>
    <w:rsid w:val="104957CA"/>
    <w:rsid w:val="104D6EF3"/>
    <w:rsid w:val="105C0433"/>
    <w:rsid w:val="1069417C"/>
    <w:rsid w:val="106C1E4B"/>
    <w:rsid w:val="108A23D3"/>
    <w:rsid w:val="1095135B"/>
    <w:rsid w:val="10B71B0D"/>
    <w:rsid w:val="10D35E97"/>
    <w:rsid w:val="11114551"/>
    <w:rsid w:val="112269D1"/>
    <w:rsid w:val="11356135"/>
    <w:rsid w:val="11586695"/>
    <w:rsid w:val="11800917"/>
    <w:rsid w:val="118955AD"/>
    <w:rsid w:val="11970BCB"/>
    <w:rsid w:val="1197226B"/>
    <w:rsid w:val="11AA0839"/>
    <w:rsid w:val="11C42470"/>
    <w:rsid w:val="11C71895"/>
    <w:rsid w:val="11CD444A"/>
    <w:rsid w:val="11D861DF"/>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525567"/>
    <w:rsid w:val="136066CF"/>
    <w:rsid w:val="13657E31"/>
    <w:rsid w:val="136C3340"/>
    <w:rsid w:val="1387094F"/>
    <w:rsid w:val="139C08EB"/>
    <w:rsid w:val="13D35238"/>
    <w:rsid w:val="13D81B1F"/>
    <w:rsid w:val="13E62E35"/>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02575"/>
    <w:rsid w:val="1522437E"/>
    <w:rsid w:val="15283931"/>
    <w:rsid w:val="15382F40"/>
    <w:rsid w:val="15695ACC"/>
    <w:rsid w:val="158374C1"/>
    <w:rsid w:val="15901D56"/>
    <w:rsid w:val="15A62ECC"/>
    <w:rsid w:val="15B14179"/>
    <w:rsid w:val="15C516BD"/>
    <w:rsid w:val="1606156C"/>
    <w:rsid w:val="166266B1"/>
    <w:rsid w:val="166C734F"/>
    <w:rsid w:val="16C724D4"/>
    <w:rsid w:val="16D411E7"/>
    <w:rsid w:val="16ED0036"/>
    <w:rsid w:val="170756D4"/>
    <w:rsid w:val="170F4587"/>
    <w:rsid w:val="171C6B6E"/>
    <w:rsid w:val="176115DC"/>
    <w:rsid w:val="176D7525"/>
    <w:rsid w:val="17824660"/>
    <w:rsid w:val="178F2FF8"/>
    <w:rsid w:val="179121FE"/>
    <w:rsid w:val="17915931"/>
    <w:rsid w:val="17C41ABF"/>
    <w:rsid w:val="18175D56"/>
    <w:rsid w:val="18276B10"/>
    <w:rsid w:val="184C1380"/>
    <w:rsid w:val="189B5F22"/>
    <w:rsid w:val="18A70256"/>
    <w:rsid w:val="18A944F8"/>
    <w:rsid w:val="18B057C0"/>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04C5A"/>
    <w:rsid w:val="1C5D5F8B"/>
    <w:rsid w:val="1C6E241C"/>
    <w:rsid w:val="1C9755BD"/>
    <w:rsid w:val="1CB07DF9"/>
    <w:rsid w:val="1CC3681B"/>
    <w:rsid w:val="1CE22A9B"/>
    <w:rsid w:val="1CEF4AA8"/>
    <w:rsid w:val="1CF251D3"/>
    <w:rsid w:val="1CFF3217"/>
    <w:rsid w:val="1D0C3E62"/>
    <w:rsid w:val="1D1C3424"/>
    <w:rsid w:val="1D1D0D81"/>
    <w:rsid w:val="1D295B40"/>
    <w:rsid w:val="1D5835F0"/>
    <w:rsid w:val="1D8C5045"/>
    <w:rsid w:val="1D9244F8"/>
    <w:rsid w:val="1D931CEA"/>
    <w:rsid w:val="1DC177D9"/>
    <w:rsid w:val="1DDB31AC"/>
    <w:rsid w:val="1E012619"/>
    <w:rsid w:val="1E1A236E"/>
    <w:rsid w:val="1E225BB3"/>
    <w:rsid w:val="1E2A6113"/>
    <w:rsid w:val="1E2D212B"/>
    <w:rsid w:val="1E2E6E13"/>
    <w:rsid w:val="1E32182A"/>
    <w:rsid w:val="1E4D585F"/>
    <w:rsid w:val="1E5A61EE"/>
    <w:rsid w:val="1E713E2F"/>
    <w:rsid w:val="1EA573D8"/>
    <w:rsid w:val="1EB0513B"/>
    <w:rsid w:val="1EB72F76"/>
    <w:rsid w:val="1EE36B2C"/>
    <w:rsid w:val="1EF342CB"/>
    <w:rsid w:val="1F020A44"/>
    <w:rsid w:val="1F041BC7"/>
    <w:rsid w:val="1F127B09"/>
    <w:rsid w:val="1F15637C"/>
    <w:rsid w:val="1F2354C8"/>
    <w:rsid w:val="1F36160E"/>
    <w:rsid w:val="1F3F33F9"/>
    <w:rsid w:val="1F5D00BF"/>
    <w:rsid w:val="1F640255"/>
    <w:rsid w:val="1F671677"/>
    <w:rsid w:val="1F722047"/>
    <w:rsid w:val="1F904945"/>
    <w:rsid w:val="1F953961"/>
    <w:rsid w:val="1FAA6A2E"/>
    <w:rsid w:val="1FC11059"/>
    <w:rsid w:val="1FDC7161"/>
    <w:rsid w:val="1FE570E2"/>
    <w:rsid w:val="1FE7673E"/>
    <w:rsid w:val="200E38F2"/>
    <w:rsid w:val="201E4CAE"/>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21225"/>
    <w:rsid w:val="212B2F31"/>
    <w:rsid w:val="21327DB2"/>
    <w:rsid w:val="213D6756"/>
    <w:rsid w:val="213D7BD8"/>
    <w:rsid w:val="21432705"/>
    <w:rsid w:val="214C4EC5"/>
    <w:rsid w:val="2153567F"/>
    <w:rsid w:val="21592826"/>
    <w:rsid w:val="217422B6"/>
    <w:rsid w:val="2188758A"/>
    <w:rsid w:val="21A61686"/>
    <w:rsid w:val="21C13A32"/>
    <w:rsid w:val="22251077"/>
    <w:rsid w:val="22270787"/>
    <w:rsid w:val="224C47AB"/>
    <w:rsid w:val="224D73DD"/>
    <w:rsid w:val="22592601"/>
    <w:rsid w:val="22603DB2"/>
    <w:rsid w:val="226D7B83"/>
    <w:rsid w:val="2293123C"/>
    <w:rsid w:val="22A570EC"/>
    <w:rsid w:val="232E56FD"/>
    <w:rsid w:val="233262FB"/>
    <w:rsid w:val="233F5F96"/>
    <w:rsid w:val="235F4D23"/>
    <w:rsid w:val="236D4028"/>
    <w:rsid w:val="238A4DFC"/>
    <w:rsid w:val="24226CC5"/>
    <w:rsid w:val="24312A4A"/>
    <w:rsid w:val="244A5E9A"/>
    <w:rsid w:val="244C4BB8"/>
    <w:rsid w:val="24635DDC"/>
    <w:rsid w:val="24691193"/>
    <w:rsid w:val="246C3A46"/>
    <w:rsid w:val="247152E7"/>
    <w:rsid w:val="247D6439"/>
    <w:rsid w:val="24FF7718"/>
    <w:rsid w:val="250F7197"/>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9A360B"/>
    <w:rsid w:val="26AF686C"/>
    <w:rsid w:val="26C62652"/>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5563F"/>
    <w:rsid w:val="281C1F63"/>
    <w:rsid w:val="281C54D8"/>
    <w:rsid w:val="283610D5"/>
    <w:rsid w:val="285F5293"/>
    <w:rsid w:val="28622D71"/>
    <w:rsid w:val="286E69FD"/>
    <w:rsid w:val="28A945E1"/>
    <w:rsid w:val="28C56178"/>
    <w:rsid w:val="28FA546B"/>
    <w:rsid w:val="28FE025E"/>
    <w:rsid w:val="29245F1A"/>
    <w:rsid w:val="2927562A"/>
    <w:rsid w:val="29366359"/>
    <w:rsid w:val="29586D7A"/>
    <w:rsid w:val="296543A4"/>
    <w:rsid w:val="29772B51"/>
    <w:rsid w:val="29791894"/>
    <w:rsid w:val="2984235F"/>
    <w:rsid w:val="29846CFF"/>
    <w:rsid w:val="29967FD2"/>
    <w:rsid w:val="29A52D8F"/>
    <w:rsid w:val="29AA637B"/>
    <w:rsid w:val="29B82726"/>
    <w:rsid w:val="29C56C3A"/>
    <w:rsid w:val="29D85278"/>
    <w:rsid w:val="29E1380C"/>
    <w:rsid w:val="29E85046"/>
    <w:rsid w:val="2A017BFD"/>
    <w:rsid w:val="2A0A71F8"/>
    <w:rsid w:val="2A4913A2"/>
    <w:rsid w:val="2A9154D8"/>
    <w:rsid w:val="2A9860B3"/>
    <w:rsid w:val="2AA04C57"/>
    <w:rsid w:val="2AD750C3"/>
    <w:rsid w:val="2AE77D08"/>
    <w:rsid w:val="2AEA3011"/>
    <w:rsid w:val="2B177920"/>
    <w:rsid w:val="2B252D72"/>
    <w:rsid w:val="2B3E0375"/>
    <w:rsid w:val="2B492499"/>
    <w:rsid w:val="2B652A8D"/>
    <w:rsid w:val="2B6C55DB"/>
    <w:rsid w:val="2B8D5640"/>
    <w:rsid w:val="2BDA5A2F"/>
    <w:rsid w:val="2BDE6601"/>
    <w:rsid w:val="2BE00F10"/>
    <w:rsid w:val="2BF4029C"/>
    <w:rsid w:val="2BF65788"/>
    <w:rsid w:val="2C1C6937"/>
    <w:rsid w:val="2C202757"/>
    <w:rsid w:val="2C270D43"/>
    <w:rsid w:val="2C2916B9"/>
    <w:rsid w:val="2C6436A6"/>
    <w:rsid w:val="2C7A2A8F"/>
    <w:rsid w:val="2C86067D"/>
    <w:rsid w:val="2C9023A5"/>
    <w:rsid w:val="2C937549"/>
    <w:rsid w:val="2C9D6A04"/>
    <w:rsid w:val="2CB62598"/>
    <w:rsid w:val="2CBC136A"/>
    <w:rsid w:val="2CD47877"/>
    <w:rsid w:val="2CFE607B"/>
    <w:rsid w:val="2D095409"/>
    <w:rsid w:val="2D360531"/>
    <w:rsid w:val="2D3A3199"/>
    <w:rsid w:val="2D4B38E7"/>
    <w:rsid w:val="2D5470D9"/>
    <w:rsid w:val="2D551303"/>
    <w:rsid w:val="2D772574"/>
    <w:rsid w:val="2D8D31B7"/>
    <w:rsid w:val="2D8D5835"/>
    <w:rsid w:val="2DA51213"/>
    <w:rsid w:val="2DAB1C25"/>
    <w:rsid w:val="2DCC12FC"/>
    <w:rsid w:val="2DD66E3A"/>
    <w:rsid w:val="2DF17D73"/>
    <w:rsid w:val="2E266C77"/>
    <w:rsid w:val="2E652B8E"/>
    <w:rsid w:val="2E66167A"/>
    <w:rsid w:val="2E6C7EF1"/>
    <w:rsid w:val="2E6D69DB"/>
    <w:rsid w:val="2E6F6584"/>
    <w:rsid w:val="2E7330BF"/>
    <w:rsid w:val="2E7823B0"/>
    <w:rsid w:val="2E933BCE"/>
    <w:rsid w:val="2E9C6490"/>
    <w:rsid w:val="2EA40069"/>
    <w:rsid w:val="2EAA3B87"/>
    <w:rsid w:val="2EB66E96"/>
    <w:rsid w:val="2EBC23A0"/>
    <w:rsid w:val="2EDE36DA"/>
    <w:rsid w:val="2EFA0191"/>
    <w:rsid w:val="2F436846"/>
    <w:rsid w:val="2F4556CE"/>
    <w:rsid w:val="2F48454C"/>
    <w:rsid w:val="2F593240"/>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D200FD"/>
    <w:rsid w:val="31DB5204"/>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C83B71"/>
    <w:rsid w:val="33D4661F"/>
    <w:rsid w:val="33ED39C2"/>
    <w:rsid w:val="340E7127"/>
    <w:rsid w:val="340F56DE"/>
    <w:rsid w:val="341D5FA7"/>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5060C0"/>
    <w:rsid w:val="366244D5"/>
    <w:rsid w:val="368C5930"/>
    <w:rsid w:val="36A82C1D"/>
    <w:rsid w:val="36B34449"/>
    <w:rsid w:val="36C342D9"/>
    <w:rsid w:val="370F2E93"/>
    <w:rsid w:val="370F32ED"/>
    <w:rsid w:val="374E35E0"/>
    <w:rsid w:val="37560CC6"/>
    <w:rsid w:val="378D0CEB"/>
    <w:rsid w:val="379A026D"/>
    <w:rsid w:val="37A2207E"/>
    <w:rsid w:val="37A2434F"/>
    <w:rsid w:val="37E82428"/>
    <w:rsid w:val="37ED6D6E"/>
    <w:rsid w:val="37F45271"/>
    <w:rsid w:val="380C3B20"/>
    <w:rsid w:val="381039F4"/>
    <w:rsid w:val="38422CE2"/>
    <w:rsid w:val="38464281"/>
    <w:rsid w:val="386E21B0"/>
    <w:rsid w:val="38AE496C"/>
    <w:rsid w:val="38B54D45"/>
    <w:rsid w:val="38BB7E2E"/>
    <w:rsid w:val="38D242CD"/>
    <w:rsid w:val="39290F4A"/>
    <w:rsid w:val="393E0C7A"/>
    <w:rsid w:val="39470BCD"/>
    <w:rsid w:val="39691A78"/>
    <w:rsid w:val="396B3311"/>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B45D59"/>
    <w:rsid w:val="3ACD43C9"/>
    <w:rsid w:val="3AFF2C64"/>
    <w:rsid w:val="3B2F69DB"/>
    <w:rsid w:val="3B79226F"/>
    <w:rsid w:val="3B8F1138"/>
    <w:rsid w:val="3B904834"/>
    <w:rsid w:val="3B932344"/>
    <w:rsid w:val="3B9D20F5"/>
    <w:rsid w:val="3BB33F88"/>
    <w:rsid w:val="3BD93153"/>
    <w:rsid w:val="3BDA6996"/>
    <w:rsid w:val="3C0A3047"/>
    <w:rsid w:val="3C2E50FB"/>
    <w:rsid w:val="3C37637A"/>
    <w:rsid w:val="3C3C71E7"/>
    <w:rsid w:val="3C4A12AD"/>
    <w:rsid w:val="3C5125FC"/>
    <w:rsid w:val="3C687FDC"/>
    <w:rsid w:val="3C690ECB"/>
    <w:rsid w:val="3C860AC6"/>
    <w:rsid w:val="3C8967A4"/>
    <w:rsid w:val="3C960BC8"/>
    <w:rsid w:val="3C9848A1"/>
    <w:rsid w:val="3CA509B7"/>
    <w:rsid w:val="3CA509D1"/>
    <w:rsid w:val="3CA80712"/>
    <w:rsid w:val="3CD537E6"/>
    <w:rsid w:val="3CD93879"/>
    <w:rsid w:val="3D2571D3"/>
    <w:rsid w:val="3D605157"/>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AA4467"/>
    <w:rsid w:val="3FB80293"/>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2F731A"/>
    <w:rsid w:val="41335FC7"/>
    <w:rsid w:val="415978C8"/>
    <w:rsid w:val="415C1B4D"/>
    <w:rsid w:val="416D399E"/>
    <w:rsid w:val="417843F2"/>
    <w:rsid w:val="41807B75"/>
    <w:rsid w:val="418A1799"/>
    <w:rsid w:val="41A61C3F"/>
    <w:rsid w:val="41B17185"/>
    <w:rsid w:val="41F05895"/>
    <w:rsid w:val="420C70DA"/>
    <w:rsid w:val="4226611D"/>
    <w:rsid w:val="425402BB"/>
    <w:rsid w:val="42564ADA"/>
    <w:rsid w:val="42747A95"/>
    <w:rsid w:val="427E52C8"/>
    <w:rsid w:val="4293068B"/>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C61D43"/>
    <w:rsid w:val="44DC0CFE"/>
    <w:rsid w:val="44DC4FCA"/>
    <w:rsid w:val="44FD1C6D"/>
    <w:rsid w:val="45012D7B"/>
    <w:rsid w:val="453F207E"/>
    <w:rsid w:val="454276A8"/>
    <w:rsid w:val="45465AD9"/>
    <w:rsid w:val="457C4AF8"/>
    <w:rsid w:val="45A100BA"/>
    <w:rsid w:val="45A31600"/>
    <w:rsid w:val="45BA25B4"/>
    <w:rsid w:val="45C67F84"/>
    <w:rsid w:val="45E526C2"/>
    <w:rsid w:val="45EF5694"/>
    <w:rsid w:val="45F32D75"/>
    <w:rsid w:val="45FE4441"/>
    <w:rsid w:val="460934CE"/>
    <w:rsid w:val="461F685B"/>
    <w:rsid w:val="463A35BA"/>
    <w:rsid w:val="464478D6"/>
    <w:rsid w:val="46594972"/>
    <w:rsid w:val="46763AFA"/>
    <w:rsid w:val="468477C0"/>
    <w:rsid w:val="46A86AC5"/>
    <w:rsid w:val="46AF0ACC"/>
    <w:rsid w:val="46CD2EA3"/>
    <w:rsid w:val="46DC3AA0"/>
    <w:rsid w:val="46E33C2A"/>
    <w:rsid w:val="46EA784B"/>
    <w:rsid w:val="46EB5C2E"/>
    <w:rsid w:val="46EE5581"/>
    <w:rsid w:val="47191F43"/>
    <w:rsid w:val="471B210D"/>
    <w:rsid w:val="47330BB1"/>
    <w:rsid w:val="474340E1"/>
    <w:rsid w:val="4754737E"/>
    <w:rsid w:val="476E5DEA"/>
    <w:rsid w:val="477A6E15"/>
    <w:rsid w:val="4785234B"/>
    <w:rsid w:val="47914A33"/>
    <w:rsid w:val="4792415F"/>
    <w:rsid w:val="479B0044"/>
    <w:rsid w:val="479B0224"/>
    <w:rsid w:val="479C10BC"/>
    <w:rsid w:val="47A4380D"/>
    <w:rsid w:val="47A6297A"/>
    <w:rsid w:val="47AA594C"/>
    <w:rsid w:val="47B35BF8"/>
    <w:rsid w:val="47C041C7"/>
    <w:rsid w:val="47CB4E60"/>
    <w:rsid w:val="47CD1E0C"/>
    <w:rsid w:val="47D964DB"/>
    <w:rsid w:val="47E04ECA"/>
    <w:rsid w:val="47FC33A5"/>
    <w:rsid w:val="48012A31"/>
    <w:rsid w:val="481D4366"/>
    <w:rsid w:val="482E032B"/>
    <w:rsid w:val="485803F1"/>
    <w:rsid w:val="4865215C"/>
    <w:rsid w:val="486942C4"/>
    <w:rsid w:val="48741AB6"/>
    <w:rsid w:val="487B552A"/>
    <w:rsid w:val="48842F37"/>
    <w:rsid w:val="48A34F21"/>
    <w:rsid w:val="48B05292"/>
    <w:rsid w:val="48B971DC"/>
    <w:rsid w:val="48CC18F2"/>
    <w:rsid w:val="48F556EA"/>
    <w:rsid w:val="48F94ED4"/>
    <w:rsid w:val="48FD7CFE"/>
    <w:rsid w:val="491946D3"/>
    <w:rsid w:val="4924047E"/>
    <w:rsid w:val="49276380"/>
    <w:rsid w:val="49441489"/>
    <w:rsid w:val="4948117F"/>
    <w:rsid w:val="494B0B0D"/>
    <w:rsid w:val="497E20AD"/>
    <w:rsid w:val="49820EB7"/>
    <w:rsid w:val="499416E9"/>
    <w:rsid w:val="49A63EAD"/>
    <w:rsid w:val="49B4166E"/>
    <w:rsid w:val="49B52386"/>
    <w:rsid w:val="49BA2C9E"/>
    <w:rsid w:val="49BC3715"/>
    <w:rsid w:val="49F72310"/>
    <w:rsid w:val="49FD2EE4"/>
    <w:rsid w:val="4A0B4FDE"/>
    <w:rsid w:val="4A343D11"/>
    <w:rsid w:val="4A497D35"/>
    <w:rsid w:val="4A8A37D8"/>
    <w:rsid w:val="4A8B4AB2"/>
    <w:rsid w:val="4AD9595B"/>
    <w:rsid w:val="4AF313B8"/>
    <w:rsid w:val="4AF93EAE"/>
    <w:rsid w:val="4B311212"/>
    <w:rsid w:val="4B3E6720"/>
    <w:rsid w:val="4B43535A"/>
    <w:rsid w:val="4B476348"/>
    <w:rsid w:val="4B625BF7"/>
    <w:rsid w:val="4B62770E"/>
    <w:rsid w:val="4B735299"/>
    <w:rsid w:val="4BB21AF4"/>
    <w:rsid w:val="4BB54107"/>
    <w:rsid w:val="4BB67EEE"/>
    <w:rsid w:val="4BD17814"/>
    <w:rsid w:val="4BDC5109"/>
    <w:rsid w:val="4BE84FA7"/>
    <w:rsid w:val="4BF70C92"/>
    <w:rsid w:val="4BFD0513"/>
    <w:rsid w:val="4C005E77"/>
    <w:rsid w:val="4C0B2731"/>
    <w:rsid w:val="4C1A02C6"/>
    <w:rsid w:val="4C2A56EE"/>
    <w:rsid w:val="4C2B76C1"/>
    <w:rsid w:val="4C5419A1"/>
    <w:rsid w:val="4C5429A3"/>
    <w:rsid w:val="4C645A11"/>
    <w:rsid w:val="4C87254B"/>
    <w:rsid w:val="4CB265B0"/>
    <w:rsid w:val="4CDE4416"/>
    <w:rsid w:val="4D1C2C8C"/>
    <w:rsid w:val="4D1E77BE"/>
    <w:rsid w:val="4D245FC5"/>
    <w:rsid w:val="4D2B3B2C"/>
    <w:rsid w:val="4D326CD4"/>
    <w:rsid w:val="4D431C7D"/>
    <w:rsid w:val="4D7372A0"/>
    <w:rsid w:val="4DA943B0"/>
    <w:rsid w:val="4DAA1780"/>
    <w:rsid w:val="4DC515BB"/>
    <w:rsid w:val="4DCB5984"/>
    <w:rsid w:val="4DD64458"/>
    <w:rsid w:val="4DDD4E1A"/>
    <w:rsid w:val="4DF06083"/>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4628B7"/>
    <w:rsid w:val="4F5F3ED1"/>
    <w:rsid w:val="4F804E7C"/>
    <w:rsid w:val="4F85516A"/>
    <w:rsid w:val="4F944D8F"/>
    <w:rsid w:val="4FC21359"/>
    <w:rsid w:val="4FCA5221"/>
    <w:rsid w:val="4FED0FB9"/>
    <w:rsid w:val="507410D2"/>
    <w:rsid w:val="50936F77"/>
    <w:rsid w:val="50A4392E"/>
    <w:rsid w:val="50A97681"/>
    <w:rsid w:val="50AE3B94"/>
    <w:rsid w:val="50AF7418"/>
    <w:rsid w:val="50CF1F80"/>
    <w:rsid w:val="50E93575"/>
    <w:rsid w:val="50EE4AFC"/>
    <w:rsid w:val="50F04D4E"/>
    <w:rsid w:val="50F102ED"/>
    <w:rsid w:val="50F57385"/>
    <w:rsid w:val="50F6016F"/>
    <w:rsid w:val="50FB1FB9"/>
    <w:rsid w:val="510C6D30"/>
    <w:rsid w:val="51132FF4"/>
    <w:rsid w:val="51151213"/>
    <w:rsid w:val="513225F9"/>
    <w:rsid w:val="513F5114"/>
    <w:rsid w:val="51440384"/>
    <w:rsid w:val="51510BE7"/>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C40E3"/>
    <w:rsid w:val="52B87033"/>
    <w:rsid w:val="52BE5917"/>
    <w:rsid w:val="52CE6E0D"/>
    <w:rsid w:val="52ED3633"/>
    <w:rsid w:val="531B72EC"/>
    <w:rsid w:val="531E35FC"/>
    <w:rsid w:val="531E3DBA"/>
    <w:rsid w:val="532B1547"/>
    <w:rsid w:val="532C2C22"/>
    <w:rsid w:val="532F4F57"/>
    <w:rsid w:val="53332C9A"/>
    <w:rsid w:val="533E6E17"/>
    <w:rsid w:val="5343182D"/>
    <w:rsid w:val="53552E21"/>
    <w:rsid w:val="535D3886"/>
    <w:rsid w:val="536C4A63"/>
    <w:rsid w:val="539B26A9"/>
    <w:rsid w:val="53A201DA"/>
    <w:rsid w:val="53B22D34"/>
    <w:rsid w:val="53B6236C"/>
    <w:rsid w:val="53BD6F30"/>
    <w:rsid w:val="540540F5"/>
    <w:rsid w:val="542913B3"/>
    <w:rsid w:val="543F18BA"/>
    <w:rsid w:val="54883400"/>
    <w:rsid w:val="548D63DA"/>
    <w:rsid w:val="54932F58"/>
    <w:rsid w:val="54A81CB5"/>
    <w:rsid w:val="54C076CF"/>
    <w:rsid w:val="54C41B11"/>
    <w:rsid w:val="54EE1E00"/>
    <w:rsid w:val="550E49C6"/>
    <w:rsid w:val="552609CE"/>
    <w:rsid w:val="552A1E7A"/>
    <w:rsid w:val="552D196B"/>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7393C"/>
    <w:rsid w:val="56DD2471"/>
    <w:rsid w:val="57210A6D"/>
    <w:rsid w:val="5744214A"/>
    <w:rsid w:val="574B480A"/>
    <w:rsid w:val="57543081"/>
    <w:rsid w:val="5789649C"/>
    <w:rsid w:val="5792629F"/>
    <w:rsid w:val="57A373F0"/>
    <w:rsid w:val="57C83C57"/>
    <w:rsid w:val="57ED59AA"/>
    <w:rsid w:val="57FB2FB4"/>
    <w:rsid w:val="582028C2"/>
    <w:rsid w:val="582908A2"/>
    <w:rsid w:val="583C0128"/>
    <w:rsid w:val="583D07DD"/>
    <w:rsid w:val="585F1862"/>
    <w:rsid w:val="58620D26"/>
    <w:rsid w:val="58706FB1"/>
    <w:rsid w:val="587C5983"/>
    <w:rsid w:val="58DA5965"/>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AF947C9"/>
    <w:rsid w:val="5B3A7E78"/>
    <w:rsid w:val="5B3D442E"/>
    <w:rsid w:val="5B412C22"/>
    <w:rsid w:val="5B4B2EB1"/>
    <w:rsid w:val="5B5437AD"/>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983B6D"/>
    <w:rsid w:val="5CA97228"/>
    <w:rsid w:val="5CBA57BD"/>
    <w:rsid w:val="5CC5471C"/>
    <w:rsid w:val="5CC76201"/>
    <w:rsid w:val="5CDC5386"/>
    <w:rsid w:val="5CEE7B85"/>
    <w:rsid w:val="5CF73D69"/>
    <w:rsid w:val="5D155A24"/>
    <w:rsid w:val="5D202057"/>
    <w:rsid w:val="5D215911"/>
    <w:rsid w:val="5D447851"/>
    <w:rsid w:val="5D4700C2"/>
    <w:rsid w:val="5D6C4615"/>
    <w:rsid w:val="5D7C5A81"/>
    <w:rsid w:val="5D9F54B7"/>
    <w:rsid w:val="5DD31E8F"/>
    <w:rsid w:val="5DDD3DBA"/>
    <w:rsid w:val="5DDF2196"/>
    <w:rsid w:val="5DF704AE"/>
    <w:rsid w:val="5DF954B7"/>
    <w:rsid w:val="5DFF05CD"/>
    <w:rsid w:val="5E1672C2"/>
    <w:rsid w:val="5E1B6033"/>
    <w:rsid w:val="5E2612F9"/>
    <w:rsid w:val="5E534129"/>
    <w:rsid w:val="5E59732C"/>
    <w:rsid w:val="5E6E3C24"/>
    <w:rsid w:val="5E7255BD"/>
    <w:rsid w:val="5E937CCC"/>
    <w:rsid w:val="5EF83794"/>
    <w:rsid w:val="5F0173CC"/>
    <w:rsid w:val="5F1A1A93"/>
    <w:rsid w:val="5F287F7E"/>
    <w:rsid w:val="5F475677"/>
    <w:rsid w:val="5F484198"/>
    <w:rsid w:val="5F567498"/>
    <w:rsid w:val="5F6B7317"/>
    <w:rsid w:val="5F75229B"/>
    <w:rsid w:val="5F7D71F9"/>
    <w:rsid w:val="5F8420E2"/>
    <w:rsid w:val="5F887220"/>
    <w:rsid w:val="5F9022AB"/>
    <w:rsid w:val="5FB81E56"/>
    <w:rsid w:val="5FD85FDC"/>
    <w:rsid w:val="5FEB78D3"/>
    <w:rsid w:val="5FEC00EE"/>
    <w:rsid w:val="600951D4"/>
    <w:rsid w:val="6010358A"/>
    <w:rsid w:val="601A25EF"/>
    <w:rsid w:val="60250EC1"/>
    <w:rsid w:val="603B13E0"/>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30567D"/>
    <w:rsid w:val="623936FD"/>
    <w:rsid w:val="626857C6"/>
    <w:rsid w:val="628C1A7E"/>
    <w:rsid w:val="62923991"/>
    <w:rsid w:val="62966DA1"/>
    <w:rsid w:val="62AB32FE"/>
    <w:rsid w:val="62F20D03"/>
    <w:rsid w:val="62F26EC0"/>
    <w:rsid w:val="62F75B83"/>
    <w:rsid w:val="63095375"/>
    <w:rsid w:val="6312135F"/>
    <w:rsid w:val="632A3D0D"/>
    <w:rsid w:val="633443AB"/>
    <w:rsid w:val="634C7460"/>
    <w:rsid w:val="63523E08"/>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C51278"/>
    <w:rsid w:val="64D14920"/>
    <w:rsid w:val="64DC3A26"/>
    <w:rsid w:val="64EA382F"/>
    <w:rsid w:val="64ED3306"/>
    <w:rsid w:val="64F953C5"/>
    <w:rsid w:val="6511603A"/>
    <w:rsid w:val="652763A9"/>
    <w:rsid w:val="653B0F51"/>
    <w:rsid w:val="65434194"/>
    <w:rsid w:val="65477730"/>
    <w:rsid w:val="654912E0"/>
    <w:rsid w:val="656A4332"/>
    <w:rsid w:val="65733372"/>
    <w:rsid w:val="65744876"/>
    <w:rsid w:val="657845AE"/>
    <w:rsid w:val="65902A25"/>
    <w:rsid w:val="65991D3E"/>
    <w:rsid w:val="659E280B"/>
    <w:rsid w:val="65B74A52"/>
    <w:rsid w:val="65BD55BD"/>
    <w:rsid w:val="65C53449"/>
    <w:rsid w:val="65D73958"/>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7EA66E4"/>
    <w:rsid w:val="6821192D"/>
    <w:rsid w:val="68337E89"/>
    <w:rsid w:val="68337EE8"/>
    <w:rsid w:val="683A6C76"/>
    <w:rsid w:val="685C5B46"/>
    <w:rsid w:val="688C0656"/>
    <w:rsid w:val="68AE1735"/>
    <w:rsid w:val="68B72950"/>
    <w:rsid w:val="68D60630"/>
    <w:rsid w:val="68E36170"/>
    <w:rsid w:val="68F00432"/>
    <w:rsid w:val="68F8555D"/>
    <w:rsid w:val="691D712E"/>
    <w:rsid w:val="69603C65"/>
    <w:rsid w:val="697E7396"/>
    <w:rsid w:val="6994390F"/>
    <w:rsid w:val="69A009FE"/>
    <w:rsid w:val="69A729C5"/>
    <w:rsid w:val="69BD10B7"/>
    <w:rsid w:val="69BF206E"/>
    <w:rsid w:val="69E46DF1"/>
    <w:rsid w:val="69E8174D"/>
    <w:rsid w:val="69EB7655"/>
    <w:rsid w:val="69EF73ED"/>
    <w:rsid w:val="69F66247"/>
    <w:rsid w:val="69F820EF"/>
    <w:rsid w:val="69F86AAF"/>
    <w:rsid w:val="6A1F6154"/>
    <w:rsid w:val="6A2746CC"/>
    <w:rsid w:val="6A285528"/>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AE0CB8"/>
    <w:rsid w:val="6BBD5024"/>
    <w:rsid w:val="6BF37DF1"/>
    <w:rsid w:val="6C557385"/>
    <w:rsid w:val="6C630CE9"/>
    <w:rsid w:val="6C914CAA"/>
    <w:rsid w:val="6CB57E24"/>
    <w:rsid w:val="6CCC3665"/>
    <w:rsid w:val="6CEC0F34"/>
    <w:rsid w:val="6CF6632F"/>
    <w:rsid w:val="6CF73CA4"/>
    <w:rsid w:val="6D005FF7"/>
    <w:rsid w:val="6D021C57"/>
    <w:rsid w:val="6D05105B"/>
    <w:rsid w:val="6D207FCD"/>
    <w:rsid w:val="6D280C36"/>
    <w:rsid w:val="6D286C4C"/>
    <w:rsid w:val="6D2B5B01"/>
    <w:rsid w:val="6D381497"/>
    <w:rsid w:val="6D6A2DB3"/>
    <w:rsid w:val="6D6A69AA"/>
    <w:rsid w:val="6D79127B"/>
    <w:rsid w:val="6D832281"/>
    <w:rsid w:val="6DBE0F5A"/>
    <w:rsid w:val="6DC237AE"/>
    <w:rsid w:val="6DF91502"/>
    <w:rsid w:val="6E01482E"/>
    <w:rsid w:val="6E0D1941"/>
    <w:rsid w:val="6E18292B"/>
    <w:rsid w:val="6E26547D"/>
    <w:rsid w:val="6E402C35"/>
    <w:rsid w:val="6E403BCF"/>
    <w:rsid w:val="6E424CF7"/>
    <w:rsid w:val="6E96703D"/>
    <w:rsid w:val="6E984122"/>
    <w:rsid w:val="6EB467BE"/>
    <w:rsid w:val="6EC4761A"/>
    <w:rsid w:val="6ED26905"/>
    <w:rsid w:val="6ED924EF"/>
    <w:rsid w:val="6EE20566"/>
    <w:rsid w:val="6EEB6DD8"/>
    <w:rsid w:val="6EF513F6"/>
    <w:rsid w:val="6F0230C8"/>
    <w:rsid w:val="6F0E7A84"/>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4F233D"/>
    <w:rsid w:val="70796EB7"/>
    <w:rsid w:val="707D6C6E"/>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2F01BB6"/>
    <w:rsid w:val="73373DED"/>
    <w:rsid w:val="73391B68"/>
    <w:rsid w:val="733F7A24"/>
    <w:rsid w:val="735859AD"/>
    <w:rsid w:val="735C44F0"/>
    <w:rsid w:val="736A01CD"/>
    <w:rsid w:val="736B4D35"/>
    <w:rsid w:val="73741988"/>
    <w:rsid w:val="73814929"/>
    <w:rsid w:val="7393399F"/>
    <w:rsid w:val="73984022"/>
    <w:rsid w:val="73C11347"/>
    <w:rsid w:val="73E2421D"/>
    <w:rsid w:val="74000D97"/>
    <w:rsid w:val="74185CCF"/>
    <w:rsid w:val="741D2E7E"/>
    <w:rsid w:val="745D771F"/>
    <w:rsid w:val="74694C3B"/>
    <w:rsid w:val="746A6AAD"/>
    <w:rsid w:val="747A4FBC"/>
    <w:rsid w:val="748B466B"/>
    <w:rsid w:val="749018A2"/>
    <w:rsid w:val="74D55507"/>
    <w:rsid w:val="74D94903"/>
    <w:rsid w:val="74DC7834"/>
    <w:rsid w:val="74E271F1"/>
    <w:rsid w:val="74F71921"/>
    <w:rsid w:val="74FF2584"/>
    <w:rsid w:val="75326EC3"/>
    <w:rsid w:val="7551327B"/>
    <w:rsid w:val="755F3E02"/>
    <w:rsid w:val="755F782E"/>
    <w:rsid w:val="75A16A9F"/>
    <w:rsid w:val="75BC6CCF"/>
    <w:rsid w:val="75E27D49"/>
    <w:rsid w:val="761867BE"/>
    <w:rsid w:val="76365AD0"/>
    <w:rsid w:val="765D57EA"/>
    <w:rsid w:val="76626BFE"/>
    <w:rsid w:val="76876CD5"/>
    <w:rsid w:val="7688585F"/>
    <w:rsid w:val="76A74C81"/>
    <w:rsid w:val="76F54CF0"/>
    <w:rsid w:val="76F61765"/>
    <w:rsid w:val="76FD5906"/>
    <w:rsid w:val="77072866"/>
    <w:rsid w:val="770B684E"/>
    <w:rsid w:val="771D50F3"/>
    <w:rsid w:val="771F2A69"/>
    <w:rsid w:val="77204CB1"/>
    <w:rsid w:val="777C1603"/>
    <w:rsid w:val="77A14CDE"/>
    <w:rsid w:val="77AA2F7D"/>
    <w:rsid w:val="77C96BD3"/>
    <w:rsid w:val="78266CE5"/>
    <w:rsid w:val="7827421F"/>
    <w:rsid w:val="782B4A23"/>
    <w:rsid w:val="78302F8F"/>
    <w:rsid w:val="784117AB"/>
    <w:rsid w:val="78510397"/>
    <w:rsid w:val="78552936"/>
    <w:rsid w:val="78564BB1"/>
    <w:rsid w:val="78731F0E"/>
    <w:rsid w:val="78754CBA"/>
    <w:rsid w:val="787E46E3"/>
    <w:rsid w:val="78962FA5"/>
    <w:rsid w:val="78C148AC"/>
    <w:rsid w:val="78CA1FEE"/>
    <w:rsid w:val="78CB3FEB"/>
    <w:rsid w:val="793B5CE2"/>
    <w:rsid w:val="795C411F"/>
    <w:rsid w:val="796834B3"/>
    <w:rsid w:val="79764DDF"/>
    <w:rsid w:val="797B3C8A"/>
    <w:rsid w:val="797F45FC"/>
    <w:rsid w:val="79970647"/>
    <w:rsid w:val="79D9682C"/>
    <w:rsid w:val="79DB75C0"/>
    <w:rsid w:val="79E1011D"/>
    <w:rsid w:val="79E37881"/>
    <w:rsid w:val="79E4486C"/>
    <w:rsid w:val="79EA2E0E"/>
    <w:rsid w:val="79ED08FA"/>
    <w:rsid w:val="79F857F4"/>
    <w:rsid w:val="7A0360C6"/>
    <w:rsid w:val="7A067AFA"/>
    <w:rsid w:val="7A0C585A"/>
    <w:rsid w:val="7A28432B"/>
    <w:rsid w:val="7A2C7450"/>
    <w:rsid w:val="7A326B5A"/>
    <w:rsid w:val="7A553725"/>
    <w:rsid w:val="7A616D0A"/>
    <w:rsid w:val="7A7F2C76"/>
    <w:rsid w:val="7AAC462A"/>
    <w:rsid w:val="7AF84FA0"/>
    <w:rsid w:val="7AF909C6"/>
    <w:rsid w:val="7B09037F"/>
    <w:rsid w:val="7B4056A4"/>
    <w:rsid w:val="7B6F1BD0"/>
    <w:rsid w:val="7B732126"/>
    <w:rsid w:val="7B755C15"/>
    <w:rsid w:val="7B7B20CE"/>
    <w:rsid w:val="7B8E1216"/>
    <w:rsid w:val="7B99239D"/>
    <w:rsid w:val="7B9A1345"/>
    <w:rsid w:val="7BCA6C86"/>
    <w:rsid w:val="7C044DA1"/>
    <w:rsid w:val="7C365DE1"/>
    <w:rsid w:val="7C501917"/>
    <w:rsid w:val="7CA33449"/>
    <w:rsid w:val="7CCE4D69"/>
    <w:rsid w:val="7D0A0BA4"/>
    <w:rsid w:val="7D107AF3"/>
    <w:rsid w:val="7D4253C7"/>
    <w:rsid w:val="7D4C5341"/>
    <w:rsid w:val="7D4E5EE6"/>
    <w:rsid w:val="7D8901AD"/>
    <w:rsid w:val="7D8E577D"/>
    <w:rsid w:val="7D9A426A"/>
    <w:rsid w:val="7DC0238F"/>
    <w:rsid w:val="7E006F08"/>
    <w:rsid w:val="7E333E03"/>
    <w:rsid w:val="7E391FE6"/>
    <w:rsid w:val="7E680E1A"/>
    <w:rsid w:val="7E916762"/>
    <w:rsid w:val="7EA916FD"/>
    <w:rsid w:val="7EAB552B"/>
    <w:rsid w:val="7EB77A2B"/>
    <w:rsid w:val="7EE53C64"/>
    <w:rsid w:val="7F492DCD"/>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paragraph" w:styleId="9">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kern w:val="2"/>
      <w:szCs w:val="22"/>
    </w:r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5"/>
    <w:qFormat/>
    <w:uiPriority w:val="99"/>
    <w:pPr>
      <w:snapToGrid w:val="0"/>
    </w:pPr>
    <w:rPr>
      <w:rFonts w:ascii="Arial" w:hAnsi="Arial"/>
      <w:kern w:val="2"/>
    </w:rPr>
  </w:style>
  <w:style w:type="paragraph" w:styleId="5">
    <w:name w:val="Title"/>
    <w:basedOn w:val="1"/>
    <w:next w:val="1"/>
    <w:qFormat/>
    <w:uiPriority w:val="10"/>
    <w:pPr>
      <w:suppressAutoHyphens w:val="0"/>
      <w:spacing w:before="240" w:after="60"/>
      <w:jc w:val="center"/>
      <w:outlineLvl w:val="0"/>
    </w:pPr>
    <w:rPr>
      <w:rFonts w:ascii="Cambria" w:cs="Cambria"/>
      <w:b/>
      <w:bCs/>
      <w:kern w:val="0"/>
      <w:sz w:val="32"/>
      <w:szCs w:val="32"/>
      <w:lang w:eastAsia="zh-CN"/>
    </w:rPr>
  </w:style>
  <w:style w:type="paragraph" w:styleId="10">
    <w:name w:val="annotation text"/>
    <w:basedOn w:val="1"/>
    <w:qFormat/>
    <w:uiPriority w:val="0"/>
    <w:pPr>
      <w:jc w:val="left"/>
    </w:pPr>
    <w:rPr>
      <w:rFonts w:eastAsia="宋体"/>
      <w:kern w:val="2"/>
      <w:sz w:val="21"/>
      <w:szCs w:val="24"/>
      <w:lang w:val="en-US" w:eastAsia="zh-CN" w:bidi="ar-SA"/>
    </w:rPr>
  </w:style>
  <w:style w:type="paragraph" w:styleId="11">
    <w:name w:val="Body Text 3"/>
    <w:basedOn w:val="1"/>
    <w:qFormat/>
    <w:uiPriority w:val="0"/>
    <w:rPr>
      <w:rFonts w:ascii="宋体"/>
      <w:sz w:val="24"/>
      <w:szCs w:val="20"/>
    </w:rPr>
  </w:style>
  <w:style w:type="paragraph" w:styleId="12">
    <w:name w:val="Body Text"/>
    <w:basedOn w:val="1"/>
    <w:qFormat/>
    <w:uiPriority w:val="0"/>
    <w:pPr>
      <w:spacing w:after="120"/>
    </w:pPr>
  </w:style>
  <w:style w:type="paragraph" w:styleId="13">
    <w:name w:val="Plain Text"/>
    <w:basedOn w:val="1"/>
    <w:qFormat/>
    <w:uiPriority w:val="0"/>
    <w:rPr>
      <w:rFonts w:ascii="宋体" w:hAnsi="Courier New"/>
      <w:szCs w:val="20"/>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semiHidden/>
    <w:qFormat/>
    <w:uiPriority w:val="0"/>
    <w:pPr>
      <w:spacing w:line="440" w:lineRule="exact"/>
      <w:jc w:val="center"/>
    </w:p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12"/>
    <w:qFormat/>
    <w:uiPriority w:val="0"/>
    <w:pPr>
      <w:ind w:firstLine="420" w:firstLineChars="1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qFormat/>
    <w:uiPriority w:val="0"/>
    <w:rPr>
      <w:color w:val="800080"/>
      <w:u w:val="none"/>
    </w:rPr>
  </w:style>
  <w:style w:type="character" w:styleId="24">
    <w:name w:val="HTML Definition"/>
    <w:basedOn w:val="21"/>
    <w:qFormat/>
    <w:uiPriority w:val="0"/>
  </w:style>
  <w:style w:type="character" w:styleId="25">
    <w:name w:val="HTML Typewriter"/>
    <w:basedOn w:val="21"/>
    <w:qFormat/>
    <w:uiPriority w:val="0"/>
    <w:rPr>
      <w:rFonts w:hint="default" w:ascii="monospace" w:hAnsi="monospace" w:eastAsia="monospace" w:cs="monospace"/>
      <w:sz w:val="20"/>
    </w:rPr>
  </w:style>
  <w:style w:type="character" w:styleId="26">
    <w:name w:val="HTML Acronym"/>
    <w:basedOn w:val="21"/>
    <w:qFormat/>
    <w:uiPriority w:val="0"/>
  </w:style>
  <w:style w:type="character" w:styleId="27">
    <w:name w:val="HTML Variable"/>
    <w:basedOn w:val="21"/>
    <w:qFormat/>
    <w:uiPriority w:val="0"/>
  </w:style>
  <w:style w:type="character" w:styleId="28">
    <w:name w:val="Hyperlink"/>
    <w:basedOn w:val="21"/>
    <w:qFormat/>
    <w:uiPriority w:val="0"/>
    <w:rPr>
      <w:color w:val="0000FF"/>
      <w:u w:val="none"/>
    </w:rPr>
  </w:style>
  <w:style w:type="character" w:styleId="29">
    <w:name w:val="HTML Code"/>
    <w:basedOn w:val="21"/>
    <w:qFormat/>
    <w:uiPriority w:val="0"/>
    <w:rPr>
      <w:rFonts w:hint="default" w:ascii="monospace" w:hAnsi="monospace" w:eastAsia="monospace" w:cs="monospace"/>
      <w:sz w:val="20"/>
    </w:rPr>
  </w:style>
  <w:style w:type="character" w:styleId="30">
    <w:name w:val="HTML Cite"/>
    <w:basedOn w:val="21"/>
    <w:qFormat/>
    <w:uiPriority w:val="0"/>
  </w:style>
  <w:style w:type="character" w:styleId="31">
    <w:name w:val="HTML Keyboard"/>
    <w:basedOn w:val="21"/>
    <w:qFormat/>
    <w:uiPriority w:val="0"/>
    <w:rPr>
      <w:rFonts w:hint="default" w:ascii="monospace" w:hAnsi="monospace" w:eastAsia="monospace" w:cs="monospace"/>
      <w:sz w:val="20"/>
    </w:rPr>
  </w:style>
  <w:style w:type="character" w:styleId="32">
    <w:name w:val="HTML Sample"/>
    <w:basedOn w:val="21"/>
    <w:qFormat/>
    <w:uiPriority w:val="0"/>
    <w:rPr>
      <w:rFonts w:ascii="monospace" w:hAnsi="monospace" w:eastAsia="monospace" w:cs="monospace"/>
    </w:rPr>
  </w:style>
  <w:style w:type="paragraph" w:customStyle="1" w:styleId="33">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34">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3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6">
    <w:name w:val="列出段落1"/>
    <w:basedOn w:val="1"/>
    <w:qFormat/>
    <w:uiPriority w:val="34"/>
    <w:pPr>
      <w:ind w:firstLine="420" w:firstLineChars="200"/>
    </w:pPr>
  </w:style>
  <w:style w:type="character" w:customStyle="1" w:styleId="37">
    <w:name w:val="font11"/>
    <w:basedOn w:val="21"/>
    <w:qFormat/>
    <w:uiPriority w:val="0"/>
    <w:rPr>
      <w:rFonts w:ascii="Calibri" w:hAnsi="Calibri" w:cs="Calibri"/>
      <w:color w:val="000000"/>
      <w:sz w:val="21"/>
      <w:szCs w:val="21"/>
      <w:u w:val="none"/>
    </w:rPr>
  </w:style>
  <w:style w:type="character" w:customStyle="1" w:styleId="38">
    <w:name w:val="font21"/>
    <w:basedOn w:val="21"/>
    <w:qFormat/>
    <w:uiPriority w:val="0"/>
    <w:rPr>
      <w:rFonts w:hint="eastAsia" w:ascii="宋体" w:hAnsi="宋体" w:eastAsia="宋体" w:cs="宋体"/>
      <w:color w:val="000000"/>
      <w:sz w:val="21"/>
      <w:szCs w:val="21"/>
      <w:u w:val="none"/>
    </w:rPr>
  </w:style>
  <w:style w:type="character" w:customStyle="1" w:styleId="39">
    <w:name w:val="font01"/>
    <w:basedOn w:val="21"/>
    <w:qFormat/>
    <w:uiPriority w:val="0"/>
    <w:rPr>
      <w:rFonts w:ascii="Calibri" w:hAnsi="Calibri" w:cs="Calibri"/>
      <w:color w:val="000000"/>
      <w:sz w:val="21"/>
      <w:szCs w:val="21"/>
      <w:u w:val="none"/>
    </w:rPr>
  </w:style>
  <w:style w:type="character" w:customStyle="1" w:styleId="40">
    <w:name w:val="font31"/>
    <w:basedOn w:val="21"/>
    <w:qFormat/>
    <w:uiPriority w:val="0"/>
    <w:rPr>
      <w:rFonts w:hint="default" w:ascii="Calibri" w:hAnsi="Calibri" w:cs="Calibri"/>
      <w:color w:val="000000"/>
      <w:sz w:val="21"/>
      <w:szCs w:val="21"/>
      <w:u w:val="none"/>
    </w:rPr>
  </w:style>
  <w:style w:type="paragraph" w:customStyle="1" w:styleId="41">
    <w:name w:val="Table Paragraph"/>
    <w:basedOn w:val="1"/>
    <w:qFormat/>
    <w:uiPriority w:val="1"/>
    <w:rPr>
      <w:rFonts w:ascii="宋体" w:hAnsi="宋体" w:eastAsia="宋体" w:cs="宋体"/>
    </w:rPr>
  </w:style>
  <w:style w:type="paragraph" w:styleId="4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64</Pages>
  <Words>28405</Words>
  <Characters>30430</Characters>
  <Lines>0</Lines>
  <Paragraphs>0</Paragraphs>
  <TotalTime>35</TotalTime>
  <ScaleCrop>false</ScaleCrop>
  <LinksUpToDate>false</LinksUpToDate>
  <CharactersWithSpaces>32175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2023-12-01T03:35:58Z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D0161FF5571D4AEEBAB0E3D6E71D5244_13</vt:lpwstr>
  </property>
</Properties>
</file>