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</w:t>
      </w:r>
      <w:bookmarkStart w:id="6" w:name="_GoBack"/>
      <w:bookmarkEnd w:id="6"/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S309一级公路养护工程（应急工程）机械租赁项目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color w:val="auto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pStyle w:val="2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2023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S309一级公路养护工程（应急工程）机械租赁项目 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color w:val="auto"/>
          <w:sz w:val="20"/>
          <w:szCs w:val="20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_Toc300835216"/>
      <w:bookmarkStart w:id="1" w:name="_Toc247514286"/>
      <w:bookmarkStart w:id="2" w:name="_Toc152045794"/>
      <w:bookmarkStart w:id="3" w:name="_Toc247527834"/>
      <w:bookmarkStart w:id="4" w:name="_Toc144974862"/>
      <w:bookmarkStart w:id="5" w:name="_Toc152042583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color w:val="auto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安徽通康建设工程有限公司  </w:t>
      </w:r>
      <w:permEnd w:id="0"/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贵单位就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S309一级公路养护工程（应急工程）机械租赁项目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进行询价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S309一级公路养护工程（应急工程）机械租赁项目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公告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以</w:t>
      </w:r>
      <w:permStart w:id="1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%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30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日历天，质量标准：符合国家、地方、行业现行相关规范合格标准。</w:t>
      </w:r>
      <w:permEnd w:id="1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（三）询价保证金；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（四）分项报价表；（五）资格审查资料。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 应 商：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    期：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地址：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成立时间：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经营期限：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姓名：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性别：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年龄：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职务：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系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名称）的法定代表人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附：法定代表人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pStyle w:val="6"/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color w:val="auto"/>
          <w:highlight w:val="none"/>
        </w:rPr>
        <w:t>、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询价</w:t>
      </w:r>
      <w:r>
        <w:rPr>
          <w:rFonts w:hint="default" w:ascii="Times New Roman" w:hAnsi="Times New Roman" w:cs="Times New Roman"/>
          <w:color w:val="auto"/>
          <w:highlight w:val="none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auto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分项报价表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2.分项报价表</w:t>
      </w:r>
    </w:p>
    <w:tbl>
      <w:tblPr>
        <w:tblStyle w:val="17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208"/>
        <w:gridCol w:w="1553"/>
        <w:gridCol w:w="1350"/>
        <w:gridCol w:w="1284"/>
        <w:gridCol w:w="1433"/>
        <w:gridCol w:w="1550"/>
        <w:gridCol w:w="43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4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S309一级公路养护工程（应急工程）机械租赁项目报价单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4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37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4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6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路面工程施工用机械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含机械进出场费用，施工机械包括但不限于摊铺机、胶轮压路机、双钢轮压路机、铣刨机、扫地机等路面施工所需所有机械及设备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7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挡土墙基础开挖，挡土墙土方回填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挖机型号不小于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215型履带挖机，含机械进出场费用，包含废土方外运费用，所提供挖机需满足挡土墙施工所需。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7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1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11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//%</w:t>
            </w:r>
            <w:r>
              <w:rPr>
                <w:rStyle w:val="30"/>
                <w:color w:val="auto"/>
                <w:highlight w:val="none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144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：1、报价包含机械进出场费、转场费、油费、使用费、安全费用、维修保养费、误工费、人工费、保险费等所有费用，投标报价应包括为完成沥青路面施工、挡土墙开挖回填、预制桩卸货费用及施工工作内容以及后期服务所需的费 用及税费，其他未尽事宜应统一考虑在报价内；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2、清单数量为暂定量，固定单价，投标人需综合考虑总体工程量、施工环境、施工工期进行报价；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3、资格要求、付款方式、其他等详见招标采购要求。</w:t>
            </w: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ind w:firstLine="420" w:firstLineChars="20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五、资格审查资料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注：1.提供应商营业执照的复印件，加盖供应商单位公章；2项目负责人身份证复印件</w:t>
      </w:r>
      <w:permEnd w:id="2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topLinePunct/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YWU1YzQ0YWNmNWQyMzg1MzcwNDU0NmU2NjZmZm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0C013F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42ADB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4F1033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5049F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125B7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4172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CE7E2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7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</cp:lastModifiedBy>
  <cp:lastPrinted>2023-11-22T08:40:19Z</cp:lastPrinted>
  <dcterms:modified xsi:type="dcterms:W3CDTF">2023-11-22T08:40:58Z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643AD2E81CAC40C19D3D827C3496DD39_13</vt:lpwstr>
  </property>
</Properties>
</file>