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rPr>
      </w:pPr>
    </w:p>
    <w:p>
      <w:pPr>
        <w:widowControl/>
        <w:jc w:val="center"/>
        <w:rPr>
          <w:rFonts w:ascii="Times New Roman" w:hAnsi="Times New Roman"/>
          <w:sz w:val="24"/>
        </w:rPr>
      </w:pPr>
    </w:p>
    <w:p>
      <w:pPr>
        <w:widowControl/>
        <w:jc w:val="center"/>
        <w:rPr>
          <w:rFonts w:ascii="Times New Roman" w:hAnsi="Times New Roman"/>
          <w:sz w:val="24"/>
        </w:rPr>
      </w:pPr>
    </w:p>
    <w:p>
      <w:pPr>
        <w:widowControl/>
        <w:jc w:val="center"/>
        <w:rPr>
          <w:rFonts w:ascii="宋体" w:hAnsi="宋体"/>
          <w:sz w:val="40"/>
          <w:szCs w:val="40"/>
        </w:rPr>
      </w:pPr>
      <w:r>
        <w:rPr>
          <w:rFonts w:hint="eastAsia" w:ascii="Times New Roman" w:hAnsi="Times New Roman"/>
          <w:b/>
          <w:bCs/>
          <w:kern w:val="0"/>
          <w:sz w:val="40"/>
          <w:szCs w:val="40"/>
          <w:u w:val="single"/>
        </w:rPr>
        <w:t>亳州至蒙城高速公路谯城（立德）至涡阳（标里）段收费站开通运营项目社会稳定风险评估</w:t>
      </w:r>
    </w:p>
    <w:p>
      <w:pPr>
        <w:spacing w:line="540" w:lineRule="exact"/>
        <w:ind w:firstLine="420"/>
        <w:rPr>
          <w:rFonts w:ascii="Times New Roman" w:hAnsi="Times New Roman"/>
          <w:szCs w:val="21"/>
        </w:rPr>
      </w:pPr>
    </w:p>
    <w:p>
      <w:pPr>
        <w:pStyle w:val="9"/>
        <w:rPr>
          <w:rFonts w:ascii="Times New Roman" w:hAnsi="Times New Roman"/>
          <w:szCs w:val="21"/>
        </w:rPr>
      </w:pPr>
    </w:p>
    <w:p>
      <w:pPr>
        <w:pStyle w:val="9"/>
        <w:rPr>
          <w:rFonts w:ascii="Times New Roman" w:hAnsi="Times New Roman"/>
          <w:szCs w:val="21"/>
        </w:rPr>
      </w:pPr>
    </w:p>
    <w:p>
      <w:pPr>
        <w:pStyle w:val="9"/>
        <w:rPr>
          <w:rFonts w:ascii="Times New Roman" w:hAnsi="Times New Roman"/>
          <w:szCs w:val="21"/>
        </w:rPr>
      </w:pPr>
    </w:p>
    <w:p>
      <w:pPr>
        <w:spacing w:line="540" w:lineRule="exact"/>
        <w:ind w:firstLine="420"/>
        <w:rPr>
          <w:rFonts w:ascii="Times New Roman" w:hAnsi="Times New Roman"/>
          <w:szCs w:val="21"/>
        </w:rPr>
      </w:pPr>
    </w:p>
    <w:p>
      <w:pPr>
        <w:jc w:val="center"/>
        <w:rPr>
          <w:rFonts w:ascii="Times New Roman" w:hAnsi="Times New Roman" w:eastAsia="黑体"/>
          <w:sz w:val="72"/>
          <w:szCs w:val="72"/>
        </w:rPr>
      </w:pPr>
      <w:r>
        <w:rPr>
          <w:rFonts w:hint="eastAsia" w:ascii="Times New Roman" w:hAnsi="Times New Roman" w:eastAsia="黑体"/>
          <w:sz w:val="72"/>
          <w:szCs w:val="72"/>
          <w:lang w:val="en-US" w:eastAsia="zh-CN"/>
        </w:rPr>
        <w:t>招  标</w:t>
      </w:r>
      <w:r>
        <w:rPr>
          <w:rFonts w:ascii="Times New Roman" w:hAnsi="Times New Roman" w:eastAsia="黑体"/>
          <w:sz w:val="72"/>
          <w:szCs w:val="72"/>
        </w:rPr>
        <w:t xml:space="preserve">  文  件</w:t>
      </w:r>
    </w:p>
    <w:p>
      <w:pPr>
        <w:spacing w:line="540" w:lineRule="exact"/>
        <w:ind w:firstLine="420"/>
        <w:rPr>
          <w:rFonts w:ascii="Times New Roman" w:hAnsi="Times New Roman"/>
          <w:szCs w:val="21"/>
        </w:rPr>
      </w:pPr>
    </w:p>
    <w:p>
      <w:pPr>
        <w:spacing w:line="540" w:lineRule="exact"/>
        <w:ind w:firstLine="420"/>
        <w:rPr>
          <w:rFonts w:ascii="Times New Roman" w:hAnsi="Times New Roman"/>
          <w:szCs w:val="21"/>
        </w:rPr>
      </w:pPr>
    </w:p>
    <w:p>
      <w:pPr>
        <w:spacing w:line="540" w:lineRule="exact"/>
        <w:ind w:firstLine="420"/>
        <w:rPr>
          <w:rFonts w:ascii="Times New Roman" w:hAnsi="Times New Roman"/>
          <w:szCs w:val="21"/>
        </w:rPr>
      </w:pPr>
    </w:p>
    <w:p>
      <w:pPr>
        <w:spacing w:line="540" w:lineRule="exact"/>
        <w:ind w:firstLine="420"/>
        <w:rPr>
          <w:rFonts w:ascii="Times New Roman" w:hAnsi="Times New Roman"/>
          <w:szCs w:val="21"/>
        </w:rPr>
      </w:pPr>
    </w:p>
    <w:p>
      <w:pPr>
        <w:spacing w:line="540" w:lineRule="exact"/>
        <w:ind w:firstLine="420"/>
        <w:rPr>
          <w:rFonts w:ascii="Times New Roman" w:hAnsi="Times New Roman"/>
          <w:szCs w:val="21"/>
        </w:rPr>
      </w:pPr>
    </w:p>
    <w:p>
      <w:pPr>
        <w:spacing w:line="540" w:lineRule="exact"/>
        <w:ind w:firstLine="420"/>
        <w:rPr>
          <w:rFonts w:ascii="Times New Roman" w:hAnsi="Times New Roman"/>
          <w:szCs w:val="21"/>
        </w:rPr>
      </w:pPr>
    </w:p>
    <w:p>
      <w:pPr>
        <w:spacing w:line="540" w:lineRule="exact"/>
        <w:ind w:firstLine="420"/>
        <w:rPr>
          <w:rFonts w:ascii="Times New Roman" w:hAnsi="Times New Roman"/>
          <w:szCs w:val="21"/>
        </w:rPr>
      </w:pPr>
    </w:p>
    <w:p>
      <w:pPr>
        <w:spacing w:line="540" w:lineRule="exact"/>
        <w:ind w:firstLine="420"/>
        <w:rPr>
          <w:rFonts w:ascii="Times New Roman" w:hAnsi="Times New Roman"/>
          <w:szCs w:val="21"/>
        </w:rPr>
      </w:pPr>
    </w:p>
    <w:p>
      <w:pPr>
        <w:spacing w:line="540" w:lineRule="exact"/>
        <w:ind w:firstLine="420"/>
        <w:rPr>
          <w:rFonts w:ascii="Times New Roman" w:hAnsi="Times New Roman"/>
          <w:szCs w:val="21"/>
        </w:rPr>
      </w:pPr>
    </w:p>
    <w:p>
      <w:pPr>
        <w:spacing w:line="540" w:lineRule="exact"/>
        <w:ind w:firstLine="640"/>
        <w:rPr>
          <w:rFonts w:ascii="Times New Roman" w:hAnsi="Times New Roman" w:eastAsia="黑体"/>
          <w:sz w:val="32"/>
          <w:szCs w:val="32"/>
        </w:rPr>
      </w:pPr>
    </w:p>
    <w:p>
      <w:pPr>
        <w:spacing w:line="540" w:lineRule="exact"/>
        <w:ind w:left="1896" w:leftChars="903"/>
        <w:rPr>
          <w:rFonts w:ascii="Times New Roman" w:hAnsi="Times New Roman"/>
          <w:szCs w:val="21"/>
        </w:rPr>
      </w:pPr>
    </w:p>
    <w:p>
      <w:pPr>
        <w:snapToGrid w:val="0"/>
        <w:ind w:left="1266" w:leftChars="603"/>
        <w:jc w:val="both"/>
        <w:rPr>
          <w:rFonts w:ascii="Times New Roman" w:hAnsi="Times New Roman"/>
          <w:sz w:val="32"/>
          <w:szCs w:val="32"/>
          <w:u w:val="single"/>
        </w:rPr>
      </w:pPr>
      <w:r>
        <w:rPr>
          <w:rFonts w:ascii="Times New Roman" w:hAnsi="Times New Roman" w:eastAsia="黑体"/>
          <w:sz w:val="32"/>
          <w:szCs w:val="32"/>
        </w:rPr>
        <w:t>采 购 人：</w:t>
      </w:r>
      <w:r>
        <w:rPr>
          <w:rFonts w:hint="eastAsia" w:ascii="Times New Roman" w:hAnsi="Times New Roman" w:eastAsia="黑体"/>
          <w:sz w:val="32"/>
          <w:szCs w:val="32"/>
          <w:u w:val="single"/>
        </w:rPr>
        <w:t>安徽通达利交通建设管理有限公司</w:t>
      </w:r>
    </w:p>
    <w:p>
      <w:pPr>
        <w:snapToGrid w:val="0"/>
        <w:ind w:left="1896" w:leftChars="903"/>
        <w:rPr>
          <w:rFonts w:ascii="Times New Roman" w:hAnsi="Times New Roman"/>
          <w:sz w:val="32"/>
          <w:szCs w:val="32"/>
        </w:rPr>
      </w:pPr>
    </w:p>
    <w:p>
      <w:pPr>
        <w:snapToGrid w:val="0"/>
        <w:ind w:left="1266" w:leftChars="603"/>
        <w:rPr>
          <w:rFonts w:ascii="Times New Roman" w:hAnsi="Times New Roman"/>
          <w:sz w:val="32"/>
          <w:szCs w:val="32"/>
        </w:rPr>
      </w:pPr>
      <w:r>
        <w:rPr>
          <w:rFonts w:ascii="Times New Roman" w:hAnsi="Times New Roman" w:eastAsia="黑体"/>
          <w:sz w:val="32"/>
          <w:szCs w:val="32"/>
        </w:rPr>
        <w:t>日    期</w:t>
      </w:r>
      <w:r>
        <w:rPr>
          <w:rFonts w:ascii="Times New Roman" w:hAnsi="Times New Roman"/>
          <w:sz w:val="32"/>
          <w:szCs w:val="32"/>
        </w:rPr>
        <w:t>：</w:t>
      </w:r>
      <w:r>
        <w:rPr>
          <w:rFonts w:ascii="Times New Roman" w:hAnsi="Times New Roman" w:eastAsia="黑体"/>
          <w:sz w:val="32"/>
          <w:szCs w:val="32"/>
          <w:u w:val="single"/>
        </w:rPr>
        <w:t>202</w:t>
      </w:r>
      <w:r>
        <w:rPr>
          <w:rFonts w:hint="eastAsia" w:ascii="Times New Roman" w:hAnsi="Times New Roman" w:eastAsia="黑体"/>
          <w:sz w:val="32"/>
          <w:szCs w:val="32"/>
          <w:u w:val="single"/>
        </w:rPr>
        <w:t>3</w:t>
      </w:r>
      <w:r>
        <w:rPr>
          <w:rFonts w:ascii="Times New Roman" w:hAnsi="Times New Roman"/>
          <w:sz w:val="32"/>
          <w:szCs w:val="32"/>
        </w:rPr>
        <w:t>年</w:t>
      </w:r>
      <w:r>
        <w:rPr>
          <w:rFonts w:hint="eastAsia" w:ascii="Times New Roman" w:hAnsi="Times New Roman" w:eastAsia="黑体"/>
          <w:sz w:val="32"/>
          <w:szCs w:val="32"/>
          <w:u w:val="single"/>
          <w:lang w:val="en-US" w:eastAsia="zh-CN"/>
        </w:rPr>
        <w:t>11</w:t>
      </w:r>
      <w:r>
        <w:rPr>
          <w:rFonts w:ascii="Times New Roman" w:hAnsi="Times New Roman"/>
          <w:sz w:val="32"/>
          <w:szCs w:val="32"/>
        </w:rPr>
        <w:t>月</w:t>
      </w:r>
      <w:r>
        <w:rPr>
          <w:rFonts w:hint="eastAsia" w:ascii="Times New Roman" w:hAnsi="Times New Roman" w:eastAsia="黑体"/>
          <w:sz w:val="32"/>
          <w:szCs w:val="32"/>
          <w:u w:val="single"/>
          <w:lang w:val="en-US" w:eastAsia="zh-CN"/>
        </w:rPr>
        <w:t xml:space="preserve"> 15</w:t>
      </w:r>
      <w:r>
        <w:rPr>
          <w:rFonts w:ascii="Times New Roman" w:hAnsi="Times New Roman"/>
          <w:sz w:val="32"/>
          <w:szCs w:val="32"/>
        </w:rPr>
        <w:t>日</w:t>
      </w:r>
    </w:p>
    <w:p>
      <w:pPr>
        <w:ind w:left="1896" w:leftChars="903"/>
        <w:rPr>
          <w:rFonts w:ascii="Times New Roman" w:hAnsi="Times New Roman"/>
          <w:sz w:val="24"/>
        </w:rPr>
        <w:sectPr>
          <w:pgSz w:w="11906" w:h="16838"/>
          <w:pgMar w:top="1440" w:right="1800" w:bottom="1440" w:left="1800" w:header="851" w:footer="992" w:gutter="0"/>
          <w:cols w:space="720" w:num="1"/>
          <w:docGrid w:type="lines" w:linePitch="312" w:charSpace="0"/>
        </w:sectPr>
      </w:pPr>
    </w:p>
    <w:p>
      <w:pPr>
        <w:pStyle w:val="16"/>
        <w:tabs>
          <w:tab w:val="right" w:leader="dot" w:pos="8302"/>
        </w:tabs>
        <w:jc w:val="center"/>
        <w:rPr>
          <w:rFonts w:ascii="宋体" w:hAnsi="宋体"/>
          <w:sz w:val="28"/>
          <w:szCs w:val="28"/>
        </w:rPr>
      </w:pPr>
      <w:r>
        <w:rPr>
          <w:rFonts w:hint="eastAsia" w:ascii="宋体" w:hAnsi="宋体"/>
          <w:sz w:val="28"/>
          <w:szCs w:val="28"/>
        </w:rPr>
        <w:t>目 录</w:t>
      </w:r>
    </w:p>
    <w:p>
      <w:pPr>
        <w:pStyle w:val="16"/>
        <w:tabs>
          <w:tab w:val="right" w:leader="dot" w:pos="8302"/>
        </w:tabs>
        <w:rPr>
          <w:rFonts w:cs="Times New Roman"/>
          <w:b w:val="0"/>
          <w:bCs w:val="0"/>
          <w:caps w:val="0"/>
          <w:sz w:val="32"/>
          <w:szCs w:val="36"/>
        </w:rPr>
      </w:pPr>
      <w:r>
        <w:rPr>
          <w:rFonts w:ascii="宋体" w:hAnsi="宋体"/>
          <w:b w:val="0"/>
          <w:bCs w:val="0"/>
          <w:sz w:val="28"/>
          <w:szCs w:val="28"/>
        </w:rPr>
        <w:fldChar w:fldCharType="begin"/>
      </w:r>
      <w:r>
        <w:rPr>
          <w:rFonts w:ascii="宋体" w:hAnsi="宋体"/>
          <w:b w:val="0"/>
          <w:bCs w:val="0"/>
          <w:sz w:val="28"/>
          <w:szCs w:val="28"/>
        </w:rPr>
        <w:instrText xml:space="preserve"> TOC \o "1-1" \h \z \u </w:instrText>
      </w:r>
      <w:r>
        <w:rPr>
          <w:rFonts w:ascii="宋体" w:hAnsi="宋体"/>
          <w:b w:val="0"/>
          <w:bCs w:val="0"/>
          <w:sz w:val="28"/>
          <w:szCs w:val="28"/>
        </w:rPr>
        <w:fldChar w:fldCharType="separate"/>
      </w:r>
      <w:r>
        <w:fldChar w:fldCharType="begin"/>
      </w:r>
      <w:r>
        <w:instrText xml:space="preserve"> HYPERLINK \l "_Toc117838427" </w:instrText>
      </w:r>
      <w:r>
        <w:fldChar w:fldCharType="separate"/>
      </w:r>
      <w:r>
        <w:rPr>
          <w:rStyle w:val="25"/>
          <w:rFonts w:ascii="Times New Roman" w:hAnsi="Times New Roman" w:cs="Times New Roman"/>
          <w:b w:val="0"/>
          <w:bCs w:val="0"/>
          <w:sz w:val="28"/>
          <w:szCs w:val="28"/>
        </w:rPr>
        <w:t>第一章 采购公告</w:t>
      </w:r>
      <w:r>
        <w:rPr>
          <w:b w:val="0"/>
          <w:bCs w:val="0"/>
          <w:sz w:val="28"/>
          <w:szCs w:val="28"/>
        </w:rPr>
        <w:tab/>
      </w:r>
      <w:r>
        <w:rPr>
          <w:b w:val="0"/>
          <w:bCs w:val="0"/>
          <w:sz w:val="28"/>
          <w:szCs w:val="28"/>
        </w:rPr>
        <w:fldChar w:fldCharType="begin"/>
      </w:r>
      <w:r>
        <w:rPr>
          <w:b w:val="0"/>
          <w:bCs w:val="0"/>
          <w:sz w:val="28"/>
          <w:szCs w:val="28"/>
        </w:rPr>
        <w:instrText xml:space="preserve"> PAGEREF _Toc117838427 \h </w:instrText>
      </w:r>
      <w:r>
        <w:rPr>
          <w:b w:val="0"/>
          <w:bCs w:val="0"/>
          <w:sz w:val="28"/>
          <w:szCs w:val="28"/>
        </w:rPr>
        <w:fldChar w:fldCharType="separate"/>
      </w:r>
      <w:r>
        <w:rPr>
          <w:b w:val="0"/>
          <w:bCs w:val="0"/>
          <w:sz w:val="28"/>
          <w:szCs w:val="28"/>
        </w:rPr>
        <w:t>1</w:t>
      </w:r>
      <w:r>
        <w:rPr>
          <w:b w:val="0"/>
          <w:bCs w:val="0"/>
          <w:sz w:val="28"/>
          <w:szCs w:val="28"/>
        </w:rPr>
        <w:fldChar w:fldCharType="end"/>
      </w:r>
      <w:r>
        <w:rPr>
          <w:b w:val="0"/>
          <w:bCs w:val="0"/>
          <w:sz w:val="28"/>
          <w:szCs w:val="28"/>
        </w:rPr>
        <w:fldChar w:fldCharType="end"/>
      </w:r>
    </w:p>
    <w:p>
      <w:pPr>
        <w:pStyle w:val="16"/>
        <w:tabs>
          <w:tab w:val="right" w:leader="dot" w:pos="8302"/>
        </w:tabs>
        <w:rPr>
          <w:rFonts w:cs="Times New Roman"/>
          <w:b w:val="0"/>
          <w:bCs w:val="0"/>
          <w:caps w:val="0"/>
          <w:sz w:val="32"/>
          <w:szCs w:val="36"/>
        </w:rPr>
      </w:pPr>
      <w:r>
        <w:fldChar w:fldCharType="begin"/>
      </w:r>
      <w:r>
        <w:instrText xml:space="preserve"> HYPERLINK \l "_Toc117838428" </w:instrText>
      </w:r>
      <w:r>
        <w:fldChar w:fldCharType="separate"/>
      </w:r>
      <w:r>
        <w:rPr>
          <w:rStyle w:val="25"/>
          <w:rFonts w:ascii="Times New Roman" w:hAnsi="Times New Roman" w:cs="Times New Roman"/>
          <w:b w:val="0"/>
          <w:bCs w:val="0"/>
          <w:sz w:val="28"/>
          <w:szCs w:val="28"/>
        </w:rPr>
        <w:t>第二章 供应商须知</w:t>
      </w:r>
      <w:r>
        <w:rPr>
          <w:b w:val="0"/>
          <w:bCs w:val="0"/>
          <w:sz w:val="28"/>
          <w:szCs w:val="28"/>
        </w:rPr>
        <w:tab/>
      </w:r>
      <w:r>
        <w:rPr>
          <w:b w:val="0"/>
          <w:bCs w:val="0"/>
          <w:sz w:val="28"/>
          <w:szCs w:val="28"/>
        </w:rPr>
        <w:fldChar w:fldCharType="begin"/>
      </w:r>
      <w:r>
        <w:rPr>
          <w:b w:val="0"/>
          <w:bCs w:val="0"/>
          <w:sz w:val="28"/>
          <w:szCs w:val="28"/>
        </w:rPr>
        <w:instrText xml:space="preserve"> PAGEREF _Toc117838428 \h </w:instrText>
      </w:r>
      <w:r>
        <w:rPr>
          <w:b w:val="0"/>
          <w:bCs w:val="0"/>
          <w:sz w:val="28"/>
          <w:szCs w:val="28"/>
        </w:rPr>
        <w:fldChar w:fldCharType="separate"/>
      </w:r>
      <w:r>
        <w:rPr>
          <w:b w:val="0"/>
          <w:bCs w:val="0"/>
          <w:sz w:val="28"/>
          <w:szCs w:val="28"/>
        </w:rPr>
        <w:t>3</w:t>
      </w:r>
      <w:r>
        <w:rPr>
          <w:b w:val="0"/>
          <w:bCs w:val="0"/>
          <w:sz w:val="28"/>
          <w:szCs w:val="28"/>
        </w:rPr>
        <w:fldChar w:fldCharType="end"/>
      </w:r>
      <w:r>
        <w:rPr>
          <w:b w:val="0"/>
          <w:bCs w:val="0"/>
          <w:sz w:val="28"/>
          <w:szCs w:val="28"/>
        </w:rPr>
        <w:fldChar w:fldCharType="end"/>
      </w:r>
    </w:p>
    <w:p>
      <w:pPr>
        <w:pStyle w:val="16"/>
        <w:tabs>
          <w:tab w:val="right" w:leader="dot" w:pos="8302"/>
        </w:tabs>
        <w:rPr>
          <w:rFonts w:cs="Times New Roman"/>
          <w:b w:val="0"/>
          <w:bCs w:val="0"/>
          <w:caps w:val="0"/>
          <w:sz w:val="32"/>
          <w:szCs w:val="36"/>
        </w:rPr>
      </w:pPr>
      <w:r>
        <w:fldChar w:fldCharType="begin"/>
      </w:r>
      <w:r>
        <w:instrText xml:space="preserve"> HYPERLINK \l "_Toc117838429" </w:instrText>
      </w:r>
      <w:r>
        <w:fldChar w:fldCharType="separate"/>
      </w:r>
      <w:r>
        <w:rPr>
          <w:rStyle w:val="25"/>
          <w:rFonts w:ascii="Times New Roman" w:hAnsi="Times New Roman" w:cs="Times New Roman"/>
          <w:b w:val="0"/>
          <w:bCs w:val="0"/>
          <w:sz w:val="28"/>
          <w:szCs w:val="28"/>
        </w:rPr>
        <w:t>第三章 评审办法</w:t>
      </w:r>
      <w:r>
        <w:rPr>
          <w:b w:val="0"/>
          <w:bCs w:val="0"/>
          <w:sz w:val="28"/>
          <w:szCs w:val="28"/>
        </w:rPr>
        <w:tab/>
      </w:r>
      <w:r>
        <w:rPr>
          <w:b w:val="0"/>
          <w:bCs w:val="0"/>
          <w:sz w:val="28"/>
          <w:szCs w:val="28"/>
        </w:rPr>
        <w:fldChar w:fldCharType="begin"/>
      </w:r>
      <w:r>
        <w:rPr>
          <w:b w:val="0"/>
          <w:bCs w:val="0"/>
          <w:sz w:val="28"/>
          <w:szCs w:val="28"/>
        </w:rPr>
        <w:instrText xml:space="preserve"> PAGEREF _Toc117838429 \h </w:instrText>
      </w:r>
      <w:r>
        <w:rPr>
          <w:b w:val="0"/>
          <w:bCs w:val="0"/>
          <w:sz w:val="28"/>
          <w:szCs w:val="28"/>
        </w:rPr>
        <w:fldChar w:fldCharType="separate"/>
      </w:r>
      <w:r>
        <w:rPr>
          <w:b w:val="0"/>
          <w:bCs w:val="0"/>
          <w:sz w:val="28"/>
          <w:szCs w:val="28"/>
        </w:rPr>
        <w:t>8</w:t>
      </w:r>
      <w:r>
        <w:rPr>
          <w:b w:val="0"/>
          <w:bCs w:val="0"/>
          <w:sz w:val="28"/>
          <w:szCs w:val="28"/>
        </w:rPr>
        <w:fldChar w:fldCharType="end"/>
      </w:r>
      <w:r>
        <w:rPr>
          <w:b w:val="0"/>
          <w:bCs w:val="0"/>
          <w:sz w:val="28"/>
          <w:szCs w:val="28"/>
        </w:rPr>
        <w:fldChar w:fldCharType="end"/>
      </w:r>
    </w:p>
    <w:p>
      <w:pPr>
        <w:pStyle w:val="16"/>
        <w:tabs>
          <w:tab w:val="right" w:leader="dot" w:pos="8302"/>
        </w:tabs>
        <w:rPr>
          <w:rFonts w:cs="Times New Roman"/>
          <w:b w:val="0"/>
          <w:bCs w:val="0"/>
          <w:caps w:val="0"/>
          <w:sz w:val="32"/>
          <w:szCs w:val="36"/>
        </w:rPr>
      </w:pPr>
      <w:r>
        <w:fldChar w:fldCharType="begin"/>
      </w:r>
      <w:r>
        <w:instrText xml:space="preserve"> HYPERLINK \l "_Toc117838430" </w:instrText>
      </w:r>
      <w:r>
        <w:fldChar w:fldCharType="separate"/>
      </w:r>
      <w:r>
        <w:rPr>
          <w:rStyle w:val="25"/>
          <w:rFonts w:ascii="Times New Roman" w:hAnsi="Times New Roman" w:cs="Times New Roman"/>
          <w:b w:val="0"/>
          <w:bCs w:val="0"/>
          <w:sz w:val="28"/>
          <w:szCs w:val="28"/>
        </w:rPr>
        <w:t>第四章 合同内容</w:t>
      </w:r>
      <w:r>
        <w:rPr>
          <w:b w:val="0"/>
          <w:bCs w:val="0"/>
          <w:sz w:val="28"/>
          <w:szCs w:val="28"/>
        </w:rPr>
        <w:tab/>
      </w:r>
      <w:r>
        <w:rPr>
          <w:b w:val="0"/>
          <w:bCs w:val="0"/>
          <w:sz w:val="28"/>
          <w:szCs w:val="28"/>
        </w:rPr>
        <w:fldChar w:fldCharType="begin"/>
      </w:r>
      <w:r>
        <w:rPr>
          <w:b w:val="0"/>
          <w:bCs w:val="0"/>
          <w:sz w:val="28"/>
          <w:szCs w:val="28"/>
        </w:rPr>
        <w:instrText xml:space="preserve"> PAGEREF _Toc117838430 \h </w:instrText>
      </w:r>
      <w:r>
        <w:rPr>
          <w:b w:val="0"/>
          <w:bCs w:val="0"/>
          <w:sz w:val="28"/>
          <w:szCs w:val="28"/>
        </w:rPr>
        <w:fldChar w:fldCharType="separate"/>
      </w:r>
      <w:r>
        <w:rPr>
          <w:b w:val="0"/>
          <w:bCs w:val="0"/>
          <w:sz w:val="28"/>
          <w:szCs w:val="28"/>
        </w:rPr>
        <w:t>15</w:t>
      </w:r>
      <w:r>
        <w:rPr>
          <w:b w:val="0"/>
          <w:bCs w:val="0"/>
          <w:sz w:val="28"/>
          <w:szCs w:val="28"/>
        </w:rPr>
        <w:fldChar w:fldCharType="end"/>
      </w:r>
      <w:r>
        <w:rPr>
          <w:b w:val="0"/>
          <w:bCs w:val="0"/>
          <w:sz w:val="28"/>
          <w:szCs w:val="28"/>
        </w:rPr>
        <w:fldChar w:fldCharType="end"/>
      </w:r>
    </w:p>
    <w:p>
      <w:pPr>
        <w:pStyle w:val="16"/>
        <w:tabs>
          <w:tab w:val="right" w:leader="dot" w:pos="8302"/>
        </w:tabs>
        <w:rPr>
          <w:rFonts w:cs="Times New Roman"/>
          <w:b w:val="0"/>
          <w:bCs w:val="0"/>
          <w:caps w:val="0"/>
          <w:sz w:val="32"/>
          <w:szCs w:val="36"/>
        </w:rPr>
      </w:pPr>
      <w:r>
        <w:fldChar w:fldCharType="begin"/>
      </w:r>
      <w:r>
        <w:instrText xml:space="preserve"> HYPERLINK \l "_Toc117838431" </w:instrText>
      </w:r>
      <w:r>
        <w:fldChar w:fldCharType="separate"/>
      </w:r>
      <w:r>
        <w:rPr>
          <w:rStyle w:val="25"/>
          <w:rFonts w:ascii="Times New Roman" w:hAnsi="Times New Roman" w:cs="Times New Roman"/>
          <w:b w:val="0"/>
          <w:bCs w:val="0"/>
          <w:sz w:val="28"/>
          <w:szCs w:val="28"/>
        </w:rPr>
        <w:t>第五章 采购需求及清单</w:t>
      </w:r>
      <w:r>
        <w:rPr>
          <w:b w:val="0"/>
          <w:bCs w:val="0"/>
          <w:sz w:val="28"/>
          <w:szCs w:val="28"/>
        </w:rPr>
        <w:tab/>
      </w:r>
      <w:r>
        <w:rPr>
          <w:b w:val="0"/>
          <w:bCs w:val="0"/>
          <w:sz w:val="28"/>
          <w:szCs w:val="28"/>
        </w:rPr>
        <w:fldChar w:fldCharType="begin"/>
      </w:r>
      <w:r>
        <w:rPr>
          <w:b w:val="0"/>
          <w:bCs w:val="0"/>
          <w:sz w:val="28"/>
          <w:szCs w:val="28"/>
        </w:rPr>
        <w:instrText xml:space="preserve"> PAGEREF _Toc117838431 \h </w:instrText>
      </w:r>
      <w:r>
        <w:rPr>
          <w:b w:val="0"/>
          <w:bCs w:val="0"/>
          <w:sz w:val="28"/>
          <w:szCs w:val="28"/>
        </w:rPr>
        <w:fldChar w:fldCharType="separate"/>
      </w:r>
      <w:r>
        <w:rPr>
          <w:b w:val="0"/>
          <w:bCs w:val="0"/>
          <w:sz w:val="28"/>
          <w:szCs w:val="28"/>
        </w:rPr>
        <w:t>23</w:t>
      </w:r>
      <w:r>
        <w:rPr>
          <w:b w:val="0"/>
          <w:bCs w:val="0"/>
          <w:sz w:val="28"/>
          <w:szCs w:val="28"/>
        </w:rPr>
        <w:fldChar w:fldCharType="end"/>
      </w:r>
      <w:r>
        <w:rPr>
          <w:b w:val="0"/>
          <w:bCs w:val="0"/>
          <w:sz w:val="28"/>
          <w:szCs w:val="28"/>
        </w:rPr>
        <w:fldChar w:fldCharType="end"/>
      </w:r>
    </w:p>
    <w:p>
      <w:pPr>
        <w:pStyle w:val="16"/>
        <w:tabs>
          <w:tab w:val="right" w:leader="dot" w:pos="8302"/>
        </w:tabs>
        <w:rPr>
          <w:rFonts w:cs="Times New Roman"/>
          <w:b w:val="0"/>
          <w:bCs w:val="0"/>
          <w:caps w:val="0"/>
          <w:sz w:val="32"/>
          <w:szCs w:val="36"/>
        </w:rPr>
      </w:pPr>
      <w:r>
        <w:fldChar w:fldCharType="begin"/>
      </w:r>
      <w:r>
        <w:instrText xml:space="preserve"> HYPERLINK \l "_Toc117838432" </w:instrText>
      </w:r>
      <w:r>
        <w:fldChar w:fldCharType="separate"/>
      </w:r>
      <w:r>
        <w:rPr>
          <w:rStyle w:val="25"/>
          <w:rFonts w:ascii="Times New Roman" w:hAnsi="Times New Roman" w:cs="Times New Roman"/>
          <w:b w:val="0"/>
          <w:bCs w:val="0"/>
          <w:sz w:val="28"/>
          <w:szCs w:val="28"/>
        </w:rPr>
        <w:t>第六章 响应文件格式</w:t>
      </w:r>
      <w:r>
        <w:rPr>
          <w:b w:val="0"/>
          <w:bCs w:val="0"/>
          <w:sz w:val="28"/>
          <w:szCs w:val="28"/>
        </w:rPr>
        <w:tab/>
      </w:r>
      <w:r>
        <w:rPr>
          <w:b w:val="0"/>
          <w:bCs w:val="0"/>
          <w:sz w:val="28"/>
          <w:szCs w:val="28"/>
        </w:rPr>
        <w:fldChar w:fldCharType="begin"/>
      </w:r>
      <w:r>
        <w:rPr>
          <w:b w:val="0"/>
          <w:bCs w:val="0"/>
          <w:sz w:val="28"/>
          <w:szCs w:val="28"/>
        </w:rPr>
        <w:instrText xml:space="preserve"> PAGEREF _Toc117838432 \h </w:instrText>
      </w:r>
      <w:r>
        <w:rPr>
          <w:b w:val="0"/>
          <w:bCs w:val="0"/>
          <w:sz w:val="28"/>
          <w:szCs w:val="28"/>
        </w:rPr>
        <w:fldChar w:fldCharType="separate"/>
      </w:r>
      <w:r>
        <w:rPr>
          <w:b w:val="0"/>
          <w:bCs w:val="0"/>
          <w:sz w:val="28"/>
          <w:szCs w:val="28"/>
        </w:rPr>
        <w:t>24</w:t>
      </w:r>
      <w:r>
        <w:rPr>
          <w:b w:val="0"/>
          <w:bCs w:val="0"/>
          <w:sz w:val="28"/>
          <w:szCs w:val="28"/>
        </w:rPr>
        <w:fldChar w:fldCharType="end"/>
      </w:r>
      <w:r>
        <w:rPr>
          <w:b w:val="0"/>
          <w:bCs w:val="0"/>
          <w:sz w:val="28"/>
          <w:szCs w:val="28"/>
        </w:rPr>
        <w:fldChar w:fldCharType="end"/>
      </w:r>
    </w:p>
    <w:p>
      <w:pPr>
        <w:jc w:val="center"/>
        <w:rPr>
          <w:rFonts w:ascii="宋体" w:hAnsi="宋体"/>
        </w:rPr>
      </w:pPr>
      <w:r>
        <w:rPr>
          <w:rFonts w:ascii="宋体" w:hAnsi="宋体"/>
          <w:sz w:val="32"/>
          <w:szCs w:val="40"/>
        </w:rPr>
        <w:fldChar w:fldCharType="end"/>
      </w:r>
    </w:p>
    <w:p>
      <w:pPr>
        <w:jc w:val="center"/>
        <w:rPr>
          <w:rFonts w:ascii="宋体" w:hAnsi="宋体"/>
        </w:rPr>
      </w:pPr>
    </w:p>
    <w:p>
      <w:pPr>
        <w:jc w:val="center"/>
        <w:rPr>
          <w:rFonts w:ascii="宋体" w:hAnsi="宋体"/>
        </w:rPr>
      </w:pPr>
    </w:p>
    <w:p>
      <w:pPr>
        <w:jc w:val="center"/>
        <w:rPr>
          <w:rFonts w:ascii="宋体" w:hAnsi="宋体"/>
        </w:rPr>
      </w:pPr>
    </w:p>
    <w:p>
      <w:pPr>
        <w:pStyle w:val="2"/>
        <w:spacing w:before="312" w:after="312"/>
        <w:rPr>
          <w:rFonts w:ascii="Times New Roman" w:hAnsi="Times New Roman" w:eastAsia="宋体"/>
        </w:rPr>
        <w:sectPr>
          <w:footerReference r:id="rId3" w:type="default"/>
          <w:footnotePr>
            <w:numFmt w:val="decimalEnclosedCircleChinese"/>
            <w:numRestart w:val="eachPage"/>
          </w:footnotePr>
          <w:pgSz w:w="11906" w:h="16838"/>
          <w:pgMar w:top="1440" w:right="1797" w:bottom="1440" w:left="1797" w:header="851" w:footer="992" w:gutter="0"/>
          <w:cols w:space="720" w:num="1"/>
          <w:docGrid w:type="linesAndChars" w:linePitch="312" w:charSpace="0"/>
        </w:sectPr>
      </w:pPr>
    </w:p>
    <w:p>
      <w:pPr>
        <w:pStyle w:val="2"/>
        <w:spacing w:before="312" w:after="312"/>
        <w:rPr>
          <w:rFonts w:ascii="Times New Roman" w:hAnsi="Times New Roman" w:eastAsia="宋体"/>
        </w:rPr>
      </w:pPr>
      <w:bookmarkStart w:id="0" w:name="_Toc117838427"/>
      <w:r>
        <w:rPr>
          <w:rFonts w:ascii="Times New Roman" w:hAnsi="Times New Roman" w:eastAsia="宋体"/>
        </w:rPr>
        <w:t>采购公告</w:t>
      </w:r>
      <w:bookmarkEnd w:id="0"/>
    </w:p>
    <w:p>
      <w:pPr>
        <w:pStyle w:val="3"/>
        <w:snapToGrid w:val="0"/>
        <w:spacing w:before="120" w:after="120" w:line="240" w:lineRule="auto"/>
        <w:ind w:firstLine="403"/>
        <w:rPr>
          <w:rFonts w:ascii="Times New Roman" w:hAnsi="Times New Roman" w:eastAsia="黑体"/>
          <w:bCs w:val="0"/>
          <w:sz w:val="22"/>
          <w:szCs w:val="15"/>
        </w:rPr>
      </w:pPr>
      <w:bookmarkStart w:id="1" w:name="_Toc24354_WPSOffice_Level2"/>
      <w:bookmarkStart w:id="2" w:name="_Toc6496_WPSOffice_Level2"/>
      <w:bookmarkStart w:id="3" w:name="_Toc12765"/>
      <w:bookmarkStart w:id="4" w:name="_Toc10395_WPSOffice_Level2"/>
      <w:bookmarkStart w:id="5" w:name="_Toc13871"/>
      <w:bookmarkStart w:id="6" w:name="_Toc4489_WPSOffice_Level2"/>
      <w:bookmarkStart w:id="7" w:name="_Toc525632585"/>
      <w:r>
        <w:rPr>
          <w:rFonts w:ascii="Times New Roman" w:hAnsi="Times New Roman" w:eastAsia="黑体"/>
          <w:bCs w:val="0"/>
          <w:sz w:val="22"/>
          <w:szCs w:val="15"/>
        </w:rPr>
        <w:t>项目简介</w:t>
      </w:r>
      <w:bookmarkEnd w:id="1"/>
      <w:bookmarkEnd w:id="2"/>
      <w:bookmarkEnd w:id="3"/>
      <w:bookmarkEnd w:id="4"/>
      <w:bookmarkEnd w:id="5"/>
      <w:bookmarkEnd w:id="6"/>
      <w:bookmarkEnd w:id="7"/>
    </w:p>
    <w:p>
      <w:pPr>
        <w:snapToGrid w:val="0"/>
        <w:spacing w:line="440" w:lineRule="exact"/>
        <w:ind w:firstLine="420" w:firstLineChars="200"/>
        <w:rPr>
          <w:rFonts w:ascii="Times New Roman" w:hAnsi="Times New Roman"/>
          <w:szCs w:val="22"/>
          <w:u w:val="single"/>
        </w:rPr>
      </w:pPr>
      <w:r>
        <w:rPr>
          <w:rFonts w:ascii="Times New Roman" w:hAnsi="Times New Roman"/>
          <w:szCs w:val="22"/>
        </w:rPr>
        <w:t>1.1 项目名称：</w:t>
      </w:r>
      <w:r>
        <w:rPr>
          <w:rFonts w:hint="eastAsia" w:ascii="Times New Roman" w:hAnsi="Times New Roman"/>
          <w:szCs w:val="22"/>
          <w:u w:val="single"/>
        </w:rPr>
        <w:t>亳州至蒙城高速公路谯城（立德）至涡阳（标里）段收费站开通运营项目社会稳定风险评估</w:t>
      </w:r>
    </w:p>
    <w:p>
      <w:pPr>
        <w:snapToGrid w:val="0"/>
        <w:spacing w:line="440" w:lineRule="exact"/>
        <w:ind w:firstLine="420" w:firstLineChars="200"/>
        <w:rPr>
          <w:rFonts w:ascii="Times New Roman" w:hAnsi="Times New Roman"/>
          <w:szCs w:val="22"/>
          <w:u w:val="single"/>
        </w:rPr>
      </w:pPr>
      <w:r>
        <w:rPr>
          <w:rFonts w:ascii="Times New Roman" w:hAnsi="Times New Roman"/>
          <w:szCs w:val="22"/>
        </w:rPr>
        <w:t>1.2 采 购 人：</w:t>
      </w:r>
      <w:r>
        <w:rPr>
          <w:rFonts w:hint="eastAsia" w:ascii="Times New Roman" w:hAnsi="Times New Roman"/>
          <w:szCs w:val="22"/>
          <w:u w:val="single"/>
        </w:rPr>
        <w:t>安徽通达利交通建设管理有限公司</w:t>
      </w:r>
    </w:p>
    <w:p>
      <w:pPr>
        <w:snapToGrid w:val="0"/>
        <w:spacing w:line="440" w:lineRule="exact"/>
        <w:ind w:firstLine="420" w:firstLineChars="200"/>
        <w:rPr>
          <w:rFonts w:hint="eastAsia" w:ascii="Times New Roman" w:hAnsi="Times New Roman" w:eastAsia="宋体"/>
          <w:szCs w:val="22"/>
          <w:lang w:eastAsia="zh-CN"/>
        </w:rPr>
      </w:pPr>
      <w:r>
        <w:rPr>
          <w:rFonts w:ascii="Times New Roman" w:hAnsi="Times New Roman"/>
          <w:szCs w:val="22"/>
        </w:rPr>
        <w:t>1.3 项目概况：</w:t>
      </w:r>
      <w:r>
        <w:rPr>
          <w:rFonts w:hint="eastAsia" w:ascii="Times New Roman" w:hAnsi="Times New Roman"/>
          <w:szCs w:val="22"/>
        </w:rPr>
        <w:t>亳州至蒙城高速公路谯城（立德）至涡阳（标里）段是亳蒙高速的一期工程，起点位于亳州市谯城区立德镇李村北侧，设枢纽互通接济广（亳阜）高速，自西向东沿在建亳州机场北侧约700m处布线，经立德镇北、标里镇北，终点位于涡阳县标里镇李大村西侧，接亳蒙高速二期工程</w:t>
      </w:r>
      <w:r>
        <w:rPr>
          <w:rFonts w:hint="eastAsia" w:ascii="Times New Roman" w:hAnsi="Times New Roman"/>
          <w:szCs w:val="22"/>
          <w:lang w:eastAsia="zh-CN"/>
        </w:rPr>
        <w:t>，</w:t>
      </w:r>
      <w:r>
        <w:rPr>
          <w:rFonts w:hint="eastAsia" w:ascii="Times New Roman" w:hAnsi="Times New Roman"/>
          <w:szCs w:val="22"/>
        </w:rPr>
        <w:t>全长13.02km</w:t>
      </w:r>
      <w:r>
        <w:rPr>
          <w:rFonts w:hint="eastAsia" w:ascii="Times New Roman" w:hAnsi="Times New Roman"/>
          <w:szCs w:val="22"/>
          <w:lang w:eastAsia="zh-CN"/>
        </w:rPr>
        <w:t>，</w:t>
      </w:r>
      <w:r>
        <w:rPr>
          <w:rFonts w:hint="eastAsia" w:ascii="Times New Roman" w:hAnsi="Times New Roman"/>
          <w:szCs w:val="22"/>
          <w:lang w:eastAsia="zh-CN"/>
        </w:rPr>
        <w:t>路线按双向六车道高速公路标准建设，设计速度120公里/小时</w:t>
      </w:r>
      <w:r>
        <w:rPr>
          <w:rFonts w:hint="eastAsia" w:ascii="Times New Roman" w:hAnsi="Times New Roman"/>
          <w:szCs w:val="22"/>
        </w:rPr>
        <w:t>，设立德、机场枢纽2处，设匝道收费站1处（管理分中心）</w:t>
      </w:r>
      <w:r>
        <w:rPr>
          <w:rFonts w:hint="eastAsia" w:ascii="Times New Roman" w:hAnsi="Times New Roman"/>
          <w:szCs w:val="22"/>
          <w:lang w:eastAsia="zh-CN"/>
        </w:rPr>
        <w:t>。</w:t>
      </w:r>
    </w:p>
    <w:p>
      <w:pPr>
        <w:pStyle w:val="3"/>
        <w:snapToGrid w:val="0"/>
        <w:spacing w:before="120" w:after="120" w:line="240" w:lineRule="auto"/>
        <w:ind w:firstLine="403"/>
        <w:rPr>
          <w:rFonts w:ascii="Times New Roman" w:hAnsi="Times New Roman" w:eastAsia="黑体"/>
          <w:bCs w:val="0"/>
          <w:sz w:val="22"/>
          <w:szCs w:val="15"/>
        </w:rPr>
      </w:pPr>
      <w:bookmarkStart w:id="8" w:name="_Toc18367_WPSOffice_Level2"/>
      <w:bookmarkStart w:id="9" w:name="_Toc10274"/>
      <w:bookmarkStart w:id="10" w:name="_Toc525632586"/>
      <w:bookmarkStart w:id="11" w:name="_Toc18453"/>
      <w:bookmarkStart w:id="12" w:name="_Toc23266_WPSOffice_Level2"/>
      <w:bookmarkStart w:id="13" w:name="_Toc8128_WPSOffice_Level2"/>
      <w:bookmarkStart w:id="14" w:name="_Toc17858_WPSOffice_Level2"/>
      <w:r>
        <w:rPr>
          <w:rFonts w:ascii="Times New Roman" w:hAnsi="Times New Roman" w:eastAsia="黑体"/>
          <w:bCs w:val="0"/>
          <w:sz w:val="22"/>
          <w:szCs w:val="15"/>
        </w:rPr>
        <w:t>采购说明</w:t>
      </w:r>
      <w:bookmarkEnd w:id="8"/>
      <w:bookmarkEnd w:id="9"/>
      <w:bookmarkEnd w:id="10"/>
      <w:bookmarkEnd w:id="11"/>
      <w:bookmarkEnd w:id="12"/>
      <w:bookmarkEnd w:id="13"/>
      <w:bookmarkEnd w:id="14"/>
    </w:p>
    <w:p>
      <w:pPr>
        <w:snapToGrid w:val="0"/>
        <w:spacing w:line="440" w:lineRule="exact"/>
        <w:ind w:firstLine="420" w:firstLineChars="200"/>
        <w:rPr>
          <w:rFonts w:hint="eastAsia" w:ascii="Times New Roman" w:hAnsi="Times New Roman" w:eastAsia="宋体"/>
          <w:szCs w:val="22"/>
          <w:u w:val="single"/>
          <w:lang w:val="en-US" w:eastAsia="zh-CN"/>
        </w:rPr>
      </w:pPr>
      <w:bookmarkStart w:id="15" w:name="_Toc4489_WPSOffice_Level3"/>
      <w:r>
        <w:rPr>
          <w:rFonts w:ascii="Times New Roman" w:hAnsi="Times New Roman"/>
          <w:szCs w:val="22"/>
        </w:rPr>
        <w:t>2.1 采购方式：</w:t>
      </w:r>
      <w:bookmarkEnd w:id="15"/>
      <w:r>
        <w:rPr>
          <w:rFonts w:ascii="Times New Roman" w:hAnsi="Times New Roman"/>
          <w:szCs w:val="22"/>
          <w:u w:val="single"/>
        </w:rPr>
        <w:t>公开</w:t>
      </w:r>
      <w:r>
        <w:rPr>
          <w:rFonts w:hint="eastAsia" w:ascii="Times New Roman" w:hAnsi="Times New Roman"/>
          <w:szCs w:val="22"/>
          <w:u w:val="single"/>
          <w:lang w:val="en-US" w:eastAsia="zh-CN"/>
        </w:rPr>
        <w:t>招标</w:t>
      </w:r>
    </w:p>
    <w:p>
      <w:pPr>
        <w:snapToGrid w:val="0"/>
        <w:spacing w:line="440" w:lineRule="exact"/>
        <w:ind w:firstLine="420" w:firstLineChars="200"/>
        <w:rPr>
          <w:rFonts w:ascii="Times New Roman" w:hAnsi="Times New Roman"/>
          <w:szCs w:val="22"/>
          <w:u w:val="single"/>
        </w:rPr>
      </w:pPr>
      <w:bookmarkStart w:id="16" w:name="_Toc23266_WPSOffice_Level3"/>
      <w:r>
        <w:rPr>
          <w:rFonts w:ascii="Times New Roman" w:hAnsi="Times New Roman"/>
          <w:szCs w:val="22"/>
        </w:rPr>
        <w:t>2.2 资金来源及比例：</w:t>
      </w:r>
      <w:bookmarkEnd w:id="16"/>
      <w:bookmarkStart w:id="17" w:name="_Toc22379_WPSOffice_Level3"/>
      <w:r>
        <w:rPr>
          <w:rFonts w:hint="eastAsia" w:ascii="Times New Roman" w:hAnsi="Times New Roman" w:eastAsia="宋体" w:cs="Times New Roman"/>
          <w:sz w:val="21"/>
          <w:szCs w:val="21"/>
          <w:u w:val="single"/>
          <w:lang w:val="en-US" w:eastAsia="zh-CN"/>
        </w:rPr>
        <w:t>政府资金、自筹</w:t>
      </w:r>
    </w:p>
    <w:p>
      <w:pPr>
        <w:snapToGrid w:val="0"/>
        <w:spacing w:line="440" w:lineRule="exact"/>
        <w:ind w:firstLine="420" w:firstLineChars="200"/>
        <w:rPr>
          <w:rFonts w:ascii="Times New Roman" w:hAnsi="Times New Roman"/>
          <w:szCs w:val="22"/>
          <w:u w:val="single"/>
        </w:rPr>
      </w:pPr>
      <w:r>
        <w:rPr>
          <w:rFonts w:ascii="Times New Roman" w:hAnsi="Times New Roman"/>
          <w:szCs w:val="22"/>
        </w:rPr>
        <w:t xml:space="preserve">2.3 </w:t>
      </w:r>
      <w:r>
        <w:rPr>
          <w:rFonts w:hint="eastAsia" w:ascii="Times New Roman" w:hAnsi="Times New Roman"/>
          <w:szCs w:val="22"/>
        </w:rPr>
        <w:t>采购范围：</w:t>
      </w:r>
      <w:r>
        <w:rPr>
          <w:rFonts w:hint="eastAsia" w:ascii="宋体" w:hAnsi="宋体" w:eastAsia="宋体" w:cs="宋体"/>
          <w:sz w:val="21"/>
          <w:szCs w:val="21"/>
          <w:u w:val="single"/>
          <w:lang w:val="en-US" w:eastAsia="zh-CN"/>
        </w:rPr>
        <w:t>编制</w:t>
      </w:r>
      <w:r>
        <w:rPr>
          <w:rFonts w:hint="eastAsia" w:ascii="宋体" w:hAnsi="宋体" w:eastAsia="宋体" w:cs="宋体"/>
          <w:sz w:val="21"/>
          <w:szCs w:val="21"/>
          <w:u w:val="single"/>
        </w:rPr>
        <w:t>亳州至蒙城高速公路谯城（立德）至涡阳（标里）段收费站开通运营项目社会稳定风险评估报告，并保证编制内容准确、完整，完成评估报告并在维稳部门备案</w:t>
      </w:r>
      <w:r>
        <w:rPr>
          <w:rFonts w:hint="eastAsia" w:ascii="宋体" w:hAnsi="宋体" w:eastAsia="宋体" w:cs="宋体"/>
          <w:sz w:val="21"/>
          <w:szCs w:val="21"/>
          <w:u w:val="single"/>
          <w:lang w:eastAsia="zh-CN"/>
        </w:rPr>
        <w:t>。</w:t>
      </w:r>
    </w:p>
    <w:bookmarkEnd w:id="17"/>
    <w:p>
      <w:pPr>
        <w:pStyle w:val="19"/>
        <w:keepNext w:val="0"/>
        <w:keepLines w:val="0"/>
        <w:widowControl/>
        <w:suppressLineNumbers w:val="0"/>
        <w:snapToGrid w:val="0"/>
        <w:spacing w:before="0" w:beforeAutospacing="0" w:after="0" w:afterAutospacing="0" w:line="440" w:lineRule="atLeast"/>
        <w:ind w:left="0" w:right="0" w:firstLine="420"/>
        <w:jc w:val="both"/>
        <w:rPr>
          <w:rFonts w:hint="default" w:ascii="Calibri" w:hAnsi="Calibri" w:cs="Calibri"/>
          <w:sz w:val="21"/>
          <w:szCs w:val="21"/>
        </w:rPr>
      </w:pPr>
      <w:bookmarkStart w:id="18" w:name="_Toc31673_WPSOffice_Level2"/>
      <w:bookmarkStart w:id="19" w:name="_Toc6388"/>
      <w:bookmarkStart w:id="20" w:name="_Toc525632587"/>
      <w:bookmarkStart w:id="21" w:name="_Toc1622_WPSOffice_Level2"/>
      <w:bookmarkStart w:id="22" w:name="_Toc3714"/>
      <w:bookmarkStart w:id="23" w:name="_Toc22379_WPSOffice_Level2"/>
      <w:bookmarkStart w:id="24" w:name="_Toc29516_WPSOffice_Level2"/>
      <w:r>
        <w:rPr>
          <w:rFonts w:hint="default" w:ascii="Times New Roman" w:hAnsi="Times New Roman" w:cs="Times New Roman"/>
          <w:sz w:val="21"/>
          <w:szCs w:val="21"/>
        </w:rPr>
        <w:t xml:space="preserve">2.4  </w:t>
      </w:r>
      <w:r>
        <w:rPr>
          <w:rFonts w:hint="eastAsia" w:ascii="宋体" w:hAnsi="宋体" w:eastAsia="宋体" w:cs="宋体"/>
          <w:sz w:val="21"/>
          <w:szCs w:val="21"/>
        </w:rPr>
        <w:t>最高限价：</w:t>
      </w:r>
      <w:r>
        <w:rPr>
          <w:rFonts w:hint="eastAsia" w:ascii="Times New Roman" w:hAnsi="Times New Roman" w:cs="Times New Roman"/>
          <w:sz w:val="21"/>
          <w:szCs w:val="21"/>
          <w:u w:val="single"/>
          <w:lang w:val="en-US" w:eastAsia="zh-CN"/>
        </w:rPr>
        <w:t>6</w:t>
      </w:r>
      <w:r>
        <w:rPr>
          <w:rFonts w:hint="eastAsia" w:ascii="宋体" w:hAnsi="宋体" w:eastAsia="宋体" w:cs="宋体"/>
          <w:sz w:val="21"/>
          <w:szCs w:val="21"/>
          <w:u w:val="single"/>
        </w:rPr>
        <w:t>万元</w:t>
      </w:r>
    </w:p>
    <w:p>
      <w:pPr>
        <w:pStyle w:val="19"/>
        <w:keepNext w:val="0"/>
        <w:keepLines w:val="0"/>
        <w:widowControl/>
        <w:suppressLineNumbers w:val="0"/>
        <w:snapToGrid w:val="0"/>
        <w:spacing w:before="0" w:beforeAutospacing="0" w:after="0" w:afterAutospacing="0" w:line="440" w:lineRule="atLeast"/>
        <w:ind w:left="0" w:right="0" w:firstLine="420"/>
        <w:jc w:val="both"/>
        <w:rPr>
          <w:rFonts w:hint="default" w:ascii="Calibri" w:hAnsi="Calibri" w:cs="Calibri"/>
          <w:sz w:val="21"/>
          <w:szCs w:val="21"/>
        </w:rPr>
      </w:pPr>
      <w:r>
        <w:rPr>
          <w:rFonts w:hint="default" w:ascii="Times New Roman" w:hAnsi="Times New Roman" w:cs="Times New Roman"/>
          <w:sz w:val="21"/>
          <w:szCs w:val="21"/>
        </w:rPr>
        <w:t>2.</w:t>
      </w:r>
      <w:r>
        <w:rPr>
          <w:rFonts w:hint="eastAsia" w:ascii="Times New Roman" w:hAnsi="Times New Roman" w:cs="Times New Roman"/>
          <w:sz w:val="21"/>
          <w:szCs w:val="21"/>
          <w:lang w:val="en-US" w:eastAsia="zh-CN"/>
        </w:rPr>
        <w:t>5</w:t>
      </w:r>
      <w:r>
        <w:rPr>
          <w:rFonts w:hint="default" w:ascii="Times New Roman" w:hAnsi="Times New Roman" w:cs="Times New Roman"/>
          <w:sz w:val="21"/>
          <w:szCs w:val="21"/>
        </w:rPr>
        <w:t xml:space="preserve"> </w:t>
      </w:r>
      <w:r>
        <w:rPr>
          <w:rFonts w:hint="eastAsia" w:ascii="宋体" w:hAnsi="宋体" w:eastAsia="宋体" w:cs="宋体"/>
          <w:sz w:val="21"/>
          <w:szCs w:val="21"/>
        </w:rPr>
        <w:t>计划服务期：</w:t>
      </w:r>
      <w:r>
        <w:rPr>
          <w:rFonts w:hint="eastAsia" w:ascii="宋体" w:hAnsi="宋体" w:eastAsia="宋体" w:cs="宋体"/>
          <w:sz w:val="21"/>
          <w:szCs w:val="21"/>
          <w:u w:val="single"/>
        </w:rPr>
        <w:t>合同签订日至评估报告在维稳部门成功备案</w:t>
      </w:r>
      <w:r>
        <w:rPr>
          <w:rFonts w:hint="eastAsia" w:ascii="宋体" w:hAnsi="宋体" w:eastAsia="宋体" w:cs="宋体"/>
          <w:sz w:val="21"/>
          <w:szCs w:val="21"/>
        </w:rPr>
        <w:t>。</w:t>
      </w:r>
    </w:p>
    <w:p>
      <w:pPr>
        <w:pStyle w:val="3"/>
        <w:snapToGrid w:val="0"/>
        <w:spacing w:before="120" w:after="120" w:line="240" w:lineRule="auto"/>
        <w:ind w:firstLine="403"/>
        <w:rPr>
          <w:rFonts w:ascii="Times New Roman" w:hAnsi="Times New Roman" w:eastAsia="黑体"/>
          <w:bCs w:val="0"/>
          <w:sz w:val="22"/>
          <w:szCs w:val="15"/>
        </w:rPr>
      </w:pPr>
      <w:r>
        <w:rPr>
          <w:rFonts w:ascii="Times New Roman" w:hAnsi="Times New Roman" w:eastAsia="黑体"/>
          <w:bCs w:val="0"/>
          <w:sz w:val="22"/>
          <w:szCs w:val="15"/>
        </w:rPr>
        <w:t>供应商资格条件</w:t>
      </w:r>
      <w:bookmarkEnd w:id="18"/>
      <w:bookmarkEnd w:id="19"/>
      <w:bookmarkEnd w:id="20"/>
      <w:bookmarkEnd w:id="21"/>
      <w:bookmarkEnd w:id="22"/>
      <w:bookmarkEnd w:id="23"/>
      <w:bookmarkEnd w:id="24"/>
    </w:p>
    <w:p>
      <w:pPr>
        <w:snapToGrid w:val="0"/>
        <w:spacing w:line="440" w:lineRule="exact"/>
        <w:ind w:firstLine="420" w:firstLineChars="200"/>
        <w:rPr>
          <w:rFonts w:ascii="Times New Roman" w:hAnsi="Times New Roman"/>
          <w:szCs w:val="22"/>
        </w:rPr>
      </w:pPr>
      <w:r>
        <w:rPr>
          <w:rFonts w:ascii="Times New Roman" w:hAnsi="Times New Roman"/>
          <w:szCs w:val="22"/>
        </w:rPr>
        <w:t>3.1 本次采购要求供应商须</w:t>
      </w:r>
      <w:r>
        <w:rPr>
          <w:rFonts w:hint="eastAsia" w:ascii="Times New Roman" w:hAnsi="Times New Roman"/>
          <w:szCs w:val="22"/>
        </w:rPr>
        <w:t>同时</w:t>
      </w:r>
      <w:r>
        <w:rPr>
          <w:rFonts w:ascii="Times New Roman" w:hAnsi="Times New Roman"/>
          <w:szCs w:val="22"/>
        </w:rPr>
        <w:t>具备：</w:t>
      </w:r>
    </w:p>
    <w:p>
      <w:pPr>
        <w:snapToGrid w:val="0"/>
        <w:spacing w:line="440" w:lineRule="exact"/>
        <w:ind w:firstLine="420" w:firstLineChars="200"/>
        <w:rPr>
          <w:rFonts w:ascii="Times New Roman" w:hAnsi="Times New Roman"/>
          <w:szCs w:val="22"/>
        </w:rPr>
      </w:pPr>
      <w:r>
        <w:rPr>
          <w:rFonts w:ascii="Times New Roman" w:hAnsi="Times New Roman"/>
          <w:szCs w:val="22"/>
        </w:rPr>
        <w:t>（1）资质最低要求：</w:t>
      </w:r>
    </w:p>
    <w:p>
      <w:pPr>
        <w:snapToGrid w:val="0"/>
        <w:spacing w:line="440" w:lineRule="exact"/>
        <w:ind w:firstLine="420" w:firstLineChars="200"/>
        <w:rPr>
          <w:rFonts w:ascii="Times New Roman" w:hAnsi="Times New Roman"/>
          <w:szCs w:val="22"/>
        </w:rPr>
      </w:pPr>
      <w:r>
        <w:rPr>
          <w:rFonts w:ascii="Times New Roman" w:hAnsi="Times New Roman"/>
          <w:szCs w:val="22"/>
        </w:rPr>
        <w:t>具备独立法人资格，</w:t>
      </w:r>
      <w:r>
        <w:rPr>
          <w:rFonts w:hint="eastAsia" w:ascii="Times New Roman" w:hAnsi="Times New Roman"/>
          <w:szCs w:val="22"/>
        </w:rPr>
        <w:t>具有相关的编制评估报告经验的企事业单位。</w:t>
      </w:r>
    </w:p>
    <w:p>
      <w:pPr>
        <w:numPr>
          <w:ilvl w:val="0"/>
          <w:numId w:val="3"/>
        </w:numPr>
        <w:snapToGrid w:val="0"/>
        <w:spacing w:line="440" w:lineRule="exact"/>
        <w:ind w:firstLine="420" w:firstLineChars="200"/>
        <w:rPr>
          <w:rFonts w:ascii="Times New Roman" w:hAnsi="Times New Roman"/>
          <w:szCs w:val="22"/>
        </w:rPr>
      </w:pPr>
      <w:r>
        <w:rPr>
          <w:rFonts w:ascii="Times New Roman" w:hAnsi="Times New Roman"/>
          <w:szCs w:val="22"/>
        </w:rPr>
        <w:t>业绩最低要求：</w:t>
      </w:r>
    </w:p>
    <w:p>
      <w:pPr>
        <w:snapToGrid w:val="0"/>
        <w:spacing w:line="440" w:lineRule="exact"/>
        <w:ind w:firstLine="420" w:firstLineChars="200"/>
        <w:rPr>
          <w:rFonts w:ascii="Times New Roman" w:hAnsi="Times New Roman"/>
          <w:sz w:val="18"/>
          <w:szCs w:val="21"/>
        </w:rPr>
      </w:pPr>
      <w:r>
        <w:rPr>
          <w:rFonts w:ascii="Times New Roman" w:hAnsi="Times New Roman"/>
          <w:szCs w:val="22"/>
        </w:rPr>
        <w:t>近5年（指201</w:t>
      </w:r>
      <w:r>
        <w:rPr>
          <w:rFonts w:hint="eastAsia" w:ascii="Times New Roman" w:hAnsi="Times New Roman"/>
          <w:szCs w:val="22"/>
        </w:rPr>
        <w:t>8</w:t>
      </w:r>
      <w:r>
        <w:rPr>
          <w:rFonts w:ascii="Times New Roman" w:hAnsi="Times New Roman"/>
          <w:szCs w:val="22"/>
        </w:rPr>
        <w:t>年1月1日至响应文件递交截止日期，以</w:t>
      </w:r>
      <w:r>
        <w:rPr>
          <w:rFonts w:hint="eastAsia" w:ascii="Times New Roman" w:hAnsi="Times New Roman"/>
          <w:szCs w:val="22"/>
        </w:rPr>
        <w:t>服务完成</w:t>
      </w:r>
      <w:r>
        <w:rPr>
          <w:rFonts w:ascii="Times New Roman" w:hAnsi="Times New Roman"/>
          <w:szCs w:val="22"/>
        </w:rPr>
        <w:t>时间为准）具备</w:t>
      </w:r>
      <w:r>
        <w:rPr>
          <w:rFonts w:hint="eastAsia" w:ascii="Times New Roman" w:hAnsi="Times New Roman"/>
          <w:szCs w:val="22"/>
        </w:rPr>
        <w:t>完成过的</w:t>
      </w:r>
      <w:r>
        <w:rPr>
          <w:rFonts w:hint="eastAsia" w:ascii="Times New Roman" w:hAnsi="Times New Roman"/>
          <w:szCs w:val="22"/>
          <w:u w:val="single"/>
          <w:lang w:val="en-US" w:eastAsia="zh-CN"/>
        </w:rPr>
        <w:t>工程类项目</w:t>
      </w:r>
      <w:r>
        <w:rPr>
          <w:rFonts w:hint="eastAsia" w:ascii="Times New Roman" w:hAnsi="Times New Roman"/>
          <w:szCs w:val="22"/>
          <w:u w:val="single"/>
        </w:rPr>
        <w:t>社会稳定风险评估</w:t>
      </w:r>
      <w:r>
        <w:rPr>
          <w:rFonts w:hint="eastAsia" w:ascii="Times New Roman" w:hAnsi="Times New Roman"/>
          <w:szCs w:val="22"/>
        </w:rPr>
        <w:t>项目</w:t>
      </w:r>
      <w:r>
        <w:rPr>
          <w:rFonts w:ascii="Times New Roman" w:hAnsi="Times New Roman"/>
          <w:szCs w:val="22"/>
        </w:rPr>
        <w:t>业绩。</w:t>
      </w:r>
    </w:p>
    <w:p>
      <w:pPr>
        <w:numPr>
          <w:ilvl w:val="0"/>
          <w:numId w:val="3"/>
        </w:numPr>
        <w:snapToGrid w:val="0"/>
        <w:spacing w:line="440" w:lineRule="exact"/>
        <w:ind w:firstLine="420" w:firstLineChars="200"/>
        <w:rPr>
          <w:rFonts w:ascii="Times New Roman" w:hAnsi="Times New Roman"/>
          <w:szCs w:val="22"/>
        </w:rPr>
      </w:pPr>
      <w:r>
        <w:rPr>
          <w:rFonts w:ascii="Times New Roman" w:hAnsi="Times New Roman"/>
          <w:szCs w:val="22"/>
        </w:rPr>
        <w:t>主要人员最低要求：</w:t>
      </w:r>
    </w:p>
    <w:p>
      <w:pPr>
        <w:snapToGrid w:val="0"/>
        <w:spacing w:line="440" w:lineRule="exact"/>
        <w:ind w:firstLine="420" w:firstLineChars="200"/>
        <w:rPr>
          <w:rFonts w:ascii="Times New Roman" w:hAnsi="Times New Roman"/>
          <w:szCs w:val="22"/>
        </w:rPr>
      </w:pPr>
      <w:r>
        <w:rPr>
          <w:rFonts w:ascii="Times New Roman" w:hAnsi="Times New Roman"/>
          <w:szCs w:val="22"/>
        </w:rPr>
        <w:t>项目</w:t>
      </w:r>
      <w:r>
        <w:rPr>
          <w:rFonts w:hint="eastAsia" w:ascii="Times New Roman" w:hAnsi="Times New Roman"/>
          <w:szCs w:val="22"/>
        </w:rPr>
        <w:t>负责人</w:t>
      </w:r>
      <w:r>
        <w:rPr>
          <w:rFonts w:ascii="Times New Roman" w:hAnsi="Times New Roman"/>
          <w:szCs w:val="22"/>
        </w:rPr>
        <w:t>1名，具备以下资格条件：</w:t>
      </w:r>
    </w:p>
    <w:p>
      <w:pPr>
        <w:snapToGrid w:val="0"/>
        <w:spacing w:line="440" w:lineRule="exact"/>
        <w:ind w:firstLine="420" w:firstLineChars="200"/>
        <w:rPr>
          <w:rFonts w:ascii="Times New Roman" w:hAnsi="Times New Roman"/>
          <w:sz w:val="18"/>
          <w:szCs w:val="21"/>
        </w:rPr>
      </w:pPr>
      <w:r>
        <w:rPr>
          <w:rFonts w:hint="eastAsia" w:ascii="Times New Roman" w:hAnsi="Times New Roman"/>
          <w:szCs w:val="22"/>
        </w:rPr>
        <w:t>近5年（指2018年1月1日至响应文件递交截止日期），主持或主要完成</w:t>
      </w:r>
      <w:r>
        <w:rPr>
          <w:rFonts w:hint="eastAsia" w:ascii="Times New Roman" w:hAnsi="Times New Roman"/>
          <w:szCs w:val="22"/>
          <w:u w:val="single"/>
          <w:lang w:val="en-US" w:eastAsia="zh-CN"/>
        </w:rPr>
        <w:t>工程类项目</w:t>
      </w:r>
      <w:r>
        <w:rPr>
          <w:rFonts w:hint="eastAsia" w:ascii="Times New Roman" w:hAnsi="Times New Roman"/>
          <w:szCs w:val="22"/>
          <w:u w:val="single"/>
        </w:rPr>
        <w:t>社会稳定风险评估</w:t>
      </w:r>
      <w:r>
        <w:rPr>
          <w:rFonts w:hint="eastAsia" w:ascii="Times New Roman" w:hAnsi="Times New Roman"/>
          <w:szCs w:val="22"/>
        </w:rPr>
        <w:t>项目业绩（须附合同协议书或完成验收、备案相关资料等证明材料）</w:t>
      </w:r>
      <w:r>
        <w:rPr>
          <w:rFonts w:ascii="Times New Roman" w:hAnsi="Times New Roman"/>
          <w:sz w:val="18"/>
          <w:szCs w:val="21"/>
        </w:rPr>
        <w:t>。</w:t>
      </w:r>
    </w:p>
    <w:p>
      <w:pPr>
        <w:numPr>
          <w:ilvl w:val="0"/>
          <w:numId w:val="3"/>
        </w:numPr>
        <w:snapToGrid w:val="0"/>
        <w:spacing w:line="440" w:lineRule="exact"/>
        <w:ind w:firstLine="420" w:firstLineChars="200"/>
        <w:rPr>
          <w:rFonts w:ascii="Times New Roman" w:hAnsi="Times New Roman"/>
          <w:szCs w:val="22"/>
        </w:rPr>
      </w:pPr>
      <w:r>
        <w:rPr>
          <w:rFonts w:ascii="Times New Roman" w:hAnsi="Times New Roman"/>
          <w:szCs w:val="22"/>
        </w:rPr>
        <w:t>信誉要求最低要求：</w:t>
      </w:r>
    </w:p>
    <w:p>
      <w:pPr>
        <w:snapToGrid w:val="0"/>
        <w:spacing w:line="440" w:lineRule="exact"/>
        <w:ind w:firstLine="420" w:firstLineChars="200"/>
        <w:rPr>
          <w:rFonts w:ascii="Times New Roman" w:hAnsi="Times New Roman"/>
          <w:szCs w:val="22"/>
        </w:rPr>
      </w:pPr>
      <w:r>
        <w:rPr>
          <w:rFonts w:ascii="Times New Roman" w:hAnsi="Times New Roman"/>
          <w:szCs w:val="22"/>
        </w:rPr>
        <w:t>①</w:t>
      </w:r>
      <w:r>
        <w:rPr>
          <w:rFonts w:hint="eastAsia" w:ascii="Times New Roman" w:hAnsi="Times New Roman"/>
          <w:szCs w:val="22"/>
        </w:rPr>
        <w:t>未被责令停业，暂扣或吊销执照，或吊销资质证书；</w:t>
      </w:r>
    </w:p>
    <w:p>
      <w:pPr>
        <w:snapToGrid w:val="0"/>
        <w:spacing w:line="440" w:lineRule="exact"/>
        <w:ind w:firstLine="420" w:firstLineChars="200"/>
      </w:pPr>
      <w:r>
        <w:rPr>
          <w:rFonts w:hint="eastAsia" w:ascii="Times New Roman" w:hAnsi="Times New Roman"/>
          <w:szCs w:val="22"/>
        </w:rPr>
        <w:t>②未进入清算程序，或被宣告破产，或其他丧失履约能力的情形；</w:t>
      </w:r>
    </w:p>
    <w:p>
      <w:pPr>
        <w:snapToGrid w:val="0"/>
        <w:spacing w:line="440" w:lineRule="exact"/>
        <w:ind w:firstLine="420" w:firstLineChars="200"/>
        <w:rPr>
          <w:rFonts w:ascii="Times New Roman" w:hAnsi="Times New Roman"/>
          <w:szCs w:val="22"/>
        </w:rPr>
      </w:pPr>
      <w:r>
        <w:rPr>
          <w:rFonts w:hint="eastAsia" w:ascii="Times New Roman" w:hAnsi="Times New Roman"/>
          <w:szCs w:val="22"/>
        </w:rPr>
        <w:t>③</w:t>
      </w:r>
      <w:r>
        <w:rPr>
          <w:rFonts w:ascii="Times New Roman" w:hAnsi="Times New Roman"/>
          <w:szCs w:val="22"/>
        </w:rPr>
        <w:t>在国家企业信用信息公示系统（http://www.gsxt.gov.cn）中</w:t>
      </w:r>
      <w:r>
        <w:rPr>
          <w:rFonts w:hint="eastAsia" w:ascii="Times New Roman" w:hAnsi="Times New Roman"/>
          <w:szCs w:val="22"/>
        </w:rPr>
        <w:t>未</w:t>
      </w:r>
      <w:r>
        <w:rPr>
          <w:rFonts w:ascii="Times New Roman" w:hAnsi="Times New Roman"/>
          <w:szCs w:val="22"/>
        </w:rPr>
        <w:t>被列入严重违法失信企业名单；</w:t>
      </w:r>
    </w:p>
    <w:p>
      <w:pPr>
        <w:snapToGrid w:val="0"/>
        <w:spacing w:line="440" w:lineRule="exact"/>
        <w:ind w:firstLine="420" w:firstLineChars="200"/>
        <w:rPr>
          <w:rFonts w:ascii="Times New Roman" w:hAnsi="Times New Roman"/>
          <w:szCs w:val="22"/>
        </w:rPr>
      </w:pPr>
      <w:r>
        <w:rPr>
          <w:rFonts w:hint="eastAsia" w:ascii="Times New Roman" w:hAnsi="Times New Roman"/>
          <w:szCs w:val="22"/>
        </w:rPr>
        <w:t>④</w:t>
      </w:r>
      <w:r>
        <w:rPr>
          <w:rFonts w:ascii="Times New Roman" w:hAnsi="Times New Roman"/>
          <w:szCs w:val="22"/>
        </w:rPr>
        <w:t>在“信用中国”网站（http://www.creditchina.gov.cn）中</w:t>
      </w:r>
      <w:r>
        <w:rPr>
          <w:rFonts w:hint="eastAsia" w:ascii="Times New Roman" w:hAnsi="Times New Roman"/>
          <w:szCs w:val="22"/>
        </w:rPr>
        <w:t>未</w:t>
      </w:r>
      <w:r>
        <w:rPr>
          <w:rFonts w:ascii="Times New Roman" w:hAnsi="Times New Roman"/>
          <w:szCs w:val="22"/>
        </w:rPr>
        <w:t>被列入失信被执行人名单；</w:t>
      </w:r>
    </w:p>
    <w:p>
      <w:pPr>
        <w:snapToGrid w:val="0"/>
        <w:spacing w:line="440" w:lineRule="exact"/>
        <w:ind w:firstLine="420" w:firstLineChars="200"/>
        <w:rPr>
          <w:rFonts w:ascii="Times New Roman" w:hAnsi="Times New Roman"/>
          <w:szCs w:val="22"/>
        </w:rPr>
      </w:pPr>
      <w:r>
        <w:rPr>
          <w:rFonts w:hint="eastAsia" w:ascii="Times New Roman" w:hAnsi="Times New Roman"/>
          <w:szCs w:val="22"/>
        </w:rPr>
        <w:t>⑤</w:t>
      </w:r>
      <w:r>
        <w:rPr>
          <w:rFonts w:ascii="Times New Roman" w:hAnsi="Times New Roman"/>
          <w:szCs w:val="22"/>
        </w:rPr>
        <w:t>在近三年内（自</w:t>
      </w:r>
      <w:r>
        <w:rPr>
          <w:rFonts w:hint="eastAsia" w:ascii="Times New Roman" w:hAnsi="Times New Roman"/>
          <w:szCs w:val="22"/>
        </w:rPr>
        <w:t>响应文件递交截止之日</w:t>
      </w:r>
      <w:r>
        <w:rPr>
          <w:rFonts w:ascii="Times New Roman" w:hAnsi="Times New Roman"/>
          <w:szCs w:val="22"/>
        </w:rPr>
        <w:t>向前追溯3年）供应商或其法定代表人、拟委任的项目</w:t>
      </w:r>
      <w:r>
        <w:rPr>
          <w:rFonts w:hint="eastAsia" w:ascii="Times New Roman" w:hAnsi="Times New Roman"/>
          <w:szCs w:val="22"/>
        </w:rPr>
        <w:t>负责人未</w:t>
      </w:r>
      <w:r>
        <w:rPr>
          <w:rFonts w:ascii="Times New Roman" w:hAnsi="Times New Roman"/>
          <w:szCs w:val="22"/>
        </w:rPr>
        <w:t>有行贿犯罪行为。</w:t>
      </w:r>
    </w:p>
    <w:p>
      <w:pPr>
        <w:snapToGrid w:val="0"/>
        <w:spacing w:line="440" w:lineRule="exact"/>
        <w:ind w:firstLine="420" w:firstLineChars="200"/>
        <w:rPr>
          <w:rFonts w:ascii="Times New Roman" w:hAnsi="Times New Roman"/>
          <w:sz w:val="18"/>
          <w:szCs w:val="21"/>
        </w:rPr>
      </w:pPr>
      <w:r>
        <w:rPr>
          <w:rFonts w:ascii="Times New Roman" w:hAnsi="Times New Roman"/>
          <w:szCs w:val="22"/>
        </w:rPr>
        <w:t>3.2 联合体：本次采购</w:t>
      </w:r>
      <w:r>
        <w:rPr>
          <w:rFonts w:hint="eastAsia" w:ascii="Times New Roman" w:hAnsi="Times New Roman"/>
          <w:szCs w:val="22"/>
        </w:rPr>
        <w:t>不接受</w:t>
      </w:r>
      <w:r>
        <w:rPr>
          <w:rFonts w:ascii="Times New Roman" w:hAnsi="Times New Roman"/>
          <w:szCs w:val="22"/>
        </w:rPr>
        <w:t>联合体报价。</w:t>
      </w:r>
    </w:p>
    <w:p>
      <w:pPr>
        <w:snapToGrid w:val="0"/>
        <w:spacing w:line="440" w:lineRule="exact"/>
        <w:ind w:firstLine="420" w:firstLineChars="200"/>
        <w:rPr>
          <w:rFonts w:ascii="Times New Roman" w:hAnsi="Times New Roman"/>
          <w:sz w:val="18"/>
          <w:szCs w:val="21"/>
        </w:rPr>
      </w:pPr>
      <w:r>
        <w:rPr>
          <w:rFonts w:ascii="Times New Roman" w:hAnsi="Times New Roman"/>
          <w:szCs w:val="22"/>
        </w:rPr>
        <w:t>3.3 单位负责人为同一人或者存在控股、管理关系的不同单位，不得同时参加同一合同包报价，否则相关响应文件均无效。</w:t>
      </w:r>
    </w:p>
    <w:p>
      <w:pPr>
        <w:pStyle w:val="3"/>
        <w:snapToGrid w:val="0"/>
        <w:spacing w:before="120" w:after="120" w:line="240" w:lineRule="auto"/>
        <w:ind w:firstLine="403"/>
        <w:rPr>
          <w:rFonts w:ascii="Times New Roman" w:hAnsi="Times New Roman" w:eastAsia="黑体"/>
          <w:bCs w:val="0"/>
          <w:sz w:val="22"/>
          <w:szCs w:val="15"/>
        </w:rPr>
      </w:pPr>
      <w:bookmarkStart w:id="25" w:name="_Toc1994"/>
      <w:bookmarkStart w:id="26" w:name="_Toc29452_WPSOffice_Level2"/>
      <w:bookmarkStart w:id="27" w:name="_Toc25666_WPSOffice_Level2"/>
      <w:bookmarkStart w:id="28" w:name="_Toc2996_WPSOffice_Level2"/>
      <w:bookmarkStart w:id="29" w:name="_Toc4109_WPSOffice_Level2"/>
      <w:bookmarkStart w:id="30" w:name="_Toc525632588"/>
      <w:bookmarkStart w:id="31" w:name="_Toc4751"/>
      <w:r>
        <w:rPr>
          <w:rFonts w:hint="eastAsia" w:ascii="Times New Roman" w:hAnsi="Times New Roman" w:eastAsia="黑体"/>
          <w:bCs w:val="0"/>
          <w:sz w:val="22"/>
          <w:szCs w:val="15"/>
          <w:lang w:eastAsia="zh-CN"/>
        </w:rPr>
        <w:t>招标文件</w:t>
      </w:r>
      <w:r>
        <w:rPr>
          <w:rFonts w:ascii="Times New Roman" w:hAnsi="Times New Roman" w:eastAsia="黑体"/>
          <w:bCs w:val="0"/>
          <w:sz w:val="22"/>
          <w:szCs w:val="15"/>
        </w:rPr>
        <w:t>的获取</w:t>
      </w:r>
      <w:bookmarkEnd w:id="25"/>
      <w:bookmarkEnd w:id="26"/>
      <w:bookmarkEnd w:id="27"/>
      <w:bookmarkEnd w:id="28"/>
      <w:bookmarkEnd w:id="29"/>
      <w:bookmarkEnd w:id="30"/>
      <w:bookmarkEnd w:id="31"/>
    </w:p>
    <w:p>
      <w:pPr>
        <w:pStyle w:val="19"/>
        <w:keepNext w:val="0"/>
        <w:keepLines w:val="0"/>
        <w:widowControl/>
        <w:suppressLineNumbers w:val="0"/>
        <w:snapToGrid w:val="0"/>
        <w:spacing w:before="0" w:beforeAutospacing="0" w:after="0" w:afterAutospacing="0" w:line="440" w:lineRule="atLeast"/>
        <w:ind w:left="0" w:right="0" w:firstLine="420"/>
        <w:jc w:val="both"/>
        <w:rPr>
          <w:rFonts w:ascii="Times New Roman" w:hAnsi="Times New Roman"/>
          <w:szCs w:val="22"/>
        </w:rPr>
      </w:pPr>
      <w:r>
        <w:rPr>
          <w:rFonts w:hint="eastAsia" w:ascii="Calibri" w:hAnsi="Calibri" w:cs="Calibri"/>
          <w:sz w:val="21"/>
          <w:szCs w:val="21"/>
          <w:lang w:val="en-US" w:eastAsia="zh-CN"/>
        </w:rPr>
        <w:t>网上获取</w:t>
      </w:r>
      <w:r>
        <w:rPr>
          <w:rFonts w:ascii="Times New Roman" w:hAnsi="Times New Roman"/>
          <w:szCs w:val="22"/>
        </w:rPr>
        <w:t>。</w:t>
      </w:r>
    </w:p>
    <w:p>
      <w:pPr>
        <w:pStyle w:val="3"/>
        <w:snapToGrid w:val="0"/>
        <w:spacing w:before="120" w:after="120" w:line="240" w:lineRule="auto"/>
        <w:ind w:firstLine="403"/>
        <w:rPr>
          <w:rFonts w:ascii="Times New Roman" w:hAnsi="Times New Roman" w:eastAsia="黑体"/>
          <w:bCs w:val="0"/>
          <w:sz w:val="22"/>
          <w:szCs w:val="15"/>
        </w:rPr>
      </w:pPr>
      <w:bookmarkStart w:id="32" w:name="_Toc726"/>
      <w:bookmarkStart w:id="33" w:name="_Toc525632589"/>
      <w:r>
        <w:rPr>
          <w:rFonts w:ascii="Times New Roman" w:hAnsi="Times New Roman" w:eastAsia="黑体"/>
          <w:bCs w:val="0"/>
          <w:sz w:val="22"/>
          <w:szCs w:val="15"/>
        </w:rPr>
        <w:t>响应文件的递交</w:t>
      </w:r>
      <w:bookmarkEnd w:id="32"/>
      <w:bookmarkEnd w:id="33"/>
    </w:p>
    <w:p>
      <w:pPr>
        <w:pStyle w:val="19"/>
        <w:keepNext w:val="0"/>
        <w:keepLines w:val="0"/>
        <w:widowControl/>
        <w:suppressLineNumbers w:val="0"/>
        <w:snapToGrid w:val="0"/>
        <w:spacing w:before="0" w:beforeAutospacing="0" w:after="0" w:afterAutospacing="0" w:line="440" w:lineRule="atLeast"/>
        <w:ind w:left="0" w:right="0" w:firstLine="420"/>
        <w:jc w:val="both"/>
        <w:rPr>
          <w:rFonts w:ascii="Times New Roman" w:hAnsi="Times New Roman"/>
          <w:szCs w:val="22"/>
          <w:highlight w:val="none"/>
        </w:rPr>
      </w:pPr>
      <w:r>
        <w:rPr>
          <w:rFonts w:hint="eastAsia" w:ascii="Times New Roman" w:hAnsi="Times New Roman" w:eastAsia="宋体" w:cs="Times New Roman"/>
          <w:kern w:val="2"/>
          <w:sz w:val="21"/>
          <w:szCs w:val="22"/>
          <w:highlight w:val="none"/>
          <w:lang w:val="en-US" w:eastAsia="zh-CN" w:bidi="ar-SA"/>
        </w:rPr>
        <w:t xml:space="preserve">响应文件递交的截止时间为2023年 </w:t>
      </w:r>
      <w:r>
        <w:rPr>
          <w:rFonts w:hint="eastAsia" w:ascii="Times New Roman" w:hAnsi="Times New Roman" w:cs="Times New Roman"/>
          <w:kern w:val="2"/>
          <w:sz w:val="21"/>
          <w:szCs w:val="22"/>
          <w:highlight w:val="none"/>
          <w:lang w:val="en-US" w:eastAsia="zh-CN" w:bidi="ar-SA"/>
        </w:rPr>
        <w:t>11</w:t>
      </w:r>
      <w:r>
        <w:rPr>
          <w:rFonts w:hint="eastAsia" w:ascii="Times New Roman" w:hAnsi="Times New Roman" w:eastAsia="宋体" w:cs="Times New Roman"/>
          <w:kern w:val="2"/>
          <w:sz w:val="21"/>
          <w:szCs w:val="22"/>
          <w:highlight w:val="none"/>
          <w:lang w:val="en-US" w:eastAsia="zh-CN" w:bidi="ar-SA"/>
        </w:rPr>
        <w:t xml:space="preserve"> 月 </w:t>
      </w:r>
      <w:r>
        <w:rPr>
          <w:rFonts w:hint="eastAsia" w:ascii="Times New Roman" w:hAnsi="Times New Roman" w:cs="Times New Roman"/>
          <w:kern w:val="2"/>
          <w:sz w:val="21"/>
          <w:szCs w:val="22"/>
          <w:highlight w:val="none"/>
          <w:lang w:val="en-US" w:eastAsia="zh-CN" w:bidi="ar-SA"/>
        </w:rPr>
        <w:t>24</w:t>
      </w:r>
      <w:r>
        <w:rPr>
          <w:rFonts w:hint="eastAsia" w:ascii="Times New Roman" w:hAnsi="Times New Roman" w:eastAsia="宋体" w:cs="Times New Roman"/>
          <w:kern w:val="2"/>
          <w:sz w:val="21"/>
          <w:szCs w:val="22"/>
          <w:highlight w:val="none"/>
          <w:lang w:val="en-US" w:eastAsia="zh-CN" w:bidi="ar-SA"/>
        </w:rPr>
        <w:t xml:space="preserve"> 日 9 时 </w:t>
      </w:r>
      <w:r>
        <w:rPr>
          <w:rFonts w:ascii="Times New Roman" w:hAnsi="Times New Roman" w:eastAsia="宋体" w:cs="Times New Roman"/>
          <w:kern w:val="2"/>
          <w:sz w:val="21"/>
          <w:szCs w:val="22"/>
          <w:highlight w:val="none"/>
          <w:lang w:val="en-US" w:eastAsia="zh-CN" w:bidi="ar-SA"/>
        </w:rPr>
        <w:t>0</w:t>
      </w:r>
      <w:r>
        <w:rPr>
          <w:rFonts w:hint="eastAsia" w:ascii="Times New Roman" w:hAnsi="Times New Roman" w:eastAsia="宋体" w:cs="Times New Roman"/>
          <w:kern w:val="2"/>
          <w:sz w:val="21"/>
          <w:szCs w:val="22"/>
          <w:highlight w:val="none"/>
          <w:lang w:val="en-US" w:eastAsia="zh-CN" w:bidi="ar-SA"/>
        </w:rPr>
        <w:t>0 分，供应商的法定代表人或其授权代理人</w:t>
      </w:r>
      <w:r>
        <w:rPr>
          <w:rFonts w:hint="eastAsia" w:ascii="宋体" w:hAnsi="宋体" w:eastAsia="宋体" w:cs="宋体"/>
          <w:sz w:val="21"/>
          <w:szCs w:val="21"/>
          <w:highlight w:val="none"/>
        </w:rPr>
        <w:t>应于递交的截止时间前将响应文件递交至</w:t>
      </w:r>
      <w:r>
        <w:rPr>
          <w:rFonts w:hint="eastAsia" w:ascii="宋体" w:hAnsi="宋体" w:eastAsia="宋体" w:cs="宋体"/>
          <w:color w:val="auto"/>
          <w:sz w:val="21"/>
          <w:szCs w:val="21"/>
          <w:highlight w:val="none"/>
        </w:rPr>
        <w:t>安徽通达利交通建设管理有限公司</w:t>
      </w:r>
      <w:r>
        <w:rPr>
          <w:rFonts w:hint="eastAsia" w:ascii="宋体" w:hAnsi="宋体" w:eastAsia="宋体" w:cs="宋体"/>
          <w:color w:val="auto"/>
          <w:sz w:val="21"/>
          <w:szCs w:val="21"/>
          <w:highlight w:val="none"/>
          <w:lang w:val="en-US" w:eastAsia="zh-CN"/>
        </w:rPr>
        <w:t>四楼会议室</w:t>
      </w:r>
      <w:r>
        <w:rPr>
          <w:rFonts w:hint="eastAsia" w:ascii="宋体" w:hAnsi="宋体" w:eastAsia="宋体" w:cs="宋体"/>
          <w:sz w:val="21"/>
          <w:szCs w:val="21"/>
          <w:highlight w:val="none"/>
        </w:rPr>
        <w:t>。</w:t>
      </w:r>
    </w:p>
    <w:p>
      <w:pPr>
        <w:pStyle w:val="3"/>
        <w:snapToGrid w:val="0"/>
        <w:spacing w:before="120" w:after="120" w:line="240" w:lineRule="auto"/>
        <w:ind w:firstLine="403"/>
        <w:rPr>
          <w:rFonts w:ascii="Times New Roman" w:hAnsi="Times New Roman" w:eastAsia="黑体"/>
          <w:bCs w:val="0"/>
          <w:sz w:val="22"/>
          <w:szCs w:val="15"/>
          <w:highlight w:val="none"/>
        </w:rPr>
      </w:pPr>
      <w:bookmarkStart w:id="34" w:name="_Toc22719"/>
      <w:bookmarkStart w:id="35" w:name="_Toc525632591"/>
      <w:r>
        <w:rPr>
          <w:rFonts w:ascii="Times New Roman" w:hAnsi="Times New Roman" w:eastAsia="黑体"/>
          <w:bCs w:val="0"/>
          <w:sz w:val="22"/>
          <w:szCs w:val="15"/>
          <w:highlight w:val="none"/>
        </w:rPr>
        <w:t>响应文件启封</w:t>
      </w:r>
    </w:p>
    <w:p>
      <w:pPr>
        <w:pStyle w:val="19"/>
        <w:keepNext w:val="0"/>
        <w:keepLines w:val="0"/>
        <w:widowControl/>
        <w:suppressLineNumbers w:val="0"/>
        <w:snapToGrid w:val="0"/>
        <w:spacing w:before="0" w:beforeAutospacing="0" w:after="0" w:afterAutospacing="0" w:line="440" w:lineRule="atLeast"/>
        <w:ind w:left="0" w:right="0" w:firstLine="420"/>
        <w:jc w:val="both"/>
        <w:rPr>
          <w:rFonts w:ascii="Times New Roman" w:hAnsi="Times New Roman"/>
          <w:szCs w:val="22"/>
          <w:highlight w:val="none"/>
        </w:rPr>
      </w:pPr>
      <w:r>
        <w:rPr>
          <w:rFonts w:hint="eastAsia" w:ascii="宋体" w:hAnsi="宋体" w:eastAsia="宋体" w:cs="宋体"/>
          <w:sz w:val="21"/>
          <w:szCs w:val="21"/>
          <w:highlight w:val="none"/>
        </w:rPr>
        <w:t>响应文件的递交截止时间到后，采购人将于组织进行响应文件的启封，启封地点为安徽省</w:t>
      </w:r>
      <w:r>
        <w:rPr>
          <w:rFonts w:hint="eastAsia" w:ascii="宋体" w:hAnsi="宋体" w:eastAsia="宋体" w:cs="宋体"/>
          <w:sz w:val="21"/>
          <w:szCs w:val="21"/>
          <w:highlight w:val="none"/>
          <w:lang w:val="en-US" w:eastAsia="zh-CN"/>
        </w:rPr>
        <w:t>亳州市谯城区大杨镇省道S309亳州收费站</w:t>
      </w:r>
      <w:r>
        <w:rPr>
          <w:rFonts w:hint="eastAsia" w:ascii="宋体" w:hAnsi="宋体" w:eastAsia="宋体" w:cs="宋体"/>
          <w:color w:val="auto"/>
          <w:sz w:val="21"/>
          <w:szCs w:val="21"/>
          <w:highlight w:val="none"/>
        </w:rPr>
        <w:t>安徽通达利交通建设管理有限公司</w:t>
      </w:r>
      <w:r>
        <w:rPr>
          <w:rFonts w:hint="eastAsia" w:ascii="宋体" w:hAnsi="宋体" w:eastAsia="宋体" w:cs="宋体"/>
          <w:color w:val="auto"/>
          <w:sz w:val="21"/>
          <w:szCs w:val="21"/>
          <w:highlight w:val="none"/>
          <w:lang w:val="en-US" w:eastAsia="zh-CN"/>
        </w:rPr>
        <w:t>四楼会议室</w:t>
      </w:r>
      <w:r>
        <w:rPr>
          <w:rFonts w:hint="eastAsia" w:ascii="宋体" w:hAnsi="宋体" w:eastAsia="宋体" w:cs="宋体"/>
          <w:sz w:val="21"/>
          <w:szCs w:val="21"/>
          <w:highlight w:val="none"/>
        </w:rPr>
        <w:t>。供应商的法定代表人或授权代理人应准时参加</w:t>
      </w:r>
      <w:r>
        <w:rPr>
          <w:rFonts w:ascii="Times New Roman" w:hAnsi="Times New Roman"/>
          <w:szCs w:val="22"/>
          <w:highlight w:val="none"/>
        </w:rPr>
        <w:t>。</w:t>
      </w:r>
    </w:p>
    <w:p>
      <w:pPr>
        <w:pStyle w:val="3"/>
        <w:snapToGrid w:val="0"/>
        <w:spacing w:before="120" w:after="120" w:line="240" w:lineRule="auto"/>
        <w:ind w:firstLine="403"/>
        <w:rPr>
          <w:rFonts w:ascii="Times New Roman" w:hAnsi="Times New Roman" w:eastAsia="黑体"/>
          <w:bCs w:val="0"/>
          <w:sz w:val="22"/>
          <w:szCs w:val="15"/>
          <w:highlight w:val="none"/>
        </w:rPr>
      </w:pPr>
      <w:r>
        <w:rPr>
          <w:rFonts w:hint="eastAsia" w:ascii="Times New Roman" w:hAnsi="Times New Roman" w:eastAsia="黑体"/>
          <w:bCs w:val="0"/>
          <w:sz w:val="22"/>
          <w:szCs w:val="15"/>
          <w:highlight w:val="none"/>
        </w:rPr>
        <w:t>响应保证金</w:t>
      </w:r>
    </w:p>
    <w:p>
      <w:pPr>
        <w:snapToGrid w:val="0"/>
        <w:spacing w:line="440" w:lineRule="exact"/>
        <w:ind w:firstLine="420" w:firstLineChars="200"/>
        <w:rPr>
          <w:rFonts w:ascii="Times New Roman" w:hAnsi="Times New Roman"/>
          <w:szCs w:val="22"/>
          <w:highlight w:val="none"/>
        </w:rPr>
      </w:pPr>
      <w:r>
        <w:rPr>
          <w:rFonts w:hint="eastAsia" w:ascii="Times New Roman" w:hAnsi="Times New Roman"/>
          <w:highlight w:val="none"/>
        </w:rPr>
        <w:t>响应保证金：无。</w:t>
      </w:r>
    </w:p>
    <w:bookmarkEnd w:id="34"/>
    <w:bookmarkEnd w:id="35"/>
    <w:p>
      <w:pPr>
        <w:pStyle w:val="3"/>
        <w:keepNext/>
        <w:keepLines w:val="0"/>
        <w:widowControl/>
        <w:numPr>
          <w:ilvl w:val="0"/>
          <w:numId w:val="0"/>
        </w:numPr>
        <w:suppressLineNumbers w:val="0"/>
        <w:snapToGrid w:val="0"/>
        <w:spacing w:before="120" w:beforeAutospacing="0" w:after="120" w:afterAutospacing="0" w:line="240" w:lineRule="auto"/>
        <w:ind w:left="420" w:leftChars="0" w:right="0" w:rightChars="0"/>
        <w:jc w:val="both"/>
        <w:rPr>
          <w:rFonts w:hint="default" w:ascii="Arial" w:hAnsi="Arial" w:cs="Arial"/>
          <w:sz w:val="28"/>
          <w:szCs w:val="28"/>
          <w:highlight w:val="none"/>
        </w:rPr>
      </w:pPr>
      <w:r>
        <w:rPr>
          <w:rFonts w:hint="eastAsia" w:ascii="黑体" w:hAnsi="宋体" w:eastAsia="黑体" w:cs="黑体"/>
          <w:sz w:val="22"/>
          <w:szCs w:val="22"/>
          <w:highlight w:val="none"/>
          <w:lang w:val="en-US" w:eastAsia="zh-CN"/>
        </w:rPr>
        <w:t>8.</w:t>
      </w:r>
      <w:r>
        <w:rPr>
          <w:rFonts w:hint="eastAsia" w:ascii="黑体" w:hAnsi="宋体" w:eastAsia="黑体" w:cs="黑体"/>
          <w:sz w:val="22"/>
          <w:szCs w:val="22"/>
          <w:highlight w:val="none"/>
        </w:rPr>
        <w:t>发布公告的媒介</w:t>
      </w:r>
    </w:p>
    <w:p>
      <w:pPr>
        <w:pStyle w:val="19"/>
        <w:keepNext w:val="0"/>
        <w:keepLines w:val="0"/>
        <w:widowControl/>
        <w:suppressLineNumbers w:val="0"/>
        <w:snapToGrid w:val="0"/>
        <w:spacing w:before="0" w:beforeAutospacing="0" w:after="0" w:afterAutospacing="0" w:line="440" w:lineRule="atLeast"/>
        <w:ind w:left="0" w:right="0" w:firstLine="420"/>
        <w:jc w:val="both"/>
        <w:rPr>
          <w:rFonts w:hint="default" w:ascii="Calibri" w:hAnsi="Calibri" w:cs="Calibri"/>
          <w:sz w:val="21"/>
          <w:szCs w:val="21"/>
          <w:highlight w:val="none"/>
        </w:rPr>
      </w:pPr>
      <w:r>
        <w:rPr>
          <w:rFonts w:hint="eastAsia" w:ascii="宋体" w:hAnsi="宋体" w:eastAsia="宋体" w:cs="宋体"/>
          <w:sz w:val="21"/>
          <w:szCs w:val="21"/>
          <w:highlight w:val="none"/>
        </w:rPr>
        <w:t>本次采购公告在</w:t>
      </w:r>
      <w:r>
        <w:rPr>
          <w:rFonts w:hint="default" w:ascii="Times New Roman" w:hAnsi="Times New Roman" w:cs="Times New Roman"/>
          <w:sz w:val="21"/>
          <w:szCs w:val="21"/>
          <w:highlight w:val="none"/>
        </w:rPr>
        <w:t xml:space="preserve"> </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亳州交控集团官网</w:t>
      </w:r>
      <w:r>
        <w:rPr>
          <w:rFonts w:hint="eastAsia" w:ascii="宋体" w:hAnsi="宋体" w:eastAsia="宋体" w:cs="宋体"/>
          <w:sz w:val="21"/>
          <w:szCs w:val="21"/>
          <w:highlight w:val="none"/>
        </w:rPr>
        <w:t>”（http://www.bzjkjt.com）上发布。</w:t>
      </w:r>
    </w:p>
    <w:p>
      <w:pPr>
        <w:pStyle w:val="3"/>
        <w:keepNext/>
        <w:keepLines w:val="0"/>
        <w:widowControl/>
        <w:numPr>
          <w:ilvl w:val="0"/>
          <w:numId w:val="0"/>
        </w:numPr>
        <w:suppressLineNumbers w:val="0"/>
        <w:snapToGrid w:val="0"/>
        <w:spacing w:before="120" w:beforeAutospacing="0" w:after="120" w:afterAutospacing="0" w:line="240" w:lineRule="auto"/>
        <w:ind w:left="420" w:leftChars="0" w:right="0" w:rightChars="0"/>
        <w:jc w:val="both"/>
        <w:rPr>
          <w:rFonts w:hint="default" w:ascii="Arial" w:hAnsi="Arial" w:cs="Arial"/>
          <w:sz w:val="28"/>
          <w:szCs w:val="28"/>
          <w:highlight w:val="none"/>
        </w:rPr>
      </w:pPr>
      <w:r>
        <w:rPr>
          <w:rFonts w:hint="eastAsia" w:ascii="黑体" w:hAnsi="宋体" w:eastAsia="黑体" w:cs="黑体"/>
          <w:sz w:val="22"/>
          <w:szCs w:val="22"/>
          <w:highlight w:val="none"/>
          <w:lang w:val="en-US" w:eastAsia="zh-CN"/>
        </w:rPr>
        <w:t>9.</w:t>
      </w:r>
      <w:r>
        <w:rPr>
          <w:rFonts w:hint="eastAsia" w:ascii="黑体" w:hAnsi="宋体" w:eastAsia="黑体" w:cs="黑体"/>
          <w:sz w:val="22"/>
          <w:szCs w:val="22"/>
          <w:highlight w:val="none"/>
        </w:rPr>
        <w:t>采购人联系方式</w:t>
      </w:r>
    </w:p>
    <w:p>
      <w:pPr>
        <w:pStyle w:val="19"/>
        <w:keepNext w:val="0"/>
        <w:keepLines w:val="0"/>
        <w:widowControl/>
        <w:suppressLineNumbers w:val="0"/>
        <w:spacing w:before="0" w:beforeAutospacing="0" w:after="0" w:afterAutospacing="0" w:line="440" w:lineRule="atLeast"/>
        <w:ind w:left="0" w:right="0" w:firstLine="420"/>
        <w:jc w:val="both"/>
        <w:rPr>
          <w:rFonts w:hint="default" w:ascii="Calibri" w:hAnsi="Calibri" w:cs="Calibri"/>
          <w:sz w:val="21"/>
          <w:szCs w:val="21"/>
          <w:highlight w:val="none"/>
        </w:rPr>
      </w:pPr>
      <w:r>
        <w:rPr>
          <w:rFonts w:hint="eastAsia" w:ascii="宋体" w:hAnsi="宋体" w:eastAsia="宋体" w:cs="宋体"/>
          <w:sz w:val="21"/>
          <w:szCs w:val="21"/>
          <w:highlight w:val="none"/>
        </w:rPr>
        <w:t>采</w:t>
      </w:r>
      <w:r>
        <w:rPr>
          <w:rFonts w:hint="default" w:ascii="Times New Roman" w:hAnsi="Times New Roman" w:cs="Times New Roman"/>
          <w:sz w:val="21"/>
          <w:szCs w:val="21"/>
          <w:highlight w:val="none"/>
        </w:rPr>
        <w:t xml:space="preserve"> </w:t>
      </w:r>
      <w:r>
        <w:rPr>
          <w:rFonts w:hint="eastAsia" w:ascii="宋体" w:hAnsi="宋体" w:eastAsia="宋体" w:cs="宋体"/>
          <w:sz w:val="21"/>
          <w:szCs w:val="21"/>
          <w:highlight w:val="none"/>
        </w:rPr>
        <w:t>购</w:t>
      </w:r>
      <w:r>
        <w:rPr>
          <w:rFonts w:hint="default" w:ascii="Times New Roman" w:hAnsi="Times New Roman" w:cs="Times New Roman"/>
          <w:sz w:val="21"/>
          <w:szCs w:val="21"/>
          <w:highlight w:val="none"/>
        </w:rPr>
        <w:t xml:space="preserve"> </w:t>
      </w:r>
      <w:r>
        <w:rPr>
          <w:rFonts w:hint="eastAsia" w:ascii="宋体" w:hAnsi="宋体" w:eastAsia="宋体" w:cs="宋体"/>
          <w:sz w:val="21"/>
          <w:szCs w:val="21"/>
          <w:highlight w:val="none"/>
        </w:rPr>
        <w:t>人：</w:t>
      </w:r>
      <w:r>
        <w:rPr>
          <w:rFonts w:hint="eastAsia" w:ascii="宋体" w:hAnsi="宋体" w:eastAsia="宋体" w:cs="宋体"/>
          <w:color w:val="auto"/>
          <w:sz w:val="21"/>
          <w:szCs w:val="21"/>
          <w:highlight w:val="none"/>
        </w:rPr>
        <w:t>安徽通达利交通建设管理有限公司</w:t>
      </w:r>
    </w:p>
    <w:p>
      <w:pPr>
        <w:pStyle w:val="19"/>
        <w:keepNext w:val="0"/>
        <w:keepLines w:val="0"/>
        <w:widowControl/>
        <w:suppressLineNumbers w:val="0"/>
        <w:spacing w:before="0" w:beforeAutospacing="0" w:after="0" w:afterAutospacing="0" w:line="440" w:lineRule="atLeast"/>
        <w:ind w:left="0" w:right="0" w:firstLine="420"/>
        <w:jc w:val="both"/>
        <w:rPr>
          <w:rFonts w:hint="default" w:ascii="Calibri" w:hAnsi="Calibri" w:cs="Calibri"/>
          <w:sz w:val="21"/>
          <w:szCs w:val="21"/>
          <w:highlight w:val="none"/>
        </w:rPr>
      </w:pPr>
      <w:r>
        <w:rPr>
          <w:rFonts w:hint="eastAsia" w:ascii="宋体" w:hAnsi="宋体" w:eastAsia="宋体" w:cs="宋体"/>
          <w:sz w:val="21"/>
          <w:szCs w:val="21"/>
          <w:highlight w:val="none"/>
        </w:rPr>
        <w:t>地</w:t>
      </w:r>
      <w:r>
        <w:rPr>
          <w:rFonts w:hint="default" w:ascii="Times New Roman" w:hAnsi="Times New Roman" w:cs="Times New Roman"/>
          <w:sz w:val="21"/>
          <w:szCs w:val="21"/>
          <w:highlight w:val="none"/>
        </w:rPr>
        <w:t xml:space="preserve">    </w:t>
      </w:r>
      <w:r>
        <w:rPr>
          <w:rFonts w:hint="eastAsia" w:ascii="宋体" w:hAnsi="宋体" w:eastAsia="宋体" w:cs="宋体"/>
          <w:sz w:val="21"/>
          <w:szCs w:val="21"/>
          <w:highlight w:val="none"/>
        </w:rPr>
        <w:t>址：</w:t>
      </w:r>
      <w:r>
        <w:rPr>
          <w:rFonts w:hint="eastAsia" w:ascii="宋体" w:hAnsi="宋体" w:eastAsia="宋体" w:cs="宋体"/>
          <w:sz w:val="21"/>
          <w:szCs w:val="21"/>
          <w:highlight w:val="none"/>
          <w:lang w:val="en-US" w:eastAsia="zh-CN"/>
        </w:rPr>
        <w:t>亳州市谯城区大杨镇省道S309亳州收费站</w:t>
      </w:r>
    </w:p>
    <w:p>
      <w:pPr>
        <w:pStyle w:val="19"/>
        <w:keepNext w:val="0"/>
        <w:keepLines w:val="0"/>
        <w:widowControl/>
        <w:suppressLineNumbers w:val="0"/>
        <w:spacing w:before="0" w:beforeAutospacing="0" w:after="0" w:afterAutospacing="0" w:line="440" w:lineRule="atLeast"/>
        <w:ind w:left="0" w:right="0" w:firstLine="420"/>
        <w:jc w:val="both"/>
        <w:rPr>
          <w:rFonts w:hint="default" w:ascii="Calibri" w:hAnsi="Calibri" w:cs="Calibri"/>
          <w:sz w:val="21"/>
          <w:szCs w:val="21"/>
          <w:highlight w:val="none"/>
        </w:rPr>
      </w:pPr>
      <w:r>
        <w:rPr>
          <w:rFonts w:hint="eastAsia" w:ascii="宋体" w:hAnsi="宋体" w:eastAsia="宋体" w:cs="宋体"/>
          <w:sz w:val="21"/>
          <w:szCs w:val="21"/>
          <w:highlight w:val="none"/>
        </w:rPr>
        <w:t>联</w:t>
      </w:r>
      <w:r>
        <w:rPr>
          <w:rFonts w:hint="default" w:ascii="Times New Roman" w:hAnsi="Times New Roman" w:cs="Times New Roman"/>
          <w:sz w:val="21"/>
          <w:szCs w:val="21"/>
          <w:highlight w:val="none"/>
        </w:rPr>
        <w:t xml:space="preserve"> </w:t>
      </w:r>
      <w:r>
        <w:rPr>
          <w:rFonts w:hint="eastAsia" w:ascii="宋体" w:hAnsi="宋体" w:eastAsia="宋体" w:cs="宋体"/>
          <w:sz w:val="21"/>
          <w:szCs w:val="21"/>
          <w:highlight w:val="none"/>
        </w:rPr>
        <w:t>系</w:t>
      </w:r>
      <w:r>
        <w:rPr>
          <w:rFonts w:hint="default" w:ascii="Times New Roman" w:hAnsi="Times New Roman" w:cs="Times New Roman"/>
          <w:sz w:val="21"/>
          <w:szCs w:val="21"/>
          <w:highlight w:val="none"/>
        </w:rPr>
        <w:t xml:space="preserve"> </w:t>
      </w:r>
      <w:r>
        <w:rPr>
          <w:rFonts w:hint="eastAsia" w:ascii="宋体" w:hAnsi="宋体" w:eastAsia="宋体" w:cs="宋体"/>
          <w:sz w:val="21"/>
          <w:szCs w:val="21"/>
          <w:highlight w:val="none"/>
        </w:rPr>
        <w:t>人：</w:t>
      </w:r>
      <w:r>
        <w:rPr>
          <w:rFonts w:hint="eastAsia" w:ascii="宋体" w:hAnsi="宋体" w:eastAsia="宋体" w:cs="宋体"/>
          <w:sz w:val="21"/>
          <w:szCs w:val="21"/>
          <w:highlight w:val="none"/>
          <w:u w:val="single"/>
          <w:lang w:val="en-US" w:eastAsia="zh-CN"/>
        </w:rPr>
        <w:t>黄</w:t>
      </w:r>
      <w:r>
        <w:rPr>
          <w:rFonts w:hint="eastAsia" w:ascii="宋体" w:hAnsi="宋体" w:eastAsia="宋体" w:cs="宋体"/>
          <w:sz w:val="21"/>
          <w:szCs w:val="21"/>
          <w:highlight w:val="none"/>
          <w:u w:val="single"/>
        </w:rPr>
        <w:t>工</w:t>
      </w:r>
    </w:p>
    <w:p>
      <w:pPr>
        <w:pStyle w:val="19"/>
        <w:keepNext w:val="0"/>
        <w:keepLines w:val="0"/>
        <w:widowControl/>
        <w:suppressLineNumbers w:val="0"/>
        <w:spacing w:before="0" w:beforeAutospacing="0" w:after="0" w:afterAutospacing="0" w:line="440" w:lineRule="atLeast"/>
        <w:ind w:left="0" w:right="0" w:firstLine="420"/>
        <w:jc w:val="both"/>
        <w:rPr>
          <w:rFonts w:ascii="Times New Roman" w:hAnsi="Times New Roman"/>
          <w:szCs w:val="22"/>
        </w:rPr>
      </w:pPr>
      <w:r>
        <w:rPr>
          <w:rFonts w:hint="eastAsia" w:ascii="宋体" w:hAnsi="宋体" w:eastAsia="宋体" w:cs="宋体"/>
          <w:sz w:val="21"/>
          <w:szCs w:val="21"/>
          <w:highlight w:val="none"/>
        </w:rPr>
        <w:t>电</w:t>
      </w:r>
      <w:r>
        <w:rPr>
          <w:rFonts w:hint="default" w:ascii="Times New Roman" w:hAnsi="Times New Roman" w:cs="Times New Roman"/>
          <w:sz w:val="21"/>
          <w:szCs w:val="21"/>
          <w:highlight w:val="none"/>
        </w:rPr>
        <w:t xml:space="preserve">    </w:t>
      </w:r>
      <w:r>
        <w:rPr>
          <w:rFonts w:hint="eastAsia" w:ascii="宋体" w:hAnsi="宋体" w:eastAsia="宋体" w:cs="宋体"/>
          <w:sz w:val="21"/>
          <w:szCs w:val="21"/>
          <w:highlight w:val="none"/>
        </w:rPr>
        <w:t>话：</w:t>
      </w:r>
      <w:r>
        <w:rPr>
          <w:rFonts w:hint="eastAsia" w:ascii="Times New Roman" w:hAnsi="Times New Roman" w:eastAsia="宋体" w:cs="Times New Roman"/>
          <w:sz w:val="21"/>
          <w:szCs w:val="21"/>
          <w:highlight w:val="none"/>
          <w:u w:val="single"/>
          <w:lang w:val="en-US" w:eastAsia="zh-CN"/>
        </w:rPr>
        <w:t>17398331825</w:t>
      </w:r>
    </w:p>
    <w:p>
      <w:pPr>
        <w:pStyle w:val="30"/>
        <w:jc w:val="center"/>
        <w:rPr>
          <w:rFonts w:hint="default" w:ascii="Times New Roman" w:hAnsi="Times New Roman"/>
          <w:color w:val="auto"/>
          <w:sz w:val="21"/>
          <w:szCs w:val="22"/>
        </w:rPr>
      </w:pPr>
    </w:p>
    <w:p>
      <w:pPr>
        <w:pStyle w:val="30"/>
        <w:jc w:val="right"/>
        <w:rPr>
          <w:rFonts w:hint="default" w:ascii="Times New Roman" w:hAnsi="Times New Roman"/>
          <w:color w:val="auto"/>
          <w:sz w:val="21"/>
          <w:szCs w:val="22"/>
        </w:rPr>
      </w:pPr>
    </w:p>
    <w:p>
      <w:pPr>
        <w:rPr>
          <w:rFonts w:ascii="Times New Roman" w:hAnsi="Times New Roman"/>
          <w:sz w:val="24"/>
          <w:szCs w:val="28"/>
        </w:rPr>
      </w:pPr>
      <w:r>
        <w:rPr>
          <w:rFonts w:ascii="Times New Roman" w:hAnsi="Times New Roman"/>
          <w:sz w:val="24"/>
          <w:szCs w:val="28"/>
        </w:rPr>
        <w:br w:type="page"/>
      </w:r>
    </w:p>
    <w:p>
      <w:pPr>
        <w:pStyle w:val="2"/>
        <w:spacing w:before="312" w:after="312"/>
        <w:ind w:firstLine="0"/>
        <w:rPr>
          <w:rFonts w:ascii="Times New Roman" w:hAnsi="Times New Roman" w:eastAsia="宋体"/>
        </w:rPr>
      </w:pPr>
      <w:bookmarkStart w:id="36" w:name="_Toc117838428"/>
      <w:r>
        <w:rPr>
          <w:rFonts w:ascii="Times New Roman" w:hAnsi="Times New Roman" w:eastAsia="宋体"/>
        </w:rPr>
        <w:t>供应商须知</w:t>
      </w:r>
      <w:bookmarkEnd w:id="36"/>
    </w:p>
    <w:p>
      <w:pPr>
        <w:keepNext/>
        <w:keepLines/>
        <w:spacing w:beforeLines="50" w:afterLines="50" w:line="360" w:lineRule="auto"/>
        <w:outlineLvl w:val="1"/>
        <w:rPr>
          <w:rFonts w:ascii="Times New Roman" w:hAnsi="Times New Roman" w:eastAsia="黑体"/>
          <w:bCs/>
          <w:sz w:val="24"/>
          <w:szCs w:val="32"/>
        </w:rPr>
      </w:pPr>
      <w:bookmarkStart w:id="37" w:name="_Toc14201207"/>
      <w:bookmarkStart w:id="38" w:name="_Toc9067720"/>
      <w:bookmarkStart w:id="39" w:name="_Toc26656938"/>
      <w:r>
        <w:rPr>
          <w:rFonts w:ascii="Times New Roman" w:hAnsi="Times New Roman" w:eastAsia="黑体"/>
          <w:bCs/>
          <w:sz w:val="24"/>
          <w:szCs w:val="32"/>
        </w:rPr>
        <w:t>1. 总则</w:t>
      </w:r>
      <w:bookmarkEnd w:id="37"/>
      <w:bookmarkEnd w:id="38"/>
      <w:bookmarkEnd w:id="39"/>
    </w:p>
    <w:p>
      <w:pPr>
        <w:keepNext/>
        <w:keepLines/>
        <w:spacing w:before="120" w:after="120"/>
        <w:outlineLvl w:val="2"/>
        <w:rPr>
          <w:rFonts w:ascii="Times New Roman" w:hAnsi="Times New Roman" w:eastAsia="黑体"/>
          <w:bCs/>
          <w:sz w:val="24"/>
          <w:szCs w:val="32"/>
        </w:rPr>
      </w:pPr>
      <w:bookmarkStart w:id="40" w:name="_Toc14201208"/>
      <w:bookmarkStart w:id="41" w:name="_Toc26656939"/>
      <w:r>
        <w:rPr>
          <w:rFonts w:ascii="Times New Roman" w:hAnsi="Times New Roman" w:eastAsia="黑体"/>
          <w:bCs/>
          <w:sz w:val="24"/>
          <w:szCs w:val="32"/>
        </w:rPr>
        <w:t xml:space="preserve">1.1 </w:t>
      </w:r>
      <w:bookmarkEnd w:id="40"/>
      <w:bookmarkEnd w:id="41"/>
      <w:bookmarkStart w:id="42" w:name="_Toc14201210"/>
      <w:bookmarkStart w:id="43" w:name="_Toc26656941"/>
      <w:r>
        <w:rPr>
          <w:rFonts w:ascii="Times New Roman" w:hAnsi="Times New Roman" w:eastAsia="黑体"/>
          <w:bCs/>
          <w:sz w:val="24"/>
          <w:szCs w:val="32"/>
        </w:rPr>
        <w:t>质量</w:t>
      </w:r>
      <w:r>
        <w:rPr>
          <w:rFonts w:hint="eastAsia" w:ascii="Times New Roman" w:hAnsi="Times New Roman" w:eastAsia="黑体"/>
          <w:bCs/>
          <w:sz w:val="24"/>
          <w:szCs w:val="32"/>
        </w:rPr>
        <w:t>、完成时间</w:t>
      </w:r>
      <w:r>
        <w:rPr>
          <w:rFonts w:ascii="Times New Roman" w:hAnsi="Times New Roman" w:eastAsia="黑体"/>
          <w:bCs/>
          <w:sz w:val="24"/>
          <w:szCs w:val="32"/>
        </w:rPr>
        <w:t>要求</w:t>
      </w:r>
      <w:bookmarkEnd w:id="42"/>
      <w:bookmarkEnd w:id="43"/>
    </w:p>
    <w:p>
      <w:pPr>
        <w:spacing w:line="440" w:lineRule="exact"/>
        <w:ind w:firstLine="420"/>
        <w:rPr>
          <w:rFonts w:ascii="Times New Roman" w:hAnsi="Times New Roman"/>
          <w:szCs w:val="21"/>
        </w:rPr>
      </w:pPr>
      <w:r>
        <w:rPr>
          <w:rFonts w:ascii="Times New Roman" w:hAnsi="Times New Roman"/>
          <w:szCs w:val="21"/>
        </w:rPr>
        <w:t>1.</w:t>
      </w:r>
      <w:r>
        <w:rPr>
          <w:rFonts w:hint="eastAsia" w:ascii="Times New Roman" w:hAnsi="Times New Roman"/>
          <w:szCs w:val="21"/>
        </w:rPr>
        <w:t>1</w:t>
      </w:r>
      <w:r>
        <w:rPr>
          <w:rFonts w:ascii="Times New Roman" w:hAnsi="Times New Roman"/>
          <w:szCs w:val="21"/>
        </w:rPr>
        <w:t>.</w:t>
      </w:r>
      <w:r>
        <w:rPr>
          <w:rFonts w:hint="eastAsia" w:ascii="Times New Roman" w:hAnsi="Times New Roman"/>
          <w:szCs w:val="21"/>
        </w:rPr>
        <w:t>1</w:t>
      </w:r>
      <w:r>
        <w:rPr>
          <w:rFonts w:ascii="Times New Roman" w:hAnsi="Times New Roman"/>
          <w:szCs w:val="21"/>
        </w:rPr>
        <w:t xml:space="preserve"> 本合同包的质量要求：</w:t>
      </w:r>
      <w:r>
        <w:rPr>
          <w:rFonts w:hint="eastAsia" w:ascii="Times New Roman" w:hAnsi="Times New Roman"/>
          <w:szCs w:val="21"/>
        </w:rPr>
        <w:t>供应商</w:t>
      </w:r>
      <w:r>
        <w:rPr>
          <w:rFonts w:ascii="Times New Roman" w:hAnsi="Times New Roman"/>
          <w:szCs w:val="21"/>
        </w:rPr>
        <w:t>应</w:t>
      </w:r>
      <w:r>
        <w:rPr>
          <w:rFonts w:hint="eastAsia" w:ascii="Times New Roman" w:hAnsi="Times New Roman"/>
          <w:szCs w:val="21"/>
        </w:rPr>
        <w:t>按时</w:t>
      </w:r>
      <w:r>
        <w:rPr>
          <w:rFonts w:ascii="Times New Roman" w:hAnsi="Times New Roman"/>
          <w:szCs w:val="21"/>
        </w:rPr>
        <w:t>交付</w:t>
      </w:r>
      <w:r>
        <w:rPr>
          <w:rFonts w:hint="eastAsia" w:ascii="Times New Roman" w:hAnsi="Times New Roman"/>
          <w:szCs w:val="22"/>
        </w:rPr>
        <w:t>亳州至蒙城高速公路谯城（立德）至涡阳（标里）段收费站开通运营项目社会稳定风险评估报告，并保证编</w:t>
      </w:r>
      <w:r>
        <w:rPr>
          <w:rFonts w:hint="eastAsia" w:ascii="Times New Roman" w:hAnsi="Times New Roman"/>
          <w:szCs w:val="21"/>
        </w:rPr>
        <w:t>制内容准确、完整，及时完成在维稳部门备案。</w:t>
      </w:r>
    </w:p>
    <w:p>
      <w:pPr>
        <w:spacing w:line="440" w:lineRule="exact"/>
        <w:ind w:firstLine="420"/>
      </w:pPr>
      <w:r>
        <w:rPr>
          <w:rFonts w:ascii="Times New Roman" w:hAnsi="Times New Roman"/>
          <w:szCs w:val="21"/>
        </w:rPr>
        <w:t>1.</w:t>
      </w:r>
      <w:r>
        <w:rPr>
          <w:rFonts w:hint="eastAsia" w:ascii="Times New Roman" w:hAnsi="Times New Roman"/>
          <w:szCs w:val="21"/>
        </w:rPr>
        <w:t>1</w:t>
      </w:r>
      <w:r>
        <w:rPr>
          <w:rFonts w:ascii="Times New Roman" w:hAnsi="Times New Roman"/>
          <w:szCs w:val="21"/>
        </w:rPr>
        <w:t>.</w:t>
      </w:r>
      <w:r>
        <w:rPr>
          <w:rFonts w:hint="eastAsia" w:ascii="Times New Roman" w:hAnsi="Times New Roman"/>
          <w:szCs w:val="21"/>
        </w:rPr>
        <w:t>2</w:t>
      </w:r>
      <w:r>
        <w:rPr>
          <w:rFonts w:ascii="Times New Roman" w:hAnsi="Times New Roman"/>
          <w:szCs w:val="21"/>
        </w:rPr>
        <w:t xml:space="preserve"> 本合同包的</w:t>
      </w:r>
      <w:r>
        <w:rPr>
          <w:rFonts w:hint="eastAsia" w:ascii="Times New Roman" w:hAnsi="Times New Roman"/>
          <w:szCs w:val="21"/>
        </w:rPr>
        <w:t>完成时间</w:t>
      </w:r>
      <w:r>
        <w:rPr>
          <w:rFonts w:ascii="Times New Roman" w:hAnsi="Times New Roman"/>
          <w:szCs w:val="21"/>
        </w:rPr>
        <w:t>要求：</w:t>
      </w:r>
      <w:r>
        <w:rPr>
          <w:rFonts w:hint="eastAsia" w:ascii="Times New Roman" w:hAnsi="Times New Roman"/>
          <w:szCs w:val="21"/>
        </w:rPr>
        <w:t>供应商</w:t>
      </w:r>
      <w:r>
        <w:rPr>
          <w:rFonts w:ascii="Times New Roman" w:hAnsi="Times New Roman"/>
          <w:szCs w:val="21"/>
        </w:rPr>
        <w:t>应在</w:t>
      </w:r>
      <w:r>
        <w:rPr>
          <w:rFonts w:hint="eastAsia" w:ascii="Times New Roman" w:hAnsi="Times New Roman"/>
          <w:szCs w:val="21"/>
        </w:rPr>
        <w:t>发包人提供</w:t>
      </w:r>
      <w:r>
        <w:rPr>
          <w:rFonts w:ascii="Times New Roman" w:hAnsi="Times New Roman"/>
          <w:szCs w:val="21"/>
        </w:rPr>
        <w:t>材料齐全后</w:t>
      </w:r>
      <w:r>
        <w:rPr>
          <w:rFonts w:hint="eastAsia" w:ascii="Times New Roman" w:hAnsi="Times New Roman"/>
          <w:szCs w:val="21"/>
        </w:rPr>
        <w:t>20</w:t>
      </w:r>
      <w:r>
        <w:rPr>
          <w:rFonts w:ascii="Times New Roman" w:hAnsi="Times New Roman"/>
          <w:szCs w:val="21"/>
        </w:rPr>
        <w:t>个</w:t>
      </w:r>
      <w:r>
        <w:rPr>
          <w:rFonts w:hint="eastAsia" w:ascii="Times New Roman" w:hAnsi="Times New Roman"/>
          <w:szCs w:val="21"/>
        </w:rPr>
        <w:t>工作</w:t>
      </w:r>
      <w:r>
        <w:rPr>
          <w:rFonts w:ascii="Times New Roman" w:hAnsi="Times New Roman"/>
          <w:szCs w:val="21"/>
        </w:rPr>
        <w:t>日内向</w:t>
      </w:r>
      <w:r>
        <w:rPr>
          <w:rFonts w:hint="eastAsia" w:ascii="Times New Roman" w:hAnsi="Times New Roman"/>
          <w:szCs w:val="21"/>
        </w:rPr>
        <w:t>发包人</w:t>
      </w:r>
      <w:r>
        <w:rPr>
          <w:rFonts w:ascii="Times New Roman" w:hAnsi="Times New Roman"/>
          <w:szCs w:val="21"/>
        </w:rPr>
        <w:t>交付</w:t>
      </w:r>
      <w:r>
        <w:rPr>
          <w:rFonts w:hint="eastAsia" w:ascii="Times New Roman" w:hAnsi="Times New Roman"/>
          <w:szCs w:val="22"/>
        </w:rPr>
        <w:t>亳州至蒙城高速公路谯城（立德）至涡阳（标里）段</w:t>
      </w:r>
      <w:r>
        <w:rPr>
          <w:rFonts w:hint="eastAsia" w:ascii="Times New Roman" w:hAnsi="Times New Roman"/>
          <w:szCs w:val="21"/>
        </w:rPr>
        <w:t>收费站开通运营项目社会稳定风险评估报告。</w:t>
      </w:r>
    </w:p>
    <w:p>
      <w:pPr>
        <w:keepNext/>
        <w:keepLines/>
        <w:spacing w:before="120" w:after="120"/>
        <w:outlineLvl w:val="2"/>
        <w:rPr>
          <w:rFonts w:ascii="Times New Roman" w:hAnsi="Times New Roman" w:eastAsia="黑体"/>
          <w:bCs/>
          <w:sz w:val="24"/>
          <w:szCs w:val="32"/>
        </w:rPr>
      </w:pPr>
      <w:bookmarkStart w:id="44" w:name="_Toc26656942"/>
      <w:bookmarkStart w:id="45" w:name="_Toc14201211"/>
      <w:r>
        <w:rPr>
          <w:rFonts w:ascii="Times New Roman" w:hAnsi="Times New Roman" w:eastAsia="黑体"/>
          <w:bCs/>
          <w:sz w:val="24"/>
          <w:szCs w:val="32"/>
        </w:rPr>
        <w:t>1.</w:t>
      </w:r>
      <w:r>
        <w:rPr>
          <w:rFonts w:hint="eastAsia" w:ascii="Times New Roman" w:hAnsi="Times New Roman" w:eastAsia="黑体"/>
          <w:bCs/>
          <w:sz w:val="24"/>
          <w:szCs w:val="32"/>
        </w:rPr>
        <w:t>2</w:t>
      </w:r>
      <w:r>
        <w:rPr>
          <w:rFonts w:ascii="Times New Roman" w:hAnsi="Times New Roman" w:eastAsia="黑体"/>
          <w:bCs/>
          <w:sz w:val="24"/>
          <w:szCs w:val="32"/>
        </w:rPr>
        <w:t xml:space="preserve"> 供应商资格要求</w:t>
      </w:r>
      <w:bookmarkEnd w:id="44"/>
      <w:bookmarkEnd w:id="45"/>
    </w:p>
    <w:p>
      <w:pPr>
        <w:spacing w:line="440" w:lineRule="exact"/>
        <w:ind w:firstLine="420"/>
        <w:rPr>
          <w:rFonts w:ascii="Times New Roman" w:hAnsi="Times New Roman"/>
          <w:szCs w:val="21"/>
        </w:rPr>
      </w:pPr>
      <w:r>
        <w:rPr>
          <w:rFonts w:ascii="Times New Roman" w:hAnsi="Times New Roman"/>
          <w:szCs w:val="21"/>
        </w:rPr>
        <w:t>1.</w:t>
      </w:r>
      <w:r>
        <w:rPr>
          <w:rFonts w:hint="eastAsia" w:ascii="Times New Roman" w:hAnsi="Times New Roman"/>
          <w:szCs w:val="21"/>
        </w:rPr>
        <w:t>2</w:t>
      </w:r>
      <w:r>
        <w:rPr>
          <w:rFonts w:ascii="Times New Roman" w:hAnsi="Times New Roman"/>
          <w:szCs w:val="21"/>
        </w:rPr>
        <w:t>.1供应商应具备承担本合同包</w:t>
      </w:r>
      <w:r>
        <w:rPr>
          <w:rFonts w:hint="eastAsia" w:ascii="Times New Roman" w:hAnsi="Times New Roman"/>
          <w:szCs w:val="21"/>
        </w:rPr>
        <w:t>服务</w:t>
      </w:r>
      <w:r>
        <w:rPr>
          <w:rFonts w:ascii="Times New Roman" w:hAnsi="Times New Roman"/>
          <w:szCs w:val="21"/>
        </w:rPr>
        <w:t xml:space="preserve">的资质条件、能力和信誉：见第一章 </w:t>
      </w:r>
      <w:r>
        <w:rPr>
          <w:rFonts w:hint="eastAsia" w:ascii="Times New Roman" w:hAnsi="Times New Roman"/>
          <w:szCs w:val="21"/>
        </w:rPr>
        <w:t>采购公告第3.1款要求</w:t>
      </w:r>
      <w:r>
        <w:rPr>
          <w:rFonts w:ascii="Times New Roman" w:hAnsi="Times New Roman"/>
          <w:szCs w:val="21"/>
        </w:rPr>
        <w:t>。</w:t>
      </w:r>
    </w:p>
    <w:p>
      <w:pPr>
        <w:keepNext/>
        <w:keepLines/>
        <w:spacing w:before="120" w:after="120"/>
        <w:outlineLvl w:val="2"/>
        <w:rPr>
          <w:rFonts w:ascii="Times New Roman" w:hAnsi="Times New Roman" w:eastAsia="黑体"/>
          <w:bCs/>
          <w:sz w:val="24"/>
          <w:szCs w:val="32"/>
        </w:rPr>
      </w:pPr>
      <w:bookmarkStart w:id="46" w:name="_Toc14201212"/>
      <w:bookmarkStart w:id="47" w:name="_Toc26656943"/>
      <w:r>
        <w:rPr>
          <w:rFonts w:ascii="Times New Roman" w:hAnsi="Times New Roman" w:eastAsia="黑体"/>
          <w:bCs/>
          <w:sz w:val="24"/>
          <w:szCs w:val="32"/>
        </w:rPr>
        <w:t>1.</w:t>
      </w:r>
      <w:r>
        <w:rPr>
          <w:rFonts w:hint="eastAsia" w:ascii="Times New Roman" w:hAnsi="Times New Roman" w:eastAsia="黑体"/>
          <w:bCs/>
          <w:sz w:val="24"/>
          <w:szCs w:val="32"/>
        </w:rPr>
        <w:t>3</w:t>
      </w:r>
      <w:r>
        <w:rPr>
          <w:rFonts w:ascii="Times New Roman" w:hAnsi="Times New Roman" w:eastAsia="黑体"/>
          <w:bCs/>
          <w:sz w:val="24"/>
          <w:szCs w:val="32"/>
        </w:rPr>
        <w:t xml:space="preserve"> 费用承担</w:t>
      </w:r>
      <w:bookmarkEnd w:id="46"/>
      <w:bookmarkEnd w:id="47"/>
    </w:p>
    <w:p>
      <w:pPr>
        <w:spacing w:line="440" w:lineRule="exact"/>
        <w:ind w:firstLine="420"/>
        <w:rPr>
          <w:rFonts w:ascii="Times New Roman" w:hAnsi="Times New Roman"/>
        </w:rPr>
      </w:pPr>
      <w:r>
        <w:rPr>
          <w:rFonts w:ascii="Times New Roman" w:hAnsi="Times New Roman"/>
          <w:szCs w:val="21"/>
        </w:rPr>
        <w:t>供应商</w:t>
      </w:r>
      <w:r>
        <w:rPr>
          <w:rFonts w:ascii="Times New Roman" w:hAnsi="Times New Roman"/>
        </w:rPr>
        <w:t>准备和参加</w:t>
      </w:r>
      <w:r>
        <w:rPr>
          <w:rFonts w:hint="eastAsia" w:ascii="Times New Roman" w:hAnsi="Times New Roman"/>
          <w:lang w:eastAsia="zh-CN"/>
        </w:rPr>
        <w:t>招标</w:t>
      </w:r>
      <w:r>
        <w:rPr>
          <w:rFonts w:ascii="Times New Roman" w:hAnsi="Times New Roman"/>
        </w:rPr>
        <w:t>活动发生的费用自理。</w:t>
      </w:r>
    </w:p>
    <w:p>
      <w:pPr>
        <w:keepNext/>
        <w:keepLines/>
        <w:spacing w:before="120" w:after="120"/>
        <w:outlineLvl w:val="2"/>
        <w:rPr>
          <w:rFonts w:ascii="Times New Roman" w:hAnsi="Times New Roman" w:eastAsia="黑体"/>
          <w:bCs/>
          <w:sz w:val="24"/>
          <w:szCs w:val="32"/>
        </w:rPr>
      </w:pPr>
      <w:bookmarkStart w:id="48" w:name="_Toc26656944"/>
      <w:bookmarkStart w:id="49" w:name="_Toc14201213"/>
      <w:r>
        <w:rPr>
          <w:rFonts w:ascii="Times New Roman" w:hAnsi="Times New Roman" w:eastAsia="黑体"/>
          <w:bCs/>
          <w:sz w:val="24"/>
          <w:szCs w:val="32"/>
        </w:rPr>
        <w:t>1.</w:t>
      </w:r>
      <w:r>
        <w:rPr>
          <w:rFonts w:hint="eastAsia" w:ascii="Times New Roman" w:hAnsi="Times New Roman" w:eastAsia="黑体"/>
          <w:bCs/>
          <w:sz w:val="24"/>
          <w:szCs w:val="32"/>
        </w:rPr>
        <w:t>4</w:t>
      </w:r>
      <w:r>
        <w:rPr>
          <w:rFonts w:ascii="Times New Roman" w:hAnsi="Times New Roman" w:eastAsia="黑体"/>
          <w:bCs/>
          <w:sz w:val="24"/>
          <w:szCs w:val="32"/>
        </w:rPr>
        <w:t xml:space="preserve"> 保密</w:t>
      </w:r>
      <w:bookmarkEnd w:id="48"/>
      <w:bookmarkEnd w:id="49"/>
    </w:p>
    <w:p>
      <w:pPr>
        <w:spacing w:line="440" w:lineRule="exact"/>
        <w:ind w:firstLine="420"/>
        <w:rPr>
          <w:rFonts w:ascii="Times New Roman" w:hAnsi="Times New Roman"/>
        </w:rPr>
      </w:pPr>
      <w:r>
        <w:rPr>
          <w:rFonts w:ascii="Times New Roman" w:hAnsi="Times New Roman"/>
        </w:rPr>
        <w:t>参与</w:t>
      </w:r>
      <w:r>
        <w:rPr>
          <w:rFonts w:hint="eastAsia" w:ascii="Times New Roman" w:hAnsi="Times New Roman"/>
          <w:lang w:eastAsia="zh-CN"/>
        </w:rPr>
        <w:t>招标</w:t>
      </w:r>
      <w:r>
        <w:rPr>
          <w:rFonts w:ascii="Times New Roman" w:hAnsi="Times New Roman"/>
        </w:rPr>
        <w:t>活动的各方应对</w:t>
      </w:r>
      <w:r>
        <w:rPr>
          <w:rFonts w:hint="eastAsia" w:ascii="Times New Roman" w:hAnsi="Times New Roman"/>
          <w:lang w:eastAsia="zh-CN"/>
        </w:rPr>
        <w:t>招标文件</w:t>
      </w:r>
      <w:r>
        <w:rPr>
          <w:rFonts w:ascii="Times New Roman" w:hAnsi="Times New Roman"/>
        </w:rPr>
        <w:t>和响应文件中的商业和技术等秘密保密，否则应承担相应的法律责任。</w:t>
      </w:r>
    </w:p>
    <w:p>
      <w:pPr>
        <w:keepNext/>
        <w:keepLines/>
        <w:spacing w:before="120" w:after="120"/>
        <w:outlineLvl w:val="2"/>
        <w:rPr>
          <w:rFonts w:ascii="Times New Roman" w:hAnsi="Times New Roman" w:eastAsia="黑体"/>
          <w:bCs/>
          <w:sz w:val="24"/>
          <w:szCs w:val="32"/>
        </w:rPr>
      </w:pPr>
      <w:bookmarkStart w:id="50" w:name="_Toc26656946"/>
      <w:bookmarkStart w:id="51" w:name="_Toc14201215"/>
      <w:r>
        <w:rPr>
          <w:rFonts w:ascii="Times New Roman" w:hAnsi="Times New Roman" w:eastAsia="黑体"/>
          <w:bCs/>
          <w:sz w:val="24"/>
          <w:szCs w:val="32"/>
        </w:rPr>
        <w:t>1.</w:t>
      </w:r>
      <w:r>
        <w:rPr>
          <w:rFonts w:hint="eastAsia" w:ascii="Times New Roman" w:hAnsi="Times New Roman" w:eastAsia="黑体"/>
          <w:bCs/>
          <w:sz w:val="24"/>
          <w:szCs w:val="32"/>
        </w:rPr>
        <w:t>5</w:t>
      </w:r>
      <w:r>
        <w:rPr>
          <w:rFonts w:ascii="Times New Roman" w:hAnsi="Times New Roman" w:eastAsia="黑体"/>
          <w:bCs/>
          <w:sz w:val="24"/>
          <w:szCs w:val="32"/>
        </w:rPr>
        <w:t xml:space="preserve"> 计量单位</w:t>
      </w:r>
      <w:bookmarkEnd w:id="50"/>
      <w:bookmarkEnd w:id="51"/>
    </w:p>
    <w:p>
      <w:pPr>
        <w:spacing w:line="440" w:lineRule="exact"/>
        <w:ind w:firstLine="420"/>
        <w:rPr>
          <w:rFonts w:ascii="Times New Roman" w:hAnsi="Times New Roman"/>
        </w:rPr>
      </w:pPr>
      <w:r>
        <w:rPr>
          <w:rFonts w:ascii="Times New Roman" w:hAnsi="Times New Roman"/>
        </w:rPr>
        <w:t>所有计量均采用中华人民共和国法定计量单位。</w:t>
      </w:r>
    </w:p>
    <w:p>
      <w:pPr>
        <w:keepNext/>
        <w:keepLines/>
        <w:spacing w:before="120" w:after="120"/>
        <w:outlineLvl w:val="2"/>
        <w:rPr>
          <w:rFonts w:ascii="Times New Roman" w:hAnsi="Times New Roman" w:eastAsia="黑体"/>
          <w:bCs/>
          <w:sz w:val="24"/>
          <w:szCs w:val="32"/>
        </w:rPr>
      </w:pPr>
      <w:bookmarkStart w:id="52" w:name="_Toc14201216"/>
      <w:bookmarkStart w:id="53" w:name="_Toc26656947"/>
      <w:r>
        <w:rPr>
          <w:rFonts w:ascii="Times New Roman" w:hAnsi="Times New Roman" w:eastAsia="黑体"/>
          <w:bCs/>
          <w:sz w:val="24"/>
          <w:szCs w:val="32"/>
        </w:rPr>
        <w:t>1.</w:t>
      </w:r>
      <w:r>
        <w:rPr>
          <w:rFonts w:hint="eastAsia" w:ascii="Times New Roman" w:hAnsi="Times New Roman" w:eastAsia="黑体"/>
          <w:bCs/>
          <w:sz w:val="24"/>
          <w:szCs w:val="32"/>
        </w:rPr>
        <w:t>6</w:t>
      </w:r>
      <w:r>
        <w:rPr>
          <w:rFonts w:ascii="Times New Roman" w:hAnsi="Times New Roman" w:eastAsia="黑体"/>
          <w:bCs/>
          <w:sz w:val="24"/>
          <w:szCs w:val="32"/>
        </w:rPr>
        <w:t xml:space="preserve"> 踏勘现场</w:t>
      </w:r>
      <w:bookmarkEnd w:id="52"/>
      <w:bookmarkEnd w:id="53"/>
    </w:p>
    <w:p>
      <w:pPr>
        <w:spacing w:line="440" w:lineRule="exact"/>
        <w:ind w:firstLine="420"/>
        <w:rPr>
          <w:rFonts w:ascii="Times New Roman" w:hAnsi="Times New Roman"/>
        </w:rPr>
      </w:pPr>
      <w:r>
        <w:rPr>
          <w:rFonts w:ascii="Times New Roman" w:hAnsi="Times New Roman"/>
        </w:rPr>
        <w:t>供应商</w:t>
      </w:r>
      <w:r>
        <w:rPr>
          <w:rFonts w:hint="eastAsia" w:ascii="Times New Roman" w:hAnsi="Times New Roman"/>
        </w:rPr>
        <w:t>自行</w:t>
      </w:r>
      <w:r>
        <w:rPr>
          <w:rFonts w:ascii="Times New Roman" w:hAnsi="Times New Roman"/>
        </w:rPr>
        <w:t>踏勘现场</w:t>
      </w:r>
      <w:r>
        <w:rPr>
          <w:rFonts w:hint="eastAsia" w:ascii="Times New Roman" w:hAnsi="Times New Roman"/>
        </w:rPr>
        <w:t>且</w:t>
      </w:r>
      <w:r>
        <w:rPr>
          <w:rFonts w:ascii="Times New Roman" w:hAnsi="Times New Roman"/>
        </w:rPr>
        <w:t>费用自理。</w:t>
      </w:r>
    </w:p>
    <w:p>
      <w:pPr>
        <w:keepNext/>
        <w:keepLines/>
        <w:spacing w:before="120" w:after="120"/>
        <w:outlineLvl w:val="2"/>
        <w:rPr>
          <w:rFonts w:ascii="Times New Roman" w:hAnsi="Times New Roman" w:eastAsia="黑体"/>
          <w:bCs/>
          <w:sz w:val="24"/>
          <w:szCs w:val="32"/>
        </w:rPr>
      </w:pPr>
      <w:bookmarkStart w:id="54" w:name="_Toc14201218"/>
      <w:bookmarkStart w:id="55" w:name="_Toc26656949"/>
      <w:r>
        <w:rPr>
          <w:rFonts w:ascii="Times New Roman" w:hAnsi="Times New Roman" w:eastAsia="黑体"/>
          <w:bCs/>
          <w:sz w:val="24"/>
          <w:szCs w:val="32"/>
        </w:rPr>
        <w:t>1.</w:t>
      </w:r>
      <w:r>
        <w:rPr>
          <w:rFonts w:hint="eastAsia" w:ascii="Times New Roman" w:hAnsi="Times New Roman" w:eastAsia="黑体"/>
          <w:bCs/>
          <w:sz w:val="24"/>
          <w:szCs w:val="32"/>
        </w:rPr>
        <w:t>7</w:t>
      </w:r>
      <w:r>
        <w:rPr>
          <w:rFonts w:ascii="Times New Roman" w:hAnsi="Times New Roman" w:eastAsia="黑体"/>
          <w:bCs/>
          <w:sz w:val="24"/>
          <w:szCs w:val="32"/>
        </w:rPr>
        <w:t xml:space="preserve"> 分包</w:t>
      </w:r>
      <w:bookmarkEnd w:id="54"/>
      <w:bookmarkEnd w:id="55"/>
    </w:p>
    <w:p>
      <w:pPr>
        <w:spacing w:line="440" w:lineRule="exact"/>
        <w:ind w:firstLine="420"/>
        <w:rPr>
          <w:rFonts w:ascii="Times New Roman" w:hAnsi="Times New Roman"/>
        </w:rPr>
      </w:pPr>
      <w:r>
        <w:rPr>
          <w:rFonts w:hint="eastAsia" w:ascii="Times New Roman" w:hAnsi="Times New Roman"/>
        </w:rPr>
        <w:t>不允许分包。</w:t>
      </w:r>
    </w:p>
    <w:p>
      <w:pPr>
        <w:keepNext/>
        <w:keepLines/>
        <w:spacing w:before="120" w:after="120"/>
        <w:outlineLvl w:val="2"/>
        <w:rPr>
          <w:rFonts w:ascii="Times New Roman" w:hAnsi="Times New Roman" w:eastAsia="黑体"/>
          <w:bCs/>
          <w:sz w:val="24"/>
          <w:szCs w:val="32"/>
        </w:rPr>
      </w:pPr>
      <w:bookmarkStart w:id="56" w:name="_Toc14201219"/>
      <w:bookmarkStart w:id="57" w:name="_Toc26656950"/>
      <w:r>
        <w:rPr>
          <w:rFonts w:ascii="Times New Roman" w:hAnsi="Times New Roman" w:eastAsia="黑体"/>
          <w:bCs/>
          <w:sz w:val="24"/>
          <w:szCs w:val="32"/>
        </w:rPr>
        <w:t>1.</w:t>
      </w:r>
      <w:r>
        <w:rPr>
          <w:rFonts w:hint="eastAsia" w:ascii="Times New Roman" w:hAnsi="Times New Roman" w:eastAsia="黑体"/>
          <w:bCs/>
          <w:sz w:val="24"/>
          <w:szCs w:val="32"/>
        </w:rPr>
        <w:t>8</w:t>
      </w:r>
      <w:r>
        <w:rPr>
          <w:rFonts w:ascii="Times New Roman" w:hAnsi="Times New Roman" w:eastAsia="黑体"/>
          <w:bCs/>
          <w:sz w:val="24"/>
          <w:szCs w:val="32"/>
        </w:rPr>
        <w:t xml:space="preserve"> 偏</w:t>
      </w:r>
      <w:bookmarkEnd w:id="56"/>
      <w:bookmarkEnd w:id="57"/>
      <w:r>
        <w:rPr>
          <w:rFonts w:hint="eastAsia" w:ascii="Times New Roman" w:hAnsi="Times New Roman" w:eastAsia="黑体"/>
          <w:bCs/>
          <w:sz w:val="24"/>
          <w:szCs w:val="32"/>
        </w:rPr>
        <w:t>差</w:t>
      </w:r>
    </w:p>
    <w:p>
      <w:pPr>
        <w:spacing w:line="440" w:lineRule="exact"/>
        <w:ind w:firstLine="420"/>
        <w:rPr>
          <w:rFonts w:ascii="Times New Roman" w:hAnsi="Times New Roman"/>
        </w:rPr>
      </w:pPr>
      <w:r>
        <w:rPr>
          <w:rFonts w:ascii="Times New Roman" w:hAnsi="Times New Roman"/>
        </w:rPr>
        <w:t>1.</w:t>
      </w:r>
      <w:r>
        <w:rPr>
          <w:rFonts w:hint="eastAsia" w:ascii="Times New Roman" w:hAnsi="Times New Roman"/>
        </w:rPr>
        <w:t>8</w:t>
      </w:r>
      <w:r>
        <w:rPr>
          <w:rFonts w:ascii="Times New Roman" w:hAnsi="Times New Roman"/>
        </w:rPr>
        <w:t>.1偏差包括重大偏差和细微偏差。</w:t>
      </w:r>
    </w:p>
    <w:p>
      <w:pPr>
        <w:spacing w:line="440" w:lineRule="exact"/>
        <w:ind w:firstLine="420"/>
        <w:rPr>
          <w:rFonts w:ascii="Times New Roman" w:hAnsi="Times New Roman"/>
        </w:rPr>
      </w:pPr>
      <w:r>
        <w:rPr>
          <w:rFonts w:ascii="Times New Roman" w:hAnsi="Times New Roman"/>
        </w:rPr>
        <w:t>1.</w:t>
      </w:r>
      <w:r>
        <w:rPr>
          <w:rFonts w:hint="eastAsia" w:ascii="Times New Roman" w:hAnsi="Times New Roman"/>
        </w:rPr>
        <w:t>8</w:t>
      </w:r>
      <w:r>
        <w:rPr>
          <w:rFonts w:ascii="Times New Roman" w:hAnsi="Times New Roman"/>
        </w:rPr>
        <w:t>.2 响应文件存在第三章“评审办法”中所列任一否决</w:t>
      </w:r>
      <w:r>
        <w:rPr>
          <w:rFonts w:hint="eastAsia" w:ascii="Times New Roman" w:hAnsi="Times New Roman"/>
        </w:rPr>
        <w:t>响应文件</w:t>
      </w:r>
      <w:r>
        <w:rPr>
          <w:rFonts w:ascii="Times New Roman" w:hAnsi="Times New Roman"/>
        </w:rPr>
        <w:t>情形的，均属于存在重大偏差</w:t>
      </w:r>
      <w:r>
        <w:rPr>
          <w:rFonts w:hint="eastAsia" w:ascii="Times New Roman" w:hAnsi="Times New Roman"/>
        </w:rPr>
        <w:t>，响应文件将被否决</w:t>
      </w:r>
      <w:r>
        <w:rPr>
          <w:rFonts w:ascii="Times New Roman" w:hAnsi="Times New Roman"/>
        </w:rPr>
        <w:t>。</w:t>
      </w:r>
    </w:p>
    <w:p>
      <w:pPr>
        <w:keepNext/>
        <w:keepLines/>
        <w:spacing w:beforeLines="50" w:afterLines="50"/>
        <w:outlineLvl w:val="1"/>
        <w:rPr>
          <w:rFonts w:hint="eastAsia" w:ascii="Times New Roman" w:hAnsi="Times New Roman" w:eastAsia="黑体"/>
          <w:bCs/>
          <w:sz w:val="24"/>
          <w:szCs w:val="32"/>
          <w:lang w:eastAsia="zh-CN"/>
        </w:rPr>
      </w:pPr>
      <w:bookmarkStart w:id="58" w:name="_Toc26656951"/>
      <w:bookmarkStart w:id="59" w:name="_Toc14201220"/>
      <w:bookmarkStart w:id="60" w:name="_Toc9067721"/>
      <w:r>
        <w:rPr>
          <w:rFonts w:ascii="Times New Roman" w:hAnsi="Times New Roman" w:eastAsia="黑体"/>
          <w:bCs/>
          <w:sz w:val="24"/>
          <w:szCs w:val="32"/>
        </w:rPr>
        <w:t xml:space="preserve">2. </w:t>
      </w:r>
      <w:bookmarkEnd w:id="58"/>
      <w:bookmarkEnd w:id="59"/>
      <w:bookmarkEnd w:id="60"/>
      <w:r>
        <w:rPr>
          <w:rFonts w:hint="eastAsia" w:ascii="Times New Roman" w:hAnsi="Times New Roman" w:eastAsia="黑体"/>
          <w:bCs/>
          <w:sz w:val="24"/>
          <w:szCs w:val="32"/>
          <w:lang w:eastAsia="zh-CN"/>
        </w:rPr>
        <w:t>招标文件</w:t>
      </w:r>
    </w:p>
    <w:p>
      <w:pPr>
        <w:keepNext/>
        <w:keepLines/>
        <w:spacing w:before="120" w:after="120"/>
        <w:outlineLvl w:val="2"/>
        <w:rPr>
          <w:rFonts w:ascii="Times New Roman" w:hAnsi="Times New Roman" w:eastAsia="黑体"/>
          <w:bCs/>
          <w:sz w:val="24"/>
          <w:szCs w:val="32"/>
        </w:rPr>
      </w:pPr>
      <w:bookmarkStart w:id="61" w:name="_Toc14201221"/>
      <w:bookmarkStart w:id="62" w:name="_Toc26656952"/>
      <w:r>
        <w:rPr>
          <w:rFonts w:ascii="Times New Roman" w:hAnsi="Times New Roman" w:eastAsia="黑体"/>
          <w:bCs/>
          <w:sz w:val="24"/>
          <w:szCs w:val="32"/>
        </w:rPr>
        <w:t xml:space="preserve">2.1 </w:t>
      </w:r>
      <w:r>
        <w:rPr>
          <w:rFonts w:hint="eastAsia" w:ascii="Times New Roman" w:hAnsi="Times New Roman" w:eastAsia="黑体"/>
          <w:bCs/>
          <w:sz w:val="24"/>
          <w:szCs w:val="32"/>
          <w:lang w:eastAsia="zh-CN"/>
        </w:rPr>
        <w:t>招标文件</w:t>
      </w:r>
      <w:r>
        <w:rPr>
          <w:rFonts w:ascii="Times New Roman" w:hAnsi="Times New Roman" w:eastAsia="黑体"/>
          <w:bCs/>
          <w:sz w:val="24"/>
          <w:szCs w:val="32"/>
        </w:rPr>
        <w:t>的组成</w:t>
      </w:r>
      <w:bookmarkEnd w:id="61"/>
      <w:bookmarkEnd w:id="62"/>
    </w:p>
    <w:p>
      <w:pPr>
        <w:spacing w:line="440" w:lineRule="exact"/>
        <w:ind w:firstLine="420"/>
        <w:rPr>
          <w:rFonts w:ascii="Times New Roman" w:hAnsi="Times New Roman"/>
        </w:rPr>
      </w:pPr>
      <w:r>
        <w:rPr>
          <w:rFonts w:ascii="Times New Roman" w:hAnsi="Times New Roman"/>
        </w:rPr>
        <w:t>本</w:t>
      </w:r>
      <w:r>
        <w:rPr>
          <w:rFonts w:hint="eastAsia" w:ascii="Times New Roman" w:hAnsi="Times New Roman"/>
          <w:lang w:eastAsia="zh-CN"/>
        </w:rPr>
        <w:t>招标文件</w:t>
      </w:r>
      <w:r>
        <w:rPr>
          <w:rFonts w:ascii="Times New Roman" w:hAnsi="Times New Roman"/>
        </w:rPr>
        <w:t>包括：</w:t>
      </w:r>
    </w:p>
    <w:p>
      <w:pPr>
        <w:spacing w:line="440" w:lineRule="exact"/>
        <w:ind w:firstLine="420"/>
        <w:rPr>
          <w:rFonts w:ascii="Times New Roman" w:hAnsi="Times New Roman"/>
        </w:rPr>
      </w:pPr>
      <w:r>
        <w:rPr>
          <w:rFonts w:ascii="Times New Roman" w:hAnsi="Times New Roman"/>
        </w:rPr>
        <w:t>（1）</w:t>
      </w:r>
      <w:r>
        <w:rPr>
          <w:rFonts w:hint="eastAsia" w:ascii="Times New Roman" w:hAnsi="Times New Roman"/>
        </w:rPr>
        <w:t>采购公告</w:t>
      </w:r>
      <w:r>
        <w:rPr>
          <w:rFonts w:ascii="Times New Roman" w:hAnsi="Times New Roman"/>
        </w:rPr>
        <w:t>；</w:t>
      </w:r>
    </w:p>
    <w:p>
      <w:pPr>
        <w:spacing w:line="440" w:lineRule="exact"/>
        <w:ind w:firstLine="420"/>
        <w:rPr>
          <w:rFonts w:ascii="Times New Roman" w:hAnsi="Times New Roman"/>
        </w:rPr>
      </w:pPr>
      <w:r>
        <w:rPr>
          <w:rFonts w:ascii="Times New Roman" w:hAnsi="Times New Roman"/>
        </w:rPr>
        <w:t>（2）供应商须知；</w:t>
      </w:r>
    </w:p>
    <w:p>
      <w:pPr>
        <w:spacing w:line="440" w:lineRule="exact"/>
        <w:ind w:firstLine="420"/>
        <w:rPr>
          <w:rFonts w:ascii="Times New Roman" w:hAnsi="Times New Roman"/>
        </w:rPr>
      </w:pPr>
      <w:r>
        <w:rPr>
          <w:rFonts w:ascii="Times New Roman" w:hAnsi="Times New Roman"/>
        </w:rPr>
        <w:t>（3）评审办法；</w:t>
      </w:r>
    </w:p>
    <w:p>
      <w:pPr>
        <w:spacing w:line="440" w:lineRule="exact"/>
        <w:ind w:firstLine="420"/>
        <w:rPr>
          <w:rFonts w:ascii="Times New Roman" w:hAnsi="Times New Roman"/>
        </w:rPr>
      </w:pPr>
      <w:r>
        <w:rPr>
          <w:rFonts w:ascii="Times New Roman" w:hAnsi="Times New Roman"/>
        </w:rPr>
        <w:t>（4）合同条款及格式；</w:t>
      </w:r>
    </w:p>
    <w:p>
      <w:pPr>
        <w:spacing w:line="440" w:lineRule="exact"/>
        <w:ind w:firstLine="420"/>
        <w:rPr>
          <w:rFonts w:ascii="Times New Roman" w:hAnsi="Times New Roman"/>
        </w:rPr>
      </w:pPr>
      <w:r>
        <w:rPr>
          <w:rFonts w:ascii="Times New Roman" w:hAnsi="Times New Roman"/>
        </w:rPr>
        <w:t>（5）采购需求及清单；</w:t>
      </w:r>
    </w:p>
    <w:p>
      <w:pPr>
        <w:spacing w:line="440" w:lineRule="exact"/>
        <w:ind w:firstLine="420"/>
        <w:rPr>
          <w:rFonts w:ascii="Times New Roman" w:hAnsi="Times New Roman"/>
        </w:rPr>
      </w:pPr>
      <w:r>
        <w:rPr>
          <w:rFonts w:ascii="Times New Roman" w:hAnsi="Times New Roman"/>
        </w:rPr>
        <w:t>（6）响应文件格式</w:t>
      </w:r>
      <w:r>
        <w:rPr>
          <w:rFonts w:hint="eastAsia" w:ascii="Times New Roman" w:hAnsi="Times New Roman"/>
        </w:rPr>
        <w:t>。</w:t>
      </w:r>
    </w:p>
    <w:p>
      <w:pPr>
        <w:spacing w:line="440" w:lineRule="exact"/>
        <w:ind w:firstLine="420"/>
        <w:rPr>
          <w:rFonts w:ascii="Times New Roman" w:hAnsi="Times New Roman"/>
        </w:rPr>
      </w:pPr>
      <w:r>
        <w:rPr>
          <w:rFonts w:ascii="Times New Roman" w:hAnsi="Times New Roman"/>
        </w:rPr>
        <w:t>根据本章第2.2款对</w:t>
      </w:r>
      <w:r>
        <w:rPr>
          <w:rFonts w:hint="eastAsia" w:ascii="Times New Roman" w:hAnsi="Times New Roman"/>
          <w:lang w:eastAsia="zh-CN"/>
        </w:rPr>
        <w:t>招标文件</w:t>
      </w:r>
      <w:r>
        <w:rPr>
          <w:rFonts w:ascii="Times New Roman" w:hAnsi="Times New Roman"/>
        </w:rPr>
        <w:t>所作的澄清、修改，构成</w:t>
      </w:r>
      <w:r>
        <w:rPr>
          <w:rFonts w:hint="eastAsia" w:ascii="Times New Roman" w:hAnsi="Times New Roman"/>
          <w:lang w:eastAsia="zh-CN"/>
        </w:rPr>
        <w:t>招标文件</w:t>
      </w:r>
      <w:r>
        <w:rPr>
          <w:rFonts w:ascii="Times New Roman" w:hAnsi="Times New Roman"/>
        </w:rPr>
        <w:t>的组成部分。</w:t>
      </w:r>
    </w:p>
    <w:p>
      <w:pPr>
        <w:spacing w:line="440" w:lineRule="exact"/>
        <w:ind w:firstLine="420"/>
        <w:rPr>
          <w:rFonts w:ascii="Times New Roman" w:hAnsi="Times New Roman"/>
        </w:rPr>
      </w:pPr>
      <w:r>
        <w:rPr>
          <w:rFonts w:ascii="Times New Roman" w:hAnsi="Times New Roman"/>
        </w:rPr>
        <w:t>当</w:t>
      </w:r>
      <w:r>
        <w:rPr>
          <w:rFonts w:hint="eastAsia" w:ascii="Times New Roman" w:hAnsi="Times New Roman"/>
          <w:lang w:eastAsia="zh-CN"/>
        </w:rPr>
        <w:t>招标文件</w:t>
      </w:r>
      <w:r>
        <w:rPr>
          <w:rFonts w:ascii="Times New Roman" w:hAnsi="Times New Roman"/>
        </w:rPr>
        <w:t>、</w:t>
      </w:r>
      <w:r>
        <w:rPr>
          <w:rFonts w:hint="eastAsia" w:ascii="Times New Roman" w:hAnsi="Times New Roman"/>
          <w:lang w:eastAsia="zh-CN"/>
        </w:rPr>
        <w:t>招标文件</w:t>
      </w:r>
      <w:r>
        <w:rPr>
          <w:rFonts w:ascii="Times New Roman" w:hAnsi="Times New Roman"/>
        </w:rPr>
        <w:t>的澄清或修改等在同一内容的表述上不一致时，以最后发出的书面文件为准。</w:t>
      </w:r>
    </w:p>
    <w:p>
      <w:pPr>
        <w:keepNext/>
        <w:keepLines/>
        <w:spacing w:before="120" w:after="120"/>
        <w:outlineLvl w:val="2"/>
        <w:rPr>
          <w:rFonts w:ascii="Times New Roman" w:hAnsi="Times New Roman" w:eastAsia="黑体"/>
          <w:bCs/>
          <w:sz w:val="24"/>
          <w:szCs w:val="32"/>
        </w:rPr>
      </w:pPr>
      <w:bookmarkStart w:id="63" w:name="_Toc26656953"/>
      <w:bookmarkStart w:id="64" w:name="_Toc14201222"/>
      <w:r>
        <w:rPr>
          <w:rFonts w:ascii="Times New Roman" w:hAnsi="Times New Roman" w:eastAsia="黑体"/>
          <w:bCs/>
          <w:sz w:val="24"/>
          <w:szCs w:val="32"/>
        </w:rPr>
        <w:t xml:space="preserve">2.2 </w:t>
      </w:r>
      <w:r>
        <w:rPr>
          <w:rFonts w:hint="eastAsia" w:ascii="Times New Roman" w:hAnsi="Times New Roman" w:eastAsia="黑体"/>
          <w:bCs/>
          <w:sz w:val="24"/>
          <w:szCs w:val="32"/>
          <w:lang w:eastAsia="zh-CN"/>
        </w:rPr>
        <w:t>招标文件</w:t>
      </w:r>
      <w:r>
        <w:rPr>
          <w:rFonts w:ascii="Times New Roman" w:hAnsi="Times New Roman" w:eastAsia="黑体"/>
          <w:bCs/>
          <w:sz w:val="24"/>
          <w:szCs w:val="32"/>
        </w:rPr>
        <w:t>的澄清</w:t>
      </w:r>
      <w:bookmarkEnd w:id="63"/>
      <w:bookmarkEnd w:id="64"/>
      <w:r>
        <w:rPr>
          <w:rFonts w:hint="eastAsia" w:ascii="Times New Roman" w:hAnsi="Times New Roman" w:eastAsia="黑体"/>
          <w:bCs/>
          <w:sz w:val="24"/>
          <w:szCs w:val="32"/>
        </w:rPr>
        <w:t>与修改</w:t>
      </w:r>
    </w:p>
    <w:p>
      <w:pPr>
        <w:spacing w:line="440" w:lineRule="exact"/>
        <w:ind w:firstLine="420"/>
        <w:rPr>
          <w:rFonts w:ascii="Times New Roman" w:hAnsi="Times New Roman"/>
        </w:rPr>
      </w:pPr>
      <w:r>
        <w:rPr>
          <w:rFonts w:ascii="Times New Roman" w:hAnsi="Times New Roman"/>
        </w:rPr>
        <w:t>2.2.1供应商如有疑问，应在递交</w:t>
      </w:r>
      <w:r>
        <w:rPr>
          <w:rFonts w:hint="eastAsia" w:ascii="Times New Roman" w:hAnsi="Times New Roman"/>
        </w:rPr>
        <w:t>响应</w:t>
      </w:r>
      <w:r>
        <w:rPr>
          <w:rFonts w:ascii="Times New Roman" w:hAnsi="Times New Roman"/>
        </w:rPr>
        <w:t>文件的截止时间</w:t>
      </w:r>
      <w:r>
        <w:rPr>
          <w:rFonts w:hint="eastAsia" w:ascii="Times New Roman" w:hAnsi="Times New Roman"/>
        </w:rPr>
        <w:t>前3日</w:t>
      </w:r>
      <w:r>
        <w:rPr>
          <w:rFonts w:ascii="Times New Roman" w:hAnsi="Times New Roman"/>
        </w:rPr>
        <w:t>前</w:t>
      </w:r>
      <w:r>
        <w:rPr>
          <w:rFonts w:hint="eastAsia" w:ascii="Times New Roman" w:hAnsi="Times New Roman"/>
        </w:rPr>
        <w:t>通过安徽交控招标采购平台</w:t>
      </w:r>
      <w:r>
        <w:rPr>
          <w:rFonts w:ascii="Times New Roman" w:hAnsi="Times New Roman"/>
        </w:rPr>
        <w:t>要求采购人对</w:t>
      </w:r>
      <w:r>
        <w:rPr>
          <w:rFonts w:hint="eastAsia" w:ascii="Times New Roman" w:hAnsi="Times New Roman"/>
          <w:lang w:eastAsia="zh-CN"/>
        </w:rPr>
        <w:t>招标文件</w:t>
      </w:r>
      <w:r>
        <w:rPr>
          <w:rFonts w:ascii="Times New Roman" w:hAnsi="Times New Roman"/>
        </w:rPr>
        <w:t>予以澄清</w:t>
      </w:r>
      <w:r>
        <w:rPr>
          <w:rFonts w:hint="eastAsia" w:ascii="Times New Roman" w:hAnsi="Times New Roman"/>
        </w:rPr>
        <w:t>或修改</w:t>
      </w:r>
      <w:r>
        <w:rPr>
          <w:rFonts w:ascii="Times New Roman" w:hAnsi="Times New Roman"/>
        </w:rPr>
        <w:t>。</w:t>
      </w:r>
    </w:p>
    <w:p>
      <w:pPr>
        <w:spacing w:line="440" w:lineRule="exact"/>
        <w:ind w:firstLine="420"/>
        <w:rPr>
          <w:rFonts w:ascii="Times New Roman" w:hAnsi="Times New Roman"/>
        </w:rPr>
      </w:pPr>
      <w:r>
        <w:rPr>
          <w:rFonts w:ascii="Times New Roman" w:hAnsi="Times New Roman"/>
        </w:rPr>
        <w:t>2.2.</w:t>
      </w:r>
      <w:r>
        <w:rPr>
          <w:rFonts w:hint="eastAsia" w:ascii="Times New Roman" w:hAnsi="Times New Roman"/>
        </w:rPr>
        <w:t>2</w:t>
      </w:r>
      <w:r>
        <w:rPr>
          <w:rFonts w:ascii="Times New Roman" w:hAnsi="Times New Roman"/>
        </w:rPr>
        <w:t xml:space="preserve"> 除非采购人认为确有必要答复，否则，采购人有权拒绝回复供应商在本章第2.2.1项规定的时间后提出的任何澄清</w:t>
      </w:r>
      <w:r>
        <w:rPr>
          <w:rFonts w:hint="eastAsia" w:ascii="Times New Roman" w:hAnsi="Times New Roman"/>
        </w:rPr>
        <w:t>或修改</w:t>
      </w:r>
      <w:r>
        <w:rPr>
          <w:rFonts w:ascii="Times New Roman" w:hAnsi="Times New Roman"/>
        </w:rPr>
        <w:t>要求。</w:t>
      </w:r>
    </w:p>
    <w:p>
      <w:pPr>
        <w:keepNext/>
        <w:keepLines/>
        <w:spacing w:beforeLines="50" w:afterLines="50"/>
        <w:outlineLvl w:val="1"/>
        <w:rPr>
          <w:rFonts w:ascii="Times New Roman" w:hAnsi="Times New Roman" w:eastAsia="黑体"/>
          <w:bCs/>
          <w:sz w:val="24"/>
          <w:szCs w:val="32"/>
        </w:rPr>
      </w:pPr>
      <w:bookmarkStart w:id="65" w:name="_Toc9067722"/>
      <w:bookmarkStart w:id="66" w:name="_Toc14201225"/>
      <w:bookmarkStart w:id="67" w:name="_Toc26656956"/>
      <w:r>
        <w:rPr>
          <w:rFonts w:ascii="Times New Roman" w:hAnsi="Times New Roman" w:eastAsia="黑体"/>
          <w:bCs/>
          <w:sz w:val="24"/>
          <w:szCs w:val="32"/>
        </w:rPr>
        <w:t xml:space="preserve">3. </w:t>
      </w:r>
      <w:bookmarkEnd w:id="65"/>
      <w:bookmarkEnd w:id="66"/>
      <w:bookmarkEnd w:id="67"/>
      <w:r>
        <w:rPr>
          <w:rFonts w:ascii="Times New Roman" w:hAnsi="Times New Roman" w:eastAsia="黑体"/>
          <w:bCs/>
          <w:sz w:val="24"/>
          <w:szCs w:val="32"/>
        </w:rPr>
        <w:t>响应文件</w:t>
      </w:r>
    </w:p>
    <w:p>
      <w:pPr>
        <w:keepNext/>
        <w:keepLines/>
        <w:spacing w:before="120" w:after="120"/>
        <w:outlineLvl w:val="2"/>
        <w:rPr>
          <w:rFonts w:ascii="Times New Roman" w:hAnsi="Times New Roman" w:eastAsia="黑体"/>
          <w:bCs/>
          <w:sz w:val="24"/>
          <w:szCs w:val="32"/>
        </w:rPr>
      </w:pPr>
      <w:bookmarkStart w:id="68" w:name="_Toc26656957"/>
      <w:bookmarkStart w:id="69" w:name="_Toc14201226"/>
      <w:r>
        <w:rPr>
          <w:rFonts w:ascii="Times New Roman" w:hAnsi="Times New Roman" w:eastAsia="黑体"/>
          <w:bCs/>
          <w:sz w:val="24"/>
          <w:szCs w:val="32"/>
        </w:rPr>
        <w:t>3.1响应文件的组成</w:t>
      </w:r>
      <w:bookmarkEnd w:id="68"/>
      <w:bookmarkEnd w:id="69"/>
    </w:p>
    <w:p>
      <w:pPr>
        <w:spacing w:line="440" w:lineRule="exact"/>
        <w:ind w:firstLine="420"/>
        <w:rPr>
          <w:rFonts w:ascii="Times New Roman" w:hAnsi="Times New Roman"/>
        </w:rPr>
      </w:pPr>
      <w:r>
        <w:rPr>
          <w:rFonts w:ascii="Times New Roman" w:hAnsi="Times New Roman"/>
        </w:rPr>
        <w:t>响应文件应包括下列内容：</w:t>
      </w:r>
    </w:p>
    <w:p>
      <w:pPr>
        <w:spacing w:line="440" w:lineRule="exact"/>
        <w:ind w:firstLine="420"/>
        <w:rPr>
          <w:rFonts w:ascii="Times New Roman" w:hAnsi="Times New Roman"/>
        </w:rPr>
      </w:pPr>
      <w:r>
        <w:rPr>
          <w:rFonts w:hint="eastAsia" w:ascii="Times New Roman" w:hAnsi="Times New Roman"/>
        </w:rPr>
        <w:t>（1）</w:t>
      </w:r>
      <w:r>
        <w:rPr>
          <w:rFonts w:ascii="Times New Roman" w:hAnsi="Times New Roman"/>
        </w:rPr>
        <w:t>报价函</w:t>
      </w:r>
      <w:r>
        <w:rPr>
          <w:rFonts w:hint="eastAsia" w:ascii="Times New Roman" w:hAnsi="Times New Roman"/>
        </w:rPr>
        <w:t>；</w:t>
      </w:r>
    </w:p>
    <w:p>
      <w:pPr>
        <w:spacing w:line="440" w:lineRule="exact"/>
        <w:ind w:firstLine="420"/>
        <w:rPr>
          <w:rFonts w:ascii="Times New Roman" w:hAnsi="Times New Roman"/>
        </w:rPr>
      </w:pPr>
      <w:r>
        <w:rPr>
          <w:rFonts w:hint="eastAsia" w:ascii="Times New Roman" w:hAnsi="Times New Roman"/>
        </w:rPr>
        <w:t>（2）</w:t>
      </w:r>
      <w:r>
        <w:rPr>
          <w:rFonts w:ascii="Times New Roman" w:hAnsi="Times New Roman"/>
        </w:rPr>
        <w:t>法定代表人授权委托书</w:t>
      </w:r>
      <w:r>
        <w:rPr>
          <w:rFonts w:hint="eastAsia" w:ascii="Times New Roman" w:hAnsi="Times New Roman"/>
        </w:rPr>
        <w:t>；</w:t>
      </w:r>
    </w:p>
    <w:p>
      <w:pPr>
        <w:spacing w:line="440" w:lineRule="exact"/>
        <w:ind w:firstLine="420"/>
        <w:rPr>
          <w:rFonts w:ascii="Times New Roman" w:hAnsi="Times New Roman"/>
        </w:rPr>
      </w:pPr>
      <w:r>
        <w:rPr>
          <w:rFonts w:hint="eastAsia" w:ascii="Times New Roman" w:hAnsi="Times New Roman"/>
        </w:rPr>
        <w:t>（3）</w:t>
      </w:r>
      <w:r>
        <w:rPr>
          <w:rFonts w:ascii="Times New Roman" w:hAnsi="Times New Roman"/>
        </w:rPr>
        <w:t>已标价的</w:t>
      </w:r>
      <w:r>
        <w:rPr>
          <w:rFonts w:hint="eastAsia" w:ascii="Times New Roman" w:hAnsi="Times New Roman"/>
        </w:rPr>
        <w:t>报价清单；</w:t>
      </w:r>
    </w:p>
    <w:p>
      <w:pPr>
        <w:spacing w:line="440" w:lineRule="exact"/>
        <w:ind w:firstLine="420"/>
        <w:rPr>
          <w:rFonts w:ascii="Times New Roman" w:hAnsi="Times New Roman"/>
        </w:rPr>
      </w:pPr>
      <w:r>
        <w:rPr>
          <w:rFonts w:hint="eastAsia" w:ascii="Times New Roman" w:hAnsi="Times New Roman"/>
        </w:rPr>
        <w:t>（4）</w:t>
      </w:r>
      <w:r>
        <w:rPr>
          <w:rFonts w:ascii="Times New Roman" w:hAnsi="Times New Roman"/>
        </w:rPr>
        <w:t>供应商基本情况</w:t>
      </w:r>
      <w:r>
        <w:rPr>
          <w:rFonts w:hint="eastAsia" w:ascii="Times New Roman" w:hAnsi="Times New Roman"/>
        </w:rPr>
        <w:t>；</w:t>
      </w:r>
    </w:p>
    <w:p>
      <w:pPr>
        <w:spacing w:line="440" w:lineRule="exact"/>
        <w:ind w:firstLine="420"/>
        <w:rPr>
          <w:rFonts w:ascii="Times New Roman" w:hAnsi="Times New Roman"/>
        </w:rPr>
      </w:pPr>
      <w:r>
        <w:rPr>
          <w:rFonts w:hint="eastAsia" w:ascii="Times New Roman" w:hAnsi="Times New Roman"/>
        </w:rPr>
        <w:t>（5）</w:t>
      </w:r>
      <w:r>
        <w:rPr>
          <w:rFonts w:ascii="Times New Roman" w:hAnsi="Times New Roman"/>
        </w:rPr>
        <w:t>近年类似业绩情况</w:t>
      </w:r>
      <w:r>
        <w:rPr>
          <w:rFonts w:hint="eastAsia" w:ascii="Times New Roman" w:hAnsi="Times New Roman"/>
        </w:rPr>
        <w:t>；</w:t>
      </w:r>
    </w:p>
    <w:p>
      <w:pPr>
        <w:spacing w:line="440" w:lineRule="exact"/>
        <w:ind w:firstLine="420"/>
        <w:rPr>
          <w:rFonts w:ascii="Times New Roman" w:hAnsi="Times New Roman"/>
        </w:rPr>
      </w:pPr>
      <w:r>
        <w:rPr>
          <w:rFonts w:hint="eastAsia" w:ascii="Times New Roman" w:hAnsi="Times New Roman"/>
        </w:rPr>
        <w:t>（6）</w:t>
      </w:r>
      <w:r>
        <w:rPr>
          <w:rFonts w:ascii="Times New Roman" w:hAnsi="Times New Roman"/>
        </w:rPr>
        <w:t>拟委任的主要人员</w:t>
      </w:r>
      <w:r>
        <w:rPr>
          <w:rFonts w:hint="eastAsia" w:ascii="Times New Roman" w:hAnsi="Times New Roman"/>
        </w:rPr>
        <w:t>；</w:t>
      </w:r>
    </w:p>
    <w:p>
      <w:pPr>
        <w:spacing w:line="440" w:lineRule="exact"/>
        <w:ind w:firstLine="420"/>
        <w:rPr>
          <w:rFonts w:ascii="Times New Roman" w:hAnsi="Times New Roman"/>
        </w:rPr>
      </w:pPr>
      <w:r>
        <w:rPr>
          <w:rFonts w:hint="eastAsia" w:ascii="Times New Roman" w:hAnsi="Times New Roman"/>
        </w:rPr>
        <w:t>（7）</w:t>
      </w:r>
      <w:r>
        <w:rPr>
          <w:rFonts w:ascii="Times New Roman" w:hAnsi="Times New Roman"/>
        </w:rPr>
        <w:t>信誉情况</w:t>
      </w:r>
      <w:r>
        <w:rPr>
          <w:rFonts w:hint="eastAsia" w:ascii="Times New Roman" w:hAnsi="Times New Roman"/>
        </w:rPr>
        <w:t>；</w:t>
      </w:r>
    </w:p>
    <w:p>
      <w:pPr>
        <w:spacing w:line="440" w:lineRule="exact"/>
        <w:ind w:firstLine="420"/>
        <w:rPr>
          <w:rFonts w:ascii="Times New Roman" w:hAnsi="Times New Roman"/>
        </w:rPr>
      </w:pPr>
      <w:r>
        <w:rPr>
          <w:rFonts w:hint="eastAsia" w:ascii="Times New Roman" w:hAnsi="Times New Roman"/>
        </w:rPr>
        <w:t>（8）技术方案；</w:t>
      </w:r>
    </w:p>
    <w:p>
      <w:pPr>
        <w:spacing w:line="440" w:lineRule="exact"/>
        <w:ind w:firstLine="420"/>
        <w:rPr>
          <w:rFonts w:ascii="Times New Roman" w:hAnsi="Times New Roman"/>
        </w:rPr>
      </w:pPr>
      <w:r>
        <w:rPr>
          <w:rFonts w:hint="eastAsia" w:ascii="Times New Roman" w:hAnsi="Times New Roman"/>
        </w:rPr>
        <w:t>（9）</w:t>
      </w:r>
      <w:r>
        <w:rPr>
          <w:rFonts w:ascii="Times New Roman" w:hAnsi="Times New Roman"/>
        </w:rPr>
        <w:t>其他材料</w:t>
      </w:r>
      <w:r>
        <w:rPr>
          <w:rFonts w:hint="eastAsia" w:ascii="Times New Roman" w:hAnsi="Times New Roman"/>
        </w:rPr>
        <w:t>。</w:t>
      </w:r>
    </w:p>
    <w:p>
      <w:pPr>
        <w:keepNext/>
        <w:keepLines/>
        <w:spacing w:before="120" w:after="120"/>
        <w:outlineLvl w:val="2"/>
        <w:rPr>
          <w:rFonts w:ascii="Times New Roman" w:hAnsi="Times New Roman" w:eastAsia="黑体"/>
          <w:bCs/>
          <w:sz w:val="24"/>
          <w:szCs w:val="32"/>
        </w:rPr>
      </w:pPr>
      <w:bookmarkStart w:id="70" w:name="_Toc14201227"/>
      <w:bookmarkStart w:id="71" w:name="_Toc26656958"/>
      <w:r>
        <w:rPr>
          <w:rFonts w:ascii="Times New Roman" w:hAnsi="Times New Roman" w:eastAsia="黑体"/>
          <w:bCs/>
          <w:sz w:val="24"/>
          <w:szCs w:val="32"/>
        </w:rPr>
        <w:t>3.2 报价</w:t>
      </w:r>
      <w:bookmarkEnd w:id="70"/>
      <w:bookmarkEnd w:id="71"/>
      <w:r>
        <w:rPr>
          <w:rFonts w:ascii="Times New Roman" w:hAnsi="Times New Roman" w:eastAsia="黑体"/>
          <w:bCs/>
          <w:sz w:val="24"/>
          <w:szCs w:val="32"/>
        </w:rPr>
        <w:t xml:space="preserve">要求 </w:t>
      </w:r>
    </w:p>
    <w:p>
      <w:pPr>
        <w:spacing w:line="440" w:lineRule="exact"/>
        <w:ind w:firstLine="420"/>
        <w:rPr>
          <w:rFonts w:ascii="Times New Roman" w:hAnsi="Times New Roman"/>
        </w:rPr>
      </w:pPr>
      <w:r>
        <w:rPr>
          <w:rFonts w:ascii="Times New Roman" w:hAnsi="Times New Roman"/>
        </w:rPr>
        <w:t>3.2.1 报价应包括国家规定的增值税税金</w:t>
      </w:r>
      <w:r>
        <w:rPr>
          <w:rFonts w:hint="eastAsia" w:ascii="Times New Roman" w:hAnsi="Times New Roman"/>
        </w:rPr>
        <w:t>，供应商应提供增值税专用发票</w:t>
      </w:r>
      <w:r>
        <w:rPr>
          <w:rFonts w:ascii="Times New Roman" w:hAnsi="Times New Roman"/>
        </w:rPr>
        <w:t>。</w:t>
      </w:r>
    </w:p>
    <w:p>
      <w:pPr>
        <w:spacing w:line="440" w:lineRule="exact"/>
        <w:ind w:firstLine="420"/>
        <w:rPr>
          <w:rFonts w:ascii="Times New Roman" w:hAnsi="Times New Roman"/>
        </w:rPr>
      </w:pPr>
      <w:r>
        <w:rPr>
          <w:rFonts w:hint="eastAsia" w:ascii="Times New Roman" w:hAnsi="Times New Roman"/>
        </w:rPr>
        <w:t xml:space="preserve">3.2.2 </w:t>
      </w:r>
      <w:r>
        <w:rPr>
          <w:rFonts w:ascii="Times New Roman" w:hAnsi="Times New Roman"/>
        </w:rPr>
        <w:t>供应商应按第六章“响应文件格式”的要求在报价函中进行报价并填写</w:t>
      </w:r>
      <w:r>
        <w:rPr>
          <w:rFonts w:hint="eastAsia" w:ascii="Times New Roman" w:hAnsi="Times New Roman"/>
        </w:rPr>
        <w:t>报价清单</w:t>
      </w:r>
      <w:r>
        <w:rPr>
          <w:rFonts w:ascii="Times New Roman" w:hAnsi="Times New Roman"/>
        </w:rPr>
        <w:t>相应表格。</w:t>
      </w:r>
    </w:p>
    <w:p>
      <w:pPr>
        <w:spacing w:line="440" w:lineRule="exact"/>
        <w:ind w:firstLine="420"/>
        <w:rPr>
          <w:rFonts w:ascii="Times New Roman" w:hAnsi="Times New Roman"/>
        </w:rPr>
      </w:pPr>
      <w:r>
        <w:rPr>
          <w:rFonts w:ascii="Times New Roman" w:hAnsi="Times New Roman"/>
        </w:rPr>
        <w:t>3.2.</w:t>
      </w:r>
      <w:r>
        <w:rPr>
          <w:rFonts w:hint="eastAsia" w:ascii="Times New Roman" w:hAnsi="Times New Roman"/>
        </w:rPr>
        <w:t>3</w:t>
      </w:r>
      <w:r>
        <w:rPr>
          <w:rFonts w:ascii="Times New Roman" w:hAnsi="Times New Roman"/>
        </w:rPr>
        <w:t xml:space="preserve"> 采购人设有最高限价的，供应商的报价不得超过最高限价，</w:t>
      </w:r>
      <w:r>
        <w:rPr>
          <w:rFonts w:hint="eastAsia" w:ascii="Times New Roman" w:hAnsi="Times New Roman"/>
        </w:rPr>
        <w:t>否则其报价将被否决，</w:t>
      </w:r>
      <w:r>
        <w:rPr>
          <w:rFonts w:ascii="Times New Roman" w:hAnsi="Times New Roman"/>
        </w:rPr>
        <w:t>最高限价</w:t>
      </w:r>
      <w:r>
        <w:rPr>
          <w:rFonts w:hint="eastAsia" w:ascii="Times New Roman" w:hAnsi="Times New Roman"/>
        </w:rPr>
        <w:t>见第一章</w:t>
      </w:r>
      <w:r>
        <w:rPr>
          <w:rFonts w:ascii="Times New Roman" w:hAnsi="Times New Roman"/>
        </w:rPr>
        <w:t>“</w:t>
      </w:r>
      <w:r>
        <w:rPr>
          <w:rFonts w:hint="eastAsia" w:ascii="Times New Roman" w:hAnsi="Times New Roman"/>
          <w:szCs w:val="21"/>
        </w:rPr>
        <w:t>采购公告</w:t>
      </w:r>
      <w:r>
        <w:rPr>
          <w:rFonts w:ascii="Times New Roman" w:hAnsi="Times New Roman"/>
        </w:rPr>
        <w:t>”</w:t>
      </w:r>
      <w:r>
        <w:rPr>
          <w:rFonts w:hint="eastAsia" w:ascii="Times New Roman" w:hAnsi="Times New Roman"/>
        </w:rPr>
        <w:t>第2.5款</w:t>
      </w:r>
      <w:r>
        <w:rPr>
          <w:rFonts w:ascii="Times New Roman" w:hAnsi="Times New Roman"/>
        </w:rPr>
        <w:t>。</w:t>
      </w:r>
    </w:p>
    <w:p>
      <w:pPr>
        <w:spacing w:line="440" w:lineRule="exact"/>
        <w:ind w:firstLine="420"/>
        <w:rPr>
          <w:rFonts w:ascii="Times New Roman" w:hAnsi="Times New Roman"/>
        </w:rPr>
      </w:pPr>
      <w:r>
        <w:rPr>
          <w:rFonts w:hint="eastAsia" w:ascii="Times New Roman" w:hAnsi="Times New Roman"/>
        </w:rPr>
        <w:t>3.2.4</w:t>
      </w:r>
      <w:r>
        <w:rPr>
          <w:rFonts w:ascii="Times New Roman" w:hAnsi="Times New Roman"/>
        </w:rPr>
        <w:t>本项目的报价方式</w:t>
      </w:r>
      <w:r>
        <w:rPr>
          <w:rFonts w:hint="eastAsia" w:ascii="Times New Roman" w:hAnsi="Times New Roman"/>
        </w:rPr>
        <w:t>为</w:t>
      </w:r>
      <w:r>
        <w:rPr>
          <w:rFonts w:hint="eastAsia" w:ascii="Times New Roman" w:hAnsi="Times New Roman"/>
          <w:u w:val="single"/>
        </w:rPr>
        <w:t>单价</w:t>
      </w:r>
      <w:r>
        <w:rPr>
          <w:rFonts w:ascii="Times New Roman" w:hAnsi="Times New Roman"/>
        </w:rPr>
        <w:t>。</w:t>
      </w:r>
    </w:p>
    <w:p>
      <w:pPr>
        <w:keepNext/>
        <w:keepLines/>
        <w:spacing w:before="120" w:after="120"/>
        <w:outlineLvl w:val="2"/>
        <w:rPr>
          <w:rFonts w:ascii="Times New Roman" w:hAnsi="Times New Roman" w:eastAsia="黑体"/>
          <w:bCs/>
          <w:sz w:val="24"/>
          <w:szCs w:val="32"/>
        </w:rPr>
      </w:pPr>
      <w:bookmarkStart w:id="72" w:name="_Toc14201228"/>
      <w:bookmarkStart w:id="73" w:name="_Toc26656959"/>
      <w:r>
        <w:rPr>
          <w:rFonts w:ascii="Times New Roman" w:hAnsi="Times New Roman" w:eastAsia="黑体"/>
          <w:bCs/>
          <w:sz w:val="24"/>
          <w:szCs w:val="32"/>
        </w:rPr>
        <w:t>3.3</w:t>
      </w:r>
      <w:bookmarkEnd w:id="72"/>
      <w:bookmarkEnd w:id="73"/>
      <w:r>
        <w:rPr>
          <w:rFonts w:ascii="Times New Roman" w:hAnsi="Times New Roman" w:eastAsia="黑体"/>
          <w:bCs/>
          <w:sz w:val="24"/>
          <w:szCs w:val="32"/>
        </w:rPr>
        <w:t>响应有效期</w:t>
      </w:r>
    </w:p>
    <w:p>
      <w:pPr>
        <w:spacing w:line="440" w:lineRule="exact"/>
        <w:ind w:firstLine="420"/>
        <w:rPr>
          <w:rFonts w:ascii="Times New Roman" w:hAnsi="Times New Roman"/>
        </w:rPr>
      </w:pPr>
      <w:r>
        <w:rPr>
          <w:rFonts w:ascii="Times New Roman" w:hAnsi="Times New Roman"/>
        </w:rPr>
        <w:t>3.3.1 响应有效期为</w:t>
      </w:r>
      <w:r>
        <w:rPr>
          <w:rFonts w:ascii="Times New Roman" w:hAnsi="Times New Roman"/>
          <w:szCs w:val="21"/>
        </w:rPr>
        <w:t>自供应商递交响应文件截止之日起计算</w:t>
      </w:r>
      <w:r>
        <w:rPr>
          <w:rFonts w:hint="eastAsia" w:ascii="Times New Roman" w:hAnsi="Times New Roman"/>
          <w:szCs w:val="21"/>
        </w:rPr>
        <w:t>9</w:t>
      </w:r>
      <w:r>
        <w:rPr>
          <w:rFonts w:ascii="Times New Roman" w:hAnsi="Times New Roman"/>
          <w:szCs w:val="21"/>
        </w:rPr>
        <w:t>0</w:t>
      </w:r>
      <w:r>
        <w:rPr>
          <w:rFonts w:ascii="Times New Roman" w:hAnsi="Times New Roman"/>
        </w:rPr>
        <w:t>日。</w:t>
      </w:r>
    </w:p>
    <w:p>
      <w:pPr>
        <w:spacing w:line="440" w:lineRule="exact"/>
        <w:ind w:firstLine="420"/>
        <w:rPr>
          <w:rFonts w:ascii="Times New Roman" w:hAnsi="Times New Roman"/>
        </w:rPr>
      </w:pPr>
      <w:r>
        <w:rPr>
          <w:rFonts w:ascii="Times New Roman" w:hAnsi="Times New Roman"/>
        </w:rPr>
        <w:t>3.3.2 在响应有效期内，供应商撤销响应文件的，应承担</w:t>
      </w:r>
      <w:r>
        <w:rPr>
          <w:rFonts w:hint="eastAsia" w:ascii="Times New Roman" w:hAnsi="Times New Roman"/>
          <w:lang w:eastAsia="zh-CN"/>
        </w:rPr>
        <w:t>招标文件</w:t>
      </w:r>
      <w:r>
        <w:rPr>
          <w:rFonts w:ascii="Times New Roman" w:hAnsi="Times New Roman"/>
        </w:rPr>
        <w:t>和法律规定的责任。</w:t>
      </w:r>
    </w:p>
    <w:p>
      <w:pPr>
        <w:keepNext/>
        <w:keepLines/>
        <w:spacing w:before="120" w:after="120"/>
        <w:outlineLvl w:val="2"/>
        <w:rPr>
          <w:rFonts w:ascii="Times New Roman" w:hAnsi="Times New Roman" w:eastAsia="黑体"/>
          <w:bCs/>
          <w:sz w:val="24"/>
          <w:szCs w:val="32"/>
        </w:rPr>
      </w:pPr>
      <w:bookmarkStart w:id="74" w:name="_Toc26656960"/>
      <w:bookmarkStart w:id="75" w:name="_Toc14201229"/>
      <w:r>
        <w:rPr>
          <w:rFonts w:ascii="Times New Roman" w:hAnsi="Times New Roman" w:eastAsia="黑体"/>
          <w:bCs/>
          <w:sz w:val="24"/>
          <w:szCs w:val="32"/>
        </w:rPr>
        <w:t>3.4</w:t>
      </w:r>
      <w:bookmarkEnd w:id="74"/>
      <w:bookmarkEnd w:id="75"/>
      <w:r>
        <w:rPr>
          <w:rFonts w:ascii="Times New Roman" w:hAnsi="Times New Roman" w:eastAsia="黑体"/>
          <w:bCs/>
          <w:sz w:val="24"/>
          <w:szCs w:val="32"/>
        </w:rPr>
        <w:t>响应保证金</w:t>
      </w:r>
    </w:p>
    <w:p>
      <w:pPr>
        <w:spacing w:line="440" w:lineRule="exact"/>
        <w:ind w:firstLine="420"/>
        <w:rPr>
          <w:rFonts w:ascii="Times New Roman" w:hAnsi="Times New Roman"/>
        </w:rPr>
      </w:pPr>
      <w:r>
        <w:rPr>
          <w:rFonts w:hint="eastAsia" w:ascii="Times New Roman" w:hAnsi="Times New Roman"/>
        </w:rPr>
        <w:t>无</w:t>
      </w:r>
      <w:r>
        <w:rPr>
          <w:rFonts w:ascii="Times New Roman" w:hAnsi="Times New Roman"/>
        </w:rPr>
        <w:t>。</w:t>
      </w:r>
    </w:p>
    <w:p>
      <w:pPr>
        <w:keepNext/>
        <w:keepLines/>
        <w:spacing w:before="120" w:after="120"/>
        <w:outlineLvl w:val="2"/>
        <w:rPr>
          <w:rFonts w:ascii="Times New Roman" w:hAnsi="Times New Roman" w:eastAsia="黑体"/>
          <w:bCs/>
          <w:sz w:val="24"/>
          <w:szCs w:val="32"/>
        </w:rPr>
      </w:pPr>
      <w:bookmarkStart w:id="76" w:name="_Toc26656961"/>
      <w:bookmarkStart w:id="77" w:name="_Toc14201230"/>
      <w:r>
        <w:rPr>
          <w:rFonts w:ascii="Times New Roman" w:hAnsi="Times New Roman" w:eastAsia="黑体"/>
          <w:bCs/>
          <w:sz w:val="24"/>
          <w:szCs w:val="32"/>
        </w:rPr>
        <w:t>3.5资格审查资料</w:t>
      </w:r>
      <w:bookmarkEnd w:id="76"/>
      <w:bookmarkEnd w:id="77"/>
    </w:p>
    <w:p>
      <w:pPr>
        <w:spacing w:line="440" w:lineRule="exact"/>
        <w:ind w:firstLine="420"/>
        <w:rPr>
          <w:rFonts w:ascii="Times New Roman" w:hAnsi="Times New Roman"/>
        </w:rPr>
      </w:pPr>
      <w:r>
        <w:rPr>
          <w:rFonts w:ascii="Times New Roman" w:hAnsi="Times New Roman"/>
        </w:rPr>
        <w:t>供应商应按第六章“响应文件格式”</w:t>
      </w:r>
      <w:r>
        <w:rPr>
          <w:rFonts w:hint="eastAsia" w:ascii="Times New Roman" w:hAnsi="Times New Roman"/>
        </w:rPr>
        <w:t>的</w:t>
      </w:r>
      <w:r>
        <w:rPr>
          <w:rFonts w:ascii="Times New Roman" w:hAnsi="Times New Roman"/>
        </w:rPr>
        <w:t>规定提供资格审查资料，以证明其满足本章第1.</w:t>
      </w:r>
      <w:r>
        <w:rPr>
          <w:rFonts w:hint="eastAsia" w:ascii="Times New Roman" w:hAnsi="Times New Roman"/>
        </w:rPr>
        <w:t>2</w:t>
      </w:r>
      <w:r>
        <w:rPr>
          <w:rFonts w:ascii="Times New Roman" w:hAnsi="Times New Roman"/>
        </w:rPr>
        <w:t>款规定的资质、业绩、信誉等要求。</w:t>
      </w:r>
    </w:p>
    <w:p>
      <w:pPr>
        <w:keepNext/>
        <w:keepLines/>
        <w:spacing w:before="120" w:after="120"/>
        <w:outlineLvl w:val="2"/>
        <w:rPr>
          <w:rFonts w:ascii="Times New Roman" w:hAnsi="Times New Roman" w:eastAsia="黑体"/>
          <w:bCs/>
          <w:sz w:val="24"/>
          <w:szCs w:val="32"/>
        </w:rPr>
      </w:pPr>
      <w:bookmarkStart w:id="78" w:name="_Toc26656963"/>
      <w:bookmarkStart w:id="79" w:name="_Toc14201232"/>
      <w:r>
        <w:rPr>
          <w:rFonts w:ascii="Times New Roman" w:hAnsi="Times New Roman" w:eastAsia="黑体"/>
          <w:bCs/>
          <w:sz w:val="24"/>
          <w:szCs w:val="32"/>
        </w:rPr>
        <w:t>3.</w:t>
      </w:r>
      <w:r>
        <w:rPr>
          <w:rFonts w:hint="eastAsia" w:ascii="Times New Roman" w:hAnsi="Times New Roman" w:eastAsia="黑体"/>
          <w:bCs/>
          <w:sz w:val="24"/>
          <w:szCs w:val="32"/>
        </w:rPr>
        <w:t>6</w:t>
      </w:r>
      <w:r>
        <w:rPr>
          <w:rFonts w:ascii="Times New Roman" w:hAnsi="Times New Roman" w:eastAsia="黑体"/>
          <w:bCs/>
          <w:sz w:val="24"/>
          <w:szCs w:val="32"/>
        </w:rPr>
        <w:t>响应文件的编制</w:t>
      </w:r>
      <w:bookmarkEnd w:id="78"/>
      <w:bookmarkEnd w:id="79"/>
    </w:p>
    <w:p>
      <w:pPr>
        <w:spacing w:line="440" w:lineRule="exact"/>
        <w:ind w:firstLine="420"/>
        <w:rPr>
          <w:rFonts w:ascii="Times New Roman" w:hAnsi="Times New Roman"/>
        </w:rPr>
      </w:pPr>
      <w:r>
        <w:rPr>
          <w:rFonts w:ascii="Times New Roman" w:hAnsi="Times New Roman"/>
        </w:rPr>
        <w:t>3.</w:t>
      </w:r>
      <w:r>
        <w:rPr>
          <w:rFonts w:hint="eastAsia" w:ascii="Times New Roman" w:hAnsi="Times New Roman"/>
        </w:rPr>
        <w:t>6</w:t>
      </w:r>
      <w:r>
        <w:rPr>
          <w:rFonts w:ascii="Times New Roman" w:hAnsi="Times New Roman"/>
        </w:rPr>
        <w:t>.1响应文件应按第六章“响应文件格式”进行编写，如有必要，可以增加附页，作为响应文件的组成部分。</w:t>
      </w:r>
    </w:p>
    <w:p>
      <w:pPr>
        <w:spacing w:line="440" w:lineRule="exact"/>
        <w:ind w:firstLine="420"/>
        <w:rPr>
          <w:rFonts w:ascii="Times New Roman" w:hAnsi="Times New Roman"/>
        </w:rPr>
      </w:pPr>
      <w:r>
        <w:rPr>
          <w:rFonts w:ascii="Times New Roman" w:hAnsi="Times New Roman"/>
        </w:rPr>
        <w:t>3.</w:t>
      </w:r>
      <w:r>
        <w:rPr>
          <w:rFonts w:hint="eastAsia" w:ascii="Times New Roman" w:hAnsi="Times New Roman"/>
        </w:rPr>
        <w:t>6</w:t>
      </w:r>
      <w:r>
        <w:rPr>
          <w:rFonts w:ascii="Times New Roman" w:hAnsi="Times New Roman"/>
        </w:rPr>
        <w:t>.2 响应文件应当对</w:t>
      </w:r>
      <w:r>
        <w:rPr>
          <w:rFonts w:hint="eastAsia" w:ascii="Times New Roman" w:hAnsi="Times New Roman"/>
          <w:lang w:eastAsia="zh-CN"/>
        </w:rPr>
        <w:t>招标文件</w:t>
      </w:r>
      <w:r>
        <w:rPr>
          <w:rFonts w:ascii="Times New Roman" w:hAnsi="Times New Roman"/>
        </w:rPr>
        <w:t>有关</w:t>
      </w:r>
      <w:r>
        <w:rPr>
          <w:rFonts w:hint="eastAsia" w:ascii="Times New Roman" w:hAnsi="Times New Roman"/>
        </w:rPr>
        <w:t>服务</w:t>
      </w:r>
      <w:r>
        <w:rPr>
          <w:rFonts w:ascii="Times New Roman" w:hAnsi="Times New Roman"/>
        </w:rPr>
        <w:t>期、响应有效期、质量要求、安全目标、技术标准和要求、</w:t>
      </w:r>
      <w:r>
        <w:rPr>
          <w:rFonts w:hint="eastAsia" w:ascii="Times New Roman" w:hAnsi="Times New Roman"/>
        </w:rPr>
        <w:t>采购范围</w:t>
      </w:r>
      <w:r>
        <w:rPr>
          <w:rFonts w:ascii="Times New Roman" w:hAnsi="Times New Roman"/>
        </w:rPr>
        <w:t>等实质性内容作出响应。</w:t>
      </w:r>
    </w:p>
    <w:p>
      <w:pPr>
        <w:keepNext/>
        <w:keepLines/>
        <w:spacing w:beforeLines="50" w:afterLines="50"/>
        <w:outlineLvl w:val="1"/>
        <w:rPr>
          <w:rFonts w:ascii="Times New Roman" w:hAnsi="Times New Roman" w:eastAsia="黑体"/>
          <w:bCs/>
          <w:sz w:val="24"/>
          <w:szCs w:val="32"/>
        </w:rPr>
      </w:pPr>
      <w:bookmarkStart w:id="80" w:name="_Toc26656964"/>
      <w:bookmarkStart w:id="81" w:name="_Toc14201233"/>
      <w:bookmarkStart w:id="82" w:name="_Toc9067723"/>
      <w:r>
        <w:rPr>
          <w:rFonts w:ascii="Times New Roman" w:hAnsi="Times New Roman" w:eastAsia="黑体"/>
          <w:bCs/>
          <w:sz w:val="24"/>
          <w:szCs w:val="32"/>
        </w:rPr>
        <w:t xml:space="preserve">4. </w:t>
      </w:r>
      <w:bookmarkEnd w:id="80"/>
      <w:bookmarkEnd w:id="81"/>
      <w:bookmarkEnd w:id="82"/>
      <w:r>
        <w:rPr>
          <w:rFonts w:ascii="Times New Roman" w:hAnsi="Times New Roman" w:eastAsia="黑体"/>
          <w:bCs/>
          <w:sz w:val="24"/>
          <w:szCs w:val="32"/>
        </w:rPr>
        <w:t>响应文件的递交</w:t>
      </w:r>
    </w:p>
    <w:p>
      <w:pPr>
        <w:spacing w:line="440" w:lineRule="exact"/>
        <w:ind w:firstLine="420"/>
        <w:rPr>
          <w:rFonts w:ascii="Times New Roman" w:hAnsi="Times New Roman"/>
        </w:rPr>
      </w:pPr>
      <w:r>
        <w:rPr>
          <w:rFonts w:hint="eastAsia" w:ascii="Times New Roman" w:hAnsi="Times New Roman"/>
        </w:rPr>
        <w:t>线</w:t>
      </w:r>
      <w:r>
        <w:rPr>
          <w:rFonts w:hint="eastAsia" w:ascii="Times New Roman" w:hAnsi="Times New Roman"/>
          <w:lang w:val="en-US" w:eastAsia="zh-CN"/>
        </w:rPr>
        <w:t>下</w:t>
      </w:r>
      <w:r>
        <w:rPr>
          <w:rFonts w:hint="eastAsia" w:ascii="Times New Roman" w:hAnsi="Times New Roman"/>
        </w:rPr>
        <w:t>递交响应文件</w:t>
      </w:r>
      <w:r>
        <w:rPr>
          <w:rFonts w:ascii="Times New Roman" w:hAnsi="Times New Roman"/>
        </w:rPr>
        <w:t>。</w:t>
      </w:r>
    </w:p>
    <w:p>
      <w:pPr>
        <w:keepNext/>
        <w:keepLines/>
        <w:spacing w:beforeLines="50" w:afterLines="50"/>
        <w:outlineLvl w:val="1"/>
        <w:rPr>
          <w:rFonts w:ascii="Times New Roman" w:hAnsi="Times New Roman" w:eastAsia="黑体"/>
          <w:bCs/>
          <w:sz w:val="24"/>
          <w:szCs w:val="32"/>
        </w:rPr>
      </w:pPr>
      <w:bookmarkStart w:id="83" w:name="_Toc26656968"/>
      <w:bookmarkStart w:id="84" w:name="_Toc14201237"/>
      <w:bookmarkStart w:id="85" w:name="_Toc9067724"/>
      <w:r>
        <w:rPr>
          <w:rFonts w:ascii="Times New Roman" w:hAnsi="Times New Roman" w:eastAsia="黑体"/>
          <w:bCs/>
          <w:sz w:val="24"/>
          <w:szCs w:val="32"/>
        </w:rPr>
        <w:t xml:space="preserve">5. </w:t>
      </w:r>
      <w:bookmarkEnd w:id="83"/>
      <w:bookmarkEnd w:id="84"/>
      <w:bookmarkEnd w:id="85"/>
      <w:bookmarkStart w:id="86" w:name="_Toc14201238"/>
      <w:bookmarkStart w:id="87" w:name="_Toc26656969"/>
      <w:r>
        <w:rPr>
          <w:rFonts w:ascii="Times New Roman" w:hAnsi="Times New Roman" w:eastAsia="黑体"/>
          <w:bCs/>
          <w:sz w:val="24"/>
          <w:szCs w:val="32"/>
        </w:rPr>
        <w:t>启封时间和地点</w:t>
      </w:r>
      <w:bookmarkEnd w:id="86"/>
      <w:bookmarkEnd w:id="87"/>
    </w:p>
    <w:p>
      <w:pPr>
        <w:spacing w:line="440" w:lineRule="exact"/>
        <w:ind w:firstLine="420"/>
        <w:rPr>
          <w:rFonts w:ascii="Times New Roman" w:hAnsi="Times New Roman"/>
        </w:rPr>
      </w:pPr>
      <w:r>
        <w:rPr>
          <w:rFonts w:ascii="Times New Roman" w:hAnsi="Times New Roman"/>
        </w:rPr>
        <w:t>采购人在本章第4.2.1项规定的响应文件递交截止时间（启封时间），</w:t>
      </w:r>
      <w:r>
        <w:rPr>
          <w:rFonts w:hint="eastAsia" w:ascii="Times New Roman" w:hAnsi="Times New Roman"/>
        </w:rPr>
        <w:t>按照第一章</w:t>
      </w:r>
      <w:r>
        <w:rPr>
          <w:rFonts w:ascii="Times New Roman" w:hAnsi="Times New Roman"/>
        </w:rPr>
        <w:t>“</w:t>
      </w:r>
      <w:r>
        <w:rPr>
          <w:rFonts w:hint="eastAsia" w:ascii="Times New Roman" w:hAnsi="Times New Roman"/>
          <w:szCs w:val="21"/>
        </w:rPr>
        <w:t>采购公告</w:t>
      </w:r>
      <w:r>
        <w:rPr>
          <w:rFonts w:ascii="Times New Roman" w:hAnsi="Times New Roman"/>
        </w:rPr>
        <w:t>”</w:t>
      </w:r>
      <w:r>
        <w:rPr>
          <w:rFonts w:hint="eastAsia" w:ascii="Times New Roman" w:hAnsi="Times New Roman"/>
          <w:szCs w:val="21"/>
        </w:rPr>
        <w:t>第6条的规定进行启封</w:t>
      </w:r>
      <w:r>
        <w:rPr>
          <w:rFonts w:ascii="Times New Roman" w:hAnsi="Times New Roman"/>
        </w:rPr>
        <w:t>。</w:t>
      </w:r>
    </w:p>
    <w:p>
      <w:pPr>
        <w:spacing w:line="440" w:lineRule="exact"/>
        <w:ind w:firstLine="420"/>
        <w:rPr>
          <w:rFonts w:ascii="Times New Roman" w:hAnsi="Times New Roman"/>
        </w:rPr>
      </w:pPr>
      <w:r>
        <w:rPr>
          <w:rFonts w:ascii="Times New Roman" w:hAnsi="Times New Roman"/>
        </w:rPr>
        <w:t>供应商若未派法定代表人或其委托代理人出席启封活动，视为该供应商默认启封结果。</w:t>
      </w:r>
    </w:p>
    <w:p>
      <w:pPr>
        <w:keepNext/>
        <w:keepLines/>
        <w:spacing w:beforeLines="50" w:afterLines="50"/>
        <w:outlineLvl w:val="1"/>
        <w:rPr>
          <w:rFonts w:ascii="Times New Roman" w:hAnsi="Times New Roman" w:eastAsia="黑体"/>
          <w:bCs/>
          <w:sz w:val="24"/>
          <w:szCs w:val="32"/>
        </w:rPr>
      </w:pPr>
      <w:bookmarkStart w:id="88" w:name="_Toc9067725"/>
      <w:bookmarkStart w:id="89" w:name="_Toc26656972"/>
      <w:bookmarkStart w:id="90" w:name="_Toc14201241"/>
      <w:r>
        <w:rPr>
          <w:rFonts w:ascii="Times New Roman" w:hAnsi="Times New Roman" w:eastAsia="黑体"/>
          <w:bCs/>
          <w:sz w:val="24"/>
          <w:szCs w:val="32"/>
        </w:rPr>
        <w:t>6. 评</w:t>
      </w:r>
      <w:bookmarkEnd w:id="88"/>
      <w:bookmarkEnd w:id="89"/>
      <w:bookmarkEnd w:id="90"/>
      <w:r>
        <w:rPr>
          <w:rFonts w:ascii="Times New Roman" w:hAnsi="Times New Roman" w:eastAsia="黑体"/>
          <w:bCs/>
          <w:sz w:val="24"/>
          <w:szCs w:val="32"/>
        </w:rPr>
        <w:t>审</w:t>
      </w:r>
    </w:p>
    <w:p>
      <w:pPr>
        <w:keepNext/>
        <w:keepLines/>
        <w:spacing w:before="120" w:after="120"/>
        <w:outlineLvl w:val="2"/>
        <w:rPr>
          <w:rFonts w:ascii="Times New Roman" w:hAnsi="Times New Roman" w:eastAsia="黑体"/>
          <w:bCs/>
          <w:sz w:val="24"/>
          <w:szCs w:val="32"/>
        </w:rPr>
      </w:pPr>
      <w:bookmarkStart w:id="91" w:name="_Toc14201242"/>
      <w:bookmarkStart w:id="92" w:name="_Toc26656973"/>
      <w:r>
        <w:rPr>
          <w:rFonts w:ascii="Times New Roman" w:hAnsi="Times New Roman" w:eastAsia="黑体"/>
          <w:bCs/>
          <w:sz w:val="24"/>
          <w:szCs w:val="32"/>
        </w:rPr>
        <w:t>6.1</w:t>
      </w:r>
      <w:bookmarkEnd w:id="91"/>
      <w:bookmarkEnd w:id="92"/>
      <w:r>
        <w:rPr>
          <w:rFonts w:hint="eastAsia" w:ascii="Times New Roman" w:hAnsi="Times New Roman" w:eastAsia="黑体"/>
          <w:bCs/>
          <w:sz w:val="24"/>
          <w:szCs w:val="32"/>
        </w:rPr>
        <w:t>评审小组</w:t>
      </w:r>
    </w:p>
    <w:p>
      <w:pPr>
        <w:spacing w:line="440" w:lineRule="exact"/>
        <w:ind w:firstLine="420"/>
        <w:rPr>
          <w:rFonts w:ascii="Times New Roman" w:hAnsi="Times New Roman"/>
        </w:rPr>
      </w:pPr>
      <w:r>
        <w:rPr>
          <w:rFonts w:ascii="Times New Roman" w:hAnsi="Times New Roman"/>
        </w:rPr>
        <w:t>评审由采购人</w:t>
      </w:r>
      <w:r>
        <w:rPr>
          <w:rFonts w:hint="eastAsia" w:ascii="Times New Roman" w:hAnsi="Times New Roman"/>
        </w:rPr>
        <w:t>自行</w:t>
      </w:r>
      <w:r>
        <w:rPr>
          <w:rFonts w:ascii="Times New Roman" w:hAnsi="Times New Roman"/>
        </w:rPr>
        <w:t>组建的</w:t>
      </w:r>
      <w:r>
        <w:rPr>
          <w:rFonts w:hint="eastAsia" w:ascii="Times New Roman" w:hAnsi="Times New Roman"/>
        </w:rPr>
        <w:t>评审小组</w:t>
      </w:r>
      <w:r>
        <w:rPr>
          <w:rFonts w:ascii="Times New Roman" w:hAnsi="Times New Roman"/>
        </w:rPr>
        <w:t>负责。</w:t>
      </w:r>
    </w:p>
    <w:p>
      <w:pPr>
        <w:keepNext/>
        <w:keepLines/>
        <w:spacing w:before="120" w:after="120"/>
        <w:outlineLvl w:val="2"/>
        <w:rPr>
          <w:rFonts w:ascii="Times New Roman" w:hAnsi="Times New Roman" w:eastAsia="黑体"/>
          <w:bCs/>
          <w:sz w:val="24"/>
          <w:szCs w:val="32"/>
        </w:rPr>
      </w:pPr>
      <w:bookmarkStart w:id="93" w:name="_Toc14201244"/>
      <w:bookmarkStart w:id="94" w:name="_Toc26656975"/>
      <w:r>
        <w:rPr>
          <w:rFonts w:ascii="Times New Roman" w:hAnsi="Times New Roman" w:eastAsia="黑体"/>
          <w:bCs/>
          <w:sz w:val="24"/>
          <w:szCs w:val="32"/>
        </w:rPr>
        <w:t>6.</w:t>
      </w:r>
      <w:r>
        <w:rPr>
          <w:rFonts w:hint="eastAsia" w:ascii="Times New Roman" w:hAnsi="Times New Roman" w:eastAsia="黑体"/>
          <w:bCs/>
          <w:sz w:val="24"/>
          <w:szCs w:val="32"/>
        </w:rPr>
        <w:t>2</w:t>
      </w:r>
      <w:r>
        <w:rPr>
          <w:rFonts w:ascii="Times New Roman" w:hAnsi="Times New Roman" w:eastAsia="黑体"/>
          <w:bCs/>
          <w:sz w:val="24"/>
          <w:szCs w:val="32"/>
        </w:rPr>
        <w:t>评</w:t>
      </w:r>
      <w:bookmarkEnd w:id="93"/>
      <w:bookmarkEnd w:id="94"/>
      <w:r>
        <w:rPr>
          <w:rFonts w:ascii="Times New Roman" w:hAnsi="Times New Roman" w:eastAsia="黑体"/>
          <w:bCs/>
          <w:sz w:val="24"/>
          <w:szCs w:val="32"/>
        </w:rPr>
        <w:t>审</w:t>
      </w:r>
    </w:p>
    <w:p>
      <w:pPr>
        <w:spacing w:line="440" w:lineRule="exact"/>
        <w:ind w:firstLine="420"/>
        <w:rPr>
          <w:rFonts w:ascii="Times New Roman" w:hAnsi="Times New Roman"/>
        </w:rPr>
      </w:pPr>
      <w:r>
        <w:rPr>
          <w:rFonts w:ascii="Times New Roman" w:hAnsi="Times New Roman"/>
        </w:rPr>
        <w:t>6.</w:t>
      </w:r>
      <w:r>
        <w:rPr>
          <w:rFonts w:hint="eastAsia" w:ascii="Times New Roman" w:hAnsi="Times New Roman"/>
        </w:rPr>
        <w:t>2</w:t>
      </w:r>
      <w:r>
        <w:rPr>
          <w:rFonts w:ascii="Times New Roman" w:hAnsi="Times New Roman"/>
        </w:rPr>
        <w:t>.1</w:t>
      </w:r>
      <w:r>
        <w:rPr>
          <w:rFonts w:hint="eastAsia" w:ascii="Times New Roman" w:hAnsi="Times New Roman"/>
        </w:rPr>
        <w:t>评审小组</w:t>
      </w:r>
      <w:r>
        <w:rPr>
          <w:rFonts w:ascii="Times New Roman" w:hAnsi="Times New Roman"/>
        </w:rPr>
        <w:t>按照第三章“评审办法”规定的方法、评审因素、标准和程序对响应文件进行评审。</w:t>
      </w:r>
    </w:p>
    <w:p>
      <w:pPr>
        <w:spacing w:line="440" w:lineRule="exact"/>
        <w:ind w:firstLine="420"/>
        <w:rPr>
          <w:rFonts w:ascii="Times New Roman" w:hAnsi="Times New Roman"/>
        </w:rPr>
      </w:pPr>
      <w:r>
        <w:rPr>
          <w:rFonts w:ascii="Times New Roman" w:hAnsi="Times New Roman"/>
        </w:rPr>
        <w:t>6.</w:t>
      </w:r>
      <w:r>
        <w:rPr>
          <w:rFonts w:hint="eastAsia" w:ascii="Times New Roman" w:hAnsi="Times New Roman"/>
        </w:rPr>
        <w:t>2</w:t>
      </w:r>
      <w:r>
        <w:rPr>
          <w:rFonts w:ascii="Times New Roman" w:hAnsi="Times New Roman"/>
        </w:rPr>
        <w:t>.2评审完成后，</w:t>
      </w:r>
      <w:r>
        <w:rPr>
          <w:rFonts w:hint="eastAsia" w:ascii="Times New Roman" w:hAnsi="Times New Roman"/>
        </w:rPr>
        <w:t>评审小组</w:t>
      </w:r>
      <w:r>
        <w:rPr>
          <w:rFonts w:ascii="Times New Roman" w:hAnsi="Times New Roman"/>
        </w:rPr>
        <w:t>应向采购人提交书面评审报告和成交候选人名单。</w:t>
      </w:r>
      <w:r>
        <w:rPr>
          <w:rFonts w:hint="eastAsia" w:ascii="Times New Roman" w:hAnsi="Times New Roman"/>
        </w:rPr>
        <w:t>评审小组</w:t>
      </w:r>
      <w:r>
        <w:rPr>
          <w:rFonts w:ascii="Times New Roman" w:hAnsi="Times New Roman"/>
        </w:rPr>
        <w:t>推荐成交候选人的人数</w:t>
      </w:r>
      <w:r>
        <w:rPr>
          <w:rFonts w:hint="eastAsia" w:ascii="Times New Roman" w:hAnsi="Times New Roman"/>
        </w:rPr>
        <w:t>为：3人（如不足3人，可以按实际数量推荐）</w:t>
      </w:r>
      <w:r>
        <w:rPr>
          <w:rFonts w:ascii="Times New Roman" w:hAnsi="Times New Roman"/>
        </w:rPr>
        <w:t>。</w:t>
      </w:r>
    </w:p>
    <w:p>
      <w:pPr>
        <w:keepNext/>
        <w:keepLines/>
        <w:spacing w:beforeLines="50" w:afterLines="50"/>
        <w:outlineLvl w:val="1"/>
        <w:rPr>
          <w:rFonts w:ascii="Times New Roman" w:hAnsi="Times New Roman" w:eastAsia="黑体"/>
          <w:bCs/>
          <w:sz w:val="24"/>
          <w:szCs w:val="32"/>
        </w:rPr>
      </w:pPr>
      <w:bookmarkStart w:id="95" w:name="_Toc9067726"/>
      <w:bookmarkStart w:id="96" w:name="_Toc14201245"/>
      <w:bookmarkStart w:id="97" w:name="_Toc26656976"/>
      <w:r>
        <w:rPr>
          <w:rFonts w:ascii="Times New Roman" w:hAnsi="Times New Roman" w:eastAsia="黑体"/>
          <w:bCs/>
          <w:sz w:val="24"/>
          <w:szCs w:val="32"/>
        </w:rPr>
        <w:t>7. 合同授予</w:t>
      </w:r>
      <w:bookmarkEnd w:id="95"/>
      <w:bookmarkEnd w:id="96"/>
      <w:bookmarkEnd w:id="97"/>
    </w:p>
    <w:p>
      <w:pPr>
        <w:keepNext/>
        <w:keepLines/>
        <w:spacing w:before="120" w:after="120"/>
        <w:outlineLvl w:val="2"/>
        <w:rPr>
          <w:rFonts w:ascii="Times New Roman" w:hAnsi="Times New Roman" w:eastAsia="黑体"/>
          <w:bCs/>
          <w:sz w:val="24"/>
          <w:szCs w:val="32"/>
        </w:rPr>
      </w:pPr>
      <w:bookmarkStart w:id="98" w:name="_Toc14201246"/>
      <w:bookmarkStart w:id="99" w:name="_Toc26656977"/>
      <w:r>
        <w:rPr>
          <w:rFonts w:ascii="Times New Roman" w:hAnsi="Times New Roman" w:eastAsia="黑体"/>
          <w:bCs/>
          <w:sz w:val="24"/>
          <w:szCs w:val="32"/>
        </w:rPr>
        <w:t>7.1成交候选人公示</w:t>
      </w:r>
      <w:bookmarkEnd w:id="98"/>
      <w:bookmarkEnd w:id="99"/>
    </w:p>
    <w:p>
      <w:pPr>
        <w:spacing w:line="440" w:lineRule="exact"/>
        <w:ind w:firstLine="420"/>
        <w:rPr>
          <w:rFonts w:ascii="Times New Roman" w:hAnsi="Times New Roman"/>
        </w:rPr>
      </w:pPr>
      <w:r>
        <w:rPr>
          <w:rFonts w:hint="eastAsia" w:ascii="Times New Roman" w:hAnsi="Times New Roman"/>
        </w:rPr>
        <w:t>本项目成交候选人公示期2日</w:t>
      </w:r>
      <w:r>
        <w:rPr>
          <w:rFonts w:ascii="Times New Roman" w:hAnsi="Times New Roman"/>
        </w:rPr>
        <w:t>。</w:t>
      </w:r>
    </w:p>
    <w:p>
      <w:pPr>
        <w:keepNext/>
        <w:keepLines/>
        <w:spacing w:before="120" w:after="120"/>
        <w:outlineLvl w:val="2"/>
        <w:rPr>
          <w:rFonts w:ascii="Times New Roman" w:hAnsi="Times New Roman" w:eastAsia="黑体"/>
          <w:bCs/>
          <w:sz w:val="24"/>
          <w:szCs w:val="32"/>
        </w:rPr>
      </w:pPr>
      <w:bookmarkStart w:id="100" w:name="_Toc14201247"/>
      <w:bookmarkStart w:id="101" w:name="_Toc26656978"/>
      <w:r>
        <w:rPr>
          <w:rFonts w:ascii="Times New Roman" w:hAnsi="Times New Roman" w:eastAsia="黑体"/>
          <w:bCs/>
          <w:sz w:val="24"/>
          <w:szCs w:val="32"/>
        </w:rPr>
        <w:t>7.2评审结果异议</w:t>
      </w:r>
      <w:bookmarkEnd w:id="100"/>
      <w:bookmarkEnd w:id="101"/>
    </w:p>
    <w:p>
      <w:pPr>
        <w:spacing w:line="440" w:lineRule="exact"/>
        <w:ind w:firstLine="420"/>
        <w:rPr>
          <w:rFonts w:ascii="Times New Roman" w:hAnsi="Times New Roman"/>
        </w:rPr>
      </w:pPr>
      <w:r>
        <w:rPr>
          <w:rFonts w:ascii="Times New Roman" w:hAnsi="Times New Roman"/>
        </w:rPr>
        <w:t>供应商或其他利害关系人对评审结果有异议的，应在成交候选人公示期间提出。</w:t>
      </w:r>
    </w:p>
    <w:p>
      <w:pPr>
        <w:keepNext/>
        <w:keepLines/>
        <w:spacing w:before="120" w:after="120"/>
        <w:outlineLvl w:val="2"/>
        <w:rPr>
          <w:rFonts w:ascii="Times New Roman" w:hAnsi="Times New Roman" w:eastAsia="黑体"/>
          <w:bCs/>
          <w:sz w:val="24"/>
          <w:szCs w:val="32"/>
        </w:rPr>
      </w:pPr>
      <w:bookmarkStart w:id="102" w:name="_Toc14201248"/>
      <w:bookmarkStart w:id="103" w:name="_Toc26656979"/>
      <w:r>
        <w:rPr>
          <w:rFonts w:ascii="Times New Roman" w:hAnsi="Times New Roman" w:eastAsia="黑体"/>
          <w:bCs/>
          <w:sz w:val="24"/>
          <w:szCs w:val="32"/>
        </w:rPr>
        <w:t>7.3成交候选人履约能力审查</w:t>
      </w:r>
      <w:bookmarkEnd w:id="102"/>
      <w:bookmarkEnd w:id="103"/>
    </w:p>
    <w:p>
      <w:pPr>
        <w:spacing w:line="440" w:lineRule="exact"/>
        <w:ind w:firstLine="420"/>
        <w:rPr>
          <w:rFonts w:ascii="Times New Roman" w:hAnsi="Times New Roman"/>
        </w:rPr>
      </w:pPr>
      <w:r>
        <w:rPr>
          <w:rFonts w:ascii="Times New Roman" w:hAnsi="Times New Roman"/>
        </w:rPr>
        <w:t>成交候选人的经营、财务状况发生较大变化或存在违法行为，采购人认为可能影响其履约能力的，将在发出成交通知书前提请原</w:t>
      </w:r>
      <w:r>
        <w:rPr>
          <w:rFonts w:hint="eastAsia" w:ascii="Times New Roman" w:hAnsi="Times New Roman"/>
        </w:rPr>
        <w:t>评审小组</w:t>
      </w:r>
      <w:r>
        <w:rPr>
          <w:rFonts w:ascii="Times New Roman" w:hAnsi="Times New Roman"/>
        </w:rPr>
        <w:t>按照</w:t>
      </w:r>
      <w:r>
        <w:rPr>
          <w:rFonts w:hint="eastAsia" w:ascii="Times New Roman" w:hAnsi="Times New Roman"/>
          <w:lang w:eastAsia="zh-CN"/>
        </w:rPr>
        <w:t>招标文件</w:t>
      </w:r>
      <w:r>
        <w:rPr>
          <w:rFonts w:ascii="Times New Roman" w:hAnsi="Times New Roman"/>
        </w:rPr>
        <w:t>规定的标准和方法进行审查确认。</w:t>
      </w:r>
    </w:p>
    <w:p>
      <w:pPr>
        <w:keepNext/>
        <w:keepLines/>
        <w:spacing w:before="120" w:after="120"/>
        <w:outlineLvl w:val="2"/>
        <w:rPr>
          <w:rFonts w:ascii="Times New Roman" w:hAnsi="Times New Roman" w:eastAsia="黑体"/>
          <w:bCs/>
          <w:sz w:val="24"/>
          <w:szCs w:val="32"/>
        </w:rPr>
      </w:pPr>
      <w:bookmarkStart w:id="104" w:name="_Toc14201250"/>
      <w:bookmarkStart w:id="105" w:name="_Toc26656981"/>
      <w:r>
        <w:rPr>
          <w:rFonts w:ascii="Times New Roman" w:hAnsi="Times New Roman" w:eastAsia="黑体"/>
          <w:bCs/>
          <w:sz w:val="24"/>
          <w:szCs w:val="32"/>
        </w:rPr>
        <w:t>7.</w:t>
      </w:r>
      <w:bookmarkEnd w:id="104"/>
      <w:bookmarkEnd w:id="105"/>
      <w:bookmarkStart w:id="106" w:name="_Toc26656983"/>
      <w:bookmarkStart w:id="107" w:name="_Toc14201252"/>
      <w:r>
        <w:rPr>
          <w:rFonts w:ascii="Times New Roman" w:hAnsi="Times New Roman" w:eastAsia="黑体"/>
          <w:bCs/>
          <w:sz w:val="24"/>
          <w:szCs w:val="32"/>
        </w:rPr>
        <w:t>4履约保证金</w:t>
      </w:r>
      <w:bookmarkEnd w:id="106"/>
      <w:bookmarkEnd w:id="107"/>
    </w:p>
    <w:p>
      <w:pPr>
        <w:spacing w:line="440" w:lineRule="exact"/>
        <w:ind w:firstLine="420"/>
        <w:rPr>
          <w:rFonts w:ascii="Times New Roman" w:hAnsi="Times New Roman"/>
        </w:rPr>
      </w:pPr>
      <w:r>
        <w:rPr>
          <w:rFonts w:hint="eastAsia" w:ascii="Times New Roman" w:hAnsi="Times New Roman"/>
        </w:rPr>
        <w:t>无</w:t>
      </w:r>
      <w:r>
        <w:rPr>
          <w:rFonts w:ascii="Times New Roman" w:hAnsi="Times New Roman"/>
        </w:rPr>
        <w:t>。</w:t>
      </w:r>
    </w:p>
    <w:p>
      <w:pPr>
        <w:keepNext/>
        <w:keepLines/>
        <w:spacing w:before="120" w:after="120"/>
        <w:outlineLvl w:val="2"/>
        <w:rPr>
          <w:rFonts w:ascii="Times New Roman" w:hAnsi="Times New Roman" w:eastAsia="黑体"/>
          <w:bCs/>
          <w:sz w:val="24"/>
          <w:szCs w:val="32"/>
        </w:rPr>
      </w:pPr>
      <w:bookmarkStart w:id="108" w:name="_Toc26656984"/>
      <w:bookmarkStart w:id="109" w:name="_Toc14201253"/>
      <w:r>
        <w:rPr>
          <w:rFonts w:ascii="Times New Roman" w:hAnsi="Times New Roman" w:eastAsia="黑体"/>
          <w:bCs/>
          <w:sz w:val="24"/>
          <w:szCs w:val="32"/>
        </w:rPr>
        <w:t>7.5签订合同</w:t>
      </w:r>
      <w:bookmarkEnd w:id="108"/>
      <w:bookmarkEnd w:id="109"/>
    </w:p>
    <w:p>
      <w:pPr>
        <w:spacing w:line="440" w:lineRule="exact"/>
        <w:ind w:firstLine="420"/>
        <w:rPr>
          <w:rFonts w:ascii="Times New Roman" w:hAnsi="Times New Roman"/>
        </w:rPr>
      </w:pPr>
      <w:r>
        <w:rPr>
          <w:rFonts w:ascii="Times New Roman" w:hAnsi="Times New Roman"/>
        </w:rPr>
        <w:t>采购人和成交人应在响应有效期内以及成交通知书发出之日起30日内，根据</w:t>
      </w:r>
      <w:r>
        <w:rPr>
          <w:rFonts w:hint="eastAsia" w:ascii="Times New Roman" w:hAnsi="Times New Roman"/>
          <w:lang w:eastAsia="zh-CN"/>
        </w:rPr>
        <w:t>招标文件</w:t>
      </w:r>
      <w:r>
        <w:rPr>
          <w:rFonts w:ascii="Times New Roman" w:hAnsi="Times New Roman"/>
        </w:rPr>
        <w:t>和成交人的响应文件订立书面合同。成交人无正当理由拒签合同，在签订合同时向采购人提出附加条件，或不按照</w:t>
      </w:r>
      <w:r>
        <w:rPr>
          <w:rFonts w:hint="eastAsia" w:ascii="Times New Roman" w:hAnsi="Times New Roman"/>
          <w:lang w:eastAsia="zh-CN"/>
        </w:rPr>
        <w:t>招标文件</w:t>
      </w:r>
      <w:r>
        <w:rPr>
          <w:rFonts w:ascii="Times New Roman" w:hAnsi="Times New Roman"/>
        </w:rPr>
        <w:t>要求提交履约保证金的，采购人取消其成交资格，其响应保证金不予退还；给采购人造成的损失超过响应保证金数额的，成交人还应对超过部分予以赔偿。</w:t>
      </w:r>
    </w:p>
    <w:p>
      <w:pPr>
        <w:keepNext/>
        <w:keepLines/>
        <w:spacing w:beforeLines="50" w:afterLines="50"/>
        <w:outlineLvl w:val="1"/>
        <w:rPr>
          <w:rFonts w:ascii="Times New Roman" w:hAnsi="Times New Roman" w:eastAsia="黑体"/>
          <w:bCs/>
          <w:sz w:val="24"/>
          <w:szCs w:val="32"/>
        </w:rPr>
      </w:pPr>
      <w:bookmarkStart w:id="110" w:name="_Toc26656988"/>
      <w:bookmarkStart w:id="111" w:name="_Toc9067727"/>
      <w:bookmarkStart w:id="112" w:name="_Toc14201257"/>
      <w:r>
        <w:rPr>
          <w:rFonts w:ascii="Times New Roman" w:hAnsi="Times New Roman" w:eastAsia="黑体"/>
          <w:bCs/>
          <w:sz w:val="24"/>
          <w:szCs w:val="32"/>
        </w:rPr>
        <w:t>8. 纪律和监督</w:t>
      </w:r>
      <w:bookmarkEnd w:id="110"/>
      <w:bookmarkEnd w:id="111"/>
      <w:bookmarkEnd w:id="112"/>
    </w:p>
    <w:p>
      <w:pPr>
        <w:spacing w:line="440" w:lineRule="exact"/>
        <w:ind w:firstLine="420"/>
        <w:rPr>
          <w:rFonts w:ascii="Times New Roman" w:hAnsi="Times New Roman"/>
        </w:rPr>
      </w:pPr>
      <w:r>
        <w:rPr>
          <w:rFonts w:ascii="Times New Roman" w:hAnsi="Times New Roman"/>
        </w:rPr>
        <w:t>供应商不得相互串通报价或与采购人串通报价，不得向采购人或</w:t>
      </w:r>
      <w:r>
        <w:rPr>
          <w:rFonts w:hint="eastAsia" w:ascii="Times New Roman" w:hAnsi="Times New Roman"/>
        </w:rPr>
        <w:t>评审小组</w:t>
      </w:r>
      <w:r>
        <w:rPr>
          <w:rFonts w:ascii="Times New Roman" w:hAnsi="Times New Roman"/>
        </w:rPr>
        <w:t>成员行贿谋取成交，不得以他人名义报价或以其他方式弄虚作假骗取成交；供应商不得以任何方式干扰、影响评审工作。</w:t>
      </w:r>
      <w:r>
        <w:rPr>
          <w:rFonts w:hint="eastAsia" w:ascii="Times New Roman" w:hAnsi="Times New Roman"/>
        </w:rPr>
        <w:t>如发现以上情况，按相关规定处理。</w:t>
      </w:r>
    </w:p>
    <w:p>
      <w:pPr>
        <w:keepNext/>
        <w:keepLines/>
        <w:spacing w:beforeLines="50" w:afterLines="50"/>
        <w:outlineLvl w:val="1"/>
        <w:rPr>
          <w:rFonts w:ascii="Times New Roman" w:hAnsi="Times New Roman" w:eastAsia="黑体"/>
          <w:bCs/>
          <w:sz w:val="24"/>
          <w:szCs w:val="32"/>
        </w:rPr>
      </w:pPr>
      <w:bookmarkStart w:id="113" w:name="_Toc14201262"/>
      <w:bookmarkStart w:id="114" w:name="_Toc26656993"/>
      <w:r>
        <w:rPr>
          <w:rFonts w:hint="eastAsia" w:ascii="Times New Roman" w:hAnsi="Times New Roman" w:eastAsia="黑体"/>
          <w:bCs/>
          <w:sz w:val="24"/>
          <w:szCs w:val="32"/>
        </w:rPr>
        <w:t>9</w:t>
      </w:r>
      <w:r>
        <w:rPr>
          <w:rFonts w:ascii="Times New Roman" w:hAnsi="Times New Roman" w:eastAsia="黑体"/>
          <w:bCs/>
          <w:sz w:val="24"/>
          <w:szCs w:val="32"/>
        </w:rPr>
        <w:t xml:space="preserve"> 投诉</w:t>
      </w:r>
      <w:bookmarkEnd w:id="113"/>
      <w:bookmarkEnd w:id="114"/>
    </w:p>
    <w:p>
      <w:pPr>
        <w:spacing w:line="440" w:lineRule="exact"/>
        <w:ind w:firstLine="420"/>
        <w:rPr>
          <w:rFonts w:ascii="Times New Roman" w:hAnsi="Times New Roman"/>
        </w:rPr>
      </w:pPr>
      <w:r>
        <w:rPr>
          <w:rFonts w:ascii="Times New Roman" w:hAnsi="Times New Roman"/>
        </w:rPr>
        <w:t>供应商或其他利害关系人认为</w:t>
      </w:r>
      <w:r>
        <w:rPr>
          <w:rFonts w:hint="eastAsia" w:ascii="Times New Roman" w:hAnsi="Times New Roman"/>
          <w:lang w:eastAsia="zh-CN"/>
        </w:rPr>
        <w:t>招标</w:t>
      </w:r>
      <w:r>
        <w:rPr>
          <w:rFonts w:ascii="Times New Roman" w:hAnsi="Times New Roman"/>
        </w:rPr>
        <w:t>活动不符合法律法规规定的，可以自知道或应当知道之日起10日内向有关监督部门投诉。投诉应有明确的请求和必要的证明材料。</w:t>
      </w:r>
    </w:p>
    <w:p>
      <w:pPr>
        <w:keepNext/>
        <w:keepLines/>
        <w:spacing w:beforeLines="50" w:afterLines="50"/>
        <w:outlineLvl w:val="1"/>
        <w:rPr>
          <w:rFonts w:ascii="Times New Roman" w:hAnsi="Times New Roman" w:eastAsia="黑体"/>
          <w:bCs/>
          <w:sz w:val="24"/>
          <w:szCs w:val="32"/>
        </w:rPr>
      </w:pPr>
      <w:bookmarkStart w:id="115" w:name="_Toc14201263"/>
      <w:bookmarkStart w:id="116" w:name="_Toc26656994"/>
      <w:bookmarkStart w:id="117" w:name="_Toc9067731"/>
      <w:r>
        <w:rPr>
          <w:rFonts w:hint="eastAsia" w:ascii="Times New Roman" w:hAnsi="Times New Roman" w:eastAsia="黑体"/>
          <w:bCs/>
          <w:sz w:val="24"/>
          <w:szCs w:val="32"/>
        </w:rPr>
        <w:t>10</w:t>
      </w:r>
      <w:r>
        <w:rPr>
          <w:rFonts w:ascii="Times New Roman" w:hAnsi="Times New Roman" w:eastAsia="黑体"/>
          <w:bCs/>
          <w:sz w:val="24"/>
          <w:szCs w:val="32"/>
        </w:rPr>
        <w:t>.需要补充的其他内容</w:t>
      </w:r>
      <w:bookmarkEnd w:id="115"/>
      <w:bookmarkEnd w:id="116"/>
      <w:bookmarkEnd w:id="117"/>
    </w:p>
    <w:p>
      <w:pPr>
        <w:spacing w:line="440" w:lineRule="exact"/>
        <w:ind w:firstLine="420"/>
        <w:rPr>
          <w:rFonts w:ascii="Times New Roman" w:hAnsi="Times New Roman"/>
        </w:rPr>
      </w:pPr>
      <w:r>
        <w:rPr>
          <w:rFonts w:ascii="Times New Roman" w:hAnsi="Times New Roman"/>
        </w:rPr>
        <w:t>需要补充的其他内容：</w:t>
      </w:r>
      <w:r>
        <w:rPr>
          <w:rFonts w:hint="eastAsia" w:ascii="Times New Roman" w:hAnsi="Times New Roman"/>
        </w:rPr>
        <w:t>无。</w:t>
      </w:r>
    </w:p>
    <w:p>
      <w:pPr>
        <w:widowControl/>
        <w:jc w:val="left"/>
        <w:rPr>
          <w:rFonts w:ascii="Times New Roman" w:hAnsi="Times New Roman"/>
        </w:rPr>
      </w:pPr>
      <w:r>
        <w:rPr>
          <w:rFonts w:ascii="Times New Roman" w:hAnsi="Times New Roman"/>
        </w:rPr>
        <w:br w:type="page"/>
      </w:r>
    </w:p>
    <w:p>
      <w:pPr>
        <w:rPr>
          <w:rFonts w:ascii="Times New Roman" w:hAnsi="Times New Roman"/>
        </w:rPr>
      </w:pPr>
    </w:p>
    <w:p>
      <w:pPr>
        <w:pStyle w:val="9"/>
        <w:rPr>
          <w:rFonts w:ascii="Times New Roman" w:hAnsi="Times New Roman"/>
        </w:rPr>
      </w:pPr>
    </w:p>
    <w:p>
      <w:pPr>
        <w:pStyle w:val="9"/>
        <w:rPr>
          <w:rFonts w:ascii="Times New Roman" w:hAnsi="Times New Roman"/>
        </w:rPr>
      </w:pPr>
    </w:p>
    <w:p>
      <w:pPr>
        <w:pStyle w:val="9"/>
        <w:rPr>
          <w:rFonts w:ascii="Times New Roman" w:hAnsi="Times New Roman"/>
        </w:rPr>
      </w:pPr>
    </w:p>
    <w:p>
      <w:pPr>
        <w:pStyle w:val="9"/>
        <w:rPr>
          <w:rFonts w:ascii="Times New Roman" w:hAnsi="Times New Roman"/>
        </w:rPr>
      </w:pPr>
    </w:p>
    <w:p>
      <w:pPr>
        <w:pStyle w:val="9"/>
        <w:rPr>
          <w:rFonts w:ascii="Times New Roman" w:hAnsi="Times New Roman"/>
        </w:rPr>
      </w:pPr>
    </w:p>
    <w:p>
      <w:pPr>
        <w:pStyle w:val="9"/>
        <w:rPr>
          <w:rFonts w:ascii="Times New Roman" w:hAnsi="Times New Roman"/>
        </w:rPr>
      </w:pPr>
    </w:p>
    <w:p>
      <w:pPr>
        <w:rPr>
          <w:rFonts w:ascii="Times New Roman" w:hAnsi="Times New Roman"/>
        </w:rPr>
      </w:pPr>
    </w:p>
    <w:p>
      <w:pPr>
        <w:pStyle w:val="2"/>
        <w:spacing w:before="312" w:after="312"/>
        <w:ind w:firstLine="0"/>
        <w:rPr>
          <w:rFonts w:ascii="Times New Roman" w:hAnsi="Times New Roman" w:eastAsia="宋体"/>
        </w:rPr>
      </w:pPr>
      <w:bookmarkStart w:id="118" w:name="_Toc117838429"/>
      <w:r>
        <w:rPr>
          <w:rFonts w:ascii="Times New Roman" w:hAnsi="Times New Roman" w:eastAsia="宋体"/>
        </w:rPr>
        <w:t>评审办法</w:t>
      </w:r>
      <w:bookmarkEnd w:id="118"/>
    </w:p>
    <w:p>
      <w:pPr>
        <w:pStyle w:val="2"/>
        <w:spacing w:before="312" w:after="312"/>
        <w:ind w:firstLine="0"/>
        <w:rPr>
          <w:rFonts w:ascii="Times New Roman" w:hAnsi="Times New Roman" w:eastAsia="宋体"/>
        </w:rPr>
        <w:sectPr>
          <w:footerReference r:id="rId4" w:type="default"/>
          <w:footnotePr>
            <w:numFmt w:val="decimalEnclosedCircleChinese"/>
            <w:numRestart w:val="eachPage"/>
          </w:footnotePr>
          <w:pgSz w:w="11906" w:h="16838"/>
          <w:pgMar w:top="1440" w:right="1797" w:bottom="1440" w:left="1797" w:header="851" w:footer="992" w:gutter="0"/>
          <w:pgNumType w:start="1"/>
          <w:cols w:space="720" w:num="1"/>
          <w:docGrid w:type="linesAndChars" w:linePitch="312" w:charSpace="0"/>
        </w:sectPr>
      </w:pPr>
    </w:p>
    <w:p>
      <w:pPr>
        <w:rPr>
          <w:rFonts w:ascii="Times New Roman" w:hAnsi="Times New Roman"/>
        </w:rPr>
      </w:pPr>
    </w:p>
    <w:p>
      <w:pPr>
        <w:spacing w:afterLines="100" w:line="420" w:lineRule="exact"/>
        <w:jc w:val="center"/>
        <w:rPr>
          <w:rFonts w:ascii="Times New Roman" w:hAnsi="Times New Roman" w:eastAsia="黑体"/>
          <w:sz w:val="28"/>
          <w:szCs w:val="28"/>
        </w:rPr>
      </w:pPr>
      <w:r>
        <w:rPr>
          <w:rFonts w:ascii="Times New Roman" w:hAnsi="Times New Roman" w:eastAsia="黑体"/>
          <w:sz w:val="28"/>
          <w:szCs w:val="28"/>
        </w:rPr>
        <w:t>评审办法前附表</w:t>
      </w:r>
      <w:r>
        <w:rPr>
          <w:rFonts w:hint="eastAsia" w:ascii="Times New Roman" w:hAnsi="Times New Roman" w:eastAsia="黑体"/>
          <w:sz w:val="28"/>
          <w:szCs w:val="28"/>
        </w:rPr>
        <w:t>（综合评分法）</w:t>
      </w:r>
    </w:p>
    <w:tbl>
      <w:tblPr>
        <w:tblStyle w:val="21"/>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noWrap/>
            <w:vAlign w:val="center"/>
          </w:tcPr>
          <w:p>
            <w:pPr>
              <w:widowControl/>
              <w:jc w:val="center"/>
              <w:rPr>
                <w:rFonts w:ascii="Times New Roman" w:hAnsi="Times New Roman"/>
                <w:kern w:val="0"/>
                <w:szCs w:val="21"/>
              </w:rPr>
            </w:pPr>
            <w:r>
              <w:rPr>
                <w:rFonts w:ascii="Times New Roman" w:hAnsi="Times New Roman"/>
                <w:b/>
                <w:bCs/>
                <w:kern w:val="0"/>
                <w:szCs w:val="21"/>
              </w:rPr>
              <w:t>条款号</w:t>
            </w:r>
          </w:p>
        </w:tc>
        <w:tc>
          <w:tcPr>
            <w:tcW w:w="1774" w:type="dxa"/>
            <w:noWrap/>
            <w:vAlign w:val="center"/>
          </w:tcPr>
          <w:p>
            <w:pPr>
              <w:widowControl/>
              <w:ind w:firstLine="105" w:firstLineChars="50"/>
              <w:jc w:val="center"/>
              <w:rPr>
                <w:rFonts w:ascii="Times New Roman" w:hAnsi="Times New Roman"/>
                <w:kern w:val="0"/>
                <w:szCs w:val="21"/>
              </w:rPr>
            </w:pPr>
            <w:r>
              <w:rPr>
                <w:rFonts w:ascii="Times New Roman" w:hAnsi="Times New Roman"/>
                <w:b/>
                <w:bCs/>
                <w:kern w:val="0"/>
                <w:szCs w:val="21"/>
              </w:rPr>
              <w:t>评审因素</w:t>
            </w:r>
          </w:p>
        </w:tc>
        <w:tc>
          <w:tcPr>
            <w:tcW w:w="5676" w:type="dxa"/>
            <w:noWrap/>
            <w:vAlign w:val="center"/>
          </w:tcPr>
          <w:p>
            <w:pPr>
              <w:widowControl/>
              <w:ind w:firstLine="105" w:firstLineChars="50"/>
              <w:jc w:val="center"/>
              <w:rPr>
                <w:rFonts w:ascii="Times New Roman" w:hAnsi="Times New Roman"/>
                <w:kern w:val="0"/>
                <w:szCs w:val="21"/>
              </w:rPr>
            </w:pPr>
            <w:r>
              <w:rPr>
                <w:rFonts w:ascii="Times New Roman" w:hAnsi="Times New Roman"/>
                <w:b/>
                <w:bCs/>
                <w:kern w:val="0"/>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8" w:type="dxa"/>
            <w:noWrap/>
            <w:vAlign w:val="center"/>
          </w:tcPr>
          <w:p>
            <w:pPr>
              <w:widowControl/>
              <w:jc w:val="center"/>
              <w:rPr>
                <w:rFonts w:ascii="Times New Roman" w:hAnsi="Times New Roman"/>
                <w:bCs/>
                <w:kern w:val="0"/>
                <w:szCs w:val="21"/>
              </w:rPr>
            </w:pPr>
            <w:r>
              <w:rPr>
                <w:rFonts w:ascii="Times New Roman" w:hAnsi="Times New Roman"/>
                <w:bCs/>
                <w:kern w:val="0"/>
                <w:szCs w:val="21"/>
              </w:rPr>
              <w:t>1</w:t>
            </w:r>
          </w:p>
        </w:tc>
        <w:tc>
          <w:tcPr>
            <w:tcW w:w="1060" w:type="dxa"/>
            <w:noWrap/>
            <w:vAlign w:val="center"/>
          </w:tcPr>
          <w:p>
            <w:pPr>
              <w:widowControl/>
              <w:jc w:val="center"/>
              <w:rPr>
                <w:rFonts w:ascii="Times New Roman" w:hAnsi="Times New Roman"/>
                <w:bCs/>
                <w:kern w:val="0"/>
                <w:szCs w:val="21"/>
              </w:rPr>
            </w:pPr>
            <w:r>
              <w:rPr>
                <w:rFonts w:ascii="Times New Roman" w:hAnsi="Times New Roman"/>
                <w:bCs/>
                <w:kern w:val="0"/>
                <w:szCs w:val="21"/>
              </w:rPr>
              <w:t>评审</w:t>
            </w:r>
            <w:r>
              <w:rPr>
                <w:rFonts w:hint="eastAsia" w:ascii="Times New Roman" w:hAnsi="Times New Roman"/>
                <w:bCs/>
                <w:kern w:val="0"/>
                <w:szCs w:val="21"/>
              </w:rPr>
              <w:t>方</w:t>
            </w:r>
            <w:r>
              <w:rPr>
                <w:rFonts w:ascii="Times New Roman" w:hAnsi="Times New Roman"/>
                <w:bCs/>
                <w:kern w:val="0"/>
                <w:szCs w:val="21"/>
              </w:rPr>
              <w:t>法</w:t>
            </w:r>
          </w:p>
        </w:tc>
        <w:tc>
          <w:tcPr>
            <w:tcW w:w="1774" w:type="dxa"/>
            <w:noWrap/>
            <w:tcMar>
              <w:left w:w="75" w:type="dxa"/>
            </w:tcMar>
            <w:vAlign w:val="center"/>
          </w:tcPr>
          <w:p>
            <w:pPr>
              <w:widowControl/>
              <w:adjustRightInd w:val="0"/>
              <w:snapToGrid w:val="0"/>
              <w:jc w:val="center"/>
              <w:rPr>
                <w:rFonts w:ascii="Times New Roman" w:hAnsi="Times New Roman"/>
                <w:kern w:val="0"/>
                <w:szCs w:val="21"/>
              </w:rPr>
            </w:pPr>
            <w:r>
              <w:rPr>
                <w:rFonts w:ascii="Times New Roman" w:hAnsi="Times New Roman"/>
                <w:kern w:val="0"/>
                <w:szCs w:val="21"/>
              </w:rPr>
              <w:t>成交候选人</w:t>
            </w:r>
          </w:p>
          <w:p>
            <w:pPr>
              <w:widowControl/>
              <w:adjustRightInd w:val="0"/>
              <w:snapToGrid w:val="0"/>
              <w:jc w:val="center"/>
              <w:rPr>
                <w:rFonts w:ascii="Times New Roman" w:hAnsi="Times New Roman"/>
                <w:kern w:val="0"/>
                <w:szCs w:val="21"/>
              </w:rPr>
            </w:pPr>
            <w:r>
              <w:rPr>
                <w:rFonts w:ascii="Times New Roman" w:hAnsi="Times New Roman"/>
                <w:kern w:val="0"/>
                <w:szCs w:val="21"/>
              </w:rPr>
              <w:t>排序方法</w:t>
            </w:r>
          </w:p>
        </w:tc>
        <w:tc>
          <w:tcPr>
            <w:tcW w:w="5676" w:type="dxa"/>
            <w:noWrap/>
            <w:tcMar>
              <w:left w:w="75" w:type="dxa"/>
            </w:tcMar>
            <w:vAlign w:val="center"/>
          </w:tcPr>
          <w:p>
            <w:pPr>
              <w:widowControl/>
              <w:adjustRightInd w:val="0"/>
              <w:snapToGrid w:val="0"/>
              <w:jc w:val="left"/>
            </w:pPr>
            <w:r>
              <w:rPr>
                <w:rFonts w:hint="eastAsia"/>
              </w:rPr>
              <w:t>按综合得分由高到低的顺序依次推荐成交候选人：</w:t>
            </w:r>
          </w:p>
          <w:p>
            <w:pPr>
              <w:widowControl/>
              <w:adjustRightInd w:val="0"/>
              <w:snapToGrid w:val="0"/>
              <w:jc w:val="left"/>
            </w:pPr>
            <w:r>
              <w:rPr>
                <w:rFonts w:ascii="Times New Roman" w:hAnsi="Times New Roman"/>
                <w:kern w:val="0"/>
                <w:szCs w:val="21"/>
              </w:rPr>
              <w:fldChar w:fldCharType="begin"/>
            </w:r>
            <w:r>
              <w:rPr>
                <w:rFonts w:ascii="Times New Roman" w:hAnsi="Times New Roman"/>
                <w:kern w:val="0"/>
                <w:szCs w:val="21"/>
              </w:rPr>
              <w:instrText xml:space="preserve"> eq \o\ac(□,√)</w:instrText>
            </w:r>
            <w:r>
              <w:rPr>
                <w:rFonts w:ascii="Times New Roman" w:hAnsi="Times New Roman"/>
                <w:kern w:val="0"/>
                <w:szCs w:val="21"/>
              </w:rPr>
              <w:fldChar w:fldCharType="end"/>
            </w:r>
            <w:r>
              <w:rPr>
                <w:rFonts w:hint="eastAsia"/>
              </w:rPr>
              <w:t>当综合得分相等时，以评审价得分高的优先；评审价得分也相等的，以评审价低的优先；评审价也相等的，以递交响应文件在前的优先。</w:t>
            </w:r>
          </w:p>
        </w:tc>
      </w:tr>
    </w:tbl>
    <w:p>
      <w:pPr>
        <w:adjustRightInd w:val="0"/>
        <w:snapToGrid w:val="0"/>
        <w:spacing w:line="360" w:lineRule="auto"/>
        <w:ind w:firstLine="420"/>
        <w:textAlignment w:val="baseline"/>
        <w:rPr>
          <w:rFonts w:ascii="Times New Roman" w:hAnsi="Times New Roman"/>
          <w:szCs w:val="21"/>
        </w:rPr>
      </w:pPr>
    </w:p>
    <w:tbl>
      <w:tblPr>
        <w:tblStyle w:val="21"/>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96"/>
        <w:gridCol w:w="1759"/>
        <w:gridCol w:w="5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80" w:type="dxa"/>
            <w:gridSpan w:val="2"/>
            <w:noWrap/>
            <w:vAlign w:val="center"/>
          </w:tcPr>
          <w:p>
            <w:pPr>
              <w:widowControl/>
              <w:spacing w:line="360" w:lineRule="atLeast"/>
              <w:jc w:val="center"/>
              <w:rPr>
                <w:rFonts w:ascii="Times New Roman" w:hAnsi="Times New Roman"/>
                <w:kern w:val="0"/>
                <w:szCs w:val="21"/>
              </w:rPr>
            </w:pPr>
            <w:r>
              <w:rPr>
                <w:rFonts w:ascii="Times New Roman" w:hAnsi="Times New Roman"/>
                <w:b/>
                <w:bCs/>
                <w:kern w:val="0"/>
                <w:szCs w:val="21"/>
              </w:rPr>
              <w:t>条款号</w:t>
            </w:r>
          </w:p>
        </w:tc>
        <w:tc>
          <w:tcPr>
            <w:tcW w:w="1759" w:type="dxa"/>
            <w:noWrap/>
            <w:vAlign w:val="center"/>
          </w:tcPr>
          <w:p>
            <w:pPr>
              <w:widowControl/>
              <w:spacing w:line="360" w:lineRule="atLeast"/>
              <w:jc w:val="center"/>
              <w:rPr>
                <w:rFonts w:ascii="Times New Roman" w:hAnsi="Times New Roman"/>
                <w:kern w:val="0"/>
                <w:szCs w:val="21"/>
              </w:rPr>
            </w:pPr>
            <w:r>
              <w:rPr>
                <w:rFonts w:ascii="Times New Roman" w:hAnsi="Times New Roman"/>
                <w:b/>
                <w:bCs/>
                <w:kern w:val="0"/>
                <w:szCs w:val="21"/>
              </w:rPr>
              <w:t>评审因素</w:t>
            </w:r>
          </w:p>
        </w:tc>
        <w:tc>
          <w:tcPr>
            <w:tcW w:w="5659" w:type="dxa"/>
            <w:noWrap/>
            <w:vAlign w:val="center"/>
          </w:tcPr>
          <w:p>
            <w:pPr>
              <w:widowControl/>
              <w:spacing w:line="360" w:lineRule="atLeast"/>
              <w:jc w:val="center"/>
              <w:rPr>
                <w:rFonts w:ascii="Times New Roman" w:hAnsi="Times New Roman"/>
                <w:kern w:val="0"/>
                <w:szCs w:val="21"/>
              </w:rPr>
            </w:pPr>
            <w:r>
              <w:rPr>
                <w:rFonts w:ascii="Times New Roman" w:hAnsi="Times New Roman"/>
                <w:b/>
                <w:bCs/>
                <w:kern w:val="0"/>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noWrap/>
            <w:vAlign w:val="center"/>
          </w:tcPr>
          <w:p>
            <w:pPr>
              <w:widowControl/>
              <w:adjustRightInd w:val="0"/>
              <w:snapToGrid w:val="0"/>
              <w:spacing w:line="360" w:lineRule="atLeast"/>
              <w:jc w:val="center"/>
              <w:rPr>
                <w:rFonts w:ascii="Times New Roman" w:hAnsi="Times New Roman"/>
                <w:kern w:val="0"/>
                <w:szCs w:val="21"/>
              </w:rPr>
            </w:pPr>
            <w:r>
              <w:rPr>
                <w:rFonts w:ascii="Times New Roman" w:hAnsi="Times New Roman"/>
                <w:kern w:val="0"/>
                <w:szCs w:val="21"/>
              </w:rPr>
              <w:t>2.1.1</w:t>
            </w:r>
          </w:p>
        </w:tc>
        <w:tc>
          <w:tcPr>
            <w:tcW w:w="1096" w:type="dxa"/>
            <w:vMerge w:val="restart"/>
            <w:noWrap/>
            <w:vAlign w:val="center"/>
          </w:tcPr>
          <w:p>
            <w:pPr>
              <w:widowControl/>
              <w:adjustRightInd w:val="0"/>
              <w:snapToGrid w:val="0"/>
              <w:spacing w:line="360" w:lineRule="atLeast"/>
              <w:jc w:val="center"/>
              <w:rPr>
                <w:rFonts w:ascii="Times New Roman" w:hAnsi="Times New Roman"/>
                <w:kern w:val="0"/>
                <w:szCs w:val="21"/>
              </w:rPr>
            </w:pPr>
            <w:r>
              <w:rPr>
                <w:rFonts w:ascii="Times New Roman" w:hAnsi="Times New Roman"/>
                <w:kern w:val="0"/>
                <w:szCs w:val="21"/>
              </w:rPr>
              <w:t>形式评审标准</w:t>
            </w:r>
          </w:p>
        </w:tc>
        <w:tc>
          <w:tcPr>
            <w:tcW w:w="17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kern w:val="0"/>
                <w:szCs w:val="21"/>
              </w:rPr>
              <w:t>供应商名称</w:t>
            </w:r>
          </w:p>
        </w:tc>
        <w:tc>
          <w:tcPr>
            <w:tcW w:w="56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kern w:val="0"/>
                <w:szCs w:val="21"/>
              </w:rPr>
              <w:t>与营业执照、资质证书</w:t>
            </w:r>
            <w:r>
              <w:rPr>
                <w:rFonts w:hint="eastAsia" w:ascii="Times New Roman" w:hAnsi="Times New Roman"/>
                <w:kern w:val="0"/>
                <w:szCs w:val="21"/>
              </w:rPr>
              <w:t>（如有）</w:t>
            </w:r>
            <w:r>
              <w:rPr>
                <w:rFonts w:ascii="Times New Roman" w:hAnsi="Times New Roman"/>
                <w:kern w:val="0"/>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096"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7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kern w:val="0"/>
                <w:szCs w:val="21"/>
              </w:rPr>
              <w:t>响应文件格式</w:t>
            </w:r>
          </w:p>
        </w:tc>
        <w:tc>
          <w:tcPr>
            <w:tcW w:w="56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kern w:val="0"/>
                <w:szCs w:val="21"/>
              </w:rPr>
              <w:t>符合第六章“响应文件格式”的规定，关键字迹清晰可辨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096"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7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hint="eastAsia" w:ascii="Times New Roman" w:hAnsi="Times New Roman"/>
                <w:kern w:val="0"/>
                <w:szCs w:val="21"/>
              </w:rPr>
              <w:t>签名</w:t>
            </w:r>
            <w:r>
              <w:rPr>
                <w:rFonts w:ascii="Times New Roman" w:hAnsi="Times New Roman"/>
                <w:kern w:val="0"/>
                <w:szCs w:val="21"/>
              </w:rPr>
              <w:t>盖章</w:t>
            </w:r>
          </w:p>
        </w:tc>
        <w:tc>
          <w:tcPr>
            <w:tcW w:w="56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bCs/>
                <w:kern w:val="0"/>
                <w:szCs w:val="21"/>
              </w:rPr>
              <w:t>符合第二章“供应商须知”第3.</w:t>
            </w:r>
            <w:r>
              <w:rPr>
                <w:rFonts w:hint="eastAsia" w:ascii="Times New Roman" w:hAnsi="Times New Roman"/>
                <w:bCs/>
                <w:kern w:val="0"/>
                <w:szCs w:val="21"/>
              </w:rPr>
              <w:t>6</w:t>
            </w:r>
            <w:r>
              <w:rPr>
                <w:rFonts w:ascii="Times New Roman" w:hAnsi="Times New Roman"/>
                <w:bCs/>
                <w:kern w:val="0"/>
                <w:szCs w:val="21"/>
              </w:rPr>
              <w:t>.3项的规定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noWrap/>
            <w:vAlign w:val="center"/>
          </w:tcPr>
          <w:p>
            <w:pPr>
              <w:widowControl/>
              <w:adjustRightInd w:val="0"/>
              <w:snapToGrid w:val="0"/>
              <w:spacing w:line="360" w:lineRule="atLeast"/>
              <w:jc w:val="center"/>
              <w:rPr>
                <w:rFonts w:ascii="Times New Roman" w:hAnsi="Times New Roman"/>
                <w:kern w:val="0"/>
                <w:szCs w:val="21"/>
              </w:rPr>
            </w:pPr>
            <w:r>
              <w:rPr>
                <w:rFonts w:ascii="Times New Roman" w:hAnsi="Times New Roman"/>
                <w:kern w:val="0"/>
                <w:szCs w:val="21"/>
              </w:rPr>
              <w:t>2.1.2</w:t>
            </w:r>
          </w:p>
        </w:tc>
        <w:tc>
          <w:tcPr>
            <w:tcW w:w="1096" w:type="dxa"/>
            <w:noWrap/>
            <w:vAlign w:val="center"/>
          </w:tcPr>
          <w:p>
            <w:pPr>
              <w:widowControl/>
              <w:adjustRightInd w:val="0"/>
              <w:snapToGrid w:val="0"/>
              <w:spacing w:line="360" w:lineRule="atLeast"/>
              <w:jc w:val="center"/>
              <w:rPr>
                <w:rFonts w:ascii="Times New Roman" w:hAnsi="Times New Roman"/>
                <w:kern w:val="0"/>
                <w:szCs w:val="21"/>
              </w:rPr>
            </w:pPr>
            <w:r>
              <w:rPr>
                <w:rFonts w:ascii="Times New Roman" w:hAnsi="Times New Roman"/>
                <w:kern w:val="0"/>
                <w:szCs w:val="21"/>
              </w:rPr>
              <w:t>资格评审标准</w:t>
            </w:r>
          </w:p>
        </w:tc>
        <w:tc>
          <w:tcPr>
            <w:tcW w:w="17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hint="eastAsia" w:ascii="Times New Roman" w:hAnsi="Times New Roman"/>
                <w:kern w:val="0"/>
                <w:szCs w:val="21"/>
              </w:rPr>
              <w:t>资质条件、能力、信誉</w:t>
            </w:r>
          </w:p>
        </w:tc>
        <w:tc>
          <w:tcPr>
            <w:tcW w:w="5659" w:type="dxa"/>
            <w:noWrap/>
            <w:tcMar>
              <w:left w:w="75" w:type="dxa"/>
            </w:tcMar>
            <w:vAlign w:val="center"/>
          </w:tcPr>
          <w:p>
            <w:pPr>
              <w:adjustRightInd w:val="0"/>
              <w:snapToGrid w:val="0"/>
              <w:spacing w:line="360" w:lineRule="atLeast"/>
              <w:jc w:val="left"/>
              <w:rPr>
                <w:rFonts w:ascii="Times New Roman" w:hAnsi="Times New Roman"/>
                <w:kern w:val="0"/>
                <w:szCs w:val="21"/>
              </w:rPr>
            </w:pPr>
            <w:r>
              <w:rPr>
                <w:rFonts w:ascii="Times New Roman" w:hAnsi="Times New Roman"/>
                <w:kern w:val="0"/>
                <w:szCs w:val="21"/>
              </w:rPr>
              <w:t>符合第二章“供应商须知”第1.</w:t>
            </w:r>
            <w:r>
              <w:rPr>
                <w:rFonts w:hint="eastAsia" w:ascii="Times New Roman" w:hAnsi="Times New Roman"/>
                <w:kern w:val="0"/>
                <w:szCs w:val="21"/>
              </w:rPr>
              <w:t>2</w:t>
            </w:r>
            <w:r>
              <w:rPr>
                <w:rFonts w:ascii="Times New Roman" w:hAnsi="Times New Roman"/>
                <w:kern w:val="0"/>
                <w:szCs w:val="21"/>
              </w:rPr>
              <w:t>.1项规定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noWrap/>
            <w:vAlign w:val="center"/>
          </w:tcPr>
          <w:p>
            <w:pPr>
              <w:widowControl/>
              <w:adjustRightInd w:val="0"/>
              <w:snapToGrid w:val="0"/>
              <w:spacing w:line="360" w:lineRule="atLeast"/>
              <w:jc w:val="center"/>
              <w:rPr>
                <w:rFonts w:ascii="Times New Roman" w:hAnsi="Times New Roman"/>
                <w:kern w:val="0"/>
                <w:szCs w:val="21"/>
              </w:rPr>
            </w:pPr>
            <w:r>
              <w:rPr>
                <w:rFonts w:ascii="Times New Roman" w:hAnsi="Times New Roman"/>
                <w:kern w:val="0"/>
                <w:szCs w:val="21"/>
              </w:rPr>
              <w:t>2.1.3</w:t>
            </w:r>
          </w:p>
        </w:tc>
        <w:tc>
          <w:tcPr>
            <w:tcW w:w="1096" w:type="dxa"/>
            <w:vMerge w:val="restart"/>
            <w:noWrap/>
            <w:vAlign w:val="center"/>
          </w:tcPr>
          <w:p>
            <w:pPr>
              <w:widowControl/>
              <w:adjustRightInd w:val="0"/>
              <w:snapToGrid w:val="0"/>
              <w:spacing w:line="360" w:lineRule="atLeast"/>
              <w:jc w:val="center"/>
              <w:rPr>
                <w:rFonts w:ascii="Times New Roman" w:hAnsi="Times New Roman"/>
                <w:kern w:val="0"/>
                <w:szCs w:val="21"/>
              </w:rPr>
            </w:pPr>
            <w:r>
              <w:rPr>
                <w:rFonts w:ascii="Times New Roman" w:hAnsi="Times New Roman"/>
                <w:kern w:val="0"/>
                <w:szCs w:val="21"/>
              </w:rPr>
              <w:t>响应性评审标准</w:t>
            </w:r>
          </w:p>
        </w:tc>
        <w:tc>
          <w:tcPr>
            <w:tcW w:w="17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kern w:val="0"/>
                <w:szCs w:val="21"/>
              </w:rPr>
              <w:t>报价内容</w:t>
            </w:r>
          </w:p>
        </w:tc>
        <w:tc>
          <w:tcPr>
            <w:tcW w:w="56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hint="eastAsia" w:ascii="Times New Roman" w:hAnsi="Times New Roman"/>
              </w:rPr>
              <w:t>符合</w:t>
            </w:r>
            <w:r>
              <w:rPr>
                <w:rFonts w:ascii="Times New Roman" w:hAnsi="Times New Roman"/>
              </w:rPr>
              <w:t>第一章“</w:t>
            </w:r>
            <w:r>
              <w:rPr>
                <w:rFonts w:hint="eastAsia" w:ascii="Times New Roman" w:hAnsi="Times New Roman"/>
                <w:szCs w:val="21"/>
              </w:rPr>
              <w:t>采购公告</w:t>
            </w:r>
            <w:r>
              <w:rPr>
                <w:rFonts w:ascii="Times New Roman" w:hAnsi="Times New Roman"/>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096"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7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hint="eastAsia" w:ascii="Times New Roman" w:hAnsi="Times New Roman"/>
                <w:kern w:val="0"/>
                <w:szCs w:val="21"/>
              </w:rPr>
              <w:t>服务期</w:t>
            </w:r>
          </w:p>
        </w:tc>
        <w:tc>
          <w:tcPr>
            <w:tcW w:w="56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hint="eastAsia" w:ascii="Times New Roman" w:hAnsi="Times New Roman"/>
              </w:rPr>
              <w:t>符合第二章“供应商须知”第1.1.2项规定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096"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7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kern w:val="0"/>
                <w:szCs w:val="21"/>
              </w:rPr>
              <w:t>质量要求</w:t>
            </w:r>
          </w:p>
        </w:tc>
        <w:tc>
          <w:tcPr>
            <w:tcW w:w="56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kern w:val="0"/>
                <w:szCs w:val="21"/>
              </w:rPr>
              <w:t>符合第二章“供应商须知”第1.</w:t>
            </w:r>
            <w:r>
              <w:rPr>
                <w:rFonts w:hint="eastAsia" w:ascii="Times New Roman" w:hAnsi="Times New Roman"/>
                <w:kern w:val="0"/>
                <w:szCs w:val="21"/>
              </w:rPr>
              <w:t>1</w:t>
            </w:r>
            <w:r>
              <w:rPr>
                <w:rFonts w:ascii="Times New Roman" w:hAnsi="Times New Roman"/>
                <w:kern w:val="0"/>
                <w:szCs w:val="21"/>
              </w:rPr>
              <w:t>.</w:t>
            </w:r>
            <w:r>
              <w:rPr>
                <w:rFonts w:hint="eastAsia" w:ascii="Times New Roman" w:hAnsi="Times New Roman"/>
                <w:kern w:val="0"/>
                <w:szCs w:val="21"/>
              </w:rPr>
              <w:t>1</w:t>
            </w:r>
            <w:r>
              <w:rPr>
                <w:rFonts w:ascii="Times New Roman" w:hAnsi="Times New Roman"/>
                <w:kern w:val="0"/>
                <w:szCs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096"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7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kern w:val="0"/>
                <w:szCs w:val="21"/>
              </w:rPr>
              <w:t>安全目标</w:t>
            </w:r>
          </w:p>
        </w:tc>
        <w:tc>
          <w:tcPr>
            <w:tcW w:w="56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hint="eastAsia" w:ascii="Times New Roman" w:hAnsi="Times New Roman"/>
                <w:kern w:val="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096"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7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kern w:val="0"/>
                <w:szCs w:val="21"/>
              </w:rPr>
              <w:t>响应有效期</w:t>
            </w:r>
          </w:p>
        </w:tc>
        <w:tc>
          <w:tcPr>
            <w:tcW w:w="5659" w:type="dxa"/>
            <w:noWrap/>
            <w:tcMar>
              <w:left w:w="75" w:type="dxa"/>
            </w:tcMar>
            <w:vAlign w:val="center"/>
          </w:tcPr>
          <w:p>
            <w:pPr>
              <w:adjustRightInd w:val="0"/>
              <w:snapToGrid w:val="0"/>
              <w:spacing w:line="360" w:lineRule="atLeast"/>
              <w:jc w:val="left"/>
              <w:rPr>
                <w:rFonts w:ascii="Times New Roman" w:hAnsi="Times New Roman"/>
                <w:kern w:val="0"/>
                <w:szCs w:val="21"/>
              </w:rPr>
            </w:pPr>
            <w:r>
              <w:rPr>
                <w:rFonts w:ascii="Times New Roman" w:hAnsi="Times New Roman"/>
                <w:kern w:val="0"/>
                <w:szCs w:val="21"/>
              </w:rPr>
              <w:t>符合第二章“供应商须知”第3.3.1项规定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096"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7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kern w:val="0"/>
                <w:szCs w:val="21"/>
              </w:rPr>
              <w:t>响应保证金</w:t>
            </w:r>
          </w:p>
        </w:tc>
        <w:tc>
          <w:tcPr>
            <w:tcW w:w="56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kern w:val="0"/>
                <w:szCs w:val="21"/>
              </w:rPr>
              <w:t>符合第二章“供应商须知”第3.4.1项规定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096"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7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kern w:val="0"/>
                <w:szCs w:val="21"/>
              </w:rPr>
              <w:t>权利义务</w:t>
            </w:r>
          </w:p>
        </w:tc>
        <w:tc>
          <w:tcPr>
            <w:tcW w:w="56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bCs/>
                <w:kern w:val="0"/>
                <w:szCs w:val="21"/>
              </w:rPr>
              <w:t>符合</w:t>
            </w:r>
            <w:r>
              <w:rPr>
                <w:rFonts w:hint="eastAsia" w:ascii="Times New Roman" w:hAnsi="Times New Roman"/>
                <w:bCs/>
                <w:kern w:val="0"/>
                <w:szCs w:val="21"/>
                <w:lang w:eastAsia="zh-CN"/>
              </w:rPr>
              <w:t>招标文件</w:t>
            </w:r>
            <w:r>
              <w:rPr>
                <w:rFonts w:ascii="Times New Roman" w:hAnsi="Times New Roman"/>
                <w:bCs/>
                <w:kern w:val="0"/>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096"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759" w:type="dxa"/>
            <w:noWrap/>
            <w:tcMar>
              <w:left w:w="75" w:type="dxa"/>
            </w:tcMar>
            <w:vAlign w:val="center"/>
          </w:tcPr>
          <w:p>
            <w:pPr>
              <w:widowControl/>
              <w:adjustRightInd w:val="0"/>
              <w:snapToGrid w:val="0"/>
              <w:spacing w:line="360" w:lineRule="atLeast"/>
              <w:jc w:val="left"/>
              <w:rPr>
                <w:rFonts w:ascii="Times New Roman" w:hAnsi="Times New Roman"/>
                <w:bCs/>
                <w:kern w:val="0"/>
                <w:szCs w:val="21"/>
              </w:rPr>
            </w:pPr>
            <w:r>
              <w:rPr>
                <w:rFonts w:hint="eastAsia" w:ascii="Times New Roman" w:hAnsi="Times New Roman"/>
                <w:bCs/>
                <w:kern w:val="0"/>
                <w:szCs w:val="21"/>
                <w:lang w:eastAsia="zh-CN"/>
              </w:rPr>
              <w:t>招标文件</w:t>
            </w:r>
            <w:r>
              <w:rPr>
                <w:rFonts w:ascii="Times New Roman" w:hAnsi="Times New Roman"/>
                <w:bCs/>
                <w:kern w:val="0"/>
                <w:szCs w:val="21"/>
              </w:rPr>
              <w:t>的获取</w:t>
            </w:r>
          </w:p>
        </w:tc>
        <w:tc>
          <w:tcPr>
            <w:tcW w:w="5659" w:type="dxa"/>
            <w:noWrap/>
            <w:tcMar>
              <w:left w:w="75" w:type="dxa"/>
            </w:tcMar>
            <w:vAlign w:val="center"/>
          </w:tcPr>
          <w:p>
            <w:pPr>
              <w:widowControl/>
              <w:adjustRightInd w:val="0"/>
              <w:snapToGrid w:val="0"/>
              <w:spacing w:line="360" w:lineRule="atLeast"/>
              <w:jc w:val="left"/>
              <w:rPr>
                <w:rFonts w:ascii="Times New Roman" w:hAnsi="Times New Roman"/>
                <w:bCs/>
                <w:kern w:val="0"/>
                <w:szCs w:val="21"/>
              </w:rPr>
            </w:pPr>
            <w:r>
              <w:rPr>
                <w:rFonts w:ascii="Times New Roman" w:hAnsi="Times New Roman"/>
                <w:bCs/>
                <w:kern w:val="0"/>
                <w:szCs w:val="21"/>
              </w:rPr>
              <w:t>符合</w:t>
            </w:r>
            <w:r>
              <w:rPr>
                <w:rFonts w:ascii="Times New Roman" w:hAnsi="Times New Roman"/>
              </w:rPr>
              <w:t>第一章“</w:t>
            </w:r>
            <w:r>
              <w:rPr>
                <w:rFonts w:hint="eastAsia" w:ascii="Times New Roman" w:hAnsi="Times New Roman"/>
                <w:szCs w:val="21"/>
              </w:rPr>
              <w:t>采购公告</w:t>
            </w:r>
            <w:r>
              <w:rPr>
                <w:rFonts w:ascii="Times New Roman" w:hAnsi="Times New Roman"/>
              </w:rPr>
              <w:t>”</w:t>
            </w:r>
            <w:r>
              <w:rPr>
                <w:rFonts w:hint="eastAsia" w:ascii="Times New Roman" w:hAnsi="Times New Roman"/>
                <w:bCs/>
                <w:kern w:val="0"/>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096"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759" w:type="dxa"/>
            <w:tcBorders>
              <w:top w:val="single" w:color="auto" w:sz="4" w:space="0"/>
              <w:left w:val="single" w:color="auto" w:sz="4" w:space="0"/>
              <w:right w:val="single" w:color="auto" w:sz="4" w:space="0"/>
            </w:tcBorders>
            <w:noWrap/>
            <w:tcMar>
              <w:left w:w="75" w:type="dxa"/>
            </w:tcMar>
            <w:vAlign w:val="center"/>
          </w:tcPr>
          <w:p>
            <w:pPr>
              <w:widowControl/>
              <w:adjustRightInd w:val="0"/>
              <w:snapToGrid w:val="0"/>
              <w:spacing w:line="360" w:lineRule="atLeast"/>
              <w:jc w:val="left"/>
              <w:rPr>
                <w:rFonts w:ascii="Times New Roman" w:hAnsi="Times New Roman"/>
                <w:bCs/>
                <w:kern w:val="0"/>
                <w:szCs w:val="21"/>
              </w:rPr>
            </w:pPr>
            <w:r>
              <w:rPr>
                <w:rFonts w:hint="eastAsia" w:ascii="Times New Roman" w:hAnsi="Times New Roman"/>
                <w:bCs/>
                <w:kern w:val="0"/>
                <w:szCs w:val="21"/>
              </w:rPr>
              <w:t>联合体</w:t>
            </w:r>
          </w:p>
        </w:tc>
        <w:tc>
          <w:tcPr>
            <w:tcW w:w="5659" w:type="dxa"/>
            <w:tcBorders>
              <w:top w:val="outset" w:color="auto" w:sz="6" w:space="0"/>
              <w:left w:val="single" w:color="auto" w:sz="4" w:space="0"/>
              <w:right w:val="outset" w:color="auto" w:sz="6" w:space="0"/>
            </w:tcBorders>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hint="eastAsia" w:ascii="Times New Roman" w:hAnsi="Times New Roman"/>
                <w:kern w:val="0"/>
                <w:szCs w:val="21"/>
              </w:rPr>
              <w:t>未以联合体形式报价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096"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759" w:type="dxa"/>
            <w:tcBorders>
              <w:top w:val="single" w:color="auto" w:sz="4" w:space="0"/>
              <w:left w:val="single" w:color="auto" w:sz="4" w:space="0"/>
              <w:right w:val="single" w:color="auto" w:sz="4" w:space="0"/>
            </w:tcBorders>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bCs/>
                <w:kern w:val="0"/>
                <w:szCs w:val="21"/>
              </w:rPr>
              <w:t>分包</w:t>
            </w:r>
          </w:p>
        </w:tc>
        <w:tc>
          <w:tcPr>
            <w:tcW w:w="5659" w:type="dxa"/>
            <w:tcBorders>
              <w:top w:val="outset" w:color="auto" w:sz="6" w:space="0"/>
              <w:left w:val="single" w:color="auto" w:sz="4" w:space="0"/>
              <w:right w:val="outset" w:color="auto" w:sz="6" w:space="0"/>
            </w:tcBorders>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hint="eastAsia" w:ascii="Times New Roman" w:hAnsi="Times New Roman"/>
                <w:kern w:val="0"/>
                <w:szCs w:val="21"/>
              </w:rPr>
              <w:t>没有分包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096"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759" w:type="dxa"/>
            <w:tcBorders>
              <w:top w:val="single" w:color="auto" w:sz="4" w:space="0"/>
              <w:left w:val="single" w:color="auto" w:sz="4" w:space="0"/>
              <w:right w:val="single" w:color="auto" w:sz="4" w:space="0"/>
            </w:tcBorders>
            <w:noWrap/>
            <w:tcMar>
              <w:left w:w="75" w:type="dxa"/>
            </w:tcMar>
            <w:vAlign w:val="center"/>
          </w:tcPr>
          <w:p>
            <w:pPr>
              <w:widowControl/>
              <w:adjustRightInd w:val="0"/>
              <w:snapToGrid w:val="0"/>
              <w:spacing w:line="360" w:lineRule="atLeast"/>
              <w:jc w:val="left"/>
              <w:rPr>
                <w:rFonts w:ascii="Times New Roman" w:hAnsi="Times New Roman"/>
                <w:bCs/>
                <w:kern w:val="0"/>
                <w:szCs w:val="21"/>
              </w:rPr>
            </w:pPr>
            <w:r>
              <w:rPr>
                <w:rFonts w:ascii="Times New Roman" w:hAnsi="Times New Roman"/>
                <w:kern w:val="0"/>
                <w:szCs w:val="21"/>
              </w:rPr>
              <w:t>报价</w:t>
            </w:r>
          </w:p>
        </w:tc>
        <w:tc>
          <w:tcPr>
            <w:tcW w:w="5659" w:type="dxa"/>
            <w:tcBorders>
              <w:top w:val="outset" w:color="auto" w:sz="6" w:space="0"/>
              <w:left w:val="single" w:color="auto" w:sz="4" w:space="0"/>
              <w:right w:val="outset" w:color="auto" w:sz="6" w:space="0"/>
            </w:tcBorders>
            <w:noWrap/>
            <w:tcMar>
              <w:left w:w="75" w:type="dxa"/>
            </w:tcMar>
            <w:vAlign w:val="center"/>
          </w:tcPr>
          <w:p>
            <w:pPr>
              <w:widowControl/>
              <w:adjustRightInd w:val="0"/>
              <w:snapToGrid w:val="0"/>
              <w:spacing w:line="360" w:lineRule="atLeast"/>
              <w:jc w:val="left"/>
              <w:rPr>
                <w:rFonts w:ascii="Times New Roman" w:hAnsi="Times New Roman"/>
              </w:rPr>
            </w:pPr>
            <w:r>
              <w:rPr>
                <w:rFonts w:ascii="Times New Roman" w:hAnsi="Times New Roman"/>
              </w:rPr>
              <w:t>（1）报价未超过</w:t>
            </w:r>
            <w:r>
              <w:rPr>
                <w:rFonts w:hint="eastAsia" w:ascii="Times New Roman" w:hAnsi="Times New Roman"/>
                <w:lang w:eastAsia="zh-CN"/>
              </w:rPr>
              <w:t>招标文件</w:t>
            </w:r>
            <w:r>
              <w:rPr>
                <w:rFonts w:ascii="Times New Roman" w:hAnsi="Times New Roman"/>
              </w:rPr>
              <w:t>设定的最高限价。</w:t>
            </w:r>
          </w:p>
          <w:p>
            <w:pPr>
              <w:widowControl/>
              <w:adjustRightInd w:val="0"/>
              <w:snapToGrid w:val="0"/>
              <w:spacing w:line="360" w:lineRule="atLeast"/>
              <w:jc w:val="left"/>
              <w:rPr>
                <w:rFonts w:ascii="Times New Roman" w:hAnsi="Times New Roman"/>
              </w:rPr>
            </w:pPr>
            <w:r>
              <w:rPr>
                <w:rFonts w:hint="eastAsia" w:ascii="Times New Roman" w:hAnsi="Times New Roman"/>
              </w:rPr>
              <w:t>（2）已标价的报价清单总报价和报价函的报价一致（四舍五入除外）。</w:t>
            </w:r>
          </w:p>
          <w:p>
            <w:pPr>
              <w:widowControl/>
              <w:adjustRightInd w:val="0"/>
              <w:snapToGrid w:val="0"/>
              <w:spacing w:line="360" w:lineRule="atLeast"/>
              <w:jc w:val="left"/>
              <w:rPr>
                <w:rFonts w:ascii="Times New Roman" w:hAnsi="Times New Roman"/>
              </w:rPr>
            </w:pPr>
            <w:r>
              <w:rPr>
                <w:rFonts w:ascii="Times New Roman" w:hAnsi="Times New Roman"/>
              </w:rPr>
              <w:t>（</w:t>
            </w:r>
            <w:r>
              <w:rPr>
                <w:rFonts w:hint="eastAsia" w:ascii="Times New Roman" w:hAnsi="Times New Roman"/>
              </w:rPr>
              <w:t>3</w:t>
            </w:r>
            <w:r>
              <w:rPr>
                <w:rFonts w:ascii="Times New Roman" w:hAnsi="Times New Roman"/>
              </w:rPr>
              <w:t>）报价的大写数值能确定具体数值，未出现数量级错误、报价金额单位错误。</w:t>
            </w:r>
          </w:p>
          <w:p>
            <w:pPr>
              <w:widowControl/>
              <w:adjustRightInd w:val="0"/>
              <w:snapToGrid w:val="0"/>
              <w:spacing w:line="360" w:lineRule="atLeast"/>
              <w:jc w:val="left"/>
              <w:rPr>
                <w:rFonts w:ascii="Times New Roman" w:hAnsi="Times New Roman"/>
              </w:rPr>
            </w:pPr>
            <w:r>
              <w:rPr>
                <w:rFonts w:ascii="Times New Roman" w:hAnsi="Times New Roman"/>
              </w:rPr>
              <w:t>（</w:t>
            </w:r>
            <w:r>
              <w:rPr>
                <w:rFonts w:hint="eastAsia" w:ascii="Times New Roman" w:hAnsi="Times New Roman"/>
              </w:rPr>
              <w:t>4</w:t>
            </w:r>
            <w:r>
              <w:rPr>
                <w:rFonts w:ascii="Times New Roman" w:hAnsi="Times New Roman"/>
              </w:rPr>
              <w:t>）同一供应商未递交两个以上不同的报价。</w:t>
            </w:r>
          </w:p>
          <w:p>
            <w:pPr>
              <w:widowControl/>
              <w:adjustRightInd w:val="0"/>
              <w:snapToGrid w:val="0"/>
              <w:spacing w:line="360" w:lineRule="atLeast"/>
              <w:jc w:val="left"/>
              <w:rPr>
                <w:rFonts w:ascii="Times New Roman" w:hAnsi="Times New Roman"/>
              </w:rPr>
            </w:pPr>
            <w:r>
              <w:rPr>
                <w:rFonts w:ascii="Times New Roman" w:hAnsi="Times New Roman"/>
              </w:rPr>
              <w:t>（</w:t>
            </w:r>
            <w:r>
              <w:rPr>
                <w:rFonts w:hint="eastAsia" w:ascii="Times New Roman" w:hAnsi="Times New Roman"/>
              </w:rPr>
              <w:t>5</w:t>
            </w:r>
            <w:r>
              <w:rPr>
                <w:rFonts w:ascii="Times New Roman" w:hAnsi="Times New Roman"/>
              </w:rPr>
              <w:t>）供应商</w:t>
            </w:r>
            <w:r>
              <w:rPr>
                <w:rFonts w:hint="eastAsia" w:ascii="Times New Roman" w:hAnsi="Times New Roman"/>
              </w:rPr>
              <w:t>按</w:t>
            </w:r>
            <w:r>
              <w:rPr>
                <w:rFonts w:ascii="Times New Roman" w:hAnsi="Times New Roman"/>
              </w:rPr>
              <w:t>采购人提供的书面</w:t>
            </w:r>
            <w:r>
              <w:rPr>
                <w:rFonts w:hint="eastAsia" w:ascii="Times New Roman" w:hAnsi="Times New Roman"/>
              </w:rPr>
              <w:t>报价清单填写了报价，且未修改报价清单说明、数量等实质性内容</w:t>
            </w:r>
            <w:r>
              <w:rPr>
                <w:rFonts w:ascii="Times New Roman" w:hAnsi="Times New Roman"/>
              </w:rPr>
              <w:t>。</w:t>
            </w:r>
          </w:p>
          <w:p>
            <w:pPr>
              <w:widowControl/>
              <w:adjustRightInd w:val="0"/>
              <w:snapToGrid w:val="0"/>
              <w:spacing w:line="360" w:lineRule="atLeast"/>
              <w:jc w:val="left"/>
              <w:rPr>
                <w:rFonts w:ascii="Times New Roman" w:hAnsi="Times New Roman"/>
              </w:rPr>
            </w:pPr>
            <w:r>
              <w:rPr>
                <w:rFonts w:ascii="Times New Roman" w:hAnsi="Times New Roman"/>
              </w:rPr>
              <w:t>（</w:t>
            </w:r>
            <w:r>
              <w:rPr>
                <w:rFonts w:hint="eastAsia" w:ascii="Times New Roman" w:hAnsi="Times New Roman"/>
              </w:rPr>
              <w:t>6</w:t>
            </w:r>
            <w:r>
              <w:rPr>
                <w:rFonts w:ascii="Times New Roman" w:hAnsi="Times New Roman"/>
              </w:rPr>
              <w:t>）已标价</w:t>
            </w:r>
            <w:r>
              <w:rPr>
                <w:rFonts w:hint="eastAsia" w:ascii="Times New Roman" w:hAnsi="Times New Roman"/>
                <w:kern w:val="0"/>
                <w:szCs w:val="21"/>
              </w:rPr>
              <w:t>报价清单</w:t>
            </w:r>
            <w:r>
              <w:rPr>
                <w:rFonts w:ascii="Times New Roman" w:hAnsi="Times New Roman"/>
                <w:kern w:val="0"/>
                <w:szCs w:val="21"/>
              </w:rPr>
              <w:t>中未更改</w:t>
            </w:r>
            <w:r>
              <w:rPr>
                <w:rFonts w:hint="eastAsia" w:ascii="Times New Roman" w:hAnsi="Times New Roman"/>
                <w:kern w:val="0"/>
                <w:szCs w:val="21"/>
                <w:lang w:eastAsia="zh-CN"/>
              </w:rPr>
              <w:t>招标文件</w:t>
            </w:r>
            <w:r>
              <w:rPr>
                <w:rFonts w:ascii="Times New Roman" w:hAnsi="Times New Roman"/>
                <w:kern w:val="0"/>
                <w:szCs w:val="21"/>
              </w:rPr>
              <w:t>确定的暂列金额。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096" w:type="dxa"/>
            <w:vMerge w:val="continue"/>
            <w:noWrap/>
            <w:vAlign w:val="center"/>
          </w:tcPr>
          <w:p>
            <w:pPr>
              <w:widowControl/>
              <w:adjustRightInd w:val="0"/>
              <w:snapToGrid w:val="0"/>
              <w:spacing w:line="360" w:lineRule="atLeast"/>
              <w:jc w:val="center"/>
              <w:rPr>
                <w:rFonts w:ascii="Times New Roman" w:hAnsi="Times New Roman"/>
                <w:kern w:val="0"/>
                <w:szCs w:val="21"/>
              </w:rPr>
            </w:pPr>
          </w:p>
        </w:tc>
        <w:tc>
          <w:tcPr>
            <w:tcW w:w="17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kern w:val="0"/>
                <w:szCs w:val="21"/>
              </w:rPr>
              <w:t>其他实质性要求</w:t>
            </w:r>
          </w:p>
        </w:tc>
        <w:tc>
          <w:tcPr>
            <w:tcW w:w="5659" w:type="dxa"/>
            <w:noWrap/>
            <w:tcMar>
              <w:left w:w="75" w:type="dxa"/>
            </w:tcMar>
            <w:vAlign w:val="center"/>
          </w:tcPr>
          <w:p>
            <w:pPr>
              <w:widowControl/>
              <w:adjustRightInd w:val="0"/>
              <w:snapToGrid w:val="0"/>
              <w:spacing w:line="360" w:lineRule="atLeast"/>
              <w:jc w:val="left"/>
              <w:rPr>
                <w:rFonts w:ascii="Times New Roman" w:hAnsi="Times New Roman"/>
                <w:kern w:val="0"/>
                <w:szCs w:val="21"/>
              </w:rPr>
            </w:pPr>
            <w:r>
              <w:rPr>
                <w:rFonts w:ascii="Times New Roman" w:hAnsi="Times New Roman"/>
                <w:kern w:val="0"/>
                <w:szCs w:val="21"/>
              </w:rPr>
              <w:t>符合</w:t>
            </w:r>
            <w:r>
              <w:rPr>
                <w:rFonts w:hint="eastAsia" w:ascii="Times New Roman" w:hAnsi="Times New Roman"/>
                <w:kern w:val="0"/>
                <w:szCs w:val="21"/>
                <w:lang w:eastAsia="zh-CN"/>
              </w:rPr>
              <w:t>招标文件</w:t>
            </w:r>
            <w:r>
              <w:rPr>
                <w:rFonts w:ascii="Times New Roman" w:hAnsi="Times New Roman"/>
                <w:kern w:val="0"/>
                <w:szCs w:val="21"/>
              </w:rPr>
              <w:t>的其他实质性要求和条件</w:t>
            </w:r>
          </w:p>
        </w:tc>
      </w:tr>
    </w:tbl>
    <w:p>
      <w:pPr>
        <w:widowControl/>
        <w:spacing w:line="360" w:lineRule="atLeast"/>
        <w:jc w:val="center"/>
        <w:rPr>
          <w:rFonts w:ascii="Times New Roman" w:hAnsi="Times New Roman"/>
        </w:rPr>
      </w:pPr>
    </w:p>
    <w:tbl>
      <w:tblPr>
        <w:tblStyle w:val="21"/>
        <w:tblW w:w="92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6"/>
        <w:gridCol w:w="1276"/>
        <w:gridCol w:w="6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trPr>
        <w:tc>
          <w:tcPr>
            <w:tcW w:w="1696" w:type="dxa"/>
            <w:noWrap/>
            <w:vAlign w:val="center"/>
          </w:tcPr>
          <w:p>
            <w:pPr>
              <w:snapToGrid w:val="0"/>
              <w:jc w:val="center"/>
              <w:rPr>
                <w:rFonts w:ascii="Times New Roman" w:hAnsi="Times New Roman"/>
                <w:b/>
                <w:bCs/>
                <w:kern w:val="0"/>
                <w:szCs w:val="21"/>
              </w:rPr>
            </w:pPr>
            <w:r>
              <w:rPr>
                <w:rFonts w:ascii="Times New Roman" w:hAnsi="Times New Roman"/>
                <w:b/>
                <w:bCs/>
                <w:kern w:val="0"/>
                <w:szCs w:val="21"/>
              </w:rPr>
              <w:t>条款号</w:t>
            </w:r>
          </w:p>
        </w:tc>
        <w:tc>
          <w:tcPr>
            <w:tcW w:w="1276" w:type="dxa"/>
            <w:noWrap/>
            <w:tcMar>
              <w:left w:w="75" w:type="dxa"/>
            </w:tcMar>
            <w:vAlign w:val="center"/>
          </w:tcPr>
          <w:p>
            <w:pPr>
              <w:snapToGrid w:val="0"/>
              <w:jc w:val="center"/>
              <w:rPr>
                <w:rFonts w:ascii="Times New Roman" w:hAnsi="Times New Roman"/>
                <w:b/>
                <w:bCs/>
                <w:kern w:val="0"/>
                <w:szCs w:val="21"/>
              </w:rPr>
            </w:pPr>
            <w:r>
              <w:rPr>
                <w:rFonts w:ascii="Times New Roman" w:hAnsi="Times New Roman"/>
                <w:b/>
                <w:bCs/>
                <w:kern w:val="0"/>
                <w:szCs w:val="21"/>
              </w:rPr>
              <w:t>条款内容</w:t>
            </w:r>
          </w:p>
        </w:tc>
        <w:tc>
          <w:tcPr>
            <w:tcW w:w="6232" w:type="dxa"/>
            <w:noWrap/>
            <w:vAlign w:val="center"/>
          </w:tcPr>
          <w:p>
            <w:pPr>
              <w:widowControl/>
              <w:snapToGrid w:val="0"/>
              <w:jc w:val="center"/>
              <w:rPr>
                <w:rFonts w:ascii="Times New Roman" w:hAnsi="Times New Roman"/>
                <w:b/>
                <w:bCs/>
                <w:kern w:val="0"/>
                <w:szCs w:val="21"/>
              </w:rPr>
            </w:pPr>
            <w:r>
              <w:rPr>
                <w:rFonts w:ascii="Times New Roman" w:hAnsi="Times New Roman"/>
                <w:b/>
                <w:bCs/>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trPr>
        <w:tc>
          <w:tcPr>
            <w:tcW w:w="1696" w:type="dxa"/>
            <w:noWrap/>
            <w:vAlign w:val="center"/>
          </w:tcPr>
          <w:p>
            <w:pPr>
              <w:snapToGrid w:val="0"/>
              <w:jc w:val="center"/>
              <w:rPr>
                <w:rFonts w:ascii="Times New Roman" w:hAnsi="Times New Roman"/>
                <w:bCs/>
                <w:kern w:val="0"/>
                <w:szCs w:val="21"/>
              </w:rPr>
            </w:pPr>
            <w:r>
              <w:rPr>
                <w:rFonts w:ascii="Times New Roman" w:hAnsi="Times New Roman"/>
                <w:bCs/>
                <w:kern w:val="0"/>
                <w:szCs w:val="21"/>
              </w:rPr>
              <w:t>2.2.1</w:t>
            </w:r>
          </w:p>
        </w:tc>
        <w:tc>
          <w:tcPr>
            <w:tcW w:w="1276" w:type="dxa"/>
            <w:noWrap/>
            <w:tcMar>
              <w:left w:w="75" w:type="dxa"/>
            </w:tcMar>
            <w:vAlign w:val="center"/>
          </w:tcPr>
          <w:p>
            <w:pPr>
              <w:snapToGrid w:val="0"/>
              <w:jc w:val="left"/>
              <w:rPr>
                <w:rFonts w:ascii="Times New Roman" w:hAnsi="Times New Roman"/>
                <w:bCs/>
                <w:kern w:val="0"/>
                <w:szCs w:val="21"/>
              </w:rPr>
            </w:pPr>
            <w:r>
              <w:rPr>
                <w:rFonts w:ascii="Times New Roman" w:hAnsi="Times New Roman"/>
                <w:szCs w:val="21"/>
              </w:rPr>
              <w:t>分值构成（100分）</w:t>
            </w:r>
          </w:p>
        </w:tc>
        <w:tc>
          <w:tcPr>
            <w:tcW w:w="6232" w:type="dxa"/>
            <w:noWrap/>
            <w:vAlign w:val="center"/>
          </w:tcPr>
          <w:p>
            <w:pPr>
              <w:spacing w:line="360" w:lineRule="atLeast"/>
              <w:ind w:firstLine="420"/>
              <w:rPr>
                <w:rFonts w:ascii="Times New Roman" w:hAnsi="Times New Roman"/>
                <w:szCs w:val="21"/>
              </w:rPr>
            </w:pPr>
            <w:r>
              <w:rPr>
                <w:rFonts w:hint="eastAsia" w:ascii="Times New Roman" w:hAnsi="Times New Roman"/>
                <w:szCs w:val="21"/>
              </w:rPr>
              <w:t>业绩</w:t>
            </w:r>
            <w:r>
              <w:rPr>
                <w:rFonts w:ascii="Times New Roman" w:hAnsi="Times New Roman"/>
                <w:szCs w:val="21"/>
              </w:rPr>
              <w:t>：</w:t>
            </w:r>
            <w:r>
              <w:rPr>
                <w:rFonts w:hint="eastAsia" w:ascii="Times New Roman" w:hAnsi="Times New Roman"/>
                <w:szCs w:val="21"/>
                <w:u w:val="single"/>
              </w:rPr>
              <w:t xml:space="preserve">   40   </w:t>
            </w:r>
            <w:r>
              <w:rPr>
                <w:rFonts w:ascii="Times New Roman" w:hAnsi="Times New Roman"/>
                <w:szCs w:val="21"/>
              </w:rPr>
              <w:t>分</w:t>
            </w:r>
          </w:p>
          <w:p>
            <w:pPr>
              <w:spacing w:line="360" w:lineRule="atLeast"/>
              <w:ind w:firstLine="420"/>
              <w:rPr>
                <w:rFonts w:ascii="Times New Roman" w:hAnsi="Times New Roman"/>
                <w:szCs w:val="21"/>
              </w:rPr>
            </w:pPr>
            <w:r>
              <w:rPr>
                <w:rFonts w:ascii="Times New Roman" w:hAnsi="Times New Roman"/>
                <w:szCs w:val="21"/>
              </w:rPr>
              <w:t>项目管理机构：</w:t>
            </w:r>
            <w:r>
              <w:rPr>
                <w:rFonts w:hint="eastAsia" w:ascii="Times New Roman" w:hAnsi="Times New Roman"/>
                <w:szCs w:val="21"/>
                <w:u w:val="single"/>
              </w:rPr>
              <w:t xml:space="preserve">  20  </w:t>
            </w:r>
            <w:r>
              <w:rPr>
                <w:rFonts w:ascii="Times New Roman" w:hAnsi="Times New Roman"/>
                <w:szCs w:val="21"/>
              </w:rPr>
              <w:t>分</w:t>
            </w:r>
          </w:p>
          <w:p>
            <w:pPr>
              <w:spacing w:line="360" w:lineRule="atLeast"/>
              <w:ind w:firstLine="420"/>
              <w:rPr>
                <w:rFonts w:ascii="Times New Roman" w:hAnsi="Times New Roman"/>
                <w:szCs w:val="21"/>
              </w:rPr>
            </w:pPr>
            <w:r>
              <w:rPr>
                <w:rFonts w:hint="eastAsia" w:ascii="Times New Roman" w:hAnsi="Times New Roman"/>
                <w:szCs w:val="21"/>
              </w:rPr>
              <w:t>技术方案</w:t>
            </w:r>
            <w:r>
              <w:rPr>
                <w:rFonts w:ascii="Times New Roman" w:hAnsi="Times New Roman"/>
                <w:szCs w:val="21"/>
              </w:rPr>
              <w:t>：</w:t>
            </w:r>
            <w:r>
              <w:rPr>
                <w:rFonts w:hint="eastAsia" w:ascii="Times New Roman" w:hAnsi="Times New Roman"/>
                <w:szCs w:val="21"/>
                <w:u w:val="single"/>
              </w:rPr>
              <w:t xml:space="preserve">  </w:t>
            </w:r>
            <w:r>
              <w:rPr>
                <w:rFonts w:hint="eastAsia" w:ascii="Times New Roman" w:hAnsi="Times New Roman"/>
                <w:szCs w:val="21"/>
                <w:u w:val="single"/>
                <w:lang w:val="en-US" w:eastAsia="zh-CN"/>
              </w:rPr>
              <w:t>2</w:t>
            </w:r>
            <w:r>
              <w:rPr>
                <w:rFonts w:hint="eastAsia" w:ascii="Times New Roman" w:hAnsi="Times New Roman"/>
                <w:szCs w:val="21"/>
                <w:u w:val="single"/>
              </w:rPr>
              <w:t xml:space="preserve">0  </w:t>
            </w:r>
            <w:r>
              <w:rPr>
                <w:rFonts w:ascii="Times New Roman" w:hAnsi="Times New Roman"/>
                <w:szCs w:val="21"/>
              </w:rPr>
              <w:t>分</w:t>
            </w:r>
          </w:p>
          <w:p>
            <w:pPr>
              <w:spacing w:line="360" w:lineRule="atLeast"/>
              <w:ind w:firstLine="420"/>
              <w:rPr>
                <w:rFonts w:ascii="Times New Roman" w:hAnsi="Times New Roman"/>
                <w:kern w:val="0"/>
                <w:szCs w:val="21"/>
              </w:rPr>
            </w:pPr>
            <w:r>
              <w:rPr>
                <w:rFonts w:ascii="Times New Roman" w:hAnsi="Times New Roman"/>
                <w:szCs w:val="21"/>
              </w:rPr>
              <w:t>评审价：</w:t>
            </w:r>
            <w:r>
              <w:rPr>
                <w:rFonts w:hint="eastAsia" w:ascii="Times New Roman" w:hAnsi="Times New Roman"/>
                <w:szCs w:val="21"/>
                <w:u w:val="single"/>
              </w:rPr>
              <w:t xml:space="preserve">  </w:t>
            </w:r>
            <w:r>
              <w:rPr>
                <w:rFonts w:hint="eastAsia" w:ascii="Times New Roman" w:hAnsi="Times New Roman"/>
                <w:szCs w:val="21"/>
                <w:u w:val="single"/>
                <w:lang w:val="en-US" w:eastAsia="zh-CN"/>
              </w:rPr>
              <w:t>2</w:t>
            </w:r>
            <w:r>
              <w:rPr>
                <w:rFonts w:hint="eastAsia" w:ascii="Times New Roman" w:hAnsi="Times New Roman"/>
                <w:szCs w:val="21"/>
                <w:u w:val="single"/>
              </w:rPr>
              <w:t xml:space="preserve">0  </w:t>
            </w:r>
            <w:r>
              <w:rPr>
                <w:rFonts w:ascii="Times New Roman" w:hAnsi="Times New Roman"/>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trPr>
        <w:tc>
          <w:tcPr>
            <w:tcW w:w="1696" w:type="dxa"/>
            <w:tcBorders>
              <w:top w:val="single" w:color="auto" w:sz="4" w:space="0"/>
              <w:bottom w:val="single" w:color="auto" w:sz="4" w:space="0"/>
              <w:right w:val="single" w:color="auto" w:sz="4" w:space="0"/>
            </w:tcBorders>
            <w:noWrap/>
            <w:vAlign w:val="center"/>
          </w:tcPr>
          <w:p>
            <w:pPr>
              <w:snapToGrid w:val="0"/>
              <w:jc w:val="center"/>
              <w:rPr>
                <w:rFonts w:ascii="Times New Roman" w:hAnsi="Times New Roman"/>
                <w:bCs/>
                <w:kern w:val="0"/>
                <w:szCs w:val="21"/>
              </w:rPr>
            </w:pPr>
            <w:r>
              <w:rPr>
                <w:rFonts w:ascii="Times New Roman" w:hAnsi="Times New Roman"/>
                <w:szCs w:val="21"/>
              </w:rPr>
              <w:t>2.2.2</w:t>
            </w:r>
          </w:p>
        </w:tc>
        <w:tc>
          <w:tcPr>
            <w:tcW w:w="1276" w:type="dxa"/>
            <w:tcBorders>
              <w:top w:val="single" w:color="auto" w:sz="4" w:space="0"/>
              <w:bottom w:val="single" w:color="auto" w:sz="4" w:space="0"/>
              <w:right w:val="single" w:color="auto" w:sz="4" w:space="0"/>
            </w:tcBorders>
            <w:noWrap/>
            <w:tcMar>
              <w:left w:w="75" w:type="dxa"/>
            </w:tcMar>
            <w:vAlign w:val="center"/>
          </w:tcPr>
          <w:p>
            <w:pPr>
              <w:snapToGrid w:val="0"/>
              <w:jc w:val="left"/>
              <w:rPr>
                <w:rFonts w:ascii="Times New Roman" w:hAnsi="Times New Roman"/>
                <w:szCs w:val="21"/>
              </w:rPr>
            </w:pPr>
            <w:r>
              <w:rPr>
                <w:rFonts w:ascii="Times New Roman" w:hAnsi="Times New Roman"/>
                <w:szCs w:val="21"/>
              </w:rPr>
              <w:t>评审基准价计算方法</w:t>
            </w:r>
          </w:p>
        </w:tc>
        <w:tc>
          <w:tcPr>
            <w:tcW w:w="6232" w:type="dxa"/>
            <w:tcBorders>
              <w:top w:val="single" w:color="auto" w:sz="4" w:space="0"/>
              <w:left w:val="single" w:color="auto" w:sz="4" w:space="0"/>
              <w:bottom w:val="single" w:color="auto" w:sz="4" w:space="0"/>
              <w:right w:val="single" w:color="auto" w:sz="4" w:space="0"/>
            </w:tcBorders>
            <w:noWrap/>
            <w:vAlign w:val="center"/>
          </w:tcPr>
          <w:p>
            <w:pPr>
              <w:spacing w:line="360" w:lineRule="atLeast"/>
              <w:ind w:firstLine="420"/>
              <w:rPr>
                <w:rFonts w:ascii="Times New Roman" w:hAnsi="Times New Roman"/>
                <w:szCs w:val="21"/>
              </w:rPr>
            </w:pPr>
            <w:r>
              <w:rPr>
                <w:rFonts w:ascii="Times New Roman" w:hAnsi="Times New Roman"/>
                <w:szCs w:val="21"/>
              </w:rPr>
              <w:t>评审基准价的计算：</w:t>
            </w:r>
          </w:p>
          <w:p>
            <w:pPr>
              <w:spacing w:line="360" w:lineRule="atLeast"/>
              <w:ind w:firstLine="420"/>
              <w:rPr>
                <w:rFonts w:ascii="Times New Roman" w:hAnsi="Times New Roman"/>
                <w:szCs w:val="21"/>
              </w:rPr>
            </w:pPr>
            <w:r>
              <w:rPr>
                <w:rFonts w:ascii="Times New Roman" w:hAnsi="Times New Roman"/>
                <w:szCs w:val="21"/>
              </w:rPr>
              <w:t>（1）评审价的确定：</w:t>
            </w:r>
          </w:p>
          <w:p>
            <w:pPr>
              <w:spacing w:line="360" w:lineRule="atLeast"/>
              <w:ind w:firstLine="420"/>
              <w:rPr>
                <w:rFonts w:ascii="Times New Roman" w:hAnsi="Times New Roman"/>
                <w:szCs w:val="21"/>
              </w:rPr>
            </w:pPr>
            <w:r>
              <w:rPr>
                <w:rFonts w:ascii="Times New Roman" w:hAnsi="Times New Roman"/>
                <w:szCs w:val="21"/>
              </w:rPr>
              <w:t>评审价＝</w:t>
            </w:r>
            <w:r>
              <w:rPr>
                <w:rFonts w:hint="eastAsia" w:ascii="Times New Roman" w:hAnsi="Times New Roman"/>
                <w:szCs w:val="21"/>
              </w:rPr>
              <w:t>修正后的报价</w:t>
            </w:r>
          </w:p>
          <w:p>
            <w:pPr>
              <w:spacing w:line="360" w:lineRule="atLeast"/>
              <w:ind w:firstLine="420"/>
              <w:rPr>
                <w:rFonts w:ascii="Times New Roman" w:hAnsi="Times New Roman"/>
                <w:szCs w:val="21"/>
              </w:rPr>
            </w:pPr>
            <w:r>
              <w:rPr>
                <w:rFonts w:ascii="Times New Roman" w:hAnsi="Times New Roman"/>
                <w:szCs w:val="21"/>
              </w:rPr>
              <w:t>（2）评审价平均值的计算：</w:t>
            </w:r>
          </w:p>
          <w:p>
            <w:pPr>
              <w:spacing w:line="360" w:lineRule="atLeast"/>
              <w:ind w:firstLine="420"/>
              <w:rPr>
                <w:rFonts w:ascii="Times New Roman" w:hAnsi="Times New Roman"/>
                <w:szCs w:val="21"/>
              </w:rPr>
            </w:pPr>
            <w:r>
              <w:rPr>
                <w:rFonts w:ascii="Times New Roman" w:hAnsi="Times New Roman"/>
                <w:szCs w:val="21"/>
              </w:rPr>
              <w:t>所有</w:t>
            </w:r>
            <w:r>
              <w:rPr>
                <w:rFonts w:hint="eastAsia" w:ascii="Times New Roman" w:hAnsi="Times New Roman"/>
                <w:szCs w:val="21"/>
              </w:rPr>
              <w:t>通过初步评审的</w:t>
            </w:r>
            <w:r>
              <w:rPr>
                <w:rFonts w:ascii="Times New Roman" w:hAnsi="Times New Roman"/>
                <w:szCs w:val="21"/>
              </w:rPr>
              <w:t>供应商的评审价去掉一个最高值和一个最低值后的算术平均值即为评审价平均值（如果参与评审价平均值计算的有效供应商少于5家时，则计算评审价平均值时不去掉最高值和最低值）；</w:t>
            </w:r>
          </w:p>
          <w:p>
            <w:pPr>
              <w:spacing w:line="360" w:lineRule="atLeast"/>
              <w:ind w:firstLine="420"/>
              <w:rPr>
                <w:rFonts w:ascii="Times New Roman" w:hAnsi="Times New Roman"/>
                <w:szCs w:val="21"/>
              </w:rPr>
            </w:pPr>
            <w:r>
              <w:rPr>
                <w:rFonts w:ascii="Times New Roman" w:hAnsi="Times New Roman"/>
                <w:szCs w:val="21"/>
              </w:rPr>
              <w:t>（3）评审基准价的确定 ：</w:t>
            </w:r>
          </w:p>
          <w:p>
            <w:pPr>
              <w:spacing w:line="360" w:lineRule="atLeast"/>
              <w:ind w:firstLine="420"/>
              <w:rPr>
                <w:rFonts w:ascii="Times New Roman" w:hAnsi="Times New Roman"/>
                <w:szCs w:val="21"/>
              </w:rPr>
            </w:pPr>
            <w:r>
              <w:rPr>
                <w:rFonts w:ascii="Times New Roman" w:hAnsi="Times New Roman"/>
                <w:szCs w:val="21"/>
              </w:rPr>
              <w:t>将评审价平均值直接作为评审基准价。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trPr>
        <w:tc>
          <w:tcPr>
            <w:tcW w:w="1696" w:type="dxa"/>
            <w:tcBorders>
              <w:top w:val="single" w:color="auto" w:sz="4" w:space="0"/>
              <w:right w:val="single" w:color="auto" w:sz="4" w:space="0"/>
            </w:tcBorders>
            <w:noWrap/>
            <w:vAlign w:val="center"/>
          </w:tcPr>
          <w:p>
            <w:pPr>
              <w:snapToGrid w:val="0"/>
              <w:jc w:val="center"/>
              <w:rPr>
                <w:rFonts w:ascii="Times New Roman" w:hAnsi="Times New Roman"/>
                <w:szCs w:val="21"/>
              </w:rPr>
            </w:pPr>
            <w:r>
              <w:rPr>
                <w:rFonts w:ascii="Times New Roman" w:hAnsi="Times New Roman"/>
                <w:szCs w:val="21"/>
              </w:rPr>
              <w:t>2.2.3</w:t>
            </w:r>
          </w:p>
        </w:tc>
        <w:tc>
          <w:tcPr>
            <w:tcW w:w="1276" w:type="dxa"/>
            <w:tcBorders>
              <w:top w:val="single" w:color="auto" w:sz="4" w:space="0"/>
              <w:right w:val="single" w:color="auto" w:sz="4" w:space="0"/>
            </w:tcBorders>
            <w:noWrap/>
            <w:tcMar>
              <w:left w:w="75" w:type="dxa"/>
            </w:tcMar>
            <w:vAlign w:val="center"/>
          </w:tcPr>
          <w:p>
            <w:pPr>
              <w:snapToGrid w:val="0"/>
              <w:jc w:val="left"/>
              <w:rPr>
                <w:rFonts w:ascii="Times New Roman" w:hAnsi="Times New Roman"/>
                <w:szCs w:val="21"/>
              </w:rPr>
            </w:pPr>
            <w:r>
              <w:rPr>
                <w:rFonts w:ascii="Times New Roman" w:hAnsi="Times New Roman"/>
                <w:szCs w:val="21"/>
              </w:rPr>
              <w:t>评审价的偏差率计算公式</w:t>
            </w:r>
          </w:p>
        </w:tc>
        <w:tc>
          <w:tcPr>
            <w:tcW w:w="6232" w:type="dxa"/>
            <w:tcBorders>
              <w:top w:val="single" w:color="auto" w:sz="4" w:space="0"/>
              <w:left w:val="single" w:color="auto" w:sz="4" w:space="0"/>
              <w:right w:val="single" w:color="auto" w:sz="4" w:space="0"/>
            </w:tcBorders>
            <w:noWrap/>
            <w:vAlign w:val="center"/>
          </w:tcPr>
          <w:p>
            <w:pPr>
              <w:spacing w:line="360" w:lineRule="atLeast"/>
              <w:ind w:firstLine="420"/>
              <w:rPr>
                <w:rFonts w:ascii="Times New Roman" w:hAnsi="Times New Roman"/>
                <w:szCs w:val="21"/>
              </w:rPr>
            </w:pPr>
            <w:r>
              <w:rPr>
                <w:rFonts w:ascii="Times New Roman" w:hAnsi="Times New Roman"/>
                <w:szCs w:val="21"/>
              </w:rPr>
              <w:t>偏差率=100% ×（供应商评审价－评审基准价）/评审基准价</w:t>
            </w:r>
          </w:p>
          <w:p>
            <w:pPr>
              <w:spacing w:line="360" w:lineRule="atLeast"/>
              <w:ind w:firstLine="420"/>
              <w:rPr>
                <w:rFonts w:ascii="Times New Roman" w:hAnsi="Times New Roman"/>
                <w:szCs w:val="21"/>
              </w:rPr>
            </w:pPr>
            <w:r>
              <w:rPr>
                <w:rFonts w:ascii="Times New Roman" w:hAnsi="Times New Roman"/>
                <w:szCs w:val="21"/>
              </w:rPr>
              <w:t>偏差率保留</w:t>
            </w:r>
            <w:r>
              <w:rPr>
                <w:rFonts w:ascii="Times New Roman" w:hAnsi="Times New Roman"/>
                <w:szCs w:val="21"/>
                <w:u w:val="single"/>
              </w:rPr>
              <w:t xml:space="preserve"> 2 </w:t>
            </w:r>
            <w:r>
              <w:rPr>
                <w:rFonts w:ascii="Times New Roman" w:hAnsi="Times New Roman"/>
                <w:szCs w:val="21"/>
              </w:rPr>
              <w:t>位小数</w:t>
            </w:r>
          </w:p>
        </w:tc>
      </w:tr>
    </w:tbl>
    <w:p>
      <w:pPr>
        <w:jc w:val="right"/>
        <w:rPr>
          <w:rFonts w:ascii="Times New Roman" w:hAnsi="Times New Roman"/>
          <w:spacing w:val="4"/>
          <w:szCs w:val="21"/>
        </w:rPr>
      </w:pPr>
    </w:p>
    <w:p>
      <w:pPr>
        <w:jc w:val="left"/>
        <w:rPr>
          <w:rFonts w:ascii="Times New Roman" w:hAnsi="Times New Roman"/>
          <w:spacing w:val="4"/>
          <w:szCs w:val="21"/>
        </w:rPr>
      </w:pPr>
      <w:r>
        <w:rPr>
          <w:rFonts w:ascii="Times New Roman" w:hAnsi="Times New Roman"/>
          <w:spacing w:val="4"/>
          <w:szCs w:val="21"/>
        </w:rPr>
        <w:br w:type="page"/>
      </w:r>
    </w:p>
    <w:p>
      <w:pPr>
        <w:jc w:val="right"/>
        <w:rPr>
          <w:rFonts w:ascii="Times New Roman" w:hAnsi="Times New Roman"/>
        </w:rPr>
      </w:pPr>
      <w:r>
        <w:rPr>
          <w:rFonts w:ascii="Times New Roman" w:hAnsi="Times New Roman"/>
          <w:spacing w:val="4"/>
          <w:szCs w:val="21"/>
        </w:rPr>
        <w:t>续上表</w:t>
      </w:r>
    </w:p>
    <w:tbl>
      <w:tblPr>
        <w:tblStyle w:val="21"/>
        <w:tblW w:w="920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1635"/>
        <w:gridCol w:w="1005"/>
        <w:gridCol w:w="2877"/>
        <w:gridCol w:w="756"/>
        <w:gridCol w:w="1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433" w:type="dxa"/>
            <w:gridSpan w:val="5"/>
            <w:tcBorders>
              <w:top w:val="single" w:color="auto" w:sz="4" w:space="0"/>
            </w:tcBorders>
            <w:noWrap/>
          </w:tcPr>
          <w:p>
            <w:pPr>
              <w:spacing w:line="380" w:lineRule="atLeast"/>
              <w:jc w:val="center"/>
              <w:rPr>
                <w:rFonts w:ascii="Times New Roman" w:hAnsi="Times New Roman"/>
                <w:b/>
                <w:szCs w:val="21"/>
              </w:rPr>
            </w:pPr>
            <w:r>
              <w:rPr>
                <w:rFonts w:ascii="Times New Roman" w:hAnsi="Times New Roman"/>
                <w:b/>
                <w:szCs w:val="21"/>
              </w:rPr>
              <w:t>评分因素与权重分值</w:t>
            </w:r>
          </w:p>
        </w:tc>
        <w:tc>
          <w:tcPr>
            <w:tcW w:w="1771" w:type="dxa"/>
            <w:vMerge w:val="restart"/>
            <w:tcBorders>
              <w:top w:val="single" w:color="auto" w:sz="4" w:space="0"/>
            </w:tcBorders>
            <w:noWrap/>
            <w:vAlign w:val="center"/>
          </w:tcPr>
          <w:p>
            <w:pPr>
              <w:spacing w:line="380" w:lineRule="atLeast"/>
              <w:jc w:val="center"/>
              <w:rPr>
                <w:rFonts w:ascii="Times New Roman" w:hAnsi="Times New Roman"/>
                <w:b/>
                <w:szCs w:val="21"/>
              </w:rPr>
            </w:pPr>
            <w:r>
              <w:rPr>
                <w:rFonts w:ascii="Times New Roman" w:hAnsi="Times New Roman"/>
                <w:b/>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160" w:type="dxa"/>
            <w:noWrap/>
            <w:vAlign w:val="center"/>
          </w:tcPr>
          <w:p>
            <w:pPr>
              <w:spacing w:line="380" w:lineRule="atLeast"/>
              <w:jc w:val="center"/>
              <w:rPr>
                <w:rFonts w:ascii="Times New Roman" w:hAnsi="Times New Roman"/>
                <w:b/>
                <w:szCs w:val="21"/>
              </w:rPr>
            </w:pPr>
            <w:r>
              <w:rPr>
                <w:rFonts w:ascii="Times New Roman" w:hAnsi="Times New Roman"/>
                <w:b/>
                <w:szCs w:val="21"/>
              </w:rPr>
              <w:t>条款号</w:t>
            </w:r>
          </w:p>
        </w:tc>
        <w:tc>
          <w:tcPr>
            <w:tcW w:w="1635" w:type="dxa"/>
            <w:noWrap/>
            <w:vAlign w:val="center"/>
          </w:tcPr>
          <w:p>
            <w:pPr>
              <w:spacing w:line="380" w:lineRule="atLeast"/>
              <w:jc w:val="center"/>
              <w:rPr>
                <w:rFonts w:ascii="Times New Roman" w:hAnsi="Times New Roman"/>
                <w:b/>
                <w:szCs w:val="21"/>
              </w:rPr>
            </w:pPr>
            <w:r>
              <w:rPr>
                <w:rFonts w:ascii="Times New Roman" w:hAnsi="Times New Roman"/>
                <w:b/>
                <w:szCs w:val="21"/>
              </w:rPr>
              <w:t>评分因素</w:t>
            </w:r>
          </w:p>
        </w:tc>
        <w:tc>
          <w:tcPr>
            <w:tcW w:w="1005" w:type="dxa"/>
            <w:noWrap/>
            <w:vAlign w:val="center"/>
          </w:tcPr>
          <w:p>
            <w:pPr>
              <w:spacing w:line="380" w:lineRule="atLeast"/>
              <w:ind w:left="-105" w:leftChars="-50" w:right="-105" w:rightChars="-50"/>
              <w:jc w:val="center"/>
              <w:rPr>
                <w:rFonts w:ascii="Times New Roman" w:hAnsi="Times New Roman"/>
                <w:b/>
                <w:szCs w:val="21"/>
              </w:rPr>
            </w:pPr>
            <w:r>
              <w:rPr>
                <w:rFonts w:ascii="Times New Roman" w:hAnsi="Times New Roman"/>
                <w:b/>
                <w:szCs w:val="21"/>
              </w:rPr>
              <w:t>评分因素权重分值</w:t>
            </w:r>
          </w:p>
        </w:tc>
        <w:tc>
          <w:tcPr>
            <w:tcW w:w="2877" w:type="dxa"/>
            <w:noWrap/>
            <w:vAlign w:val="center"/>
          </w:tcPr>
          <w:p>
            <w:pPr>
              <w:spacing w:line="380" w:lineRule="atLeast"/>
              <w:jc w:val="center"/>
              <w:rPr>
                <w:rFonts w:ascii="Times New Roman" w:hAnsi="Times New Roman"/>
                <w:b/>
                <w:szCs w:val="21"/>
              </w:rPr>
            </w:pPr>
            <w:r>
              <w:rPr>
                <w:rFonts w:ascii="Times New Roman" w:hAnsi="Times New Roman"/>
                <w:b/>
                <w:szCs w:val="21"/>
              </w:rPr>
              <w:t>各评分因素细分项</w:t>
            </w:r>
          </w:p>
        </w:tc>
        <w:tc>
          <w:tcPr>
            <w:tcW w:w="756" w:type="dxa"/>
            <w:noWrap/>
            <w:vAlign w:val="center"/>
          </w:tcPr>
          <w:p>
            <w:pPr>
              <w:spacing w:line="380" w:lineRule="atLeast"/>
              <w:jc w:val="right"/>
              <w:rPr>
                <w:rFonts w:ascii="Times New Roman" w:hAnsi="Times New Roman"/>
                <w:b/>
                <w:szCs w:val="21"/>
              </w:rPr>
            </w:pPr>
            <w:r>
              <w:rPr>
                <w:rFonts w:ascii="Times New Roman" w:hAnsi="Times New Roman"/>
                <w:b/>
                <w:szCs w:val="21"/>
              </w:rPr>
              <w:t>分值</w:t>
            </w:r>
          </w:p>
        </w:tc>
        <w:tc>
          <w:tcPr>
            <w:tcW w:w="1771" w:type="dxa"/>
            <w:vMerge w:val="continue"/>
            <w:noWrap/>
          </w:tcPr>
          <w:p>
            <w:pPr>
              <w:spacing w:line="380" w:lineRule="atLeast"/>
              <w:jc w:val="center"/>
              <w:rPr>
                <w:rFonts w:ascii="Times New Roman" w:hAnsi="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noWrap/>
            <w:vAlign w:val="center"/>
          </w:tcPr>
          <w:p>
            <w:pPr>
              <w:spacing w:line="380" w:lineRule="atLeast"/>
              <w:jc w:val="center"/>
              <w:rPr>
                <w:rFonts w:ascii="Times New Roman" w:hAnsi="Times New Roman"/>
                <w:szCs w:val="21"/>
              </w:rPr>
            </w:pPr>
            <w:r>
              <w:rPr>
                <w:rFonts w:ascii="Times New Roman" w:hAnsi="Times New Roman"/>
                <w:szCs w:val="21"/>
              </w:rPr>
              <w:t>2.2.4</w:t>
            </w:r>
            <w:r>
              <w:rPr>
                <w:rFonts w:hint="eastAsia" w:ascii="Times New Roman" w:hAnsi="Times New Roman"/>
                <w:szCs w:val="21"/>
              </w:rPr>
              <w:t>（1）</w:t>
            </w:r>
          </w:p>
        </w:tc>
        <w:tc>
          <w:tcPr>
            <w:tcW w:w="1635" w:type="dxa"/>
            <w:noWrap/>
            <w:vAlign w:val="center"/>
          </w:tcPr>
          <w:p>
            <w:pPr>
              <w:spacing w:line="380" w:lineRule="atLeast"/>
              <w:jc w:val="center"/>
              <w:rPr>
                <w:rFonts w:ascii="Times New Roman" w:hAnsi="Times New Roman"/>
                <w:szCs w:val="21"/>
              </w:rPr>
            </w:pPr>
            <w:r>
              <w:rPr>
                <w:rFonts w:hint="eastAsia" w:ascii="Times New Roman" w:hAnsi="Times New Roman"/>
                <w:szCs w:val="21"/>
                <w:lang w:val="en-US" w:eastAsia="zh-CN"/>
              </w:rPr>
              <w:t>投标人</w:t>
            </w:r>
            <w:r>
              <w:rPr>
                <w:rFonts w:hint="eastAsia" w:ascii="Times New Roman" w:hAnsi="Times New Roman"/>
                <w:szCs w:val="21"/>
              </w:rPr>
              <w:t>业绩</w:t>
            </w:r>
          </w:p>
        </w:tc>
        <w:tc>
          <w:tcPr>
            <w:tcW w:w="1005" w:type="dxa"/>
            <w:noWrap/>
            <w:vAlign w:val="center"/>
          </w:tcPr>
          <w:p>
            <w:pPr>
              <w:spacing w:line="380" w:lineRule="atLeast"/>
              <w:jc w:val="right"/>
              <w:rPr>
                <w:rFonts w:ascii="Times New Roman" w:hAnsi="Times New Roman"/>
                <w:szCs w:val="21"/>
                <w:u w:val="single"/>
              </w:rPr>
            </w:pPr>
            <w:r>
              <w:rPr>
                <w:rFonts w:hint="eastAsia" w:ascii="Times New Roman" w:hAnsi="Times New Roman"/>
                <w:szCs w:val="21"/>
                <w:u w:val="single"/>
              </w:rPr>
              <w:t>40</w:t>
            </w:r>
            <w:r>
              <w:rPr>
                <w:rFonts w:ascii="Times New Roman" w:hAnsi="Times New Roman"/>
                <w:szCs w:val="21"/>
              </w:rPr>
              <w:t>分</w:t>
            </w:r>
          </w:p>
        </w:tc>
        <w:tc>
          <w:tcPr>
            <w:tcW w:w="5404" w:type="dxa"/>
            <w:gridSpan w:val="3"/>
            <w:noWrap/>
          </w:tcPr>
          <w:p>
            <w:pPr>
              <w:spacing w:line="380" w:lineRule="atLeast"/>
              <w:rPr>
                <w:rFonts w:ascii="Times New Roman" w:hAnsi="Times New Roman"/>
                <w:szCs w:val="21"/>
              </w:rPr>
            </w:pPr>
            <w:r>
              <w:rPr>
                <w:rFonts w:ascii="Times New Roman" w:hAnsi="Times New Roman"/>
                <w:szCs w:val="21"/>
              </w:rPr>
              <w:t>满足</w:t>
            </w:r>
            <w:r>
              <w:rPr>
                <w:rFonts w:hint="eastAsia" w:ascii="Times New Roman" w:hAnsi="Times New Roman"/>
                <w:szCs w:val="21"/>
              </w:rPr>
              <w:t>基本</w:t>
            </w:r>
            <w:r>
              <w:rPr>
                <w:rFonts w:ascii="Times New Roman" w:hAnsi="Times New Roman"/>
                <w:szCs w:val="21"/>
              </w:rPr>
              <w:t>要求，得</w:t>
            </w:r>
            <w:r>
              <w:rPr>
                <w:rFonts w:hint="eastAsia" w:ascii="Times New Roman" w:hAnsi="Times New Roman"/>
                <w:szCs w:val="21"/>
                <w:lang w:val="en-US" w:eastAsia="zh-CN"/>
              </w:rPr>
              <w:t>30</w:t>
            </w:r>
            <w:r>
              <w:rPr>
                <w:rFonts w:ascii="Times New Roman" w:hAnsi="Times New Roman"/>
                <w:szCs w:val="21"/>
              </w:rPr>
              <w:t>分；</w:t>
            </w:r>
            <w:r>
              <w:rPr>
                <w:rFonts w:hint="eastAsia" w:ascii="Times New Roman" w:hAnsi="Times New Roman"/>
                <w:szCs w:val="21"/>
              </w:rPr>
              <w:t>公司近五年（2018 年1月1日至响应文件递交截止日期）</w:t>
            </w:r>
            <w:r>
              <w:rPr>
                <w:rFonts w:ascii="Times New Roman" w:hAnsi="Times New Roman"/>
                <w:szCs w:val="21"/>
              </w:rPr>
              <w:t>每增加1个</w:t>
            </w:r>
            <w:r>
              <w:rPr>
                <w:rFonts w:hint="eastAsia" w:ascii="Times New Roman" w:hAnsi="Times New Roman"/>
                <w:szCs w:val="21"/>
              </w:rPr>
              <w:t>高速公路收费站开通运营项目</w:t>
            </w:r>
            <w:bookmarkStart w:id="264" w:name="_GoBack"/>
            <w:bookmarkEnd w:id="264"/>
            <w:r>
              <w:rPr>
                <w:rFonts w:hint="eastAsia" w:ascii="Times New Roman" w:hAnsi="Times New Roman"/>
                <w:szCs w:val="21"/>
              </w:rPr>
              <w:t>社会稳定风险评估报告</w:t>
            </w:r>
            <w:r>
              <w:rPr>
                <w:rFonts w:ascii="Times New Roman" w:hAnsi="Times New Roman"/>
                <w:szCs w:val="21"/>
              </w:rPr>
              <w:t>的项目业绩加</w:t>
            </w:r>
            <w:r>
              <w:rPr>
                <w:rFonts w:hint="eastAsia" w:ascii="Times New Roman" w:hAnsi="Times New Roman"/>
                <w:szCs w:val="21"/>
                <w:lang w:val="en-US" w:eastAsia="zh-CN"/>
              </w:rPr>
              <w:t>5</w:t>
            </w:r>
            <w:r>
              <w:rPr>
                <w:rFonts w:ascii="Times New Roman" w:hAnsi="Times New Roman"/>
                <w:szCs w:val="21"/>
              </w:rPr>
              <w:t>分，加满</w:t>
            </w:r>
            <w:r>
              <w:rPr>
                <w:rFonts w:hint="eastAsia" w:ascii="Times New Roman" w:hAnsi="Times New Roman"/>
                <w:szCs w:val="21"/>
                <w:lang w:val="en-US" w:eastAsia="zh-CN"/>
              </w:rPr>
              <w:t>10</w:t>
            </w:r>
            <w:r>
              <w:rPr>
                <w:rFonts w:ascii="Times New Roman" w:hAnsi="Times New Roman"/>
                <w:szCs w:val="21"/>
              </w:rPr>
              <w:t>分为止</w:t>
            </w:r>
            <w:r>
              <w:rPr>
                <w:rFonts w:hint="eastAsia"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noWrap/>
            <w:vAlign w:val="center"/>
          </w:tcPr>
          <w:p>
            <w:pPr>
              <w:spacing w:line="380" w:lineRule="atLeast"/>
              <w:jc w:val="center"/>
              <w:rPr>
                <w:rFonts w:ascii="Times New Roman" w:hAnsi="Times New Roman"/>
                <w:szCs w:val="21"/>
              </w:rPr>
            </w:pPr>
            <w:r>
              <w:rPr>
                <w:rFonts w:ascii="Times New Roman" w:hAnsi="Times New Roman"/>
                <w:szCs w:val="21"/>
              </w:rPr>
              <w:t>2.2.4</w:t>
            </w:r>
            <w:r>
              <w:rPr>
                <w:rFonts w:hint="eastAsia" w:ascii="Times New Roman" w:hAnsi="Times New Roman"/>
                <w:szCs w:val="21"/>
              </w:rPr>
              <w:t>（2）</w:t>
            </w:r>
          </w:p>
        </w:tc>
        <w:tc>
          <w:tcPr>
            <w:tcW w:w="1635" w:type="dxa"/>
            <w:noWrap/>
            <w:vAlign w:val="center"/>
          </w:tcPr>
          <w:p>
            <w:pPr>
              <w:spacing w:line="380" w:lineRule="atLeast"/>
              <w:jc w:val="center"/>
              <w:rPr>
                <w:rFonts w:hint="default" w:ascii="Times New Roman" w:hAnsi="Times New Roman" w:eastAsia="宋体"/>
                <w:szCs w:val="21"/>
                <w:lang w:val="en-US" w:eastAsia="zh-CN"/>
              </w:rPr>
            </w:pPr>
            <w:r>
              <w:rPr>
                <w:rFonts w:hint="eastAsia" w:ascii="Times New Roman" w:hAnsi="Times New Roman"/>
                <w:szCs w:val="21"/>
                <w:lang w:val="en-US" w:eastAsia="zh-CN"/>
              </w:rPr>
              <w:t>拟任项目负责人业绩</w:t>
            </w:r>
          </w:p>
        </w:tc>
        <w:tc>
          <w:tcPr>
            <w:tcW w:w="1005" w:type="dxa"/>
            <w:noWrap/>
            <w:vAlign w:val="center"/>
          </w:tcPr>
          <w:p>
            <w:pPr>
              <w:spacing w:line="380" w:lineRule="atLeast"/>
              <w:jc w:val="right"/>
              <w:rPr>
                <w:rFonts w:ascii="Times New Roman" w:hAnsi="Times New Roman"/>
                <w:szCs w:val="21"/>
                <w:u w:val="single"/>
              </w:rPr>
            </w:pPr>
            <w:r>
              <w:rPr>
                <w:rFonts w:hint="eastAsia" w:ascii="Times New Roman" w:hAnsi="Times New Roman"/>
                <w:szCs w:val="21"/>
                <w:u w:val="single"/>
              </w:rPr>
              <w:t>20</w:t>
            </w:r>
            <w:r>
              <w:rPr>
                <w:rFonts w:ascii="Times New Roman" w:hAnsi="Times New Roman"/>
                <w:szCs w:val="21"/>
              </w:rPr>
              <w:t>分</w:t>
            </w:r>
          </w:p>
        </w:tc>
        <w:tc>
          <w:tcPr>
            <w:tcW w:w="5404" w:type="dxa"/>
            <w:gridSpan w:val="3"/>
            <w:noWrap/>
          </w:tcPr>
          <w:p>
            <w:pPr>
              <w:spacing w:line="380" w:lineRule="atLeast"/>
              <w:rPr>
                <w:rFonts w:ascii="Times New Roman" w:hAnsi="Times New Roman"/>
                <w:szCs w:val="21"/>
              </w:rPr>
            </w:pPr>
            <w:r>
              <w:rPr>
                <w:rFonts w:hint="eastAsia" w:ascii="Times New Roman" w:hAnsi="Times New Roman"/>
                <w:szCs w:val="21"/>
              </w:rPr>
              <w:t>项目负责人满足资格要求，得基本分12分。项目负责人近五年（2018 年1月1日至响应文件递交截止日期）每增加</w:t>
            </w:r>
            <w:r>
              <w:rPr>
                <w:rFonts w:ascii="Times New Roman" w:hAnsi="Times New Roman"/>
                <w:szCs w:val="21"/>
              </w:rPr>
              <w:t>1个</w:t>
            </w:r>
            <w:r>
              <w:rPr>
                <w:rFonts w:hint="eastAsia" w:ascii="Times New Roman" w:hAnsi="Times New Roman"/>
                <w:szCs w:val="21"/>
              </w:rPr>
              <w:t>高速公路收费站开通运营项目社会稳定风险评估报告的业绩加4分，加满8分为止。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noWrap/>
            <w:vAlign w:val="center"/>
          </w:tcPr>
          <w:p>
            <w:pPr>
              <w:spacing w:line="380" w:lineRule="atLeast"/>
              <w:jc w:val="center"/>
              <w:rPr>
                <w:rFonts w:ascii="Times New Roman" w:hAnsi="Times New Roman"/>
                <w:szCs w:val="21"/>
              </w:rPr>
            </w:pPr>
            <w:r>
              <w:rPr>
                <w:rFonts w:ascii="Times New Roman" w:hAnsi="Times New Roman"/>
                <w:szCs w:val="21"/>
              </w:rPr>
              <w:t>2.2.4</w:t>
            </w:r>
            <w:r>
              <w:rPr>
                <w:rFonts w:hint="eastAsia" w:ascii="Times New Roman" w:hAnsi="Times New Roman"/>
                <w:szCs w:val="21"/>
              </w:rPr>
              <w:t>（3）</w:t>
            </w:r>
          </w:p>
        </w:tc>
        <w:tc>
          <w:tcPr>
            <w:tcW w:w="1635" w:type="dxa"/>
            <w:noWrap/>
            <w:vAlign w:val="center"/>
          </w:tcPr>
          <w:p>
            <w:pPr>
              <w:spacing w:line="380" w:lineRule="atLeast"/>
              <w:jc w:val="center"/>
              <w:rPr>
                <w:rFonts w:ascii="Times New Roman" w:hAnsi="Times New Roman"/>
                <w:szCs w:val="21"/>
              </w:rPr>
            </w:pPr>
            <w:r>
              <w:rPr>
                <w:rFonts w:hint="eastAsia" w:ascii="Times New Roman" w:hAnsi="Times New Roman"/>
                <w:szCs w:val="21"/>
              </w:rPr>
              <w:t>技术方案</w:t>
            </w:r>
          </w:p>
        </w:tc>
        <w:tc>
          <w:tcPr>
            <w:tcW w:w="1005" w:type="dxa"/>
            <w:noWrap/>
            <w:vAlign w:val="center"/>
          </w:tcPr>
          <w:p>
            <w:pPr>
              <w:spacing w:line="380" w:lineRule="atLeast"/>
              <w:jc w:val="right"/>
              <w:rPr>
                <w:rFonts w:ascii="Times New Roman" w:hAnsi="Times New Roman"/>
                <w:szCs w:val="21"/>
                <w:u w:val="single"/>
              </w:rPr>
            </w:pPr>
            <w:r>
              <w:rPr>
                <w:rFonts w:hint="eastAsia" w:ascii="Times New Roman" w:hAnsi="Times New Roman"/>
                <w:szCs w:val="21"/>
                <w:u w:val="single"/>
                <w:lang w:val="en-US" w:eastAsia="zh-CN"/>
              </w:rPr>
              <w:t>2</w:t>
            </w:r>
            <w:r>
              <w:rPr>
                <w:rFonts w:ascii="Times New Roman" w:hAnsi="Times New Roman"/>
                <w:szCs w:val="21"/>
                <w:u w:val="single"/>
              </w:rPr>
              <w:t xml:space="preserve">0 </w:t>
            </w:r>
            <w:r>
              <w:rPr>
                <w:rFonts w:ascii="Times New Roman" w:hAnsi="Times New Roman"/>
                <w:szCs w:val="21"/>
              </w:rPr>
              <w:t>分</w:t>
            </w:r>
          </w:p>
        </w:tc>
        <w:tc>
          <w:tcPr>
            <w:tcW w:w="5404" w:type="dxa"/>
            <w:gridSpan w:val="3"/>
            <w:noWrap/>
          </w:tcPr>
          <w:p>
            <w:pPr>
              <w:spacing w:line="380" w:lineRule="atLeast"/>
              <w:rPr>
                <w:rFonts w:ascii="Times New Roman" w:hAnsi="Times New Roman"/>
                <w:szCs w:val="21"/>
              </w:rPr>
            </w:pPr>
            <w:r>
              <w:rPr>
                <w:rFonts w:hint="eastAsia" w:ascii="Times New Roman" w:hAnsi="Times New Roman"/>
                <w:szCs w:val="21"/>
              </w:rPr>
              <w:t>编制方案提纲</w:t>
            </w:r>
            <w:r>
              <w:rPr>
                <w:rFonts w:ascii="Times New Roman" w:hAnsi="Times New Roman"/>
                <w:szCs w:val="21"/>
              </w:rPr>
              <w:t>满足基本要求，得基本分</w:t>
            </w:r>
            <w:r>
              <w:rPr>
                <w:rFonts w:hint="eastAsia" w:ascii="Times New Roman" w:hAnsi="Times New Roman"/>
                <w:szCs w:val="21"/>
              </w:rPr>
              <w:t>1</w:t>
            </w:r>
            <w:r>
              <w:rPr>
                <w:rFonts w:hint="eastAsia" w:ascii="Times New Roman" w:hAnsi="Times New Roman"/>
                <w:szCs w:val="21"/>
                <w:lang w:val="en-US" w:eastAsia="zh-CN"/>
              </w:rPr>
              <w:t>2</w:t>
            </w:r>
            <w:r>
              <w:rPr>
                <w:rFonts w:ascii="Times New Roman" w:hAnsi="Times New Roman"/>
                <w:szCs w:val="21"/>
              </w:rPr>
              <w:t>分</w:t>
            </w:r>
            <w:r>
              <w:rPr>
                <w:rFonts w:hint="eastAsia" w:ascii="Times New Roman" w:hAnsi="Times New Roman"/>
                <w:szCs w:val="21"/>
              </w:rPr>
              <w:t>；</w:t>
            </w:r>
          </w:p>
          <w:p>
            <w:pPr>
              <w:spacing w:line="380" w:lineRule="atLeast"/>
              <w:rPr>
                <w:rFonts w:ascii="Times New Roman" w:hAnsi="Times New Roman"/>
                <w:szCs w:val="21"/>
              </w:rPr>
            </w:pPr>
            <w:r>
              <w:rPr>
                <w:rFonts w:hint="eastAsia" w:ascii="Times New Roman" w:hAnsi="Times New Roman"/>
                <w:szCs w:val="21"/>
              </w:rPr>
              <w:t>编制方案提纲详细</w:t>
            </w:r>
            <w:r>
              <w:rPr>
                <w:rFonts w:ascii="Times New Roman" w:hAnsi="Times New Roman"/>
                <w:szCs w:val="21"/>
              </w:rPr>
              <w:t>、科学合理的，对本项目需求理解好，加</w:t>
            </w:r>
            <w:r>
              <w:rPr>
                <w:rFonts w:hint="eastAsia" w:ascii="Times New Roman" w:hAnsi="Times New Roman"/>
                <w:szCs w:val="21"/>
                <w:lang w:val="en-US" w:eastAsia="zh-CN"/>
              </w:rPr>
              <w:t>5~8</w:t>
            </w:r>
            <w:r>
              <w:rPr>
                <w:rFonts w:ascii="Times New Roman" w:hAnsi="Times New Roman"/>
                <w:szCs w:val="21"/>
              </w:rPr>
              <w:t>分</w:t>
            </w:r>
            <w:r>
              <w:rPr>
                <w:rFonts w:hint="eastAsia" w:ascii="Times New Roman" w:hAnsi="Times New Roman"/>
                <w:szCs w:val="21"/>
              </w:rPr>
              <w:t>；</w:t>
            </w:r>
          </w:p>
          <w:p>
            <w:pPr>
              <w:spacing w:line="380" w:lineRule="atLeast"/>
              <w:rPr>
                <w:rFonts w:ascii="Times New Roman" w:hAnsi="Times New Roman"/>
                <w:szCs w:val="21"/>
              </w:rPr>
            </w:pPr>
            <w:r>
              <w:rPr>
                <w:rFonts w:hint="eastAsia" w:ascii="Times New Roman" w:hAnsi="Times New Roman"/>
                <w:szCs w:val="21"/>
              </w:rPr>
              <w:t>编制方案提纲</w:t>
            </w:r>
            <w:r>
              <w:rPr>
                <w:rFonts w:hint="eastAsia" w:ascii="Times New Roman" w:hAnsi="Times New Roman"/>
                <w:szCs w:val="21"/>
                <w:lang w:val="en-US" w:eastAsia="zh-CN"/>
              </w:rPr>
              <w:t>较为</w:t>
            </w:r>
            <w:r>
              <w:rPr>
                <w:rFonts w:ascii="Times New Roman" w:hAnsi="Times New Roman"/>
                <w:szCs w:val="21"/>
              </w:rPr>
              <w:t>合理，对本项目需求理解一般，加</w:t>
            </w:r>
            <w:r>
              <w:rPr>
                <w:rFonts w:hint="eastAsia" w:ascii="Times New Roman" w:hAnsi="Times New Roman"/>
                <w:szCs w:val="21"/>
                <w:lang w:val="en-US" w:eastAsia="zh-CN"/>
              </w:rPr>
              <w:t>1</w:t>
            </w:r>
            <w:r>
              <w:rPr>
                <w:rFonts w:ascii="Times New Roman" w:hAnsi="Times New Roman"/>
                <w:szCs w:val="21"/>
              </w:rPr>
              <w:t>~</w:t>
            </w:r>
            <w:r>
              <w:rPr>
                <w:rFonts w:hint="eastAsia" w:ascii="Times New Roman" w:hAnsi="Times New Roman"/>
                <w:szCs w:val="21"/>
                <w:lang w:val="en-US" w:eastAsia="zh-CN"/>
              </w:rPr>
              <w:t>4</w:t>
            </w:r>
            <w:r>
              <w:rPr>
                <w:rFonts w:ascii="Times New Roman" w:hAnsi="Times New Roman"/>
                <w:szCs w:val="21"/>
              </w:rPr>
              <w:t>分</w:t>
            </w:r>
            <w:r>
              <w:rPr>
                <w:rFonts w:hint="eastAsia"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noWrap/>
            <w:vAlign w:val="center"/>
          </w:tcPr>
          <w:p>
            <w:pPr>
              <w:spacing w:line="380" w:lineRule="atLeast"/>
              <w:jc w:val="center"/>
              <w:rPr>
                <w:rFonts w:ascii="Times New Roman" w:hAnsi="Times New Roman"/>
                <w:szCs w:val="21"/>
              </w:rPr>
            </w:pPr>
            <w:r>
              <w:rPr>
                <w:rFonts w:ascii="Times New Roman" w:hAnsi="Times New Roman"/>
                <w:szCs w:val="21"/>
              </w:rPr>
              <w:t>2.2.4</w:t>
            </w:r>
            <w:r>
              <w:rPr>
                <w:rFonts w:hint="eastAsia" w:ascii="Times New Roman" w:hAnsi="Times New Roman"/>
                <w:szCs w:val="21"/>
              </w:rPr>
              <w:t>（4）</w:t>
            </w:r>
          </w:p>
        </w:tc>
        <w:tc>
          <w:tcPr>
            <w:tcW w:w="1635" w:type="dxa"/>
            <w:noWrap/>
            <w:vAlign w:val="center"/>
          </w:tcPr>
          <w:p>
            <w:pPr>
              <w:spacing w:line="380" w:lineRule="atLeast"/>
              <w:jc w:val="center"/>
              <w:rPr>
                <w:rFonts w:ascii="Times New Roman" w:hAnsi="Times New Roman"/>
                <w:szCs w:val="21"/>
              </w:rPr>
            </w:pPr>
            <w:r>
              <w:rPr>
                <w:rFonts w:ascii="Times New Roman" w:hAnsi="Times New Roman"/>
                <w:szCs w:val="21"/>
              </w:rPr>
              <w:t>评审价</w:t>
            </w:r>
          </w:p>
        </w:tc>
        <w:tc>
          <w:tcPr>
            <w:tcW w:w="1005" w:type="dxa"/>
            <w:noWrap/>
            <w:vAlign w:val="center"/>
          </w:tcPr>
          <w:p>
            <w:pPr>
              <w:spacing w:line="380" w:lineRule="atLeast"/>
              <w:jc w:val="right"/>
              <w:rPr>
                <w:rFonts w:ascii="Times New Roman" w:hAnsi="Times New Roman"/>
                <w:szCs w:val="21"/>
              </w:rPr>
            </w:pPr>
            <w:r>
              <w:rPr>
                <w:rFonts w:hint="eastAsia" w:ascii="Times New Roman" w:hAnsi="Times New Roman"/>
                <w:szCs w:val="21"/>
                <w:u w:val="single"/>
                <w:lang w:val="en-US" w:eastAsia="zh-CN"/>
              </w:rPr>
              <w:t>2</w:t>
            </w:r>
            <w:r>
              <w:rPr>
                <w:rFonts w:ascii="Times New Roman" w:hAnsi="Times New Roman"/>
                <w:szCs w:val="21"/>
                <w:u w:val="single"/>
              </w:rPr>
              <w:t xml:space="preserve">0 </w:t>
            </w:r>
            <w:r>
              <w:rPr>
                <w:rFonts w:ascii="Times New Roman" w:hAnsi="Times New Roman"/>
                <w:szCs w:val="21"/>
              </w:rPr>
              <w:t>分</w:t>
            </w:r>
          </w:p>
        </w:tc>
        <w:tc>
          <w:tcPr>
            <w:tcW w:w="5404" w:type="dxa"/>
            <w:gridSpan w:val="3"/>
            <w:noWrap/>
          </w:tcPr>
          <w:p>
            <w:pPr>
              <w:spacing w:line="380" w:lineRule="atLeast"/>
              <w:rPr>
                <w:rFonts w:ascii="Times New Roman" w:hAnsi="Times New Roman"/>
                <w:szCs w:val="21"/>
              </w:rPr>
            </w:pPr>
            <w:r>
              <w:rPr>
                <w:rFonts w:hint="eastAsia" w:ascii="Times New Roman" w:hAnsi="Times New Roman"/>
                <w:szCs w:val="21"/>
              </w:rPr>
              <w:t>评审价得分计算公式示例：</w:t>
            </w:r>
          </w:p>
          <w:p>
            <w:pPr>
              <w:spacing w:line="380" w:lineRule="atLeast"/>
              <w:rPr>
                <w:rFonts w:ascii="Times New Roman" w:hAnsi="Times New Roman"/>
                <w:szCs w:val="21"/>
              </w:rPr>
            </w:pPr>
            <w:r>
              <w:rPr>
                <w:rFonts w:hint="eastAsia" w:ascii="Times New Roman" w:hAnsi="Times New Roman"/>
                <w:szCs w:val="21"/>
              </w:rPr>
              <w:t>（1）如果供应商的评审价&gt;评审基准价，则评审价得分＝F－|偏差率|×100× E1；</w:t>
            </w:r>
          </w:p>
          <w:p>
            <w:pPr>
              <w:spacing w:line="380" w:lineRule="atLeast"/>
              <w:rPr>
                <w:rFonts w:ascii="Times New Roman" w:hAnsi="Times New Roman"/>
                <w:szCs w:val="21"/>
              </w:rPr>
            </w:pPr>
            <w:r>
              <w:rPr>
                <w:rFonts w:hint="eastAsia" w:ascii="Times New Roman" w:hAnsi="Times New Roman"/>
                <w:szCs w:val="21"/>
              </w:rPr>
              <w:t>（2）如果供应商的评审价≤评审基准价，则评审价得分＝F－|偏差率|× 100× E2。</w:t>
            </w:r>
          </w:p>
          <w:p>
            <w:pPr>
              <w:spacing w:line="380" w:lineRule="atLeast"/>
              <w:rPr>
                <w:rFonts w:ascii="Times New Roman" w:hAnsi="Times New Roman"/>
                <w:szCs w:val="21"/>
              </w:rPr>
            </w:pPr>
            <w:r>
              <w:rPr>
                <w:rFonts w:hint="eastAsia" w:ascii="Times New Roman" w:hAnsi="Times New Roman"/>
                <w:szCs w:val="21"/>
              </w:rPr>
              <w:t>其中：F是评审价所占的权重分值，为1</w:t>
            </w:r>
            <w:r>
              <w:rPr>
                <w:rFonts w:ascii="Times New Roman" w:hAnsi="Times New Roman"/>
                <w:szCs w:val="21"/>
              </w:rPr>
              <w:t>0</w:t>
            </w:r>
            <w:r>
              <w:rPr>
                <w:rFonts w:hint="eastAsia" w:ascii="Times New Roman" w:hAnsi="Times New Roman"/>
                <w:szCs w:val="21"/>
              </w:rPr>
              <w:t>分，E1是评审价每高于评审基准价一个百分点的扣分值，为</w:t>
            </w:r>
            <w:r>
              <w:rPr>
                <w:rFonts w:ascii="Times New Roman" w:hAnsi="Times New Roman"/>
                <w:szCs w:val="21"/>
              </w:rPr>
              <w:t>1</w:t>
            </w:r>
            <w:r>
              <w:rPr>
                <w:rFonts w:hint="eastAsia" w:ascii="Times New Roman" w:hAnsi="Times New Roman"/>
                <w:szCs w:val="21"/>
              </w:rPr>
              <w:t>，E2是评审价每低于评审基准价一个百分点的扣分值，为</w:t>
            </w:r>
            <w:r>
              <w:rPr>
                <w:rFonts w:ascii="Times New Roman" w:hAnsi="Times New Roman"/>
                <w:szCs w:val="21"/>
              </w:rPr>
              <w:t>0.5</w:t>
            </w:r>
            <w:r>
              <w:rPr>
                <w:rFonts w:hint="eastAsia" w:ascii="Times New Roman" w:hAnsi="Times New Roman"/>
                <w:szCs w:val="21"/>
              </w:rPr>
              <w:t>。评审价得分最低为0分。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4" w:type="dxa"/>
            <w:gridSpan w:val="6"/>
            <w:noWrap/>
            <w:vAlign w:val="center"/>
          </w:tcPr>
          <w:p>
            <w:pPr>
              <w:spacing w:line="360" w:lineRule="atLeast"/>
              <w:rPr>
                <w:rFonts w:ascii="Times New Roman" w:hAnsi="Times New Roman"/>
                <w:szCs w:val="21"/>
              </w:rPr>
            </w:pPr>
            <w:r>
              <w:rPr>
                <w:rFonts w:ascii="Times New Roman" w:hAnsi="Times New Roman"/>
                <w:szCs w:val="21"/>
              </w:rPr>
              <w:t>需要补充的其他内容：</w:t>
            </w:r>
          </w:p>
          <w:p>
            <w:pPr>
              <w:pStyle w:val="9"/>
              <w:ind w:firstLine="420" w:firstLineChars="200"/>
            </w:pPr>
            <w:r>
              <w:rPr>
                <w:rFonts w:hint="eastAsia"/>
              </w:rPr>
              <w:t>评审小组对响应文件进行评审后，因有效响应不足3个使得</w:t>
            </w:r>
            <w:r>
              <w:rPr>
                <w:rFonts w:hint="eastAsia"/>
                <w:lang w:eastAsia="zh-CN"/>
              </w:rPr>
              <w:t>招标</w:t>
            </w:r>
            <w:r>
              <w:rPr>
                <w:rFonts w:hint="eastAsia"/>
              </w:rPr>
              <w:t>明显缺乏竞争的，可以否决全部响应文件。未否决全部响应文件的，评审小组应当应当参照《公路工程建设项目招标投标管理办法》（交通运输部令2015年第24号）第五十一条的规定在评审报告中阐明理由并推荐成交候选人</w:t>
            </w:r>
          </w:p>
        </w:tc>
      </w:tr>
    </w:tbl>
    <w:p>
      <w:pPr>
        <w:widowControl/>
        <w:jc w:val="left"/>
        <w:rPr>
          <w:rFonts w:ascii="Times New Roman" w:hAnsi="Times New Roman"/>
          <w:szCs w:val="21"/>
        </w:rPr>
      </w:pPr>
    </w:p>
    <w:p>
      <w:pPr>
        <w:keepNext/>
        <w:keepLines/>
        <w:spacing w:beforeLines="50" w:afterLines="50"/>
        <w:outlineLvl w:val="1"/>
        <w:rPr>
          <w:rFonts w:ascii="Times New Roman" w:hAnsi="Times New Roman" w:eastAsia="黑体"/>
          <w:bCs/>
          <w:sz w:val="24"/>
          <w:szCs w:val="32"/>
        </w:rPr>
      </w:pPr>
      <w:r>
        <w:rPr>
          <w:rFonts w:ascii="Times New Roman" w:hAnsi="Times New Roman" w:eastAsia="黑体"/>
          <w:sz w:val="29"/>
          <w:szCs w:val="29"/>
        </w:rPr>
        <w:br w:type="page"/>
      </w:r>
      <w:r>
        <w:rPr>
          <w:rFonts w:ascii="Times New Roman" w:hAnsi="Times New Roman" w:eastAsia="黑体"/>
          <w:bCs/>
          <w:sz w:val="24"/>
          <w:szCs w:val="32"/>
        </w:rPr>
        <w:t>1. 评审方法</w:t>
      </w:r>
    </w:p>
    <w:p>
      <w:pPr>
        <w:spacing w:line="440" w:lineRule="exact"/>
        <w:ind w:firstLine="420"/>
        <w:rPr>
          <w:rFonts w:ascii="Times New Roman" w:hAnsi="Times New Roman"/>
        </w:rPr>
      </w:pPr>
      <w:r>
        <w:rPr>
          <w:rFonts w:ascii="Times New Roman" w:hAnsi="Times New Roman"/>
        </w:rPr>
        <w:t>本次评审采用综合评分法。</w:t>
      </w:r>
      <w:r>
        <w:rPr>
          <w:rFonts w:hint="eastAsia" w:ascii="Times New Roman" w:hAnsi="Times New Roman"/>
        </w:rPr>
        <w:t>评审小组</w:t>
      </w:r>
      <w:r>
        <w:rPr>
          <w:rFonts w:ascii="Times New Roman" w:hAnsi="Times New Roman"/>
        </w:rPr>
        <w:t>对满足</w:t>
      </w:r>
      <w:r>
        <w:rPr>
          <w:rFonts w:hint="eastAsia" w:ascii="Times New Roman" w:hAnsi="Times New Roman"/>
          <w:lang w:eastAsia="zh-CN"/>
        </w:rPr>
        <w:t>招标文件</w:t>
      </w:r>
      <w:r>
        <w:rPr>
          <w:rFonts w:ascii="Times New Roman" w:hAnsi="Times New Roman"/>
        </w:rPr>
        <w:t>实质性要求的响应文件按照本章第2.2款的规定的评分标准进行打分，按照得分由高到低依次推荐成交候选人。如得分相同的，按照评审办法前附表中的规定确定成交候选人顺序。</w:t>
      </w:r>
    </w:p>
    <w:p>
      <w:pPr>
        <w:keepNext/>
        <w:keepLines/>
        <w:spacing w:beforeLines="50" w:afterLines="50"/>
        <w:outlineLvl w:val="1"/>
        <w:rPr>
          <w:rFonts w:ascii="Times New Roman" w:hAnsi="Times New Roman" w:eastAsia="黑体"/>
          <w:bCs/>
          <w:sz w:val="24"/>
          <w:szCs w:val="32"/>
        </w:rPr>
      </w:pPr>
      <w:r>
        <w:rPr>
          <w:rFonts w:ascii="Times New Roman" w:hAnsi="Times New Roman" w:eastAsia="黑体"/>
          <w:bCs/>
          <w:sz w:val="24"/>
          <w:szCs w:val="32"/>
        </w:rPr>
        <w:t>2. 评审标准</w:t>
      </w:r>
    </w:p>
    <w:p>
      <w:pPr>
        <w:keepNext/>
        <w:keepLines/>
        <w:spacing w:before="120" w:after="120"/>
        <w:outlineLvl w:val="2"/>
        <w:rPr>
          <w:rFonts w:ascii="Times New Roman" w:hAnsi="Times New Roman" w:eastAsia="黑体"/>
          <w:bCs/>
          <w:sz w:val="24"/>
          <w:szCs w:val="32"/>
        </w:rPr>
      </w:pPr>
      <w:r>
        <w:rPr>
          <w:rFonts w:ascii="Times New Roman" w:hAnsi="Times New Roman" w:eastAsia="黑体"/>
          <w:bCs/>
          <w:sz w:val="24"/>
          <w:szCs w:val="32"/>
        </w:rPr>
        <w:t>2.1 初步评审标准</w:t>
      </w:r>
    </w:p>
    <w:p>
      <w:pPr>
        <w:spacing w:line="440" w:lineRule="exact"/>
        <w:ind w:firstLine="420"/>
        <w:rPr>
          <w:rFonts w:ascii="Times New Roman" w:hAnsi="Times New Roman"/>
        </w:rPr>
      </w:pPr>
      <w:r>
        <w:rPr>
          <w:rFonts w:ascii="Times New Roman" w:hAnsi="Times New Roman"/>
        </w:rPr>
        <w:t>2.1.1 形式评审标准：见评审办法前附表。</w:t>
      </w:r>
    </w:p>
    <w:p>
      <w:pPr>
        <w:spacing w:line="440" w:lineRule="exact"/>
        <w:ind w:firstLine="420"/>
        <w:rPr>
          <w:rFonts w:ascii="Times New Roman" w:hAnsi="Times New Roman"/>
        </w:rPr>
      </w:pPr>
      <w:r>
        <w:rPr>
          <w:rFonts w:ascii="Times New Roman" w:hAnsi="Times New Roman"/>
        </w:rPr>
        <w:t>2.1.2 资格评审标准：见评审办法前附表。</w:t>
      </w:r>
    </w:p>
    <w:p>
      <w:pPr>
        <w:spacing w:line="440" w:lineRule="exact"/>
        <w:ind w:firstLine="420"/>
        <w:rPr>
          <w:rFonts w:ascii="Times New Roman" w:hAnsi="Times New Roman"/>
        </w:rPr>
      </w:pPr>
      <w:r>
        <w:rPr>
          <w:rFonts w:ascii="Times New Roman" w:hAnsi="Times New Roman"/>
        </w:rPr>
        <w:t>2.1.3 响应性评审标准：见评审办法前附表。</w:t>
      </w:r>
    </w:p>
    <w:p>
      <w:pPr>
        <w:keepNext/>
        <w:keepLines/>
        <w:spacing w:before="120" w:after="120"/>
        <w:outlineLvl w:val="2"/>
        <w:rPr>
          <w:rFonts w:ascii="Times New Roman" w:hAnsi="Times New Roman" w:eastAsia="黑体"/>
          <w:bCs/>
          <w:sz w:val="24"/>
          <w:szCs w:val="32"/>
        </w:rPr>
      </w:pPr>
      <w:r>
        <w:rPr>
          <w:rFonts w:ascii="Times New Roman" w:hAnsi="Times New Roman" w:eastAsia="黑体"/>
          <w:bCs/>
          <w:sz w:val="24"/>
          <w:szCs w:val="32"/>
        </w:rPr>
        <w:t>2.2 分值构成与评审标准</w:t>
      </w:r>
    </w:p>
    <w:p>
      <w:pPr>
        <w:spacing w:line="440" w:lineRule="exact"/>
        <w:ind w:firstLine="420"/>
        <w:rPr>
          <w:rFonts w:ascii="Times New Roman" w:hAnsi="Times New Roman"/>
        </w:rPr>
      </w:pPr>
      <w:r>
        <w:rPr>
          <w:rFonts w:ascii="Times New Roman" w:hAnsi="Times New Roman"/>
        </w:rPr>
        <w:t>2.2.1分值构成：</w:t>
      </w:r>
    </w:p>
    <w:p>
      <w:pPr>
        <w:spacing w:line="440" w:lineRule="exact"/>
        <w:ind w:firstLine="420"/>
        <w:rPr>
          <w:rFonts w:ascii="Times New Roman" w:hAnsi="Times New Roman"/>
        </w:rPr>
      </w:pPr>
      <w:r>
        <w:rPr>
          <w:rFonts w:ascii="Times New Roman" w:hAnsi="Times New Roman"/>
        </w:rPr>
        <w:t>（1）</w:t>
      </w:r>
      <w:r>
        <w:rPr>
          <w:rFonts w:hint="eastAsia" w:ascii="Times New Roman" w:hAnsi="Times New Roman"/>
        </w:rPr>
        <w:t>业绩</w:t>
      </w:r>
      <w:r>
        <w:rPr>
          <w:rFonts w:ascii="Times New Roman" w:hAnsi="Times New Roman"/>
        </w:rPr>
        <w:t>：见评审办法前附表；</w:t>
      </w:r>
    </w:p>
    <w:p>
      <w:pPr>
        <w:spacing w:line="440" w:lineRule="exact"/>
        <w:ind w:firstLine="420"/>
        <w:rPr>
          <w:rFonts w:ascii="Times New Roman" w:hAnsi="Times New Roman"/>
        </w:rPr>
      </w:pPr>
      <w:r>
        <w:rPr>
          <w:rFonts w:ascii="Times New Roman" w:hAnsi="Times New Roman"/>
        </w:rPr>
        <w:t>（2）项目管理机构：见评审办法前附表；</w:t>
      </w:r>
    </w:p>
    <w:p>
      <w:pPr>
        <w:spacing w:line="440" w:lineRule="exact"/>
        <w:ind w:firstLine="420"/>
        <w:rPr>
          <w:rFonts w:ascii="Times New Roman" w:hAnsi="Times New Roman"/>
        </w:rPr>
      </w:pPr>
      <w:r>
        <w:rPr>
          <w:rFonts w:ascii="Times New Roman" w:hAnsi="Times New Roman"/>
        </w:rPr>
        <w:t>（3）</w:t>
      </w:r>
      <w:r>
        <w:rPr>
          <w:rFonts w:hint="eastAsia" w:ascii="Times New Roman" w:hAnsi="Times New Roman"/>
        </w:rPr>
        <w:t>技术方案</w:t>
      </w:r>
      <w:r>
        <w:rPr>
          <w:rFonts w:ascii="Times New Roman" w:hAnsi="Times New Roman"/>
        </w:rPr>
        <w:t>：见评审办法前附表；</w:t>
      </w:r>
    </w:p>
    <w:p>
      <w:pPr>
        <w:spacing w:line="440" w:lineRule="exact"/>
        <w:ind w:firstLine="420"/>
        <w:rPr>
          <w:rFonts w:ascii="Times New Roman" w:hAnsi="Times New Roman"/>
        </w:rPr>
      </w:pPr>
      <w:r>
        <w:rPr>
          <w:rFonts w:ascii="Times New Roman" w:hAnsi="Times New Roman"/>
        </w:rPr>
        <w:t>（4）</w:t>
      </w:r>
      <w:r>
        <w:rPr>
          <w:rFonts w:hint="eastAsia" w:ascii="Times New Roman" w:hAnsi="Times New Roman"/>
        </w:rPr>
        <w:t>评审价</w:t>
      </w:r>
      <w:r>
        <w:rPr>
          <w:rFonts w:ascii="Times New Roman" w:hAnsi="Times New Roman"/>
        </w:rPr>
        <w:t>：见评审办法前附表。</w:t>
      </w:r>
    </w:p>
    <w:p>
      <w:pPr>
        <w:spacing w:line="440" w:lineRule="exact"/>
        <w:ind w:firstLine="420"/>
        <w:rPr>
          <w:rFonts w:ascii="Times New Roman" w:hAnsi="Times New Roman"/>
        </w:rPr>
      </w:pPr>
      <w:r>
        <w:rPr>
          <w:rFonts w:ascii="Times New Roman" w:hAnsi="Times New Roman"/>
        </w:rPr>
        <w:t>2.2.2 评审基准价计算</w:t>
      </w:r>
    </w:p>
    <w:p>
      <w:pPr>
        <w:spacing w:line="440" w:lineRule="exact"/>
        <w:ind w:firstLine="420"/>
        <w:rPr>
          <w:rFonts w:ascii="Times New Roman" w:hAnsi="Times New Roman"/>
        </w:rPr>
      </w:pPr>
      <w:r>
        <w:rPr>
          <w:rFonts w:ascii="Times New Roman" w:hAnsi="Times New Roman"/>
        </w:rPr>
        <w:t>评审基准价计算方法：见评审办法前附表。</w:t>
      </w:r>
    </w:p>
    <w:p>
      <w:pPr>
        <w:spacing w:line="440" w:lineRule="exact"/>
        <w:ind w:firstLine="420"/>
        <w:rPr>
          <w:rFonts w:ascii="Times New Roman" w:hAnsi="Times New Roman"/>
        </w:rPr>
      </w:pPr>
      <w:r>
        <w:rPr>
          <w:rFonts w:ascii="Times New Roman" w:hAnsi="Times New Roman"/>
        </w:rPr>
        <w:t>2.2.3 评审价的偏差率计算</w:t>
      </w:r>
    </w:p>
    <w:p>
      <w:pPr>
        <w:spacing w:line="440" w:lineRule="exact"/>
        <w:ind w:firstLine="420"/>
        <w:rPr>
          <w:rFonts w:ascii="Times New Roman" w:hAnsi="Times New Roman"/>
        </w:rPr>
      </w:pPr>
      <w:r>
        <w:rPr>
          <w:rFonts w:ascii="Times New Roman" w:hAnsi="Times New Roman"/>
        </w:rPr>
        <w:t>评审价的偏差率计算公式：见评审办法前附表。</w:t>
      </w:r>
    </w:p>
    <w:p>
      <w:pPr>
        <w:spacing w:line="440" w:lineRule="exact"/>
        <w:ind w:firstLine="420"/>
        <w:rPr>
          <w:rFonts w:ascii="Times New Roman" w:hAnsi="Times New Roman"/>
        </w:rPr>
      </w:pPr>
      <w:r>
        <w:rPr>
          <w:rFonts w:ascii="Times New Roman" w:hAnsi="Times New Roman"/>
        </w:rPr>
        <w:t>2.2.4评分标准：</w:t>
      </w:r>
    </w:p>
    <w:p>
      <w:pPr>
        <w:spacing w:line="440" w:lineRule="exact"/>
        <w:ind w:firstLine="420"/>
        <w:rPr>
          <w:rFonts w:ascii="Times New Roman" w:hAnsi="Times New Roman"/>
        </w:rPr>
      </w:pPr>
      <w:r>
        <w:rPr>
          <w:rFonts w:ascii="Times New Roman" w:hAnsi="Times New Roman"/>
        </w:rPr>
        <w:t>（1）</w:t>
      </w:r>
      <w:r>
        <w:rPr>
          <w:rFonts w:hint="eastAsia" w:ascii="Times New Roman" w:hAnsi="Times New Roman"/>
        </w:rPr>
        <w:t>业绩</w:t>
      </w:r>
      <w:r>
        <w:rPr>
          <w:rFonts w:ascii="Times New Roman" w:hAnsi="Times New Roman"/>
        </w:rPr>
        <w:t>评分标准：见评审办法前附表；</w:t>
      </w:r>
    </w:p>
    <w:p>
      <w:pPr>
        <w:spacing w:line="440" w:lineRule="exact"/>
        <w:ind w:firstLine="420"/>
        <w:rPr>
          <w:rFonts w:ascii="Times New Roman" w:hAnsi="Times New Roman"/>
        </w:rPr>
      </w:pPr>
      <w:r>
        <w:rPr>
          <w:rFonts w:ascii="Times New Roman" w:hAnsi="Times New Roman"/>
        </w:rPr>
        <w:t>（2）项目管理机构评分标准：见评审办法前附表；</w:t>
      </w:r>
    </w:p>
    <w:p>
      <w:pPr>
        <w:spacing w:line="440" w:lineRule="exact"/>
        <w:ind w:firstLine="420"/>
        <w:rPr>
          <w:rFonts w:ascii="Times New Roman" w:hAnsi="Times New Roman"/>
        </w:rPr>
      </w:pPr>
      <w:r>
        <w:rPr>
          <w:rFonts w:ascii="Times New Roman" w:hAnsi="Times New Roman"/>
        </w:rPr>
        <w:t>（3）</w:t>
      </w:r>
      <w:r>
        <w:rPr>
          <w:rFonts w:hint="eastAsia" w:ascii="Times New Roman" w:hAnsi="Times New Roman"/>
        </w:rPr>
        <w:t>技术方案</w:t>
      </w:r>
      <w:r>
        <w:rPr>
          <w:rFonts w:ascii="Times New Roman" w:hAnsi="Times New Roman"/>
        </w:rPr>
        <w:t>评分标准：见评审办法前附表；</w:t>
      </w:r>
    </w:p>
    <w:p>
      <w:pPr>
        <w:spacing w:line="440" w:lineRule="exact"/>
        <w:ind w:firstLine="420"/>
        <w:rPr>
          <w:rFonts w:ascii="Times New Roman" w:hAnsi="Times New Roman"/>
        </w:rPr>
      </w:pPr>
      <w:r>
        <w:rPr>
          <w:rFonts w:ascii="Times New Roman" w:hAnsi="Times New Roman"/>
        </w:rPr>
        <w:t>（4）</w:t>
      </w:r>
      <w:r>
        <w:rPr>
          <w:rFonts w:hint="eastAsia" w:ascii="Times New Roman" w:hAnsi="Times New Roman"/>
        </w:rPr>
        <w:t>评审价</w:t>
      </w:r>
      <w:r>
        <w:rPr>
          <w:rFonts w:ascii="Times New Roman" w:hAnsi="Times New Roman"/>
        </w:rPr>
        <w:t>评分标准：见评审办法前附表。</w:t>
      </w:r>
    </w:p>
    <w:p>
      <w:pPr>
        <w:keepNext/>
        <w:keepLines/>
        <w:spacing w:beforeLines="50" w:afterLines="50"/>
        <w:outlineLvl w:val="1"/>
        <w:rPr>
          <w:rFonts w:ascii="Times New Roman" w:hAnsi="Times New Roman" w:eastAsia="黑体"/>
          <w:bCs/>
          <w:sz w:val="24"/>
          <w:szCs w:val="32"/>
        </w:rPr>
      </w:pPr>
      <w:r>
        <w:rPr>
          <w:rFonts w:ascii="Times New Roman" w:hAnsi="Times New Roman" w:eastAsia="黑体"/>
          <w:bCs/>
          <w:sz w:val="24"/>
          <w:szCs w:val="32"/>
        </w:rPr>
        <w:t>3. 评审程序</w:t>
      </w:r>
    </w:p>
    <w:p>
      <w:pPr>
        <w:keepNext/>
        <w:keepLines/>
        <w:spacing w:before="120" w:after="120"/>
        <w:outlineLvl w:val="2"/>
        <w:rPr>
          <w:rFonts w:ascii="Times New Roman" w:hAnsi="Times New Roman" w:eastAsia="黑体"/>
          <w:bCs/>
          <w:sz w:val="24"/>
          <w:szCs w:val="32"/>
        </w:rPr>
      </w:pPr>
      <w:r>
        <w:rPr>
          <w:rFonts w:ascii="Times New Roman" w:hAnsi="Times New Roman" w:eastAsia="黑体"/>
          <w:bCs/>
          <w:sz w:val="24"/>
          <w:szCs w:val="32"/>
        </w:rPr>
        <w:t>3.1 初步评审</w:t>
      </w:r>
    </w:p>
    <w:p>
      <w:pPr>
        <w:spacing w:line="440" w:lineRule="exact"/>
        <w:ind w:firstLine="420"/>
        <w:rPr>
          <w:rFonts w:ascii="Times New Roman" w:hAnsi="Times New Roman"/>
        </w:rPr>
      </w:pPr>
      <w:r>
        <w:rPr>
          <w:rFonts w:ascii="Times New Roman" w:hAnsi="Times New Roman"/>
        </w:rPr>
        <w:t>3.1.1</w:t>
      </w:r>
      <w:r>
        <w:rPr>
          <w:rFonts w:hint="eastAsia" w:ascii="Times New Roman" w:hAnsi="Times New Roman"/>
        </w:rPr>
        <w:t>评审小组</w:t>
      </w:r>
      <w:r>
        <w:rPr>
          <w:rFonts w:ascii="Times New Roman" w:hAnsi="Times New Roman"/>
        </w:rPr>
        <w:t>依据本章第2.1.1项、第2.1.2项、第2.1.3项规定的标准对响应文件进行评审。有一项不符合评审标准的，</w:t>
      </w:r>
      <w:r>
        <w:rPr>
          <w:rFonts w:hint="eastAsia" w:ascii="Times New Roman" w:hAnsi="Times New Roman"/>
        </w:rPr>
        <w:t>评审小组</w:t>
      </w:r>
      <w:r>
        <w:rPr>
          <w:rFonts w:ascii="Times New Roman" w:hAnsi="Times New Roman"/>
        </w:rPr>
        <w:t>应否决其</w:t>
      </w:r>
      <w:r>
        <w:rPr>
          <w:rFonts w:hint="eastAsia" w:ascii="Times New Roman" w:hAnsi="Times New Roman"/>
        </w:rPr>
        <w:t>响应文件</w:t>
      </w:r>
      <w:r>
        <w:rPr>
          <w:rFonts w:ascii="Times New Roman" w:hAnsi="Times New Roman"/>
        </w:rPr>
        <w:t>。</w:t>
      </w:r>
    </w:p>
    <w:p>
      <w:pPr>
        <w:spacing w:line="440" w:lineRule="exact"/>
        <w:ind w:firstLine="420"/>
        <w:rPr>
          <w:rFonts w:ascii="Times New Roman" w:hAnsi="Times New Roman"/>
        </w:rPr>
      </w:pPr>
      <w:r>
        <w:rPr>
          <w:rFonts w:ascii="Times New Roman" w:hAnsi="Times New Roman"/>
        </w:rPr>
        <w:t>3.1.</w:t>
      </w:r>
      <w:r>
        <w:rPr>
          <w:rFonts w:hint="eastAsia" w:ascii="Times New Roman" w:hAnsi="Times New Roman"/>
        </w:rPr>
        <w:t xml:space="preserve">2 </w:t>
      </w:r>
      <w:r>
        <w:rPr>
          <w:rFonts w:ascii="Times New Roman" w:hAnsi="Times New Roman"/>
        </w:rPr>
        <w:t>响应文件中填报的报价、</w:t>
      </w:r>
      <w:r>
        <w:rPr>
          <w:rFonts w:hint="eastAsia" w:ascii="Times New Roman" w:hAnsi="Times New Roman"/>
        </w:rPr>
        <w:t>服务期</w:t>
      </w:r>
      <w:r>
        <w:rPr>
          <w:rFonts w:ascii="Times New Roman" w:hAnsi="Times New Roman"/>
        </w:rPr>
        <w:t>、质量标准、安全目标前后不一致</w:t>
      </w:r>
      <w:r>
        <w:rPr>
          <w:rFonts w:hint="eastAsia" w:ascii="Times New Roman" w:hAnsi="Times New Roman"/>
        </w:rPr>
        <w:t>，且报价函中填写的内容满足</w:t>
      </w:r>
      <w:r>
        <w:rPr>
          <w:rFonts w:hint="eastAsia" w:ascii="Times New Roman" w:hAnsi="Times New Roman"/>
          <w:lang w:eastAsia="zh-CN"/>
        </w:rPr>
        <w:t>招标文件</w:t>
      </w:r>
      <w:r>
        <w:rPr>
          <w:rFonts w:hint="eastAsia" w:ascii="Times New Roman" w:hAnsi="Times New Roman"/>
        </w:rPr>
        <w:t>要求</w:t>
      </w:r>
      <w:r>
        <w:rPr>
          <w:rFonts w:ascii="Times New Roman" w:hAnsi="Times New Roman"/>
        </w:rPr>
        <w:t>时，</w:t>
      </w:r>
      <w:r>
        <w:rPr>
          <w:rFonts w:hint="eastAsia" w:ascii="Times New Roman" w:hAnsi="Times New Roman"/>
        </w:rPr>
        <w:t>按细微偏差处理，并</w:t>
      </w:r>
      <w:r>
        <w:rPr>
          <w:rFonts w:ascii="Times New Roman" w:hAnsi="Times New Roman"/>
        </w:rPr>
        <w:t>以报价函填报的为准</w:t>
      </w:r>
      <w:r>
        <w:rPr>
          <w:rFonts w:hint="eastAsia" w:ascii="Times New Roman" w:hAnsi="Times New Roman"/>
        </w:rPr>
        <w:t>。</w:t>
      </w:r>
    </w:p>
    <w:p>
      <w:pPr>
        <w:spacing w:line="440" w:lineRule="exact"/>
        <w:ind w:firstLine="420"/>
        <w:rPr>
          <w:rFonts w:ascii="Times New Roman" w:hAnsi="Times New Roman"/>
        </w:rPr>
      </w:pPr>
      <w:r>
        <w:rPr>
          <w:rFonts w:hint="eastAsia" w:ascii="Times New Roman" w:hAnsi="Times New Roman"/>
        </w:rPr>
        <w:t xml:space="preserve">3.1.3 </w:t>
      </w:r>
      <w:r>
        <w:rPr>
          <w:rFonts w:ascii="Times New Roman" w:hAnsi="Times New Roman"/>
        </w:rPr>
        <w:t>报价存在</w:t>
      </w:r>
      <w:r>
        <w:rPr>
          <w:rFonts w:hint="eastAsia" w:ascii="Times New Roman" w:hAnsi="Times New Roman"/>
        </w:rPr>
        <w:t>以下</w:t>
      </w:r>
      <w:r>
        <w:rPr>
          <w:rFonts w:ascii="Times New Roman" w:hAnsi="Times New Roman"/>
        </w:rPr>
        <w:t>细微偏差的，</w:t>
      </w:r>
      <w:r>
        <w:rPr>
          <w:rFonts w:hint="eastAsia" w:ascii="Times New Roman" w:hAnsi="Times New Roman"/>
        </w:rPr>
        <w:t>评审小组</w:t>
      </w:r>
      <w:r>
        <w:rPr>
          <w:rFonts w:ascii="Times New Roman" w:hAnsi="Times New Roman"/>
        </w:rPr>
        <w:t>按以上原则对报价进行处理，并要求供应商书面澄清确认，供应商拒不澄清确认的，</w:t>
      </w:r>
      <w:r>
        <w:rPr>
          <w:rFonts w:hint="eastAsia" w:ascii="Times New Roman" w:hAnsi="Times New Roman"/>
        </w:rPr>
        <w:t>评审小组</w:t>
      </w:r>
      <w:r>
        <w:rPr>
          <w:rFonts w:ascii="Times New Roman" w:hAnsi="Times New Roman"/>
        </w:rPr>
        <w:t>应当否决其报价。</w:t>
      </w:r>
    </w:p>
    <w:p>
      <w:pPr>
        <w:spacing w:line="440" w:lineRule="exact"/>
        <w:ind w:firstLine="420"/>
        <w:rPr>
          <w:rFonts w:ascii="Times New Roman" w:hAnsi="Times New Roman"/>
        </w:rPr>
      </w:pPr>
      <w:r>
        <w:rPr>
          <w:rFonts w:hint="eastAsia" w:ascii="Times New Roman" w:hAnsi="Times New Roman"/>
        </w:rPr>
        <w:t>（1）</w:t>
      </w:r>
      <w:r>
        <w:rPr>
          <w:rFonts w:ascii="Times New Roman" w:hAnsi="Times New Roman"/>
        </w:rPr>
        <w:t>报价有算术错误的，评审小组按以下原则对报价进行修正，修正的价格经供应商书面确认后具有约束力。供应商不接受修正价格的，评审小组应否决其报价。</w:t>
      </w:r>
    </w:p>
    <w:p>
      <w:pPr>
        <w:spacing w:line="440" w:lineRule="exact"/>
        <w:ind w:firstLine="420"/>
        <w:rPr>
          <w:rFonts w:ascii="Times New Roman" w:hAnsi="Times New Roman"/>
        </w:rPr>
      </w:pPr>
      <w:r>
        <w:rPr>
          <w:rFonts w:ascii="Times New Roman" w:hAnsi="Times New Roman"/>
        </w:rPr>
        <w:t>①响应文件中的大写金额与小写金额不一致的，以大写金额为准；</w:t>
      </w:r>
    </w:p>
    <w:p>
      <w:pPr>
        <w:spacing w:line="440" w:lineRule="exact"/>
        <w:ind w:firstLine="420"/>
        <w:rPr>
          <w:rFonts w:ascii="Times New Roman" w:hAnsi="Times New Roman"/>
        </w:rPr>
      </w:pPr>
      <w:r>
        <w:rPr>
          <w:rFonts w:ascii="Times New Roman" w:hAnsi="Times New Roman"/>
        </w:rPr>
        <w:t>②总价金额与依据单价计算出的结果不一致的，以单价金额为准修正总价，但单价金额小数点有明显错误的除外；</w:t>
      </w:r>
    </w:p>
    <w:p>
      <w:pPr>
        <w:spacing w:line="440" w:lineRule="exact"/>
        <w:ind w:firstLine="420"/>
        <w:rPr>
          <w:rFonts w:ascii="Times New Roman" w:hAnsi="Times New Roman"/>
        </w:rPr>
      </w:pPr>
      <w:r>
        <w:rPr>
          <w:rFonts w:ascii="Times New Roman" w:hAnsi="Times New Roman"/>
        </w:rPr>
        <w:t>③当单价与数量相乘不等于合价时，以单价计算为准，如果单价有明显的小数点位置差错，应以标出的合价为准，同时对单价予以修正；</w:t>
      </w:r>
    </w:p>
    <w:p>
      <w:pPr>
        <w:spacing w:line="440" w:lineRule="exact"/>
        <w:ind w:firstLine="420"/>
        <w:rPr>
          <w:rFonts w:ascii="Times New Roman" w:hAnsi="Times New Roman"/>
        </w:rPr>
      </w:pPr>
      <w:r>
        <w:rPr>
          <w:rFonts w:ascii="Times New Roman" w:hAnsi="Times New Roman"/>
        </w:rPr>
        <w:t>④当各子目的合价累计不等于总价时，应以各子目合价累计数为准，修正总价。</w:t>
      </w:r>
    </w:p>
    <w:p>
      <w:pPr>
        <w:spacing w:line="440" w:lineRule="exact"/>
        <w:ind w:firstLine="420"/>
        <w:rPr>
          <w:rFonts w:ascii="Times New Roman" w:hAnsi="Times New Roman"/>
        </w:rPr>
      </w:pPr>
      <w:r>
        <w:rPr>
          <w:rFonts w:hint="eastAsia" w:ascii="Times New Roman" w:hAnsi="Times New Roman"/>
        </w:rPr>
        <w:t>（2）报价</w:t>
      </w:r>
      <w:r>
        <w:rPr>
          <w:rFonts w:ascii="Times New Roman" w:hAnsi="Times New Roman"/>
        </w:rPr>
        <w:t>清单中的报价有其他错误的，评审小组按以下原则对报价进行修正，修正的价格经供应商书面确认后具有约束力。供应商不接受修正价格的，评审小组应否决其报价。</w:t>
      </w:r>
    </w:p>
    <w:p>
      <w:pPr>
        <w:spacing w:line="440" w:lineRule="exact"/>
        <w:ind w:firstLine="420"/>
        <w:rPr>
          <w:rFonts w:ascii="Times New Roman" w:hAnsi="Times New Roman"/>
        </w:rPr>
      </w:pPr>
      <w:r>
        <w:rPr>
          <w:rFonts w:ascii="Times New Roman" w:hAnsi="Times New Roman"/>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pPr>
        <w:spacing w:line="440" w:lineRule="exact"/>
        <w:ind w:firstLine="420"/>
        <w:rPr>
          <w:rFonts w:ascii="Times New Roman" w:hAnsi="Times New Roman"/>
        </w:rPr>
      </w:pPr>
      <w:r>
        <w:rPr>
          <w:rFonts w:ascii="Times New Roman" w:hAnsi="Times New Roman"/>
        </w:rPr>
        <w:t>②在采购人给定的清单中多报了某个子目的单价、合价或总额价，或所报单价、合价或总额价增加了报价范围，则从报价中扣除多报的子目报价或子目报价中增加了报价范围的部分报价。</w:t>
      </w:r>
    </w:p>
    <w:p>
      <w:pPr>
        <w:spacing w:line="440" w:lineRule="exact"/>
        <w:ind w:firstLine="420"/>
        <w:rPr>
          <w:rFonts w:ascii="Times New Roman" w:hAnsi="Times New Roman"/>
        </w:rPr>
      </w:pPr>
      <w:r>
        <w:rPr>
          <w:rFonts w:ascii="Times New Roman" w:hAnsi="Times New Roman"/>
        </w:rPr>
        <w:t>③当单价与数量的乘积与合价（金额）虽然一致，但供应商修改了该子目的数量，则其合价按采购人给定的数量乘以供应商所报单价予以修正。</w:t>
      </w:r>
    </w:p>
    <w:p>
      <w:pPr>
        <w:spacing w:line="440" w:lineRule="exact"/>
        <w:ind w:firstLine="420"/>
        <w:rPr>
          <w:rFonts w:ascii="Times New Roman" w:hAnsi="Times New Roman"/>
        </w:rPr>
      </w:pPr>
      <w:r>
        <w:rPr>
          <w:rFonts w:ascii="Times New Roman" w:hAnsi="Times New Roman"/>
        </w:rPr>
        <w:t>④当各子目的合价累计不等于总价时，应以各子目合价累计数为准，修正总价。</w:t>
      </w:r>
    </w:p>
    <w:p>
      <w:pPr>
        <w:spacing w:line="440" w:lineRule="exact"/>
        <w:ind w:firstLine="420"/>
        <w:rPr>
          <w:rFonts w:ascii="Times New Roman" w:hAnsi="Times New Roman"/>
        </w:rPr>
      </w:pPr>
      <w:r>
        <w:rPr>
          <w:rFonts w:ascii="Times New Roman" w:hAnsi="Times New Roman"/>
        </w:rPr>
        <w:t>3.1.</w:t>
      </w:r>
      <w:r>
        <w:rPr>
          <w:rFonts w:hint="eastAsia" w:ascii="Times New Roman" w:hAnsi="Times New Roman"/>
        </w:rPr>
        <w:t xml:space="preserve">4 </w:t>
      </w:r>
      <w:r>
        <w:rPr>
          <w:rFonts w:ascii="Times New Roman" w:hAnsi="Times New Roman"/>
        </w:rPr>
        <w:t>修正后的最终报价若超过最高限价（如有），</w:t>
      </w:r>
      <w:r>
        <w:rPr>
          <w:rFonts w:hint="eastAsia" w:ascii="Times New Roman" w:hAnsi="Times New Roman"/>
        </w:rPr>
        <w:t>评审小组</w:t>
      </w:r>
      <w:r>
        <w:rPr>
          <w:rFonts w:ascii="Times New Roman" w:hAnsi="Times New Roman"/>
        </w:rPr>
        <w:t>应否决其报价。</w:t>
      </w:r>
    </w:p>
    <w:p>
      <w:pPr>
        <w:spacing w:line="440" w:lineRule="exact"/>
        <w:ind w:firstLine="420"/>
      </w:pPr>
      <w:r>
        <w:rPr>
          <w:rFonts w:ascii="Times New Roman" w:hAnsi="Times New Roman"/>
        </w:rPr>
        <w:t>3.1.</w:t>
      </w:r>
      <w:r>
        <w:rPr>
          <w:rFonts w:hint="eastAsia" w:ascii="Times New Roman" w:hAnsi="Times New Roman"/>
        </w:rPr>
        <w:t>5</w:t>
      </w:r>
      <w:r>
        <w:rPr>
          <w:rFonts w:hint="eastAsia" w:ascii="Times New Roman" w:hAnsi="Times New Roman"/>
          <w:szCs w:val="21"/>
        </w:rPr>
        <w:t>修正后的</w:t>
      </w:r>
      <w:r>
        <w:rPr>
          <w:rFonts w:ascii="Times New Roman" w:hAnsi="Times New Roman"/>
        </w:rPr>
        <w:t>最终报价参与评审价得分的计算</w:t>
      </w:r>
      <w:r>
        <w:rPr>
          <w:rFonts w:hint="eastAsia" w:ascii="Times New Roman" w:hAnsi="Times New Roman"/>
        </w:rPr>
        <w:t>，并作为签订合同的依据</w:t>
      </w:r>
      <w:r>
        <w:rPr>
          <w:rFonts w:ascii="Times New Roman" w:hAnsi="Times New Roman"/>
        </w:rPr>
        <w:t>。</w:t>
      </w:r>
    </w:p>
    <w:p>
      <w:pPr>
        <w:keepNext/>
        <w:keepLines/>
        <w:spacing w:before="120" w:after="120"/>
        <w:outlineLvl w:val="2"/>
        <w:rPr>
          <w:rFonts w:ascii="Times New Roman" w:hAnsi="Times New Roman"/>
        </w:rPr>
      </w:pPr>
      <w:r>
        <w:rPr>
          <w:rFonts w:ascii="Times New Roman" w:hAnsi="Times New Roman" w:eastAsia="黑体"/>
          <w:bCs/>
          <w:sz w:val="24"/>
          <w:szCs w:val="32"/>
        </w:rPr>
        <w:t>3.2 详细评审</w:t>
      </w:r>
    </w:p>
    <w:p>
      <w:pPr>
        <w:spacing w:line="440" w:lineRule="exact"/>
        <w:ind w:firstLine="420"/>
        <w:rPr>
          <w:rFonts w:ascii="Times New Roman" w:hAnsi="Times New Roman"/>
        </w:rPr>
      </w:pPr>
      <w:r>
        <w:rPr>
          <w:rFonts w:ascii="Times New Roman" w:hAnsi="Times New Roman"/>
        </w:rPr>
        <w:t xml:space="preserve">3.2.1 </w:t>
      </w:r>
      <w:r>
        <w:rPr>
          <w:rFonts w:hint="eastAsia" w:ascii="Times New Roman" w:hAnsi="Times New Roman"/>
        </w:rPr>
        <w:t>评审小组</w:t>
      </w:r>
      <w:r>
        <w:rPr>
          <w:rFonts w:ascii="Times New Roman" w:hAnsi="Times New Roman"/>
        </w:rPr>
        <w:t>按本章第2.2款规定的量化因素和分值进行打分，并计算出综合评估得分。</w:t>
      </w:r>
    </w:p>
    <w:p>
      <w:pPr>
        <w:spacing w:line="440" w:lineRule="exact"/>
        <w:ind w:firstLine="420"/>
        <w:rPr>
          <w:rFonts w:ascii="Times New Roman" w:hAnsi="Times New Roman"/>
        </w:rPr>
      </w:pPr>
      <w:r>
        <w:rPr>
          <w:rFonts w:ascii="Times New Roman" w:hAnsi="Times New Roman"/>
        </w:rPr>
        <w:t>（1）按本章第2.2.4(1)目规定的评审因素和分值对</w:t>
      </w:r>
      <w:r>
        <w:rPr>
          <w:rFonts w:hint="eastAsia" w:ascii="Times New Roman" w:hAnsi="Times New Roman"/>
        </w:rPr>
        <w:t>业绩</w:t>
      </w:r>
      <w:r>
        <w:rPr>
          <w:rFonts w:ascii="Times New Roman" w:hAnsi="Times New Roman"/>
        </w:rPr>
        <w:t>计算出得分</w:t>
      </w:r>
      <w:r>
        <w:rPr>
          <w:rFonts w:hint="eastAsia" w:ascii="Times New Roman" w:hAnsi="Times New Roman"/>
        </w:rPr>
        <w:t>I</w:t>
      </w:r>
      <w:r>
        <w:rPr>
          <w:rFonts w:ascii="Times New Roman" w:hAnsi="Times New Roman"/>
        </w:rPr>
        <w:t>；</w:t>
      </w:r>
    </w:p>
    <w:p>
      <w:pPr>
        <w:spacing w:line="440" w:lineRule="exact"/>
        <w:ind w:firstLine="420"/>
        <w:rPr>
          <w:rFonts w:ascii="Times New Roman" w:hAnsi="Times New Roman"/>
        </w:rPr>
      </w:pPr>
      <w:r>
        <w:rPr>
          <w:rFonts w:ascii="Times New Roman" w:hAnsi="Times New Roman"/>
        </w:rPr>
        <w:t>（2）按本章第2.2.4(2)目规定的评审因素和分值对</w:t>
      </w:r>
      <w:r>
        <w:rPr>
          <w:rFonts w:hint="eastAsia" w:ascii="Times New Roman" w:hAnsi="Times New Roman"/>
        </w:rPr>
        <w:t>项目管理机构</w:t>
      </w:r>
      <w:r>
        <w:rPr>
          <w:rFonts w:ascii="Times New Roman" w:hAnsi="Times New Roman"/>
        </w:rPr>
        <w:t>计算出得分</w:t>
      </w:r>
      <w:r>
        <w:rPr>
          <w:rFonts w:hint="eastAsia" w:ascii="Times New Roman" w:hAnsi="Times New Roman"/>
        </w:rPr>
        <w:t>II</w:t>
      </w:r>
      <w:r>
        <w:rPr>
          <w:rFonts w:ascii="Times New Roman" w:hAnsi="Times New Roman"/>
        </w:rPr>
        <w:t>；</w:t>
      </w:r>
    </w:p>
    <w:p>
      <w:pPr>
        <w:spacing w:line="440" w:lineRule="exact"/>
        <w:ind w:firstLine="420"/>
        <w:rPr>
          <w:rFonts w:ascii="Times New Roman" w:hAnsi="Times New Roman"/>
        </w:rPr>
      </w:pPr>
      <w:r>
        <w:rPr>
          <w:rFonts w:ascii="Times New Roman" w:hAnsi="Times New Roman"/>
        </w:rPr>
        <w:t>（3）按本章第2.2.4(3)目规定的评审因素和分值对</w:t>
      </w:r>
      <w:r>
        <w:rPr>
          <w:rFonts w:hint="eastAsia" w:ascii="Times New Roman" w:hAnsi="Times New Roman"/>
        </w:rPr>
        <w:t>技术方案</w:t>
      </w:r>
      <w:r>
        <w:rPr>
          <w:rFonts w:ascii="Times New Roman" w:hAnsi="Times New Roman"/>
        </w:rPr>
        <w:t>计算出得分</w:t>
      </w:r>
      <w:r>
        <w:rPr>
          <w:rFonts w:hint="eastAsia" w:ascii="Times New Roman" w:hAnsi="Times New Roman"/>
        </w:rPr>
        <w:t>III</w:t>
      </w:r>
      <w:r>
        <w:rPr>
          <w:rFonts w:ascii="Times New Roman" w:hAnsi="Times New Roman"/>
        </w:rPr>
        <w:t>；</w:t>
      </w:r>
    </w:p>
    <w:p>
      <w:pPr>
        <w:spacing w:line="440" w:lineRule="exact"/>
        <w:ind w:firstLine="420"/>
        <w:rPr>
          <w:rFonts w:ascii="Times New Roman" w:hAnsi="Times New Roman"/>
        </w:rPr>
      </w:pPr>
      <w:r>
        <w:rPr>
          <w:rFonts w:ascii="Times New Roman" w:hAnsi="Times New Roman"/>
        </w:rPr>
        <w:t>（4）按本章第2.2.4(4)目规定的评审因素和分值对</w:t>
      </w:r>
      <w:r>
        <w:rPr>
          <w:rFonts w:hint="eastAsia" w:ascii="Times New Roman" w:hAnsi="Times New Roman"/>
        </w:rPr>
        <w:t>评审价</w:t>
      </w:r>
      <w:r>
        <w:rPr>
          <w:rFonts w:ascii="Times New Roman" w:hAnsi="Times New Roman"/>
        </w:rPr>
        <w:t>计算出得分</w:t>
      </w:r>
      <w:r>
        <w:rPr>
          <w:rFonts w:hint="eastAsia" w:ascii="Times New Roman" w:hAnsi="Times New Roman"/>
        </w:rPr>
        <w:t>IV</w:t>
      </w:r>
      <w:r>
        <w:rPr>
          <w:rFonts w:ascii="Times New Roman" w:hAnsi="Times New Roman"/>
        </w:rPr>
        <w:t>。</w:t>
      </w:r>
    </w:p>
    <w:p>
      <w:pPr>
        <w:spacing w:line="400" w:lineRule="exact"/>
        <w:ind w:firstLine="420" w:firstLineChars="200"/>
        <w:rPr>
          <w:rFonts w:ascii="Times New Roman" w:hAnsi="Times New Roman"/>
        </w:rPr>
      </w:pPr>
      <w:r>
        <w:rPr>
          <w:rFonts w:ascii="Times New Roman" w:hAnsi="Times New Roman"/>
        </w:rPr>
        <w:t>3.2.2 评分分值计算保留小数点后两位，小数点后第三位“四舍五入”。</w:t>
      </w:r>
    </w:p>
    <w:p>
      <w:pPr>
        <w:spacing w:line="400" w:lineRule="exact"/>
        <w:ind w:firstLine="420" w:firstLineChars="200"/>
        <w:rPr>
          <w:rFonts w:ascii="Times New Roman" w:hAnsi="Times New Roman"/>
        </w:rPr>
      </w:pPr>
      <w:r>
        <w:rPr>
          <w:rFonts w:ascii="Times New Roman" w:hAnsi="Times New Roman"/>
        </w:rPr>
        <w:t xml:space="preserve">3.2.3 </w:t>
      </w:r>
      <w:r>
        <w:rPr>
          <w:rFonts w:hint="eastAsia" w:ascii="Times New Roman" w:hAnsi="Times New Roman"/>
        </w:rPr>
        <w:t>评审小组成员对</w:t>
      </w:r>
      <w:r>
        <w:rPr>
          <w:rFonts w:ascii="Times New Roman" w:hAnsi="Times New Roman"/>
        </w:rPr>
        <w:t>供应商</w:t>
      </w:r>
      <w:r>
        <w:rPr>
          <w:rFonts w:hint="eastAsia" w:ascii="Times New Roman" w:hAnsi="Times New Roman"/>
        </w:rPr>
        <w:t>综合评分=I</w:t>
      </w:r>
      <w:r>
        <w:rPr>
          <w:rFonts w:ascii="Times New Roman" w:hAnsi="Times New Roman"/>
        </w:rPr>
        <w:t>+</w:t>
      </w:r>
      <w:r>
        <w:rPr>
          <w:rFonts w:hint="eastAsia" w:ascii="Times New Roman" w:hAnsi="Times New Roman"/>
        </w:rPr>
        <w:t>II</w:t>
      </w:r>
      <w:r>
        <w:rPr>
          <w:rFonts w:ascii="Times New Roman" w:hAnsi="Times New Roman"/>
        </w:rPr>
        <w:t>+</w:t>
      </w:r>
      <w:r>
        <w:rPr>
          <w:rFonts w:hint="eastAsia" w:ascii="Times New Roman" w:hAnsi="Times New Roman"/>
        </w:rPr>
        <w:t>III</w:t>
      </w:r>
      <w:r>
        <w:rPr>
          <w:rFonts w:ascii="Times New Roman" w:hAnsi="Times New Roman"/>
        </w:rPr>
        <w:t>+</w:t>
      </w:r>
      <w:r>
        <w:rPr>
          <w:rFonts w:hint="eastAsia" w:ascii="Times New Roman" w:hAnsi="Times New Roman"/>
        </w:rPr>
        <w:t>IV，供应商最终得分为各评审小组成员评分的算数平均值</w:t>
      </w:r>
      <w:r>
        <w:rPr>
          <w:rFonts w:ascii="Times New Roman" w:hAnsi="Times New Roman"/>
        </w:rPr>
        <w:t>。</w:t>
      </w:r>
    </w:p>
    <w:p>
      <w:pPr>
        <w:keepNext/>
        <w:keepLines/>
        <w:spacing w:before="120" w:after="120"/>
        <w:outlineLvl w:val="2"/>
        <w:rPr>
          <w:rFonts w:ascii="Times New Roman" w:hAnsi="Times New Roman" w:eastAsia="黑体"/>
          <w:bCs/>
          <w:sz w:val="24"/>
          <w:szCs w:val="32"/>
        </w:rPr>
      </w:pPr>
      <w:r>
        <w:rPr>
          <w:rFonts w:ascii="Times New Roman" w:hAnsi="Times New Roman" w:eastAsia="黑体"/>
          <w:bCs/>
          <w:sz w:val="24"/>
          <w:szCs w:val="32"/>
        </w:rPr>
        <w:t xml:space="preserve">3.3 </w:t>
      </w:r>
      <w:r>
        <w:rPr>
          <w:rFonts w:hint="eastAsia" w:ascii="Times New Roman" w:hAnsi="Times New Roman" w:eastAsia="黑体"/>
          <w:bCs/>
          <w:sz w:val="24"/>
          <w:szCs w:val="32"/>
        </w:rPr>
        <w:t>否决响应文件</w:t>
      </w:r>
      <w:r>
        <w:rPr>
          <w:rFonts w:ascii="Times New Roman" w:hAnsi="Times New Roman" w:eastAsia="黑体"/>
          <w:bCs/>
          <w:sz w:val="24"/>
          <w:szCs w:val="32"/>
        </w:rPr>
        <w:t>的其他情形</w:t>
      </w:r>
    </w:p>
    <w:p>
      <w:pPr>
        <w:spacing w:line="440" w:lineRule="exact"/>
        <w:ind w:firstLine="420"/>
        <w:rPr>
          <w:rFonts w:ascii="Times New Roman" w:hAnsi="Times New Roman"/>
        </w:rPr>
      </w:pPr>
      <w:r>
        <w:rPr>
          <w:rFonts w:hint="eastAsia" w:ascii="Times New Roman" w:hAnsi="Times New Roman"/>
        </w:rPr>
        <w:t>评审小组</w:t>
      </w:r>
      <w:r>
        <w:rPr>
          <w:rFonts w:ascii="Times New Roman" w:hAnsi="Times New Roman"/>
        </w:rPr>
        <w:t>应对在评审过程中发现供应商存在串通报价、弄虚作假、行贿等违法行为的，</w:t>
      </w:r>
      <w:r>
        <w:rPr>
          <w:rFonts w:hint="eastAsia" w:ascii="Times New Roman" w:hAnsi="Times New Roman"/>
        </w:rPr>
        <w:t>评审小组</w:t>
      </w:r>
      <w:r>
        <w:rPr>
          <w:rFonts w:ascii="Times New Roman" w:hAnsi="Times New Roman"/>
        </w:rPr>
        <w:t>应否决其</w:t>
      </w:r>
      <w:r>
        <w:rPr>
          <w:rFonts w:hint="eastAsia" w:ascii="Times New Roman" w:hAnsi="Times New Roman"/>
        </w:rPr>
        <w:t>响应文件</w:t>
      </w:r>
      <w:r>
        <w:rPr>
          <w:rFonts w:ascii="Times New Roman" w:hAnsi="Times New Roman"/>
        </w:rPr>
        <w:t>。</w:t>
      </w:r>
    </w:p>
    <w:p>
      <w:pPr>
        <w:keepNext/>
        <w:keepLines/>
        <w:spacing w:before="120" w:after="120"/>
        <w:outlineLvl w:val="2"/>
        <w:rPr>
          <w:rFonts w:ascii="Times New Roman" w:hAnsi="Times New Roman" w:eastAsia="黑体"/>
          <w:bCs/>
          <w:sz w:val="24"/>
          <w:szCs w:val="32"/>
        </w:rPr>
      </w:pPr>
      <w:r>
        <w:rPr>
          <w:rFonts w:ascii="Times New Roman" w:hAnsi="Times New Roman" w:eastAsia="黑体"/>
          <w:bCs/>
          <w:sz w:val="24"/>
          <w:szCs w:val="32"/>
        </w:rPr>
        <w:t>3.4 响应文件的澄清</w:t>
      </w:r>
    </w:p>
    <w:p>
      <w:pPr>
        <w:spacing w:line="440" w:lineRule="exact"/>
        <w:ind w:firstLine="420"/>
        <w:rPr>
          <w:rFonts w:ascii="Times New Roman" w:hAnsi="Times New Roman"/>
        </w:rPr>
      </w:pPr>
      <w:r>
        <w:rPr>
          <w:rFonts w:ascii="Times New Roman" w:hAnsi="Times New Roman"/>
        </w:rPr>
        <w:t>3.4.1 在评审过程中，</w:t>
      </w:r>
      <w:r>
        <w:rPr>
          <w:rFonts w:hint="eastAsia" w:ascii="Times New Roman" w:hAnsi="Times New Roman"/>
        </w:rPr>
        <w:t>评审小组</w:t>
      </w:r>
      <w:r>
        <w:rPr>
          <w:rFonts w:ascii="Times New Roman" w:hAnsi="Times New Roman"/>
        </w:rPr>
        <w:t>可以书面形式要求供应商对响应文件中含义不明确、对同类问题表述不一致或者有明显文字</w:t>
      </w:r>
      <w:r>
        <w:rPr>
          <w:rFonts w:hint="eastAsia" w:ascii="Times New Roman" w:hAnsi="Times New Roman"/>
        </w:rPr>
        <w:t>错误</w:t>
      </w:r>
      <w:r>
        <w:rPr>
          <w:rFonts w:ascii="Times New Roman" w:hAnsi="Times New Roman"/>
        </w:rPr>
        <w:t>的内容做必要的澄清。</w:t>
      </w:r>
      <w:r>
        <w:rPr>
          <w:rFonts w:hint="eastAsia" w:ascii="Times New Roman" w:hAnsi="Times New Roman"/>
        </w:rPr>
        <w:t>评审小组</w:t>
      </w:r>
      <w:r>
        <w:rPr>
          <w:rFonts w:ascii="Times New Roman" w:hAnsi="Times New Roman"/>
        </w:rPr>
        <w:t>不接受供应商主动提出的澄清。</w:t>
      </w:r>
    </w:p>
    <w:p>
      <w:pPr>
        <w:spacing w:line="440" w:lineRule="exact"/>
        <w:ind w:firstLine="420"/>
        <w:rPr>
          <w:rFonts w:ascii="Times New Roman" w:hAnsi="Times New Roman"/>
          <w:strike/>
        </w:rPr>
      </w:pPr>
      <w:r>
        <w:rPr>
          <w:rFonts w:ascii="Times New Roman" w:hAnsi="Times New Roman"/>
        </w:rPr>
        <w:t>3.4.2 澄清不得超出响应文件的范围且不得改变响应文件的实质性内容，并构成响应文件的组成部分。</w:t>
      </w:r>
    </w:p>
    <w:p>
      <w:pPr>
        <w:keepNext/>
        <w:keepLines/>
        <w:spacing w:before="120" w:after="120"/>
        <w:outlineLvl w:val="2"/>
        <w:rPr>
          <w:rFonts w:ascii="Times New Roman" w:hAnsi="Times New Roman" w:eastAsia="黑体"/>
          <w:bCs/>
          <w:sz w:val="24"/>
          <w:szCs w:val="32"/>
        </w:rPr>
      </w:pPr>
      <w:r>
        <w:rPr>
          <w:rFonts w:ascii="Times New Roman" w:hAnsi="Times New Roman" w:eastAsia="黑体"/>
          <w:bCs/>
          <w:sz w:val="24"/>
          <w:szCs w:val="32"/>
        </w:rPr>
        <w:t>3.</w:t>
      </w:r>
      <w:r>
        <w:rPr>
          <w:rFonts w:hint="eastAsia" w:ascii="Times New Roman" w:hAnsi="Times New Roman" w:eastAsia="黑体"/>
          <w:bCs/>
          <w:sz w:val="24"/>
          <w:szCs w:val="32"/>
        </w:rPr>
        <w:t>5</w:t>
      </w:r>
      <w:r>
        <w:rPr>
          <w:rFonts w:ascii="Times New Roman" w:hAnsi="Times New Roman" w:eastAsia="黑体"/>
          <w:bCs/>
          <w:sz w:val="24"/>
          <w:szCs w:val="32"/>
        </w:rPr>
        <w:t xml:space="preserve"> 评审结果</w:t>
      </w:r>
    </w:p>
    <w:p>
      <w:pPr>
        <w:spacing w:line="440" w:lineRule="exact"/>
        <w:ind w:firstLine="420"/>
        <w:rPr>
          <w:rFonts w:ascii="Times New Roman" w:hAnsi="Times New Roman"/>
        </w:rPr>
      </w:pPr>
      <w:r>
        <w:rPr>
          <w:rFonts w:hint="eastAsia" w:ascii="Times New Roman" w:hAnsi="Times New Roman"/>
        </w:rPr>
        <w:t>评审小组</w:t>
      </w:r>
      <w:r>
        <w:rPr>
          <w:rFonts w:ascii="Times New Roman" w:hAnsi="Times New Roman"/>
        </w:rPr>
        <w:t>完成评审后，应当向采购人提交评审报告。评审报告应当如实记载以下内容：</w:t>
      </w:r>
    </w:p>
    <w:p>
      <w:pPr>
        <w:spacing w:line="440" w:lineRule="exact"/>
        <w:ind w:firstLine="420"/>
        <w:rPr>
          <w:rFonts w:ascii="Times New Roman" w:hAnsi="Times New Roman"/>
        </w:rPr>
      </w:pPr>
      <w:r>
        <w:rPr>
          <w:rFonts w:ascii="Times New Roman" w:hAnsi="Times New Roman"/>
        </w:rPr>
        <w:t>（一）采购项目基本情况</w:t>
      </w:r>
    </w:p>
    <w:p>
      <w:pPr>
        <w:spacing w:line="440" w:lineRule="exact"/>
        <w:ind w:firstLine="420"/>
        <w:rPr>
          <w:rFonts w:ascii="Times New Roman" w:hAnsi="Times New Roman"/>
        </w:rPr>
      </w:pPr>
      <w:r>
        <w:rPr>
          <w:rFonts w:ascii="Times New Roman" w:hAnsi="Times New Roman"/>
        </w:rPr>
        <w:t>（二）评审小组成员名单</w:t>
      </w:r>
    </w:p>
    <w:p>
      <w:pPr>
        <w:spacing w:line="440" w:lineRule="exact"/>
        <w:ind w:firstLine="420"/>
        <w:rPr>
          <w:rFonts w:ascii="Times New Roman" w:hAnsi="Times New Roman"/>
        </w:rPr>
      </w:pPr>
      <w:r>
        <w:rPr>
          <w:rFonts w:ascii="Times New Roman" w:hAnsi="Times New Roman"/>
        </w:rPr>
        <w:t>（</w:t>
      </w:r>
      <w:r>
        <w:rPr>
          <w:rFonts w:hint="eastAsia" w:ascii="Times New Roman" w:hAnsi="Times New Roman"/>
          <w:lang w:val="en-US" w:eastAsia="zh-CN"/>
        </w:rPr>
        <w:t>三</w:t>
      </w:r>
      <w:r>
        <w:rPr>
          <w:rFonts w:ascii="Times New Roman" w:hAnsi="Times New Roman"/>
        </w:rPr>
        <w:t>）</w:t>
      </w:r>
      <w:r>
        <w:rPr>
          <w:rFonts w:hint="eastAsia" w:ascii="Times New Roman" w:hAnsi="Times New Roman"/>
          <w:lang w:eastAsia="zh-CN"/>
        </w:rPr>
        <w:t>招标</w:t>
      </w:r>
      <w:r>
        <w:rPr>
          <w:rFonts w:ascii="Times New Roman" w:hAnsi="Times New Roman"/>
        </w:rPr>
        <w:t>评审工作</w:t>
      </w:r>
    </w:p>
    <w:p>
      <w:pPr>
        <w:spacing w:line="440" w:lineRule="exact"/>
        <w:ind w:firstLine="420"/>
        <w:rPr>
          <w:rFonts w:ascii="Times New Roman" w:hAnsi="Times New Roman"/>
        </w:rPr>
      </w:pPr>
      <w:r>
        <w:rPr>
          <w:rFonts w:ascii="Times New Roman" w:hAnsi="Times New Roman"/>
        </w:rPr>
        <w:t>1、评审办法</w:t>
      </w:r>
    </w:p>
    <w:p>
      <w:pPr>
        <w:spacing w:line="440" w:lineRule="exact"/>
        <w:ind w:firstLine="420"/>
        <w:rPr>
          <w:rFonts w:ascii="Times New Roman" w:hAnsi="Times New Roman"/>
        </w:rPr>
      </w:pPr>
      <w:r>
        <w:rPr>
          <w:rFonts w:ascii="Times New Roman" w:hAnsi="Times New Roman"/>
        </w:rPr>
        <w:t>2、初步评审情况（资格审查、形式性审查、响应性审查）</w:t>
      </w:r>
    </w:p>
    <w:p>
      <w:pPr>
        <w:spacing w:line="440" w:lineRule="exact"/>
        <w:ind w:firstLine="420"/>
        <w:rPr>
          <w:rFonts w:ascii="Times New Roman" w:hAnsi="Times New Roman"/>
        </w:rPr>
      </w:pPr>
      <w:r>
        <w:rPr>
          <w:rFonts w:ascii="Times New Roman" w:hAnsi="Times New Roman"/>
        </w:rPr>
        <w:t>3、</w:t>
      </w:r>
      <w:r>
        <w:rPr>
          <w:rFonts w:hint="eastAsia" w:ascii="Times New Roman" w:hAnsi="Times New Roman"/>
        </w:rPr>
        <w:t>详细评审情况（</w:t>
      </w:r>
      <w:r>
        <w:rPr>
          <w:rFonts w:ascii="Times New Roman" w:hAnsi="Times New Roman"/>
        </w:rPr>
        <w:t>供应商的</w:t>
      </w:r>
      <w:r>
        <w:rPr>
          <w:rFonts w:hint="eastAsia" w:ascii="Times New Roman" w:hAnsi="Times New Roman"/>
        </w:rPr>
        <w:t>综合</w:t>
      </w:r>
      <w:r>
        <w:rPr>
          <w:rFonts w:ascii="Times New Roman" w:hAnsi="Times New Roman"/>
        </w:rPr>
        <w:t>评分情况</w:t>
      </w:r>
      <w:r>
        <w:rPr>
          <w:rFonts w:hint="eastAsia" w:ascii="Times New Roman" w:hAnsi="Times New Roman"/>
        </w:rPr>
        <w:t>）</w:t>
      </w:r>
    </w:p>
    <w:p>
      <w:pPr>
        <w:spacing w:line="440" w:lineRule="exact"/>
        <w:ind w:firstLine="420"/>
        <w:rPr>
          <w:rFonts w:ascii="Times New Roman" w:hAnsi="Times New Roman"/>
        </w:rPr>
      </w:pPr>
      <w:r>
        <w:rPr>
          <w:rFonts w:ascii="Times New Roman" w:hAnsi="Times New Roman"/>
        </w:rPr>
        <w:t>4、否决的供应商名单以及否决理由（如有）</w:t>
      </w:r>
    </w:p>
    <w:p>
      <w:pPr>
        <w:spacing w:line="440" w:lineRule="exact"/>
        <w:ind w:firstLine="420"/>
        <w:rPr>
          <w:rFonts w:ascii="Times New Roman" w:hAnsi="Times New Roman"/>
        </w:rPr>
      </w:pPr>
      <w:r>
        <w:rPr>
          <w:rFonts w:ascii="Times New Roman" w:hAnsi="Times New Roman"/>
        </w:rPr>
        <w:t>5、推荐候选供应商排序</w:t>
      </w:r>
    </w:p>
    <w:p>
      <w:pPr>
        <w:spacing w:line="440" w:lineRule="exact"/>
        <w:ind w:firstLine="420"/>
        <w:rPr>
          <w:rFonts w:ascii="Times New Roman" w:hAnsi="Times New Roman"/>
        </w:rPr>
      </w:pPr>
      <w:r>
        <w:rPr>
          <w:rFonts w:ascii="Times New Roman" w:hAnsi="Times New Roman"/>
        </w:rPr>
        <w:t>（五）需要说明的其他事项</w:t>
      </w:r>
    </w:p>
    <w:p>
      <w:pPr>
        <w:spacing w:line="440" w:lineRule="exact"/>
        <w:ind w:firstLine="420"/>
        <w:rPr>
          <w:rFonts w:ascii="Times New Roman" w:hAnsi="Times New Roman"/>
        </w:rPr>
      </w:pPr>
      <w:r>
        <w:rPr>
          <w:rFonts w:ascii="Times New Roman" w:hAnsi="Times New Roman"/>
        </w:rPr>
        <w:t>（六）评审附表</w:t>
      </w:r>
    </w:p>
    <w:p>
      <w:pPr>
        <w:spacing w:line="440" w:lineRule="exact"/>
        <w:ind w:firstLine="420"/>
        <w:rPr>
          <w:rFonts w:ascii="Times New Roman" w:hAnsi="Times New Roman"/>
        </w:rPr>
      </w:pPr>
      <w:r>
        <w:rPr>
          <w:rFonts w:ascii="Times New Roman" w:hAnsi="Times New Roman"/>
        </w:rPr>
        <w:t>1、响应文件开启记录表</w:t>
      </w:r>
    </w:p>
    <w:p>
      <w:pPr>
        <w:spacing w:line="440" w:lineRule="exact"/>
        <w:ind w:firstLine="420"/>
        <w:rPr>
          <w:rFonts w:ascii="Times New Roman" w:hAnsi="Times New Roman"/>
        </w:rPr>
      </w:pPr>
      <w:r>
        <w:rPr>
          <w:rFonts w:ascii="Times New Roman" w:hAnsi="Times New Roman"/>
        </w:rPr>
        <w:t>2、评审表格</w:t>
      </w:r>
    </w:p>
    <w:p>
      <w:pPr>
        <w:pStyle w:val="9"/>
        <w:sectPr>
          <w:footnotePr>
            <w:numFmt w:val="decimalEnclosedCircleChinese"/>
            <w:numRestart w:val="eachPage"/>
          </w:footnotePr>
          <w:pgSz w:w="11906" w:h="16838"/>
          <w:pgMar w:top="1440" w:right="1797" w:bottom="1440" w:left="1797" w:header="851" w:footer="992" w:gutter="0"/>
          <w:cols w:space="720" w:num="1"/>
          <w:docGrid w:type="linesAndChars" w:linePitch="312" w:charSpace="0"/>
        </w:sectPr>
      </w:pPr>
    </w:p>
    <w:p>
      <w:pPr>
        <w:rPr>
          <w:rFonts w:ascii="Times New Roman" w:hAnsi="Times New Roman"/>
        </w:rPr>
      </w:pPr>
    </w:p>
    <w:p>
      <w:pPr>
        <w:pStyle w:val="9"/>
        <w:rPr>
          <w:rFonts w:ascii="Times New Roman" w:hAnsi="Times New Roman"/>
        </w:rPr>
      </w:pPr>
    </w:p>
    <w:p>
      <w:pPr>
        <w:widowControl/>
        <w:jc w:val="left"/>
        <w:rPr>
          <w:rFonts w:ascii="Times New Roman" w:hAnsi="Times New Roman"/>
        </w:rPr>
      </w:pPr>
    </w:p>
    <w:p>
      <w:pPr>
        <w:rPr>
          <w:rFonts w:ascii="Times New Roman" w:hAnsi="Times New Roman"/>
        </w:rPr>
      </w:pPr>
    </w:p>
    <w:p>
      <w:pPr>
        <w:pStyle w:val="2"/>
        <w:spacing w:before="312" w:after="312"/>
        <w:ind w:firstLine="0"/>
        <w:rPr>
          <w:rFonts w:ascii="Times New Roman" w:hAnsi="Times New Roman" w:eastAsia="宋体"/>
        </w:rPr>
      </w:pPr>
      <w:bookmarkStart w:id="119" w:name="_Toc117838430"/>
      <w:r>
        <w:rPr>
          <w:rFonts w:ascii="Times New Roman" w:hAnsi="Times New Roman" w:eastAsia="宋体"/>
        </w:rPr>
        <w:t>合同内容</w:t>
      </w:r>
      <w:bookmarkEnd w:id="119"/>
    </w:p>
    <w:p>
      <w:pPr>
        <w:jc w:val="center"/>
        <w:rPr>
          <w:rFonts w:ascii="Times New Roman" w:hAnsi="Times New Roman"/>
          <w:sz w:val="28"/>
        </w:rPr>
      </w:pPr>
      <w:bookmarkStart w:id="120" w:name="_Toc447808679"/>
      <w:bookmarkStart w:id="121" w:name="_Toc12005"/>
      <w:bookmarkStart w:id="122" w:name="_Toc16698_WPSOffice_Level2"/>
      <w:r>
        <w:rPr>
          <w:rFonts w:ascii="Times New Roman" w:hAnsi="Times New Roman"/>
          <w:sz w:val="28"/>
        </w:rPr>
        <w:br w:type="page"/>
      </w:r>
    </w:p>
    <w:bookmarkEnd w:id="120"/>
    <w:bookmarkEnd w:id="121"/>
    <w:bookmarkEnd w:id="122"/>
    <w:p>
      <w:pPr>
        <w:adjustRightInd w:val="0"/>
        <w:snapToGrid w:val="0"/>
        <w:spacing w:beforeLines="50" w:line="440" w:lineRule="exact"/>
        <w:jc w:val="center"/>
        <w:rPr>
          <w:rFonts w:hint="eastAsia" w:ascii="方正小标宋简体" w:hAnsi="方正小标宋简体" w:eastAsia="方正小标宋简体" w:cs="方正小标宋简体"/>
          <w:b w:val="0"/>
          <w:bCs/>
          <w:sz w:val="36"/>
          <w:szCs w:val="36"/>
        </w:rPr>
      </w:pPr>
      <w:bookmarkStart w:id="123" w:name="_bookmark259"/>
      <w:bookmarkEnd w:id="123"/>
      <w:bookmarkStart w:id="124" w:name="_Toc14125_WPSOffice_Level1"/>
      <w:r>
        <w:rPr>
          <w:rFonts w:hint="eastAsia" w:ascii="方正小标宋简体" w:hAnsi="方正小标宋简体" w:eastAsia="方正小标宋简体" w:cs="方正小标宋简体"/>
          <w:b w:val="0"/>
          <w:bCs/>
          <w:sz w:val="36"/>
          <w:szCs w:val="36"/>
          <w:lang w:eastAsia="zh-CN"/>
        </w:rPr>
        <w:t>亳州至蒙城高速公路谯城（立德）至涡阳（标里）段</w:t>
      </w:r>
      <w:r>
        <w:rPr>
          <w:rFonts w:hint="eastAsia" w:ascii="方正小标宋简体" w:hAnsi="方正小标宋简体" w:eastAsia="方正小标宋简体" w:cs="方正小标宋简体"/>
          <w:b w:val="0"/>
          <w:bCs/>
          <w:sz w:val="36"/>
          <w:szCs w:val="36"/>
        </w:rPr>
        <w:t>收费站开通运营项目社会稳定风险评估合同</w:t>
      </w:r>
      <w:bookmarkEnd w:id="124"/>
    </w:p>
    <w:p>
      <w:pPr>
        <w:adjustRightInd w:val="0"/>
        <w:snapToGrid w:val="0"/>
        <w:spacing w:line="440" w:lineRule="exact"/>
        <w:ind w:firstLine="420" w:firstLineChars="200"/>
        <w:rPr>
          <w:rFonts w:ascii="Times New Roman" w:hAnsi="Times New Roman"/>
          <w:szCs w:val="21"/>
        </w:rPr>
      </w:pPr>
    </w:p>
    <w:p>
      <w:pPr>
        <w:adjustRightInd w:val="0"/>
        <w:snapToGrid w:val="0"/>
        <w:spacing w:line="440" w:lineRule="exact"/>
        <w:ind w:firstLine="420" w:firstLineChars="200"/>
        <w:rPr>
          <w:rFonts w:ascii="Times New Roman" w:hAnsi="Times New Roman"/>
          <w:b/>
          <w:szCs w:val="21"/>
        </w:rPr>
      </w:pPr>
      <w:bookmarkStart w:id="125" w:name="_Toc30852_WPSOffice_Level1"/>
      <w:r>
        <w:rPr>
          <w:rFonts w:ascii="Times New Roman" w:hAnsi="Times New Roman"/>
          <w:b/>
          <w:szCs w:val="21"/>
        </w:rPr>
        <w:t>1.项目信息</w:t>
      </w:r>
      <w:bookmarkEnd w:id="125"/>
    </w:p>
    <w:p>
      <w:pPr>
        <w:adjustRightInd w:val="0"/>
        <w:snapToGrid w:val="0"/>
        <w:spacing w:line="440" w:lineRule="exact"/>
        <w:ind w:firstLine="420" w:firstLineChars="200"/>
        <w:rPr>
          <w:rFonts w:ascii="Times New Roman" w:hAnsi="Times New Roman"/>
          <w:szCs w:val="21"/>
        </w:rPr>
      </w:pPr>
      <w:r>
        <w:rPr>
          <w:rFonts w:ascii="Times New Roman" w:hAnsi="Times New Roman"/>
          <w:szCs w:val="21"/>
        </w:rPr>
        <w:t>1.1 项目名称：</w:t>
      </w:r>
      <w:r>
        <w:rPr>
          <w:rFonts w:hint="eastAsia" w:ascii="Times New Roman" w:hAnsi="Times New Roman"/>
          <w:szCs w:val="21"/>
          <w:u w:val="single"/>
        </w:rPr>
        <w:t>亳州至蒙城高速公路谯城（立德）至涡阳（标里）段收费站开通运营项目社会稳定风险评估</w:t>
      </w:r>
    </w:p>
    <w:p>
      <w:pPr>
        <w:adjustRightInd w:val="0"/>
        <w:snapToGrid w:val="0"/>
        <w:spacing w:line="440" w:lineRule="exact"/>
        <w:ind w:firstLine="420" w:firstLineChars="200"/>
        <w:rPr>
          <w:rFonts w:hint="eastAsia" w:ascii="Times New Roman" w:hAnsi="Times New Roman"/>
          <w:szCs w:val="22"/>
          <w:u w:val="single"/>
        </w:rPr>
      </w:pPr>
      <w:r>
        <w:rPr>
          <w:rFonts w:ascii="Times New Roman" w:hAnsi="Times New Roman"/>
          <w:szCs w:val="21"/>
        </w:rPr>
        <w:t>1.2 项目内容：</w:t>
      </w:r>
      <w:r>
        <w:rPr>
          <w:rFonts w:hint="eastAsia" w:ascii="Times New Roman" w:hAnsi="Times New Roman"/>
          <w:szCs w:val="21"/>
        </w:rPr>
        <w:t>项目</w:t>
      </w:r>
      <w:r>
        <w:rPr>
          <w:rFonts w:hint="eastAsia" w:ascii="Times New Roman" w:hAnsi="Times New Roman"/>
          <w:szCs w:val="22"/>
          <w:u w:val="single"/>
        </w:rPr>
        <w:t>全长13.02km</w:t>
      </w:r>
      <w:r>
        <w:rPr>
          <w:rFonts w:hint="eastAsia" w:ascii="Times New Roman" w:hAnsi="Times New Roman"/>
          <w:szCs w:val="22"/>
          <w:u w:val="single"/>
          <w:lang w:eastAsia="zh-CN"/>
        </w:rPr>
        <w:t>，</w:t>
      </w:r>
      <w:r>
        <w:rPr>
          <w:rFonts w:hint="eastAsia" w:ascii="Times New Roman" w:hAnsi="Times New Roman"/>
          <w:szCs w:val="22"/>
          <w:u w:val="single"/>
        </w:rPr>
        <w:t>路线按双向六车道高速公路标准建设，设立德、机场枢纽2处，设匝道收费站1处（管理分中心）。</w:t>
      </w:r>
    </w:p>
    <w:p>
      <w:pPr>
        <w:adjustRightInd w:val="0"/>
        <w:snapToGrid w:val="0"/>
        <w:spacing w:line="440" w:lineRule="exact"/>
        <w:ind w:firstLine="420" w:firstLineChars="200"/>
        <w:rPr>
          <w:rFonts w:ascii="Times New Roman" w:hAnsi="Times New Roman"/>
          <w:szCs w:val="21"/>
        </w:rPr>
      </w:pPr>
      <w:r>
        <w:rPr>
          <w:rFonts w:ascii="Times New Roman" w:hAnsi="Times New Roman"/>
          <w:szCs w:val="21"/>
        </w:rPr>
        <w:t>1.3 服务内容：</w:t>
      </w:r>
      <w:r>
        <w:rPr>
          <w:rFonts w:hint="eastAsia" w:ascii="Times New Roman" w:hAnsi="Times New Roman"/>
          <w:szCs w:val="22"/>
          <w:u w:val="single"/>
        </w:rPr>
        <w:t>编制</w:t>
      </w:r>
      <w:r>
        <w:rPr>
          <w:rFonts w:hint="eastAsia" w:ascii="Times New Roman" w:hAnsi="Times New Roman"/>
          <w:szCs w:val="22"/>
          <w:u w:val="single"/>
          <w:lang w:eastAsia="zh-CN"/>
        </w:rPr>
        <w:t>亳州至蒙城高速公路谯城（立德）至涡阳（标里）段</w:t>
      </w:r>
      <w:r>
        <w:rPr>
          <w:rFonts w:hint="eastAsia" w:ascii="Times New Roman" w:hAnsi="Times New Roman"/>
          <w:szCs w:val="22"/>
          <w:u w:val="single"/>
        </w:rPr>
        <w:t>收费站开通运营项目社会稳定风险评估报告，完成评估报告并在维稳部门备案</w:t>
      </w:r>
      <w:r>
        <w:rPr>
          <w:rFonts w:hint="eastAsia" w:ascii="Times New Roman" w:hAnsi="Times New Roman"/>
          <w:szCs w:val="21"/>
          <w:u w:val="single"/>
        </w:rPr>
        <w:t>。</w:t>
      </w:r>
    </w:p>
    <w:p>
      <w:pPr>
        <w:adjustRightInd w:val="0"/>
        <w:snapToGrid w:val="0"/>
        <w:spacing w:line="440" w:lineRule="exact"/>
        <w:ind w:firstLine="420" w:firstLineChars="200"/>
        <w:rPr>
          <w:rFonts w:ascii="Times New Roman" w:hAnsi="Times New Roman"/>
          <w:b/>
          <w:szCs w:val="21"/>
        </w:rPr>
      </w:pPr>
      <w:bookmarkStart w:id="126" w:name="_Toc2136_WPSOffice_Level1"/>
      <w:r>
        <w:rPr>
          <w:rFonts w:ascii="Times New Roman" w:hAnsi="Times New Roman"/>
          <w:b/>
          <w:szCs w:val="21"/>
        </w:rPr>
        <w:t>2.合同金额及类别</w:t>
      </w:r>
      <w:bookmarkEnd w:id="126"/>
    </w:p>
    <w:p>
      <w:pPr>
        <w:adjustRightInd w:val="0"/>
        <w:snapToGrid w:val="0"/>
        <w:spacing w:line="440" w:lineRule="exact"/>
        <w:ind w:firstLine="420" w:firstLineChars="200"/>
        <w:rPr>
          <w:rFonts w:ascii="Times New Roman" w:hAnsi="Times New Roman"/>
          <w:szCs w:val="21"/>
          <w:u w:val="single"/>
        </w:rPr>
      </w:pPr>
      <w:r>
        <w:rPr>
          <w:rFonts w:ascii="Times New Roman" w:hAnsi="Times New Roman"/>
          <w:szCs w:val="21"/>
        </w:rPr>
        <w:t>2.1 合同金额：</w:t>
      </w:r>
    </w:p>
    <w:p>
      <w:pPr>
        <w:adjustRightInd w:val="0"/>
        <w:snapToGrid w:val="0"/>
        <w:spacing w:line="440" w:lineRule="exact"/>
        <w:ind w:firstLine="420" w:firstLineChars="200"/>
        <w:rPr>
          <w:rFonts w:ascii="Times New Roman" w:hAnsi="Times New Roman"/>
          <w:szCs w:val="21"/>
        </w:rPr>
      </w:pPr>
      <w:r>
        <w:rPr>
          <w:rFonts w:ascii="Times New Roman" w:hAnsi="Times New Roman"/>
          <w:szCs w:val="21"/>
        </w:rPr>
        <w:t>2.2 合同类别：</w:t>
      </w:r>
      <w:r>
        <w:rPr>
          <w:rFonts w:hint="eastAsia" w:ascii="Times New Roman" w:hAnsi="Times New Roman"/>
          <w:szCs w:val="21"/>
          <w:u w:val="single"/>
        </w:rPr>
        <w:t>单价</w:t>
      </w:r>
    </w:p>
    <w:p>
      <w:pPr>
        <w:adjustRightInd w:val="0"/>
        <w:snapToGrid w:val="0"/>
        <w:spacing w:line="440" w:lineRule="exact"/>
        <w:ind w:firstLine="420" w:firstLineChars="200"/>
        <w:rPr>
          <w:rFonts w:ascii="Times New Roman" w:hAnsi="Times New Roman"/>
          <w:szCs w:val="21"/>
          <w:u w:val="single"/>
        </w:rPr>
      </w:pPr>
      <w:bookmarkStart w:id="127" w:name="_Toc4997_WPSOffice_Level1"/>
      <w:r>
        <w:rPr>
          <w:rFonts w:ascii="Times New Roman" w:hAnsi="Times New Roman"/>
          <w:b/>
          <w:szCs w:val="21"/>
        </w:rPr>
        <w:t>3.履行合同的时间、地点及</w:t>
      </w:r>
      <w:bookmarkEnd w:id="127"/>
      <w:r>
        <w:rPr>
          <w:rFonts w:hint="eastAsia" w:ascii="Times New Roman" w:hAnsi="Times New Roman"/>
          <w:b/>
          <w:szCs w:val="21"/>
        </w:rPr>
        <w:t>工作成果</w:t>
      </w:r>
    </w:p>
    <w:p>
      <w:pPr>
        <w:adjustRightInd w:val="0"/>
        <w:snapToGrid w:val="0"/>
        <w:spacing w:line="440" w:lineRule="exact"/>
        <w:ind w:firstLine="420" w:firstLineChars="200"/>
        <w:rPr>
          <w:rFonts w:ascii="Times New Roman" w:hAnsi="Times New Roman"/>
          <w:szCs w:val="21"/>
        </w:rPr>
      </w:pPr>
      <w:r>
        <w:rPr>
          <w:rFonts w:ascii="Times New Roman" w:hAnsi="Times New Roman"/>
          <w:szCs w:val="21"/>
        </w:rPr>
        <w:t>3.1 时间要求：</w:t>
      </w:r>
      <w:r>
        <w:rPr>
          <w:rFonts w:hint="eastAsia" w:ascii="Times New Roman" w:hAnsi="Times New Roman"/>
          <w:szCs w:val="22"/>
          <w:u w:val="single"/>
        </w:rPr>
        <w:t>乙方应在甲方提供材料齐全后20个工作日内向甲方交付《社会稳定风险评估报告》及报备。</w:t>
      </w:r>
    </w:p>
    <w:p>
      <w:pPr>
        <w:adjustRightInd w:val="0"/>
        <w:snapToGrid w:val="0"/>
        <w:spacing w:line="440" w:lineRule="exact"/>
        <w:ind w:firstLine="420" w:firstLineChars="200"/>
        <w:rPr>
          <w:rFonts w:hint="eastAsia" w:ascii="Times New Roman" w:hAnsi="Times New Roman" w:eastAsia="宋体"/>
          <w:szCs w:val="21"/>
          <w:u w:val="single"/>
          <w:lang w:eastAsia="zh-CN"/>
        </w:rPr>
      </w:pPr>
      <w:r>
        <w:rPr>
          <w:rFonts w:ascii="Times New Roman" w:hAnsi="Times New Roman"/>
          <w:szCs w:val="21"/>
        </w:rPr>
        <w:t>3.2 地点：</w:t>
      </w:r>
      <w:r>
        <w:rPr>
          <w:rFonts w:hint="eastAsia" w:ascii="Times New Roman" w:hAnsi="Times New Roman"/>
          <w:szCs w:val="21"/>
          <w:u w:val="single"/>
        </w:rPr>
        <w:t>安徽省</w:t>
      </w:r>
      <w:r>
        <w:rPr>
          <w:rFonts w:hint="eastAsia" w:ascii="Times New Roman" w:hAnsi="Times New Roman"/>
          <w:szCs w:val="21"/>
          <w:u w:val="single"/>
          <w:lang w:val="en-US" w:eastAsia="zh-CN"/>
        </w:rPr>
        <w:t>亳州市</w:t>
      </w:r>
    </w:p>
    <w:p>
      <w:pPr>
        <w:adjustRightInd w:val="0"/>
        <w:snapToGrid w:val="0"/>
        <w:spacing w:line="440" w:lineRule="exact"/>
        <w:ind w:firstLine="420" w:firstLineChars="200"/>
        <w:rPr>
          <w:rFonts w:ascii="Times New Roman" w:hAnsi="Times New Roman"/>
          <w:szCs w:val="22"/>
        </w:rPr>
      </w:pPr>
      <w:r>
        <w:rPr>
          <w:rFonts w:hint="eastAsia" w:ascii="Times New Roman" w:hAnsi="Times New Roman"/>
          <w:szCs w:val="22"/>
        </w:rPr>
        <w:t>3.3 项目的工作成果如下：</w:t>
      </w:r>
    </w:p>
    <w:p>
      <w:pPr>
        <w:adjustRightInd w:val="0"/>
        <w:snapToGrid w:val="0"/>
        <w:spacing w:line="440" w:lineRule="exact"/>
        <w:ind w:firstLine="420" w:firstLineChars="200"/>
        <w:rPr>
          <w:b/>
          <w:bCs/>
        </w:rPr>
      </w:pPr>
      <w:r>
        <w:rPr>
          <w:rFonts w:hint="eastAsia" w:ascii="Times New Roman" w:hAnsi="Times New Roman"/>
          <w:b/>
          <w:bCs/>
          <w:szCs w:val="22"/>
          <w:u w:val="single"/>
        </w:rPr>
        <w:t>本项目成果是《</w:t>
      </w:r>
      <w:r>
        <w:rPr>
          <w:rFonts w:hint="eastAsia" w:ascii="Times New Roman" w:hAnsi="Times New Roman"/>
          <w:b/>
          <w:bCs/>
          <w:szCs w:val="21"/>
          <w:u w:val="single"/>
          <w:lang w:eastAsia="zh-CN"/>
        </w:rPr>
        <w:t>亳州至蒙城高速公路谯城（立德）至涡阳（标里）段</w:t>
      </w:r>
      <w:r>
        <w:rPr>
          <w:rFonts w:hint="eastAsia" w:ascii="Times New Roman" w:hAnsi="Times New Roman"/>
          <w:b/>
          <w:bCs/>
          <w:szCs w:val="21"/>
          <w:u w:val="single"/>
        </w:rPr>
        <w:t>收费站开通运营项目社会稳定风险评估</w:t>
      </w:r>
      <w:r>
        <w:rPr>
          <w:rFonts w:hint="eastAsia" w:ascii="Times New Roman" w:hAnsi="Times New Roman"/>
          <w:b/>
          <w:bCs/>
          <w:szCs w:val="22"/>
          <w:u w:val="single"/>
        </w:rPr>
        <w:t>报告》，报告仅作为实施和审批单位的决策参考。</w:t>
      </w:r>
    </w:p>
    <w:p>
      <w:pPr>
        <w:adjustRightInd w:val="0"/>
        <w:snapToGrid w:val="0"/>
        <w:spacing w:line="440" w:lineRule="exact"/>
        <w:ind w:firstLine="420" w:firstLineChars="200"/>
        <w:rPr>
          <w:rFonts w:ascii="Times New Roman" w:hAnsi="Times New Roman"/>
          <w:b/>
          <w:szCs w:val="21"/>
        </w:rPr>
      </w:pPr>
      <w:bookmarkStart w:id="128" w:name="_Toc6898_WPSOffice_Level1"/>
      <w:r>
        <w:rPr>
          <w:rFonts w:hint="eastAsia" w:ascii="Times New Roman" w:hAnsi="Times New Roman"/>
          <w:b/>
          <w:szCs w:val="21"/>
        </w:rPr>
        <w:t>4</w:t>
      </w:r>
      <w:r>
        <w:rPr>
          <w:rFonts w:ascii="Times New Roman" w:hAnsi="Times New Roman"/>
          <w:b/>
          <w:szCs w:val="21"/>
        </w:rPr>
        <w:t>.付款</w:t>
      </w:r>
      <w:bookmarkEnd w:id="128"/>
    </w:p>
    <w:p>
      <w:pPr>
        <w:adjustRightInd w:val="0"/>
        <w:snapToGrid w:val="0"/>
        <w:spacing w:line="440" w:lineRule="exact"/>
        <w:ind w:firstLine="420" w:firstLineChars="200"/>
        <w:rPr>
          <w:rFonts w:ascii="Times New Roman" w:hAnsi="Times New Roman"/>
          <w:szCs w:val="21"/>
          <w:u w:val="single"/>
        </w:rPr>
      </w:pPr>
      <w:r>
        <w:rPr>
          <w:rFonts w:hint="eastAsia" w:ascii="Times New Roman" w:hAnsi="Times New Roman"/>
          <w:szCs w:val="21"/>
        </w:rPr>
        <w:t>4</w:t>
      </w:r>
      <w:r>
        <w:rPr>
          <w:rFonts w:ascii="Times New Roman" w:hAnsi="Times New Roman"/>
          <w:szCs w:val="21"/>
        </w:rPr>
        <w:t>.1 付款方式</w:t>
      </w:r>
    </w:p>
    <w:p>
      <w:pPr>
        <w:adjustRightInd w:val="0"/>
        <w:snapToGrid w:val="0"/>
        <w:spacing w:line="440" w:lineRule="exact"/>
        <w:ind w:firstLine="420" w:firstLineChars="200"/>
        <w:rPr>
          <w:rFonts w:ascii="Times New Roman" w:hAnsi="Times New Roman"/>
          <w:sz w:val="18"/>
          <w:szCs w:val="21"/>
        </w:rPr>
      </w:pPr>
      <w:r>
        <w:rPr>
          <w:rFonts w:hint="eastAsia" w:ascii="Times New Roman" w:hAnsi="Times New Roman"/>
          <w:szCs w:val="21"/>
        </w:rPr>
        <w:t>乙方向甲方提供评估报告及经维稳部门备案的文件后的15个工作日内，甲方凭相关票据一次性付清。</w:t>
      </w:r>
    </w:p>
    <w:p>
      <w:pPr>
        <w:adjustRightInd w:val="0"/>
        <w:snapToGrid w:val="0"/>
        <w:spacing w:line="440" w:lineRule="exact"/>
        <w:ind w:firstLine="420" w:firstLineChars="200"/>
        <w:rPr>
          <w:rFonts w:ascii="Times New Roman" w:hAnsi="Times New Roman"/>
          <w:szCs w:val="21"/>
        </w:rPr>
      </w:pPr>
      <w:r>
        <w:rPr>
          <w:rFonts w:hint="eastAsia" w:ascii="Times New Roman" w:hAnsi="Times New Roman"/>
          <w:szCs w:val="21"/>
        </w:rPr>
        <w:t>4</w:t>
      </w:r>
      <w:r>
        <w:rPr>
          <w:rFonts w:ascii="Times New Roman" w:hAnsi="Times New Roman"/>
          <w:szCs w:val="21"/>
        </w:rPr>
        <w:t>.2 乙方应向甲方开具增值税专用发票。</w:t>
      </w:r>
    </w:p>
    <w:p>
      <w:pPr>
        <w:adjustRightInd w:val="0"/>
        <w:snapToGrid w:val="0"/>
        <w:spacing w:line="440" w:lineRule="exact"/>
        <w:ind w:firstLine="420" w:firstLineChars="200"/>
        <w:rPr>
          <w:rFonts w:ascii="Times New Roman" w:hAnsi="Times New Roman"/>
          <w:b/>
          <w:szCs w:val="21"/>
        </w:rPr>
      </w:pPr>
      <w:bookmarkStart w:id="129" w:name="_Toc4994_WPSOffice_Level1"/>
      <w:r>
        <w:rPr>
          <w:rFonts w:hint="eastAsia" w:ascii="Times New Roman" w:hAnsi="Times New Roman"/>
          <w:b/>
          <w:szCs w:val="21"/>
        </w:rPr>
        <w:t>5</w:t>
      </w:r>
      <w:r>
        <w:rPr>
          <w:rFonts w:ascii="Times New Roman" w:hAnsi="Times New Roman"/>
          <w:b/>
          <w:szCs w:val="21"/>
        </w:rPr>
        <w:t>.履约担保</w:t>
      </w:r>
      <w:bookmarkEnd w:id="129"/>
    </w:p>
    <w:p>
      <w:pPr>
        <w:adjustRightInd w:val="0"/>
        <w:snapToGrid w:val="0"/>
        <w:spacing w:line="440" w:lineRule="exact"/>
        <w:ind w:firstLine="420" w:firstLineChars="200"/>
        <w:rPr>
          <w:rFonts w:ascii="Times New Roman" w:hAnsi="Times New Roman"/>
          <w:szCs w:val="21"/>
        </w:rPr>
      </w:pPr>
      <w:r>
        <w:rPr>
          <w:rFonts w:ascii="Times New Roman" w:hAnsi="Times New Roman"/>
          <w:szCs w:val="21"/>
        </w:rPr>
        <w:t>无履约担保。</w:t>
      </w:r>
    </w:p>
    <w:p>
      <w:pPr>
        <w:adjustRightInd w:val="0"/>
        <w:snapToGrid w:val="0"/>
        <w:spacing w:line="440" w:lineRule="exact"/>
        <w:ind w:firstLine="420" w:firstLineChars="200"/>
        <w:rPr>
          <w:rFonts w:ascii="Times New Roman" w:hAnsi="Times New Roman"/>
          <w:b/>
          <w:szCs w:val="21"/>
        </w:rPr>
      </w:pPr>
      <w:bookmarkStart w:id="130" w:name="_Toc724_WPSOffice_Level1"/>
      <w:r>
        <w:rPr>
          <w:rFonts w:hint="eastAsia" w:ascii="Times New Roman" w:hAnsi="Times New Roman"/>
          <w:b/>
          <w:szCs w:val="21"/>
        </w:rPr>
        <w:t>6</w:t>
      </w:r>
      <w:r>
        <w:rPr>
          <w:rFonts w:ascii="Times New Roman" w:hAnsi="Times New Roman"/>
          <w:b/>
          <w:szCs w:val="21"/>
        </w:rPr>
        <w:t>.违约责任</w:t>
      </w:r>
      <w:bookmarkEnd w:id="130"/>
    </w:p>
    <w:p>
      <w:pPr>
        <w:adjustRightInd w:val="0"/>
        <w:snapToGrid w:val="0"/>
        <w:spacing w:line="440" w:lineRule="exact"/>
        <w:ind w:firstLine="420" w:firstLineChars="200"/>
        <w:rPr>
          <w:rFonts w:ascii="Times New Roman" w:hAnsi="Times New Roman"/>
          <w:szCs w:val="21"/>
        </w:rPr>
      </w:pPr>
      <w:r>
        <w:rPr>
          <w:rFonts w:hint="eastAsia" w:ascii="Times New Roman" w:hAnsi="Times New Roman"/>
          <w:szCs w:val="21"/>
        </w:rPr>
        <w:t>6</w:t>
      </w:r>
      <w:r>
        <w:rPr>
          <w:rFonts w:ascii="Times New Roman" w:hAnsi="Times New Roman"/>
          <w:szCs w:val="21"/>
        </w:rPr>
        <w:t>.1 乙方不履行本合同义务或者履行义务不符合约定的，甲方有权要求乙方承担继续履行、赔偿损失或支付违约金等违约责任。</w:t>
      </w:r>
    </w:p>
    <w:p>
      <w:pPr>
        <w:adjustRightInd w:val="0"/>
        <w:snapToGrid w:val="0"/>
        <w:spacing w:line="440" w:lineRule="exact"/>
        <w:ind w:firstLine="420" w:firstLineChars="200"/>
        <w:rPr>
          <w:rFonts w:ascii="Times New Roman" w:hAnsi="Times New Roman"/>
          <w:szCs w:val="21"/>
        </w:rPr>
      </w:pPr>
      <w:r>
        <w:rPr>
          <w:rFonts w:hint="eastAsia" w:ascii="Times New Roman" w:hAnsi="Times New Roman"/>
          <w:szCs w:val="21"/>
        </w:rPr>
        <w:t>6</w:t>
      </w:r>
      <w:r>
        <w:rPr>
          <w:rFonts w:ascii="Times New Roman" w:hAnsi="Times New Roman"/>
          <w:szCs w:val="21"/>
        </w:rPr>
        <w:t>.2 因乙方提供的服务或成果资料质量低劣引起返工或甲方不满的，给甲方造成损失时，乙方应继续完善服务工作及成果资料，并应赔偿甲方所遭受的损失。</w:t>
      </w:r>
    </w:p>
    <w:p>
      <w:pPr>
        <w:adjustRightInd w:val="0"/>
        <w:snapToGrid w:val="0"/>
        <w:spacing w:line="440" w:lineRule="exact"/>
        <w:ind w:firstLine="420" w:firstLineChars="200"/>
        <w:rPr>
          <w:rFonts w:ascii="Times New Roman" w:hAnsi="Times New Roman"/>
          <w:szCs w:val="21"/>
        </w:rPr>
      </w:pPr>
      <w:r>
        <w:rPr>
          <w:rFonts w:hint="eastAsia" w:ascii="Times New Roman" w:hAnsi="Times New Roman"/>
          <w:szCs w:val="21"/>
        </w:rPr>
        <w:t>6</w:t>
      </w:r>
      <w:r>
        <w:rPr>
          <w:rFonts w:ascii="Times New Roman" w:hAnsi="Times New Roman"/>
          <w:szCs w:val="21"/>
        </w:rPr>
        <w:t>.3 由于乙方原因造成服务不合格或延误的，乙方除负责采取补救措施外，应免收损失部分对应的合同价款，并应根据损失程度向甲方支付赔偿金。</w:t>
      </w:r>
    </w:p>
    <w:p>
      <w:pPr>
        <w:adjustRightInd w:val="0"/>
        <w:snapToGrid w:val="0"/>
        <w:spacing w:line="440" w:lineRule="exact"/>
        <w:ind w:firstLine="420" w:firstLineChars="200"/>
        <w:rPr>
          <w:rFonts w:ascii="Times New Roman" w:hAnsi="Times New Roman"/>
          <w:szCs w:val="21"/>
        </w:rPr>
      </w:pPr>
      <w:r>
        <w:rPr>
          <w:rFonts w:hint="eastAsia" w:ascii="Times New Roman" w:hAnsi="Times New Roman"/>
          <w:szCs w:val="21"/>
        </w:rPr>
        <w:t>6</w:t>
      </w:r>
      <w:r>
        <w:rPr>
          <w:rFonts w:ascii="Times New Roman" w:hAnsi="Times New Roman"/>
          <w:szCs w:val="21"/>
        </w:rPr>
        <w:t>.4 乙方未经甲方批准，擅自转让本项目服务工作的，应当向甲方支付合同价格</w:t>
      </w:r>
      <w:r>
        <w:rPr>
          <w:rFonts w:ascii="Times New Roman" w:hAnsi="Times New Roman"/>
          <w:szCs w:val="21"/>
          <w:u w:val="single"/>
        </w:rPr>
        <w:t xml:space="preserve"> 30 </w:t>
      </w:r>
      <w:r>
        <w:rPr>
          <w:rFonts w:ascii="Times New Roman" w:hAnsi="Times New Roman"/>
          <w:szCs w:val="21"/>
        </w:rPr>
        <w:t>%的违约金。</w:t>
      </w:r>
    </w:p>
    <w:p>
      <w:pPr>
        <w:adjustRightInd w:val="0"/>
        <w:snapToGrid w:val="0"/>
        <w:spacing w:line="440" w:lineRule="exact"/>
        <w:ind w:firstLine="420" w:firstLineChars="200"/>
        <w:rPr>
          <w:rFonts w:ascii="Times New Roman" w:hAnsi="Times New Roman"/>
          <w:szCs w:val="21"/>
        </w:rPr>
      </w:pPr>
      <w:r>
        <w:rPr>
          <w:rFonts w:hint="eastAsia" w:ascii="Times New Roman" w:hAnsi="Times New Roman"/>
          <w:szCs w:val="21"/>
        </w:rPr>
        <w:t>6</w:t>
      </w:r>
      <w:r>
        <w:rPr>
          <w:rFonts w:ascii="Times New Roman" w:hAnsi="Times New Roman"/>
          <w:szCs w:val="21"/>
        </w:rPr>
        <w:t>.5 乙方未按合同约定履行合同义务，经甲方合理催告在限定时间内仍未纠正的，甲方有权书面通知乙方终止合同；合同提前终止的，甲方有权拒绝支付任何费用，且乙方应向甲方支付相当于合同价格</w:t>
      </w:r>
      <w:r>
        <w:rPr>
          <w:rFonts w:ascii="Times New Roman" w:hAnsi="Times New Roman"/>
          <w:szCs w:val="21"/>
          <w:u w:val="single"/>
        </w:rPr>
        <w:t xml:space="preserve"> 30 </w:t>
      </w:r>
      <w:r>
        <w:rPr>
          <w:rFonts w:ascii="Times New Roman" w:hAnsi="Times New Roman"/>
          <w:szCs w:val="21"/>
        </w:rPr>
        <w:t>%的违约金。</w:t>
      </w:r>
    </w:p>
    <w:p>
      <w:pPr>
        <w:adjustRightInd w:val="0"/>
        <w:snapToGrid w:val="0"/>
        <w:spacing w:line="440" w:lineRule="exact"/>
        <w:ind w:firstLine="420" w:firstLineChars="200"/>
        <w:rPr>
          <w:rFonts w:ascii="Times New Roman" w:hAnsi="Times New Roman"/>
          <w:szCs w:val="21"/>
        </w:rPr>
      </w:pPr>
      <w:r>
        <w:rPr>
          <w:rFonts w:hint="eastAsia" w:ascii="Times New Roman" w:hAnsi="Times New Roman"/>
          <w:szCs w:val="21"/>
        </w:rPr>
        <w:t>6</w:t>
      </w:r>
      <w:r>
        <w:rPr>
          <w:rFonts w:ascii="Times New Roman" w:hAnsi="Times New Roman"/>
          <w:szCs w:val="21"/>
        </w:rPr>
        <w:t>.6 乙方按合同约定应支付的违约金低于给甲方造成的损失的，还应就差额部分向甲方进行赔偿。</w:t>
      </w:r>
    </w:p>
    <w:p>
      <w:pPr>
        <w:tabs>
          <w:tab w:val="left" w:pos="3525"/>
        </w:tabs>
        <w:adjustRightInd w:val="0"/>
        <w:snapToGrid w:val="0"/>
        <w:spacing w:line="440" w:lineRule="exact"/>
        <w:ind w:firstLine="420" w:firstLineChars="200"/>
        <w:rPr>
          <w:rFonts w:ascii="Times New Roman" w:hAnsi="Times New Roman"/>
          <w:szCs w:val="21"/>
        </w:rPr>
      </w:pPr>
      <w:bookmarkStart w:id="131" w:name="_Toc1629_WPSOffice_Level1"/>
      <w:r>
        <w:rPr>
          <w:rFonts w:hint="eastAsia" w:ascii="Times New Roman" w:hAnsi="Times New Roman"/>
          <w:b/>
          <w:szCs w:val="21"/>
        </w:rPr>
        <w:t>7</w:t>
      </w:r>
      <w:r>
        <w:rPr>
          <w:rFonts w:ascii="Times New Roman" w:hAnsi="Times New Roman"/>
          <w:b/>
          <w:szCs w:val="21"/>
        </w:rPr>
        <w:t>、甲方的权利和义务</w:t>
      </w:r>
      <w:bookmarkEnd w:id="131"/>
    </w:p>
    <w:p>
      <w:pPr>
        <w:adjustRightInd w:val="0"/>
        <w:snapToGrid w:val="0"/>
        <w:spacing w:line="440" w:lineRule="exact"/>
        <w:ind w:firstLine="420" w:firstLineChars="200"/>
        <w:rPr>
          <w:rFonts w:ascii="Times New Roman" w:hAnsi="Times New Roman"/>
          <w:szCs w:val="21"/>
        </w:rPr>
      </w:pPr>
      <w:r>
        <w:rPr>
          <w:rFonts w:hint="eastAsia" w:ascii="Times New Roman" w:hAnsi="Times New Roman"/>
          <w:szCs w:val="21"/>
        </w:rPr>
        <w:t>7</w:t>
      </w:r>
      <w:r>
        <w:rPr>
          <w:rFonts w:ascii="Times New Roman" w:hAnsi="Times New Roman"/>
          <w:szCs w:val="21"/>
        </w:rPr>
        <w:t>.1 按合同约定向</w:t>
      </w:r>
      <w:r>
        <w:rPr>
          <w:rFonts w:hint="eastAsia" w:ascii="Times New Roman" w:hAnsi="Times New Roman"/>
          <w:szCs w:val="21"/>
        </w:rPr>
        <w:t>足额向</w:t>
      </w:r>
      <w:r>
        <w:rPr>
          <w:rFonts w:ascii="Times New Roman" w:hAnsi="Times New Roman"/>
          <w:szCs w:val="21"/>
        </w:rPr>
        <w:t>乙方支付费用。</w:t>
      </w:r>
    </w:p>
    <w:p>
      <w:pPr>
        <w:adjustRightInd w:val="0"/>
        <w:snapToGrid w:val="0"/>
        <w:spacing w:line="440" w:lineRule="exact"/>
        <w:ind w:firstLine="420" w:firstLineChars="200"/>
        <w:rPr>
          <w:rFonts w:ascii="Times New Roman" w:hAnsi="Times New Roman"/>
          <w:szCs w:val="21"/>
        </w:rPr>
      </w:pPr>
      <w:r>
        <w:rPr>
          <w:rFonts w:hint="eastAsia" w:ascii="Times New Roman" w:hAnsi="Times New Roman"/>
          <w:szCs w:val="21"/>
        </w:rPr>
        <w:t>7</w:t>
      </w:r>
      <w:r>
        <w:rPr>
          <w:rFonts w:ascii="Times New Roman" w:hAnsi="Times New Roman"/>
          <w:szCs w:val="21"/>
        </w:rPr>
        <w:t>.2 负责向乙方提供必要的资料。</w:t>
      </w:r>
      <w:r>
        <w:rPr>
          <w:rFonts w:hint="eastAsia" w:ascii="Times New Roman" w:hAnsi="Times New Roman"/>
          <w:szCs w:val="21"/>
        </w:rPr>
        <w:t>若因甲方提供虚假或无效的资料信息而造成乙方出具的报告有失真实性，则甲方承担由此带来的一切后果和损失。</w:t>
      </w:r>
    </w:p>
    <w:p>
      <w:pPr>
        <w:adjustRightInd w:val="0"/>
        <w:snapToGrid w:val="0"/>
        <w:spacing w:line="440" w:lineRule="exact"/>
        <w:ind w:firstLine="420" w:firstLineChars="200"/>
        <w:rPr>
          <w:rFonts w:ascii="Times New Roman" w:hAnsi="Times New Roman"/>
          <w:szCs w:val="21"/>
        </w:rPr>
      </w:pPr>
      <w:r>
        <w:rPr>
          <w:rFonts w:hint="eastAsia" w:ascii="Times New Roman" w:hAnsi="Times New Roman"/>
          <w:szCs w:val="21"/>
        </w:rPr>
        <w:t>7</w:t>
      </w:r>
      <w:r>
        <w:rPr>
          <w:rFonts w:ascii="Times New Roman" w:hAnsi="Times New Roman"/>
          <w:szCs w:val="21"/>
        </w:rPr>
        <w:t xml:space="preserve">.3 </w:t>
      </w:r>
      <w:r>
        <w:rPr>
          <w:rFonts w:hint="eastAsia" w:ascii="Times New Roman" w:hAnsi="Times New Roman"/>
          <w:szCs w:val="21"/>
        </w:rPr>
        <w:t>甲方应指定专人作为本项目的联络人协助乙方工作。同时</w:t>
      </w:r>
      <w:r>
        <w:rPr>
          <w:rFonts w:ascii="Times New Roman" w:hAnsi="Times New Roman"/>
          <w:szCs w:val="21"/>
        </w:rPr>
        <w:t>对乙方的服务质量及时进行监督检查，对存在的问题要求乙方及时整改。</w:t>
      </w:r>
    </w:p>
    <w:p>
      <w:pPr>
        <w:tabs>
          <w:tab w:val="left" w:pos="3525"/>
        </w:tabs>
        <w:adjustRightInd w:val="0"/>
        <w:snapToGrid w:val="0"/>
        <w:spacing w:line="440" w:lineRule="exact"/>
        <w:ind w:firstLine="420" w:firstLineChars="200"/>
        <w:rPr>
          <w:rFonts w:ascii="Times New Roman" w:hAnsi="Times New Roman"/>
          <w:b/>
          <w:szCs w:val="21"/>
        </w:rPr>
      </w:pPr>
      <w:bookmarkStart w:id="132" w:name="_Toc26852_WPSOffice_Level1"/>
      <w:r>
        <w:rPr>
          <w:rFonts w:hint="eastAsia" w:ascii="Times New Roman" w:hAnsi="Times New Roman"/>
          <w:b/>
          <w:szCs w:val="21"/>
        </w:rPr>
        <w:t>8</w:t>
      </w:r>
      <w:r>
        <w:rPr>
          <w:rFonts w:ascii="Times New Roman" w:hAnsi="Times New Roman"/>
          <w:b/>
          <w:szCs w:val="21"/>
        </w:rPr>
        <w:t>、乙方的权利和义务</w:t>
      </w:r>
      <w:bookmarkEnd w:id="132"/>
    </w:p>
    <w:p>
      <w:pPr>
        <w:adjustRightInd w:val="0"/>
        <w:snapToGrid w:val="0"/>
        <w:spacing w:line="440" w:lineRule="exact"/>
        <w:ind w:firstLine="420" w:firstLineChars="200"/>
        <w:rPr>
          <w:rFonts w:ascii="Times New Roman" w:hAnsi="Times New Roman"/>
          <w:szCs w:val="21"/>
        </w:rPr>
      </w:pPr>
      <w:r>
        <w:rPr>
          <w:rFonts w:hint="eastAsia" w:ascii="Times New Roman" w:hAnsi="Times New Roman"/>
          <w:szCs w:val="21"/>
        </w:rPr>
        <w:t>8.1 乙方按政府有关社会稳定风险评估要求进行评估，并出具符合国家部门相关规定的评估报告</w:t>
      </w:r>
    </w:p>
    <w:p>
      <w:pPr>
        <w:adjustRightInd w:val="0"/>
        <w:snapToGrid w:val="0"/>
        <w:spacing w:line="440" w:lineRule="exact"/>
        <w:ind w:firstLine="420" w:firstLineChars="200"/>
        <w:rPr>
          <w:rFonts w:ascii="Times New Roman" w:hAnsi="Times New Roman"/>
          <w:szCs w:val="21"/>
        </w:rPr>
      </w:pPr>
      <w:r>
        <w:rPr>
          <w:rFonts w:hint="eastAsia" w:ascii="Times New Roman" w:hAnsi="Times New Roman"/>
          <w:szCs w:val="21"/>
        </w:rPr>
        <w:t>8.2 项目成果应具备科学性、专业性、时效性。本项目出具的社会稳定风险评估报告知识产权归乙方所有，甲方可在业务范围内使用该报告。</w:t>
      </w:r>
    </w:p>
    <w:p>
      <w:pPr>
        <w:adjustRightInd w:val="0"/>
        <w:snapToGrid w:val="0"/>
        <w:spacing w:line="440" w:lineRule="exact"/>
        <w:ind w:firstLine="420" w:firstLineChars="200"/>
        <w:rPr>
          <w:rFonts w:ascii="Times New Roman" w:hAnsi="Times New Roman"/>
          <w:szCs w:val="21"/>
        </w:rPr>
      </w:pPr>
      <w:r>
        <w:rPr>
          <w:rFonts w:hint="eastAsia" w:ascii="Times New Roman" w:hAnsi="Times New Roman"/>
          <w:szCs w:val="21"/>
        </w:rPr>
        <w:t>8.3乙方在收到甲方的资料时，将对所有资料进行保密管理，未经甲方许可，不向第三方泄露，如有泄露，承担一切责任。</w:t>
      </w:r>
    </w:p>
    <w:p>
      <w:pPr>
        <w:tabs>
          <w:tab w:val="left" w:pos="3525"/>
        </w:tabs>
        <w:adjustRightInd w:val="0"/>
        <w:snapToGrid w:val="0"/>
        <w:spacing w:line="440" w:lineRule="exact"/>
        <w:ind w:firstLine="420" w:firstLineChars="200"/>
        <w:rPr>
          <w:rFonts w:ascii="Times New Roman" w:hAnsi="Times New Roman"/>
          <w:b/>
          <w:szCs w:val="21"/>
        </w:rPr>
      </w:pPr>
      <w:bookmarkStart w:id="133" w:name="_Toc15263_WPSOffice_Level1"/>
      <w:r>
        <w:rPr>
          <w:rFonts w:hint="eastAsia" w:ascii="Times New Roman" w:hAnsi="Times New Roman"/>
          <w:b/>
          <w:szCs w:val="21"/>
        </w:rPr>
        <w:t>9</w:t>
      </w:r>
      <w:r>
        <w:rPr>
          <w:rFonts w:ascii="Times New Roman" w:hAnsi="Times New Roman"/>
          <w:b/>
          <w:szCs w:val="21"/>
        </w:rPr>
        <w:t>、争议的解决</w:t>
      </w:r>
      <w:bookmarkEnd w:id="133"/>
      <w:r>
        <w:rPr>
          <w:rFonts w:ascii="Times New Roman" w:hAnsi="Times New Roman"/>
          <w:b/>
          <w:szCs w:val="21"/>
        </w:rPr>
        <w:tab/>
      </w:r>
    </w:p>
    <w:p>
      <w:pPr>
        <w:adjustRightInd w:val="0"/>
        <w:snapToGrid w:val="0"/>
        <w:spacing w:line="440" w:lineRule="exact"/>
        <w:ind w:firstLine="420" w:firstLineChars="200"/>
        <w:rPr>
          <w:rFonts w:ascii="Times New Roman" w:hAnsi="Times New Roman"/>
          <w:szCs w:val="21"/>
        </w:rPr>
      </w:pPr>
      <w:r>
        <w:rPr>
          <w:rFonts w:ascii="Times New Roman" w:hAnsi="Times New Roman"/>
        </w:rPr>
        <w:t>本合同发生争议，由当事人双方协商解决。若经过协商仍不能达成一致时，则通过向甲方所在地人民法院诉讼解决纠纷。</w:t>
      </w:r>
      <w:r>
        <w:rPr>
          <w:rFonts w:hint="eastAsia" w:ascii="Times New Roman" w:hAnsi="Times New Roman"/>
        </w:rPr>
        <w:t>甲方所在地为安徽省</w:t>
      </w:r>
      <w:r>
        <w:rPr>
          <w:rFonts w:hint="eastAsia" w:ascii="Times New Roman" w:hAnsi="Times New Roman"/>
          <w:lang w:val="en-US" w:eastAsia="zh-CN"/>
        </w:rPr>
        <w:t>亳州</w:t>
      </w:r>
      <w:r>
        <w:rPr>
          <w:rFonts w:hint="eastAsia" w:ascii="Times New Roman" w:hAnsi="Times New Roman"/>
        </w:rPr>
        <w:t>市。</w:t>
      </w:r>
    </w:p>
    <w:p>
      <w:pPr>
        <w:pStyle w:val="9"/>
        <w:rPr>
          <w:rFonts w:ascii="Times New Roman" w:hAnsi="Times New Roman"/>
        </w:rPr>
      </w:pPr>
    </w:p>
    <w:p>
      <w:pPr>
        <w:rPr>
          <w:rFonts w:ascii="Times New Roman" w:hAnsi="Times New Roman"/>
          <w:b/>
          <w:bCs/>
          <w:sz w:val="22"/>
        </w:rPr>
      </w:pPr>
      <w:bookmarkStart w:id="134" w:name="_Toc144974827"/>
      <w:bookmarkStart w:id="135" w:name="_Toc6271_WPSOffice_Level2"/>
      <w:bookmarkStart w:id="136" w:name="_Toc21281"/>
      <w:bookmarkStart w:id="137" w:name="_Toc11316"/>
      <w:bookmarkStart w:id="138" w:name="_Toc179632786"/>
      <w:bookmarkStart w:id="139" w:name="_Toc152045768"/>
      <w:bookmarkStart w:id="140" w:name="_Toc14663"/>
      <w:bookmarkStart w:id="141" w:name="_Toc7456"/>
      <w:bookmarkStart w:id="142" w:name="_Toc152042547"/>
      <w:r>
        <w:rPr>
          <w:rFonts w:ascii="Times New Roman" w:hAnsi="Times New Roman"/>
          <w:b/>
          <w:bCs/>
          <w:sz w:val="22"/>
        </w:rPr>
        <w:br w:type="page"/>
      </w:r>
    </w:p>
    <w:p>
      <w:pPr>
        <w:keepNext/>
        <w:keepLines/>
        <w:spacing w:before="120" w:line="440" w:lineRule="exact"/>
        <w:outlineLvl w:val="1"/>
        <w:rPr>
          <w:rFonts w:ascii="Times New Roman" w:hAnsi="Times New Roman"/>
          <w:b/>
          <w:bCs/>
          <w:sz w:val="22"/>
        </w:rPr>
      </w:pPr>
      <w:bookmarkStart w:id="143" w:name="_Toc12634_WPSOffice_Level1"/>
      <w:r>
        <w:rPr>
          <w:rFonts w:ascii="Times New Roman" w:hAnsi="Times New Roman"/>
          <w:b/>
          <w:bCs/>
          <w:sz w:val="22"/>
        </w:rPr>
        <w:t>附件一：合同协议书</w:t>
      </w:r>
      <w:bookmarkEnd w:id="134"/>
      <w:bookmarkEnd w:id="135"/>
      <w:bookmarkEnd w:id="136"/>
      <w:bookmarkEnd w:id="137"/>
      <w:bookmarkEnd w:id="138"/>
      <w:bookmarkEnd w:id="139"/>
      <w:bookmarkEnd w:id="140"/>
      <w:bookmarkEnd w:id="141"/>
      <w:bookmarkEnd w:id="142"/>
      <w:bookmarkEnd w:id="143"/>
    </w:p>
    <w:p>
      <w:pPr>
        <w:pStyle w:val="9"/>
        <w:jc w:val="center"/>
        <w:rPr>
          <w:rFonts w:ascii="Times New Roman" w:hAnsi="Times New Roman"/>
        </w:rPr>
      </w:pPr>
      <w:r>
        <w:rPr>
          <w:rFonts w:ascii="Times New Roman" w:hAnsi="Times New Roman"/>
          <w:sz w:val="22"/>
          <w:szCs w:val="21"/>
        </w:rPr>
        <w:t>合同协议书</w:t>
      </w:r>
    </w:p>
    <w:p>
      <w:pPr>
        <w:snapToGrid w:val="0"/>
        <w:spacing w:line="360" w:lineRule="auto"/>
        <w:ind w:firstLine="420" w:firstLineChars="200"/>
        <w:rPr>
          <w:rFonts w:ascii="Times New Roman" w:hAnsi="Times New Roman"/>
        </w:rPr>
      </w:pPr>
      <w:r>
        <w:rPr>
          <w:rFonts w:ascii="Times New Roman" w:hAnsi="Times New Roman"/>
        </w:rPr>
        <w:t>本协议书由______________（下称“甲方”）为一方，与</w:t>
      </w:r>
      <w:r>
        <w:rPr>
          <w:rFonts w:ascii="Times New Roman" w:hAnsi="Times New Roman"/>
          <w:u w:val="single"/>
        </w:rPr>
        <w:t xml:space="preserve"> </w:t>
      </w:r>
      <w:r>
        <w:rPr>
          <w:rFonts w:hint="eastAsia" w:ascii="Times New Roman" w:hAnsi="Times New Roman"/>
          <w:u w:val="single"/>
          <w:lang w:val="en-US" w:eastAsia="zh-CN"/>
        </w:rPr>
        <w:t xml:space="preserve">           </w:t>
      </w:r>
      <w:r>
        <w:rPr>
          <w:rFonts w:ascii="Times New Roman" w:hAnsi="Times New Roman"/>
        </w:rPr>
        <w:t>（下称“乙方”）共同订立。</w:t>
      </w:r>
    </w:p>
    <w:p>
      <w:pPr>
        <w:snapToGrid w:val="0"/>
        <w:spacing w:line="360" w:lineRule="auto"/>
        <w:ind w:firstLine="420" w:firstLineChars="200"/>
        <w:rPr>
          <w:rFonts w:ascii="Times New Roman" w:hAnsi="Times New Roman"/>
        </w:rPr>
      </w:pPr>
      <w:r>
        <w:rPr>
          <w:rFonts w:ascii="Times New Roman" w:hAnsi="Times New Roman"/>
        </w:rPr>
        <w:t>鉴于甲方已委托乙方为并已接受了乙方就此提出的报价，以明确双方在合同期间的义务、责任、权力和利益，兹就以下事项达成协议：</w:t>
      </w:r>
    </w:p>
    <w:p>
      <w:pPr>
        <w:snapToGrid w:val="0"/>
        <w:spacing w:line="360" w:lineRule="auto"/>
        <w:ind w:firstLine="420" w:firstLineChars="200"/>
        <w:rPr>
          <w:rFonts w:ascii="Times New Roman" w:hAnsi="Times New Roman"/>
        </w:rPr>
      </w:pPr>
      <w:r>
        <w:rPr>
          <w:rFonts w:ascii="Times New Roman" w:hAnsi="Times New Roman"/>
        </w:rPr>
        <w:t>1. 本协议书中的词句和用语与合同条款所规定的定义相同。</w:t>
      </w:r>
    </w:p>
    <w:p>
      <w:pPr>
        <w:snapToGrid w:val="0"/>
        <w:spacing w:line="360" w:lineRule="auto"/>
        <w:ind w:firstLine="420" w:firstLineChars="200"/>
        <w:rPr>
          <w:rFonts w:ascii="Times New Roman" w:hAnsi="Times New Roman"/>
        </w:rPr>
      </w:pPr>
      <w:r>
        <w:rPr>
          <w:rFonts w:ascii="Times New Roman" w:hAnsi="Times New Roman"/>
        </w:rPr>
        <w:t>2. 下列文件是本协议书的组成部分，应作为协议书的有效内容予以遵守和执行。</w:t>
      </w:r>
    </w:p>
    <w:p>
      <w:pPr>
        <w:snapToGrid w:val="0"/>
        <w:spacing w:line="360" w:lineRule="auto"/>
        <w:ind w:firstLine="420" w:firstLineChars="200"/>
        <w:rPr>
          <w:rFonts w:ascii="Times New Roman" w:hAnsi="Times New Roman"/>
        </w:rPr>
      </w:pPr>
      <w:r>
        <w:rPr>
          <w:rFonts w:ascii="Times New Roman" w:hAnsi="Times New Roman"/>
        </w:rPr>
        <w:t>（1）本合同协议书及各种合同附件；</w:t>
      </w:r>
    </w:p>
    <w:p>
      <w:pPr>
        <w:snapToGrid w:val="0"/>
        <w:spacing w:line="360" w:lineRule="auto"/>
        <w:ind w:firstLine="420" w:firstLineChars="200"/>
        <w:rPr>
          <w:rFonts w:ascii="Times New Roman" w:hAnsi="Times New Roman"/>
        </w:rPr>
      </w:pPr>
      <w:r>
        <w:rPr>
          <w:rFonts w:ascii="Times New Roman" w:hAnsi="Times New Roman"/>
        </w:rPr>
        <w:t>（2）成交通知书；</w:t>
      </w:r>
    </w:p>
    <w:p>
      <w:pPr>
        <w:snapToGrid w:val="0"/>
        <w:spacing w:line="360" w:lineRule="auto"/>
        <w:ind w:firstLine="420" w:firstLineChars="200"/>
        <w:rPr>
          <w:rFonts w:ascii="Times New Roman" w:hAnsi="Times New Roman"/>
        </w:rPr>
      </w:pPr>
      <w:r>
        <w:rPr>
          <w:rFonts w:ascii="Times New Roman" w:hAnsi="Times New Roman"/>
        </w:rPr>
        <w:t>（3）报价函；</w:t>
      </w:r>
    </w:p>
    <w:p>
      <w:pPr>
        <w:snapToGrid w:val="0"/>
        <w:spacing w:line="360" w:lineRule="auto"/>
        <w:ind w:firstLine="420" w:firstLineChars="200"/>
        <w:rPr>
          <w:rFonts w:ascii="Times New Roman" w:hAnsi="Times New Roman"/>
        </w:rPr>
      </w:pPr>
      <w:r>
        <w:rPr>
          <w:rFonts w:ascii="Times New Roman" w:hAnsi="Times New Roman"/>
        </w:rPr>
        <w:t>（4）合同条款；</w:t>
      </w:r>
    </w:p>
    <w:p>
      <w:pPr>
        <w:snapToGrid w:val="0"/>
        <w:spacing w:line="360" w:lineRule="auto"/>
        <w:ind w:firstLine="420" w:firstLineChars="200"/>
        <w:rPr>
          <w:rFonts w:ascii="Times New Roman" w:hAnsi="Times New Roman"/>
        </w:rPr>
      </w:pPr>
      <w:r>
        <w:rPr>
          <w:rFonts w:ascii="Times New Roman" w:hAnsi="Times New Roman"/>
        </w:rPr>
        <w:t>（5）采购需求；</w:t>
      </w:r>
    </w:p>
    <w:p>
      <w:pPr>
        <w:snapToGrid w:val="0"/>
        <w:spacing w:line="360" w:lineRule="auto"/>
        <w:ind w:firstLine="420" w:firstLineChars="200"/>
        <w:rPr>
          <w:rFonts w:ascii="Times New Roman" w:hAnsi="Times New Roman"/>
        </w:rPr>
      </w:pPr>
      <w:r>
        <w:rPr>
          <w:rFonts w:ascii="Times New Roman" w:hAnsi="Times New Roman"/>
        </w:rPr>
        <w:t>（6）已标价的报价清单；</w:t>
      </w:r>
    </w:p>
    <w:p>
      <w:pPr>
        <w:snapToGrid w:val="0"/>
        <w:spacing w:line="360" w:lineRule="auto"/>
        <w:ind w:firstLine="420" w:firstLineChars="200"/>
        <w:rPr>
          <w:rFonts w:ascii="Times New Roman" w:hAnsi="Times New Roman"/>
        </w:rPr>
      </w:pPr>
      <w:r>
        <w:rPr>
          <w:rFonts w:ascii="Times New Roman" w:hAnsi="Times New Roman"/>
        </w:rPr>
        <w:t>（7）构成本合同组成部分的其他文件。</w:t>
      </w:r>
    </w:p>
    <w:p>
      <w:pPr>
        <w:snapToGrid w:val="0"/>
        <w:spacing w:line="360" w:lineRule="auto"/>
        <w:ind w:firstLine="420" w:firstLineChars="200"/>
        <w:rPr>
          <w:rFonts w:ascii="Times New Roman" w:hAnsi="Times New Roman"/>
        </w:rPr>
      </w:pPr>
      <w:r>
        <w:rPr>
          <w:rFonts w:ascii="Times New Roman" w:hAnsi="Times New Roman"/>
        </w:rPr>
        <w:t>上述文件将互相补充，若有不明确或不一致之处，以上列次序在先者为准。</w:t>
      </w:r>
    </w:p>
    <w:p>
      <w:pPr>
        <w:snapToGrid w:val="0"/>
        <w:spacing w:line="360" w:lineRule="auto"/>
        <w:ind w:firstLine="420" w:firstLineChars="200"/>
        <w:rPr>
          <w:rFonts w:ascii="Times New Roman" w:hAnsi="Times New Roman"/>
        </w:rPr>
      </w:pPr>
      <w:r>
        <w:rPr>
          <w:rFonts w:ascii="Times New Roman" w:hAnsi="Times New Roman"/>
        </w:rPr>
        <w:t xml:space="preserve">3. </w:t>
      </w:r>
      <w:r>
        <w:rPr>
          <w:rFonts w:ascii="Times New Roman" w:hAnsi="Times New Roman"/>
          <w:szCs w:val="21"/>
        </w:rPr>
        <w:t>根据报价清单所列的预计数量和单价或总额价计算的签约合同价：人民币（大写）（￥）。</w:t>
      </w:r>
    </w:p>
    <w:p>
      <w:pPr>
        <w:snapToGrid w:val="0"/>
        <w:spacing w:line="360" w:lineRule="auto"/>
        <w:ind w:firstLine="420" w:firstLineChars="200"/>
        <w:rPr>
          <w:rFonts w:ascii="Times New Roman" w:hAnsi="Times New Roman"/>
        </w:rPr>
      </w:pPr>
      <w:r>
        <w:rPr>
          <w:rFonts w:ascii="Times New Roman" w:hAnsi="Times New Roman"/>
        </w:rPr>
        <w:t>4. 甲方在此同意按照本合同规定的期限和方式，向乙方支付根据合同规定应支付的费用和提供工作条件。</w:t>
      </w:r>
    </w:p>
    <w:p>
      <w:pPr>
        <w:snapToGrid w:val="0"/>
        <w:spacing w:line="360" w:lineRule="auto"/>
        <w:ind w:firstLine="420" w:firstLineChars="200"/>
        <w:rPr>
          <w:rFonts w:ascii="Times New Roman" w:hAnsi="Times New Roman"/>
        </w:rPr>
      </w:pPr>
      <w:r>
        <w:rPr>
          <w:rFonts w:ascii="Times New Roman" w:hAnsi="Times New Roman"/>
        </w:rPr>
        <w:t>5. 乙方基于甲方的上述保证，在此向甲方承诺按照本合同的规定履行相关服务。</w:t>
      </w:r>
    </w:p>
    <w:p>
      <w:pPr>
        <w:snapToGrid w:val="0"/>
        <w:spacing w:line="360" w:lineRule="auto"/>
        <w:ind w:firstLine="420" w:firstLineChars="200"/>
        <w:rPr>
          <w:rFonts w:ascii="Times New Roman" w:hAnsi="Times New Roman"/>
        </w:rPr>
      </w:pPr>
      <w:r>
        <w:rPr>
          <w:rFonts w:ascii="Times New Roman" w:hAnsi="Times New Roman"/>
        </w:rPr>
        <w:t xml:space="preserve">6. </w:t>
      </w:r>
      <w:r>
        <w:rPr>
          <w:rFonts w:ascii="Times New Roman" w:hAnsi="Times New Roman"/>
          <w:szCs w:val="21"/>
        </w:rPr>
        <w:t>本协议书在乙方提供履约担保后，由双方法定代表人或其委托代理人签署并加盖单位章后生效。全部工作完成并经甲方验收通过后失效。</w:t>
      </w:r>
    </w:p>
    <w:p>
      <w:pPr>
        <w:snapToGrid w:val="0"/>
        <w:spacing w:line="360" w:lineRule="auto"/>
        <w:ind w:firstLine="420" w:firstLineChars="200"/>
        <w:rPr>
          <w:rFonts w:ascii="Times New Roman" w:hAnsi="Times New Roman"/>
        </w:rPr>
      </w:pPr>
      <w:r>
        <w:rPr>
          <w:rFonts w:ascii="Times New Roman" w:hAnsi="Times New Roman"/>
        </w:rPr>
        <w:t xml:space="preserve">7. </w:t>
      </w:r>
      <w:r>
        <w:rPr>
          <w:rFonts w:ascii="Times New Roman" w:hAnsi="Times New Roman"/>
          <w:szCs w:val="21"/>
        </w:rPr>
        <w:t>本协议书正本二份、副本</w:t>
      </w:r>
      <w:r>
        <w:rPr>
          <w:rFonts w:hint="eastAsia" w:ascii="Times New Roman" w:hAnsi="Times New Roman"/>
          <w:szCs w:val="21"/>
          <w:lang w:val="en-US" w:eastAsia="zh-CN"/>
        </w:rPr>
        <w:t>二</w:t>
      </w:r>
      <w:r>
        <w:rPr>
          <w:rFonts w:ascii="Times New Roman" w:hAnsi="Times New Roman"/>
          <w:szCs w:val="21"/>
        </w:rPr>
        <w:t>份，合同双方各执正本一份，副本</w:t>
      </w:r>
      <w:r>
        <w:rPr>
          <w:rFonts w:hint="eastAsia" w:ascii="Times New Roman" w:hAnsi="Times New Roman"/>
          <w:szCs w:val="21"/>
          <w:lang w:val="en-US" w:eastAsia="zh-CN"/>
        </w:rPr>
        <w:t>二</w:t>
      </w:r>
      <w:r>
        <w:rPr>
          <w:rFonts w:ascii="Times New Roman" w:hAnsi="Times New Roman"/>
          <w:szCs w:val="21"/>
        </w:rPr>
        <w:t>份，当正本与副本的内容不一致时，以正本为准。</w:t>
      </w:r>
    </w:p>
    <w:p>
      <w:pPr>
        <w:snapToGrid w:val="0"/>
        <w:spacing w:line="360" w:lineRule="auto"/>
        <w:ind w:firstLine="420" w:firstLineChars="200"/>
        <w:rPr>
          <w:rFonts w:ascii="Times New Roman" w:hAnsi="Times New Roman"/>
        </w:rPr>
      </w:pPr>
      <w:r>
        <w:rPr>
          <w:rFonts w:ascii="Times New Roman" w:hAnsi="Times New Roman"/>
          <w:szCs w:val="21"/>
        </w:rPr>
        <w:t>8. 合同未尽事宜，双方另行签订补充协议。补充协议是合同的组成部分。</w:t>
      </w:r>
    </w:p>
    <w:p>
      <w:pPr>
        <w:spacing w:line="440" w:lineRule="exact"/>
        <w:rPr>
          <w:rFonts w:ascii="Times New Roman" w:hAnsi="Times New Roman"/>
          <w:szCs w:val="21"/>
        </w:rPr>
      </w:pPr>
    </w:p>
    <w:p>
      <w:pPr>
        <w:spacing w:line="440" w:lineRule="exact"/>
        <w:rPr>
          <w:rFonts w:ascii="Times New Roman" w:hAnsi="Times New Roman"/>
          <w:szCs w:val="21"/>
        </w:rPr>
      </w:pPr>
      <w:r>
        <w:rPr>
          <w:rFonts w:ascii="Times New Roman" w:hAnsi="Times New Roman"/>
          <w:szCs w:val="21"/>
        </w:rPr>
        <w:t xml:space="preserve">甲方： (盖单位章)     </w:t>
      </w:r>
      <w:r>
        <w:rPr>
          <w:rFonts w:hint="eastAsia" w:ascii="Times New Roman" w:hAnsi="Times New Roman"/>
          <w:szCs w:val="21"/>
          <w:lang w:val="en-US" w:eastAsia="zh-CN"/>
        </w:rPr>
        <w:t xml:space="preserve">             </w:t>
      </w:r>
      <w:r>
        <w:rPr>
          <w:rFonts w:ascii="Times New Roman" w:hAnsi="Times New Roman"/>
          <w:szCs w:val="21"/>
        </w:rPr>
        <w:t xml:space="preserve"> 乙方：(盖单位章)</w:t>
      </w:r>
    </w:p>
    <w:p>
      <w:pPr>
        <w:spacing w:line="440" w:lineRule="exact"/>
        <w:rPr>
          <w:rFonts w:ascii="Times New Roman" w:hAnsi="Times New Roman"/>
          <w:szCs w:val="21"/>
        </w:rPr>
      </w:pPr>
      <w:r>
        <w:rPr>
          <w:rFonts w:ascii="Times New Roman" w:hAnsi="Times New Roman"/>
          <w:szCs w:val="21"/>
        </w:rPr>
        <w:t xml:space="preserve">法定代表人或其委托代理人：(签名) </w:t>
      </w:r>
      <w:r>
        <w:rPr>
          <w:rFonts w:hint="eastAsia" w:ascii="Times New Roman" w:hAnsi="Times New Roman"/>
          <w:szCs w:val="21"/>
          <w:lang w:val="en-US" w:eastAsia="zh-CN"/>
        </w:rPr>
        <w:t xml:space="preserve">   </w:t>
      </w:r>
      <w:r>
        <w:rPr>
          <w:rFonts w:ascii="Times New Roman" w:hAnsi="Times New Roman"/>
          <w:szCs w:val="21"/>
        </w:rPr>
        <w:t xml:space="preserve"> 法定代表人或其委托代理人：(签名)</w:t>
      </w:r>
    </w:p>
    <w:p>
      <w:pPr>
        <w:spacing w:line="440" w:lineRule="exact"/>
        <w:rPr>
          <w:rFonts w:ascii="Times New Roman" w:hAnsi="Times New Roman"/>
          <w:szCs w:val="21"/>
        </w:rPr>
      </w:pPr>
    </w:p>
    <w:p>
      <w:pPr>
        <w:spacing w:line="440" w:lineRule="exact"/>
        <w:rPr>
          <w:rFonts w:ascii="Times New Roman" w:hAnsi="Times New Roman"/>
          <w:szCs w:val="21"/>
        </w:rPr>
      </w:pPr>
      <w:r>
        <w:rPr>
          <w:rFonts w:ascii="Times New Roman" w:hAnsi="Times New Roman"/>
          <w:szCs w:val="21"/>
        </w:rPr>
        <w:t xml:space="preserve">  </w:t>
      </w:r>
      <w:r>
        <w:rPr>
          <w:rFonts w:hint="eastAsia" w:ascii="Times New Roman" w:hAnsi="Times New Roman"/>
          <w:szCs w:val="21"/>
          <w:lang w:val="en-US" w:eastAsia="zh-CN"/>
        </w:rPr>
        <w:t xml:space="preserve">      </w:t>
      </w:r>
      <w:r>
        <w:rPr>
          <w:rFonts w:ascii="Times New Roman" w:hAnsi="Times New Roman"/>
          <w:szCs w:val="21"/>
        </w:rPr>
        <w:t xml:space="preserve">年   </w:t>
      </w:r>
      <w:r>
        <w:rPr>
          <w:rFonts w:hint="eastAsia" w:ascii="Times New Roman" w:hAnsi="Times New Roman"/>
          <w:szCs w:val="21"/>
          <w:lang w:val="en-US" w:eastAsia="zh-CN"/>
        </w:rPr>
        <w:t xml:space="preserve"> </w:t>
      </w:r>
      <w:r>
        <w:rPr>
          <w:rFonts w:ascii="Times New Roman" w:hAnsi="Times New Roman"/>
          <w:szCs w:val="21"/>
        </w:rPr>
        <w:t xml:space="preserve">  月      日           </w:t>
      </w:r>
      <w:r>
        <w:rPr>
          <w:rFonts w:hint="eastAsia" w:ascii="Times New Roman" w:hAnsi="Times New Roman"/>
          <w:szCs w:val="21"/>
          <w:lang w:val="en-US" w:eastAsia="zh-CN"/>
        </w:rPr>
        <w:t xml:space="preserve"> </w:t>
      </w:r>
      <w:r>
        <w:rPr>
          <w:rFonts w:ascii="Times New Roman" w:hAnsi="Times New Roman"/>
          <w:szCs w:val="21"/>
        </w:rPr>
        <w:t xml:space="preserve">       年       月       日</w:t>
      </w:r>
    </w:p>
    <w:p>
      <w:pPr>
        <w:rPr>
          <w:rFonts w:ascii="Times New Roman" w:hAnsi="Times New Roman"/>
          <w:u w:val="single"/>
        </w:rPr>
      </w:pPr>
      <w:r>
        <w:rPr>
          <w:rFonts w:ascii="Times New Roman" w:hAnsi="Times New Roman"/>
          <w:u w:val="single"/>
        </w:rPr>
        <w:br w:type="page"/>
      </w:r>
    </w:p>
    <w:p>
      <w:pPr>
        <w:keepNext/>
        <w:keepLines/>
        <w:spacing w:before="120" w:line="440" w:lineRule="exact"/>
        <w:outlineLvl w:val="1"/>
        <w:rPr>
          <w:rFonts w:ascii="Times New Roman" w:hAnsi="Times New Roman"/>
          <w:b/>
          <w:bCs/>
          <w:sz w:val="22"/>
        </w:rPr>
      </w:pPr>
      <w:bookmarkStart w:id="144" w:name="_Toc2101"/>
      <w:bookmarkStart w:id="145" w:name="_Toc22922"/>
      <w:bookmarkStart w:id="146" w:name="_Toc26302_WPSOffice_Level2"/>
      <w:bookmarkStart w:id="147" w:name="_Toc19928"/>
      <w:bookmarkStart w:id="148" w:name="_Toc17574"/>
      <w:bookmarkStart w:id="149" w:name="_Toc5140_WPSOffice_Level1"/>
      <w:r>
        <w:rPr>
          <w:rFonts w:ascii="Times New Roman" w:hAnsi="Times New Roman"/>
          <w:b/>
          <w:bCs/>
          <w:sz w:val="22"/>
        </w:rPr>
        <w:t>附件二：项目负责人委任书</w:t>
      </w:r>
      <w:bookmarkEnd w:id="144"/>
      <w:bookmarkEnd w:id="145"/>
      <w:bookmarkEnd w:id="146"/>
      <w:bookmarkEnd w:id="147"/>
      <w:bookmarkEnd w:id="148"/>
      <w:r>
        <w:rPr>
          <w:rFonts w:ascii="Times New Roman" w:hAnsi="Times New Roman"/>
          <w:b/>
          <w:bCs/>
          <w:sz w:val="22"/>
        </w:rPr>
        <w:t>（如有）</w:t>
      </w:r>
      <w:bookmarkEnd w:id="149"/>
    </w:p>
    <w:p>
      <w:pPr>
        <w:pStyle w:val="32"/>
        <w:spacing w:line="440" w:lineRule="exact"/>
        <w:rPr>
          <w:rFonts w:ascii="Times New Roman" w:hAnsi="Times New Roman" w:eastAsia="宋体"/>
          <w:sz w:val="22"/>
          <w:szCs w:val="21"/>
        </w:rPr>
      </w:pPr>
      <w:r>
        <w:rPr>
          <w:rFonts w:ascii="Times New Roman" w:hAnsi="Times New Roman" w:eastAsia="宋体"/>
          <w:sz w:val="22"/>
          <w:szCs w:val="21"/>
        </w:rPr>
        <w:t>(</w:t>
      </w:r>
      <w:r>
        <w:rPr>
          <w:rFonts w:ascii="Times New Roman" w:hAnsi="Times New Roman" w:eastAsia="宋体"/>
          <w:sz w:val="22"/>
          <w:szCs w:val="21"/>
          <w:u w:val="single"/>
        </w:rPr>
        <w:t>乙方全称</w:t>
      </w:r>
      <w:r>
        <w:rPr>
          <w:rFonts w:ascii="Times New Roman" w:hAnsi="Times New Roman" w:eastAsia="宋体"/>
          <w:sz w:val="22"/>
          <w:szCs w:val="21"/>
        </w:rPr>
        <w:t>)</w:t>
      </w:r>
    </w:p>
    <w:p>
      <w:pPr>
        <w:pStyle w:val="32"/>
        <w:spacing w:line="440" w:lineRule="exact"/>
        <w:rPr>
          <w:rFonts w:ascii="Times New Roman" w:hAnsi="Times New Roman" w:eastAsia="宋体"/>
          <w:sz w:val="21"/>
          <w:szCs w:val="21"/>
        </w:rPr>
      </w:pPr>
      <w:r>
        <w:rPr>
          <w:rFonts w:ascii="Times New Roman" w:hAnsi="Times New Roman" w:eastAsia="宋体"/>
          <w:sz w:val="22"/>
          <w:szCs w:val="21"/>
        </w:rPr>
        <w:t>(</w:t>
      </w:r>
      <w:r>
        <w:rPr>
          <w:rFonts w:ascii="Times New Roman" w:hAnsi="Times New Roman" w:eastAsia="宋体"/>
          <w:sz w:val="22"/>
          <w:szCs w:val="21"/>
          <w:u w:val="single"/>
        </w:rPr>
        <w:t>合同项目名称</w:t>
      </w:r>
      <w:r>
        <w:rPr>
          <w:rFonts w:ascii="Times New Roman" w:hAnsi="Times New Roman" w:eastAsia="宋体"/>
          <w:sz w:val="22"/>
          <w:szCs w:val="21"/>
        </w:rPr>
        <w:t>) 项目负责人委任书</w:t>
      </w:r>
    </w:p>
    <w:p>
      <w:pPr>
        <w:snapToGrid w:val="0"/>
        <w:spacing w:line="440" w:lineRule="exact"/>
        <w:ind w:firstLine="480"/>
        <w:rPr>
          <w:rFonts w:ascii="Times New Roman" w:hAnsi="Times New Roman"/>
          <w:szCs w:val="21"/>
        </w:rPr>
      </w:pPr>
    </w:p>
    <w:p>
      <w:pPr>
        <w:snapToGrid w:val="0"/>
        <w:spacing w:line="440" w:lineRule="exact"/>
        <w:ind w:firstLine="480"/>
        <w:rPr>
          <w:rFonts w:ascii="Times New Roman" w:hAnsi="Times New Roman"/>
          <w:szCs w:val="21"/>
        </w:rPr>
      </w:pPr>
    </w:p>
    <w:p>
      <w:pPr>
        <w:spacing w:line="440" w:lineRule="exact"/>
        <w:rPr>
          <w:rFonts w:ascii="Times New Roman" w:hAnsi="Times New Roman"/>
          <w:szCs w:val="21"/>
        </w:rPr>
      </w:pPr>
      <w:r>
        <w:rPr>
          <w:rFonts w:ascii="Times New Roman" w:hAnsi="Times New Roman"/>
          <w:szCs w:val="21"/>
        </w:rPr>
        <w:t>致：</w:t>
      </w:r>
      <w:r>
        <w:rPr>
          <w:rFonts w:ascii="Times New Roman" w:hAnsi="Times New Roman"/>
          <w:szCs w:val="21"/>
          <w:u w:val="single"/>
        </w:rPr>
        <w:t>(甲方全称)</w:t>
      </w:r>
    </w:p>
    <w:p>
      <w:pPr>
        <w:spacing w:line="440" w:lineRule="exact"/>
        <w:ind w:firstLine="539" w:firstLineChars="257"/>
        <w:rPr>
          <w:rFonts w:ascii="Times New Roman" w:hAnsi="Times New Roman"/>
          <w:szCs w:val="21"/>
        </w:rPr>
      </w:pPr>
      <w:r>
        <w:rPr>
          <w:rFonts w:ascii="Times New Roman" w:hAnsi="Times New Roman"/>
          <w:szCs w:val="21"/>
          <w:u w:val="single"/>
        </w:rPr>
        <w:t xml:space="preserve">(乙方全称) </w:t>
      </w:r>
      <w:r>
        <w:rPr>
          <w:rFonts w:ascii="Times New Roman" w:hAnsi="Times New Roman"/>
          <w:szCs w:val="21"/>
        </w:rPr>
        <w:t>法定代表人</w:t>
      </w:r>
      <w:r>
        <w:rPr>
          <w:rFonts w:ascii="Times New Roman" w:hAnsi="Times New Roman"/>
          <w:szCs w:val="21"/>
          <w:u w:val="single"/>
        </w:rPr>
        <w:t xml:space="preserve"> (职务、姓名) </w:t>
      </w:r>
      <w:r>
        <w:rPr>
          <w:rFonts w:ascii="Times New Roman" w:hAnsi="Times New Roman"/>
          <w:szCs w:val="21"/>
        </w:rPr>
        <w:t>代表本单位委任</w:t>
      </w:r>
      <w:r>
        <w:rPr>
          <w:rFonts w:ascii="Times New Roman" w:hAnsi="Times New Roman"/>
          <w:szCs w:val="21"/>
          <w:u w:val="single"/>
        </w:rPr>
        <w:t xml:space="preserve"> (职务、姓名) </w:t>
      </w:r>
      <w:r>
        <w:rPr>
          <w:rFonts w:ascii="Times New Roman" w:hAnsi="Times New Roman"/>
          <w:szCs w:val="21"/>
        </w:rPr>
        <w:t>为</w:t>
      </w:r>
      <w:r>
        <w:rPr>
          <w:rFonts w:ascii="Times New Roman" w:hAnsi="Times New Roman"/>
          <w:szCs w:val="21"/>
          <w:u w:val="single"/>
        </w:rPr>
        <w:t>(合同项目名称)</w:t>
      </w:r>
      <w:r>
        <w:rPr>
          <w:rFonts w:ascii="Times New Roman" w:hAnsi="Times New Roman"/>
          <w:szCs w:val="21"/>
        </w:rPr>
        <w:t>的项目负责人。凡本合同执行中的有关技术、进度、质量检验、结算与支付等方面工作，由</w:t>
      </w:r>
      <w:r>
        <w:rPr>
          <w:rFonts w:ascii="Times New Roman" w:hAnsi="Times New Roman"/>
          <w:szCs w:val="21"/>
          <w:u w:val="single"/>
        </w:rPr>
        <w:t xml:space="preserve">  (姓名) </w:t>
      </w:r>
      <w:r>
        <w:rPr>
          <w:rFonts w:ascii="Times New Roman" w:hAnsi="Times New Roman"/>
          <w:szCs w:val="21"/>
        </w:rPr>
        <w:t>代表本单位全面负责。</w:t>
      </w:r>
    </w:p>
    <w:p>
      <w:pPr>
        <w:spacing w:line="440" w:lineRule="exact"/>
        <w:ind w:firstLine="539" w:firstLineChars="257"/>
        <w:rPr>
          <w:rFonts w:ascii="Times New Roman" w:hAnsi="Times New Roman"/>
          <w:szCs w:val="21"/>
        </w:rPr>
      </w:pPr>
    </w:p>
    <w:p>
      <w:pPr>
        <w:snapToGrid w:val="0"/>
        <w:spacing w:line="440" w:lineRule="exact"/>
        <w:rPr>
          <w:rFonts w:ascii="Times New Roman" w:hAnsi="Times New Roman"/>
          <w:szCs w:val="21"/>
        </w:rPr>
      </w:pPr>
      <w:r>
        <w:rPr>
          <w:rFonts w:ascii="Times New Roman" w:hAnsi="Times New Roman"/>
          <w:szCs w:val="21"/>
        </w:rPr>
        <w:t xml:space="preserve">                                            乙方：(盖单位章)</w:t>
      </w:r>
    </w:p>
    <w:p>
      <w:pPr>
        <w:snapToGrid w:val="0"/>
        <w:spacing w:line="440" w:lineRule="exact"/>
        <w:ind w:firstLine="4620" w:firstLineChars="2200"/>
        <w:jc w:val="left"/>
        <w:rPr>
          <w:rFonts w:ascii="Times New Roman" w:hAnsi="Times New Roman"/>
          <w:szCs w:val="21"/>
          <w:u w:val="single"/>
        </w:rPr>
      </w:pPr>
      <w:r>
        <w:rPr>
          <w:rFonts w:ascii="Times New Roman" w:hAnsi="Times New Roman"/>
          <w:szCs w:val="21"/>
        </w:rPr>
        <w:t>法定代表人：</w:t>
      </w:r>
      <w:r>
        <w:rPr>
          <w:rFonts w:ascii="Times New Roman" w:hAnsi="Times New Roman"/>
          <w:szCs w:val="21"/>
          <w:u w:val="single"/>
        </w:rPr>
        <w:t xml:space="preserve">       (职务)   </w:t>
      </w:r>
    </w:p>
    <w:p>
      <w:pPr>
        <w:snapToGrid w:val="0"/>
        <w:spacing w:line="440" w:lineRule="exact"/>
        <w:rPr>
          <w:rFonts w:ascii="Times New Roman" w:hAnsi="Times New Roman"/>
          <w:szCs w:val="21"/>
          <w:u w:val="single"/>
        </w:rPr>
      </w:pPr>
      <w:r>
        <w:rPr>
          <w:rFonts w:ascii="Times New Roman" w:hAnsi="Times New Roman"/>
          <w:szCs w:val="21"/>
          <w:u w:val="single"/>
        </w:rPr>
        <w:t xml:space="preserve">           (姓名)   </w:t>
      </w:r>
    </w:p>
    <w:p>
      <w:pPr>
        <w:snapToGrid w:val="0"/>
        <w:spacing w:line="440" w:lineRule="exact"/>
        <w:rPr>
          <w:rFonts w:ascii="Times New Roman" w:hAnsi="Times New Roman"/>
          <w:szCs w:val="21"/>
          <w:u w:val="single"/>
        </w:rPr>
      </w:pPr>
      <w:r>
        <w:rPr>
          <w:rFonts w:ascii="Times New Roman" w:hAnsi="Times New Roman"/>
          <w:szCs w:val="21"/>
          <w:u w:val="single"/>
        </w:rPr>
        <w:t xml:space="preserve">           (签名)   </w:t>
      </w:r>
    </w:p>
    <w:p>
      <w:pPr>
        <w:pStyle w:val="9"/>
        <w:rPr>
          <w:rFonts w:ascii="Times New Roman" w:hAnsi="Times New Roman"/>
          <w:szCs w:val="21"/>
        </w:rPr>
      </w:pPr>
      <w:r>
        <w:rPr>
          <w:rFonts w:ascii="Times New Roman" w:hAnsi="Times New Roman"/>
          <w:szCs w:val="21"/>
        </w:rPr>
        <w:t>年月日</w:t>
      </w:r>
    </w:p>
    <w:p>
      <w:pPr>
        <w:rPr>
          <w:rFonts w:ascii="Times New Roman" w:hAnsi="Times New Roman"/>
          <w:szCs w:val="21"/>
        </w:rPr>
      </w:pPr>
      <w:r>
        <w:rPr>
          <w:rFonts w:ascii="Times New Roman" w:hAnsi="Times New Roman"/>
          <w:szCs w:val="21"/>
        </w:rPr>
        <w:br w:type="page"/>
      </w:r>
    </w:p>
    <w:p>
      <w:pPr>
        <w:keepNext/>
        <w:keepLines/>
        <w:spacing w:before="120" w:line="440" w:lineRule="exact"/>
        <w:outlineLvl w:val="1"/>
        <w:rPr>
          <w:rFonts w:ascii="Times New Roman" w:hAnsi="Times New Roman"/>
          <w:b/>
          <w:bCs/>
          <w:sz w:val="22"/>
        </w:rPr>
      </w:pPr>
      <w:r>
        <w:rPr>
          <w:rFonts w:ascii="Times New Roman" w:hAnsi="Times New Roman"/>
          <w:b/>
          <w:bCs/>
          <w:sz w:val="22"/>
        </w:rPr>
        <w:t>附件</w:t>
      </w:r>
      <w:r>
        <w:rPr>
          <w:rFonts w:hint="eastAsia" w:ascii="Times New Roman" w:hAnsi="Times New Roman"/>
          <w:b/>
          <w:bCs/>
          <w:sz w:val="22"/>
        </w:rPr>
        <w:t>三</w:t>
      </w:r>
      <w:r>
        <w:rPr>
          <w:rFonts w:ascii="Times New Roman" w:hAnsi="Times New Roman"/>
          <w:b/>
          <w:bCs/>
          <w:sz w:val="22"/>
        </w:rPr>
        <w:t>：</w:t>
      </w:r>
      <w:r>
        <w:rPr>
          <w:rFonts w:hint="eastAsia" w:ascii="Times New Roman" w:hAnsi="Times New Roman"/>
          <w:b/>
          <w:bCs/>
          <w:sz w:val="22"/>
        </w:rPr>
        <w:t>廉政合同</w:t>
      </w:r>
    </w:p>
    <w:p>
      <w:pPr>
        <w:snapToGrid w:val="0"/>
        <w:spacing w:line="360" w:lineRule="auto"/>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廉政合同</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为抓好物资设备等采购供应中的党风廉政建设，规范、约束采供双方行为，确保双方工作人员廉洁从业，</w:t>
      </w:r>
      <w:r>
        <w:rPr>
          <w:rFonts w:hint="eastAsia" w:asciiTheme="minorEastAsia" w:hAnsiTheme="minorEastAsia" w:eastAsiaTheme="minorEastAsia" w:cstheme="minorEastAsia"/>
          <w:color w:val="000000"/>
          <w:sz w:val="21"/>
          <w:szCs w:val="21"/>
          <w:u w:val="single"/>
          <w:lang w:eastAsia="zh-CN"/>
        </w:rPr>
        <w:t>亳州至蒙城高速公路谯城（立德）至涡阳（标里）段</w:t>
      </w:r>
      <w:r>
        <w:rPr>
          <w:rFonts w:hint="eastAsia" w:asciiTheme="minorEastAsia" w:hAnsiTheme="minorEastAsia" w:eastAsiaTheme="minorEastAsia" w:cstheme="minorEastAsia"/>
          <w:color w:val="000000"/>
          <w:sz w:val="21"/>
          <w:szCs w:val="21"/>
          <w:u w:val="single"/>
        </w:rPr>
        <w:t>收费站开通运营项目社会稳定风险评估</w:t>
      </w:r>
      <w:r>
        <w:rPr>
          <w:rFonts w:hint="eastAsia" w:asciiTheme="minorEastAsia" w:hAnsiTheme="minorEastAsia" w:eastAsiaTheme="minorEastAsia" w:cstheme="minorEastAsia"/>
          <w:color w:val="000000"/>
          <w:sz w:val="21"/>
          <w:szCs w:val="21"/>
        </w:rPr>
        <w:t>的采购人</w:t>
      </w:r>
      <w:r>
        <w:rPr>
          <w:rFonts w:hint="eastAsia" w:asciiTheme="minorEastAsia" w:hAnsiTheme="minorEastAsia" w:eastAsiaTheme="minorEastAsia" w:cstheme="minorEastAsia"/>
          <w:color w:val="000000"/>
          <w:sz w:val="21"/>
          <w:szCs w:val="21"/>
          <w:u w:val="single"/>
          <w:lang w:val="en-US" w:eastAsia="zh-CN"/>
        </w:rPr>
        <w:t>安徽通达利交通建设管理</w:t>
      </w:r>
      <w:r>
        <w:rPr>
          <w:rFonts w:hint="eastAsia" w:asciiTheme="minorEastAsia" w:hAnsiTheme="minorEastAsia" w:eastAsiaTheme="minorEastAsia" w:cstheme="minorEastAsia"/>
          <w:color w:val="000000"/>
          <w:sz w:val="21"/>
          <w:szCs w:val="21"/>
          <w:u w:val="single"/>
        </w:rPr>
        <w:t>有限公司</w:t>
      </w:r>
      <w:r>
        <w:rPr>
          <w:rFonts w:hint="eastAsia" w:asciiTheme="minorEastAsia" w:hAnsiTheme="minorEastAsia" w:eastAsiaTheme="minorEastAsia" w:cstheme="minorEastAsia"/>
          <w:color w:val="000000"/>
          <w:sz w:val="21"/>
          <w:szCs w:val="21"/>
        </w:rPr>
        <w:t>（以下简称甲方）与该项目的供货商（以下简称乙方），特订立如下合同。</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1.甲乙双方的权利和义务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（1）严格遵守党的政策和国家有关法律法规的有关规定。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（2）严格执行</w:t>
      </w:r>
      <w:r>
        <w:rPr>
          <w:rFonts w:hint="eastAsia" w:asciiTheme="minorEastAsia" w:hAnsiTheme="minorEastAsia" w:eastAsiaTheme="minorEastAsia" w:cstheme="minorEastAsia"/>
          <w:color w:val="000000"/>
          <w:sz w:val="21"/>
          <w:szCs w:val="21"/>
          <w:u w:val="single"/>
          <w:lang w:eastAsia="zh-CN"/>
        </w:rPr>
        <w:t>亳州至蒙城高速公路谯城（立德）至涡阳（标里）段</w:t>
      </w:r>
      <w:r>
        <w:rPr>
          <w:rFonts w:hint="eastAsia" w:asciiTheme="minorEastAsia" w:hAnsiTheme="minorEastAsia" w:eastAsiaTheme="minorEastAsia" w:cstheme="minorEastAsia"/>
          <w:color w:val="000000"/>
          <w:sz w:val="21"/>
          <w:szCs w:val="21"/>
          <w:u w:val="single"/>
        </w:rPr>
        <w:t>收费站开通运营项目社会稳定风险评估</w:t>
      </w:r>
      <w:r>
        <w:rPr>
          <w:rFonts w:hint="eastAsia" w:asciiTheme="minorEastAsia" w:hAnsiTheme="minorEastAsia" w:eastAsiaTheme="minorEastAsia" w:cstheme="minorEastAsia"/>
          <w:color w:val="000000"/>
          <w:sz w:val="21"/>
          <w:szCs w:val="21"/>
        </w:rPr>
        <w:t>合同文件，自觉按合同办事。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（3）双方的业务活动坚持公开、公正、诚信、透明的原则（法律认定的商业秘密和合同文件另有规定除外），不得损害国家和集体利益。</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（4）建立健全廉政制度，开展廉政教育和廉洁文化建设，公布举报电话，监督并认真查处违规违纪违法行为。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（5）发现对方在业务活动中有违反廉政规定的行为，有及时提醒对方纠正的权利和义务。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（6）发现对方严重违反本合同义务条款的行为，有向有关部门举报、建议给予处理并要求告知处理结果的权利。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2.甲方的义务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（1）甲方及其工作人员不得利用职务之便索要或接受乙方的礼品、礼金、消费卡和有价证券、股权、其他金融产品等财物。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（2）甲方及其工作人员不得在利用职务之便为乙方谋取利益之前或之后，约定在其离职后收受乙方财物，并在离职后收受。</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（3）甲方及其工作人员不得在乙方报销应由甲方或个人支付的费用等。</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（4）甲方及其工作人员不得要求或者接受乙方可能影响公正执行公务的宴请以及旅游、健身、娱乐等活动安排，不得要求和接受乙方提供的交通工具、通讯工具、高档办公用品等。</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（6）甲方及其工作人员不得要求乙方购买合同规定外的材料和设备。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（7）甲方及其工作人员不得有其他可能影响廉洁从业的行为。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3.乙方义务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（1）乙方及其工作人员不得以任何形式向甲方及其工作人员行贿或馈赠礼品、礼金、消费卡和有价证券、股权、其他金融产品等财物，以及回扣、好处费、感谢费等。</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（2）乙方及其工作人员不得与甲方及其工作人员约定，甲方及其工作人员利用职务之便为乙方谋取利益，乙方在其离职后给予财物。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（3）乙方不得以任何名义为甲方及其工作人员报销由甲方单位或个人支付的任何费用。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（4）乙方及其工作人员不得以任何理由邀请甲方工作人员参与可能影响公正执行公务的宴请以及旅游、健身、娱乐等活动。不得为甲方单位和个人购置或提供通讯工具、交通工具和高档办公用品等。</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（5）乙方及其工作人员不得为甲方工作人员住房装修、婚丧嫁娶、出国出境、旅游等提供方便；不得为甲方工作人员的特定关系人以安排工作为名，使其不实际工作却获取薪酬。</w:t>
      </w:r>
      <w:r>
        <w:rPr>
          <w:rFonts w:hint="eastAsia" w:asciiTheme="minorEastAsia" w:hAnsiTheme="minorEastAsia" w:eastAsiaTheme="minorEastAsia" w:cstheme="minorEastAsia"/>
          <w:color w:val="000000"/>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4.违约责任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（1）甲方及其工作人员违反本合同第1、2条，按管理权限，依据有关规定给予党纪政务处分和组织处理；涉嫌犯罪的，移交司法机关追究刑事责任；给乙方单位造成经济损失的，应予以赔偿。</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（2）乙方及其工作人员违反本合同第1、3条，按管理权限，依据有关规定，给予相关处理；给甲方单位造成经济损失的，应予以赔偿。</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5.本合同有效期为甲乙双方签署之日起至该供货合同履行完毕后止。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6.本合同作为</w:t>
      </w:r>
      <w:r>
        <w:rPr>
          <w:rFonts w:hint="eastAsia" w:asciiTheme="minorEastAsia" w:hAnsiTheme="minorEastAsia" w:eastAsiaTheme="minorEastAsia" w:cstheme="minorEastAsia"/>
          <w:color w:val="000000"/>
          <w:sz w:val="21"/>
          <w:szCs w:val="21"/>
          <w:u w:val="single"/>
          <w:lang w:eastAsia="zh-CN"/>
        </w:rPr>
        <w:t>亳州至蒙城高速公路谯城（立德）至涡阳（标里）段</w:t>
      </w:r>
      <w:r>
        <w:rPr>
          <w:rFonts w:hint="eastAsia" w:asciiTheme="minorEastAsia" w:hAnsiTheme="minorEastAsia" w:eastAsiaTheme="minorEastAsia" w:cstheme="minorEastAsia"/>
          <w:color w:val="000000"/>
          <w:sz w:val="21"/>
          <w:szCs w:val="21"/>
          <w:u w:val="single"/>
        </w:rPr>
        <w:t>收费站开通运营项目社会稳定风险评估</w:t>
      </w:r>
      <w:r>
        <w:rPr>
          <w:rFonts w:hint="eastAsia" w:asciiTheme="minorEastAsia" w:hAnsiTheme="minorEastAsia" w:eastAsiaTheme="minorEastAsia" w:cstheme="minorEastAsia"/>
          <w:color w:val="000000"/>
          <w:sz w:val="21"/>
          <w:szCs w:val="21"/>
        </w:rPr>
        <w:t>的附件，与采购合同具有同等的法律效力，经合同双方签署立即生效。</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7.本合同一式</w:t>
      </w:r>
      <w:r>
        <w:rPr>
          <w:rFonts w:hint="eastAsia" w:asciiTheme="minorEastAsia" w:hAnsiTheme="minorEastAsia" w:eastAsiaTheme="minorEastAsia" w:cstheme="minorEastAsia"/>
          <w:color w:val="000000"/>
          <w:sz w:val="21"/>
          <w:szCs w:val="21"/>
          <w:u w:val="single"/>
          <w:lang w:val="en-US" w:eastAsia="zh-CN"/>
        </w:rPr>
        <w:t>四</w:t>
      </w:r>
      <w:r>
        <w:rPr>
          <w:rFonts w:hint="eastAsia" w:asciiTheme="minorEastAsia" w:hAnsiTheme="minorEastAsia" w:eastAsiaTheme="minorEastAsia" w:cstheme="minorEastAsia"/>
          <w:color w:val="000000"/>
          <w:sz w:val="21"/>
          <w:szCs w:val="21"/>
        </w:rPr>
        <w:t>份，由甲、乙</w:t>
      </w:r>
      <w:r>
        <w:rPr>
          <w:rFonts w:hint="eastAsia" w:asciiTheme="minorEastAsia" w:hAnsiTheme="minorEastAsia" w:eastAsiaTheme="minorEastAsia" w:cstheme="minorEastAsia"/>
          <w:color w:val="000000"/>
          <w:sz w:val="21"/>
          <w:szCs w:val="21"/>
          <w:lang w:val="en-US" w:eastAsia="zh-CN"/>
        </w:rPr>
        <w:t>双</w:t>
      </w:r>
      <w:r>
        <w:rPr>
          <w:rFonts w:hint="eastAsia" w:asciiTheme="minorEastAsia" w:hAnsiTheme="minorEastAsia" w:eastAsiaTheme="minorEastAsia" w:cstheme="minorEastAsia"/>
          <w:color w:val="000000"/>
          <w:sz w:val="21"/>
          <w:szCs w:val="21"/>
        </w:rPr>
        <w:t>方各执</w:t>
      </w:r>
      <w:r>
        <w:rPr>
          <w:rFonts w:hint="eastAsia" w:asciiTheme="minorEastAsia" w:hAnsiTheme="minorEastAsia" w:eastAsiaTheme="minorEastAsia" w:cstheme="minorEastAsia"/>
          <w:color w:val="000000"/>
          <w:sz w:val="21"/>
          <w:szCs w:val="21"/>
          <w:u w:val="single"/>
          <w:lang w:val="en-US" w:eastAsia="zh-CN"/>
        </w:rPr>
        <w:t>二</w:t>
      </w:r>
      <w:r>
        <w:rPr>
          <w:rFonts w:hint="eastAsia" w:asciiTheme="minorEastAsia" w:hAnsiTheme="minorEastAsia" w:eastAsiaTheme="minorEastAsia" w:cstheme="minorEastAsia"/>
          <w:color w:val="000000"/>
          <w:sz w:val="21"/>
          <w:szCs w:val="21"/>
        </w:rPr>
        <w:t>份。</w:t>
      </w:r>
    </w:p>
    <w:p>
      <w:pPr>
        <w:spacing w:line="560" w:lineRule="exact"/>
        <w:rPr>
          <w:rFonts w:ascii="方正仿宋_GBK" w:hAnsi="方正仿宋_GBK" w:eastAsia="方正仿宋_GBK" w:cs="方正仿宋_GBK"/>
          <w:color w:val="000000"/>
          <w:sz w:val="24"/>
        </w:rPr>
      </w:pPr>
    </w:p>
    <w:p>
      <w:pPr>
        <w:spacing w:line="56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甲方单位：（盖章）               乙方单位：（盖章）</w:t>
      </w:r>
    </w:p>
    <w:p>
      <w:pPr>
        <w:spacing w:line="560" w:lineRule="exact"/>
        <w:rPr>
          <w:rFonts w:hint="eastAsia" w:asciiTheme="minorEastAsia" w:hAnsiTheme="minorEastAsia" w:eastAsiaTheme="minorEastAsia" w:cstheme="minorEastAsia"/>
          <w:color w:val="000000"/>
          <w:sz w:val="21"/>
          <w:szCs w:val="21"/>
        </w:rPr>
      </w:pPr>
    </w:p>
    <w:p>
      <w:pPr>
        <w:spacing w:line="56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                     法定代表人：</w:t>
      </w:r>
    </w:p>
    <w:p>
      <w:pPr>
        <w:spacing w:line="56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或                                或</w:t>
      </w:r>
    </w:p>
    <w:p>
      <w:pPr>
        <w:spacing w:line="56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其授权的代理人：                  其授权的代理人：</w:t>
      </w:r>
    </w:p>
    <w:p>
      <w:pPr>
        <w:pStyle w:val="6"/>
        <w:ind w:firstLine="0"/>
        <w:rPr>
          <w:rFonts w:hint="eastAsia" w:asciiTheme="minorEastAsia" w:hAnsiTheme="minorEastAsia" w:eastAsiaTheme="minorEastAsia" w:cstheme="minorEastAsia"/>
          <w:sz w:val="21"/>
          <w:szCs w:val="21"/>
        </w:rPr>
      </w:pPr>
    </w:p>
    <w:p>
      <w:pPr>
        <w:spacing w:line="560" w:lineRule="exact"/>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   月   日                    年   月   日</w:t>
      </w:r>
    </w:p>
    <w:p>
      <w:pPr>
        <w:spacing w:line="560" w:lineRule="exact"/>
        <w:rPr>
          <w:rFonts w:hint="eastAsia" w:asciiTheme="minorEastAsia" w:hAnsiTheme="minorEastAsia" w:eastAsiaTheme="minorEastAsia" w:cstheme="minorEastAsia"/>
          <w:color w:val="000000"/>
          <w:sz w:val="21"/>
          <w:szCs w:val="21"/>
        </w:rPr>
      </w:pPr>
    </w:p>
    <w:p>
      <w:pPr>
        <w:spacing w:line="56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甲方监督单位：（盖章）               乙方监督单位：（盖章）</w:t>
      </w:r>
    </w:p>
    <w:p>
      <w:pPr>
        <w:pStyle w:val="6"/>
        <w:ind w:firstLine="0"/>
        <w:rPr>
          <w:rFonts w:hint="eastAsia" w:asciiTheme="minorEastAsia" w:hAnsiTheme="minorEastAsia" w:eastAsiaTheme="minorEastAsia" w:cstheme="minorEastAsia"/>
          <w:color w:val="000000"/>
          <w:sz w:val="21"/>
          <w:szCs w:val="21"/>
        </w:rPr>
      </w:pPr>
    </w:p>
    <w:p>
      <w:pPr>
        <w:spacing w:line="560" w:lineRule="exact"/>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   月   日                    年   月   日</w:t>
      </w:r>
    </w:p>
    <w:p>
      <w:pPr>
        <w:pStyle w:val="9"/>
      </w:pPr>
    </w:p>
    <w:p>
      <w:pPr>
        <w:pStyle w:val="9"/>
      </w:pPr>
    </w:p>
    <w:p>
      <w:pPr>
        <w:pStyle w:val="9"/>
        <w:sectPr>
          <w:footerReference r:id="rId5" w:type="default"/>
          <w:footnotePr>
            <w:numFmt w:val="decimalEnclosedCircleChinese"/>
          </w:footnotePr>
          <w:pgSz w:w="11906" w:h="16838"/>
          <w:pgMar w:top="1440" w:right="1797" w:bottom="1440" w:left="1797" w:header="851" w:footer="992" w:gutter="0"/>
          <w:cols w:space="720" w:num="1"/>
          <w:docGrid w:type="linesAndChars" w:linePitch="312" w:charSpace="0"/>
        </w:sectPr>
      </w:pPr>
    </w:p>
    <w:p>
      <w:pPr>
        <w:pStyle w:val="9"/>
      </w:pPr>
    </w:p>
    <w:p>
      <w:pPr>
        <w:pStyle w:val="2"/>
        <w:spacing w:before="312" w:after="312"/>
        <w:ind w:firstLine="0"/>
        <w:rPr>
          <w:rFonts w:ascii="Times New Roman" w:hAnsi="Times New Roman" w:eastAsia="宋体"/>
        </w:rPr>
      </w:pPr>
      <w:bookmarkStart w:id="150" w:name="_Toc117838431"/>
      <w:r>
        <w:rPr>
          <w:rFonts w:ascii="Times New Roman" w:hAnsi="Times New Roman" w:eastAsia="宋体"/>
        </w:rPr>
        <w:t>采购需求及清单</w:t>
      </w:r>
      <w:bookmarkEnd w:id="150"/>
    </w:p>
    <w:p>
      <w:pPr>
        <w:pStyle w:val="3"/>
        <w:numPr>
          <w:ilvl w:val="0"/>
          <w:numId w:val="4"/>
        </w:numPr>
        <w:snapToGrid w:val="0"/>
        <w:spacing w:before="120" w:after="120" w:line="240" w:lineRule="auto"/>
        <w:rPr>
          <w:rFonts w:ascii="Times New Roman" w:hAnsi="Times New Roman"/>
        </w:rPr>
      </w:pPr>
      <w:bookmarkStart w:id="151" w:name="_Toc10970_WPSOffice_Level1"/>
      <w:bookmarkStart w:id="152" w:name="_Toc28814_WPSOffice_Level2"/>
      <w:r>
        <w:rPr>
          <w:rFonts w:hint="eastAsia" w:ascii="Times New Roman" w:hAnsi="Times New Roman"/>
        </w:rPr>
        <w:t>报告</w:t>
      </w:r>
      <w:r>
        <w:rPr>
          <w:rFonts w:ascii="Times New Roman" w:hAnsi="Times New Roman"/>
        </w:rPr>
        <w:t>要求</w:t>
      </w:r>
      <w:bookmarkEnd w:id="151"/>
    </w:p>
    <w:p>
      <w:pPr>
        <w:tabs>
          <w:tab w:val="left" w:pos="3525"/>
        </w:tabs>
        <w:adjustRightInd w:val="0"/>
        <w:snapToGrid w:val="0"/>
        <w:spacing w:line="440" w:lineRule="exact"/>
        <w:ind w:firstLine="420" w:firstLineChars="200"/>
        <w:rPr>
          <w:rFonts w:ascii="Times New Roman" w:hAnsi="Times New Roman"/>
          <w:szCs w:val="21"/>
        </w:rPr>
      </w:pPr>
      <w:r>
        <w:rPr>
          <w:rFonts w:hint="eastAsia" w:ascii="Times New Roman" w:hAnsi="Times New Roman"/>
          <w:szCs w:val="21"/>
          <w:lang w:eastAsia="zh-CN"/>
        </w:rPr>
        <w:t>亳州至蒙城高速公路谯城（立德）至涡阳（标里）段</w:t>
      </w:r>
      <w:r>
        <w:rPr>
          <w:rFonts w:hint="eastAsia" w:ascii="Times New Roman" w:hAnsi="Times New Roman"/>
          <w:szCs w:val="21"/>
        </w:rPr>
        <w:t>收费站开通运营项目社会稳定风险评估须通过相关部门审查</w:t>
      </w:r>
      <w:r>
        <w:rPr>
          <w:rFonts w:ascii="Times New Roman" w:hAnsi="Times New Roman"/>
          <w:szCs w:val="21"/>
        </w:rPr>
        <w:t>并在维稳部门备案</w:t>
      </w:r>
      <w:r>
        <w:rPr>
          <w:rFonts w:hint="eastAsia" w:ascii="Times New Roman" w:hAnsi="Times New Roman"/>
          <w:szCs w:val="21"/>
        </w:rPr>
        <w:t>。</w:t>
      </w:r>
    </w:p>
    <w:p>
      <w:pPr>
        <w:pStyle w:val="3"/>
        <w:numPr>
          <w:ilvl w:val="0"/>
          <w:numId w:val="0"/>
        </w:numPr>
        <w:snapToGrid w:val="0"/>
        <w:spacing w:before="120"/>
        <w:ind w:left="630"/>
        <w:rPr>
          <w:rFonts w:ascii="Times New Roman" w:hAnsi="Times New Roman"/>
        </w:rPr>
      </w:pPr>
      <w:bookmarkStart w:id="153" w:name="_Toc8777_WPSOffice_Level1"/>
      <w:r>
        <w:rPr>
          <w:rFonts w:ascii="Times New Roman" w:hAnsi="Times New Roman"/>
        </w:rPr>
        <w:t>2、报价清单</w:t>
      </w:r>
      <w:bookmarkEnd w:id="152"/>
      <w:bookmarkEnd w:id="153"/>
    </w:p>
    <w:p>
      <w:pPr>
        <w:pStyle w:val="32"/>
        <w:snapToGrid w:val="0"/>
        <w:spacing w:line="360" w:lineRule="auto"/>
        <w:rPr>
          <w:rFonts w:ascii="Times New Roman" w:hAnsi="Times New Roman" w:eastAsia="宋体"/>
          <w:b/>
          <w:bCs/>
          <w:sz w:val="22"/>
          <w:szCs w:val="21"/>
        </w:rPr>
      </w:pPr>
      <w:r>
        <w:rPr>
          <w:rFonts w:hint="eastAsia" w:ascii="Times New Roman" w:hAnsi="Times New Roman" w:eastAsia="宋体"/>
          <w:b/>
          <w:bCs/>
          <w:sz w:val="22"/>
          <w:szCs w:val="21"/>
          <w:lang w:eastAsia="zh-CN"/>
        </w:rPr>
        <w:t>亳州至蒙城高速公路谯城（立德）至涡阳（标里）段</w:t>
      </w:r>
      <w:r>
        <w:rPr>
          <w:rFonts w:hint="eastAsia" w:ascii="Times New Roman" w:hAnsi="Times New Roman" w:eastAsia="宋体"/>
          <w:b/>
          <w:bCs/>
          <w:sz w:val="22"/>
          <w:szCs w:val="21"/>
        </w:rPr>
        <w:t>收费站开通运营项目社会稳定风险评估</w:t>
      </w:r>
      <w:r>
        <w:rPr>
          <w:rFonts w:ascii="Times New Roman" w:hAnsi="Times New Roman" w:eastAsia="宋体"/>
          <w:b/>
          <w:bCs/>
          <w:sz w:val="22"/>
          <w:szCs w:val="21"/>
        </w:rPr>
        <w:t>报价清单</w:t>
      </w:r>
    </w:p>
    <w:tbl>
      <w:tblPr>
        <w:tblStyle w:val="21"/>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66"/>
        <w:gridCol w:w="4984"/>
        <w:gridCol w:w="466"/>
        <w:gridCol w:w="466"/>
        <w:gridCol w:w="840"/>
        <w:gridCol w:w="840"/>
        <w:gridCol w:w="4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75" w:hRule="atLeast"/>
        </w:trPr>
        <w:tc>
          <w:tcPr>
            <w:tcW w:w="411" w:type="pct"/>
            <w:tcBorders>
              <w:top w:val="single" w:color="auto" w:sz="12" w:space="0"/>
            </w:tcBorders>
            <w:noWrap/>
            <w:vAlign w:val="center"/>
          </w:tcPr>
          <w:p>
            <w:pPr>
              <w:pStyle w:val="44"/>
              <w:widowControl w:val="0"/>
              <w:pBdr>
                <w:left w:val="none" w:color="auto" w:sz="0" w:space="0"/>
                <w:bottom w:val="none" w:color="auto" w:sz="0" w:space="0"/>
                <w:right w:val="none" w:color="auto" w:sz="0" w:space="0"/>
              </w:pBdr>
              <w:snapToGrid w:val="0"/>
              <w:spacing w:before="120" w:beforeAutospacing="0" w:after="0" w:afterAutospacing="0"/>
              <w:textAlignment w:val="auto"/>
              <w:rPr>
                <w:rFonts w:ascii="Times New Roman" w:hAnsi="Times New Roman"/>
                <w:sz w:val="22"/>
              </w:rPr>
            </w:pPr>
            <w:r>
              <w:rPr>
                <w:rFonts w:ascii="Times New Roman" w:hAnsi="Times New Roman"/>
                <w:sz w:val="22"/>
              </w:rPr>
              <w:t>序号</w:t>
            </w:r>
          </w:p>
        </w:tc>
        <w:tc>
          <w:tcPr>
            <w:tcW w:w="2293" w:type="pct"/>
            <w:tcBorders>
              <w:top w:val="single" w:color="auto" w:sz="12" w:space="0"/>
            </w:tcBorders>
            <w:noWrap/>
            <w:vAlign w:val="center"/>
          </w:tcPr>
          <w:p>
            <w:pPr>
              <w:pStyle w:val="44"/>
              <w:widowControl w:val="0"/>
              <w:pBdr>
                <w:left w:val="none" w:color="auto" w:sz="0" w:space="0"/>
                <w:bottom w:val="none" w:color="auto" w:sz="0" w:space="0"/>
                <w:right w:val="none" w:color="auto" w:sz="0" w:space="0"/>
              </w:pBdr>
              <w:snapToGrid w:val="0"/>
              <w:spacing w:before="120" w:beforeAutospacing="0" w:after="0" w:afterAutospacing="0"/>
              <w:textAlignment w:val="auto"/>
              <w:rPr>
                <w:rFonts w:ascii="Times New Roman" w:hAnsi="Times New Roman"/>
                <w:sz w:val="22"/>
              </w:rPr>
            </w:pPr>
            <w:r>
              <w:rPr>
                <w:rFonts w:ascii="Times New Roman" w:hAnsi="Times New Roman"/>
                <w:sz w:val="22"/>
              </w:rPr>
              <w:t>项    目</w:t>
            </w:r>
          </w:p>
        </w:tc>
        <w:tc>
          <w:tcPr>
            <w:tcW w:w="256" w:type="pct"/>
            <w:tcBorders>
              <w:top w:val="single" w:color="auto" w:sz="12" w:space="0"/>
            </w:tcBorders>
            <w:noWrap/>
            <w:vAlign w:val="center"/>
          </w:tcPr>
          <w:p>
            <w:pPr>
              <w:snapToGrid w:val="0"/>
              <w:jc w:val="center"/>
              <w:rPr>
                <w:rFonts w:ascii="Times New Roman" w:hAnsi="Times New Roman"/>
                <w:sz w:val="22"/>
              </w:rPr>
            </w:pPr>
            <w:r>
              <w:rPr>
                <w:rFonts w:ascii="Times New Roman" w:hAnsi="Times New Roman"/>
                <w:sz w:val="22"/>
              </w:rPr>
              <w:t>单位</w:t>
            </w:r>
          </w:p>
        </w:tc>
        <w:tc>
          <w:tcPr>
            <w:tcW w:w="256" w:type="pct"/>
            <w:tcBorders>
              <w:top w:val="single" w:color="auto" w:sz="12" w:space="0"/>
            </w:tcBorders>
            <w:noWrap/>
            <w:vAlign w:val="center"/>
          </w:tcPr>
          <w:p>
            <w:pPr>
              <w:jc w:val="center"/>
              <w:rPr>
                <w:rFonts w:ascii="Times New Roman" w:hAnsi="Times New Roman"/>
                <w:sz w:val="22"/>
                <w:lang w:val="zh-CN"/>
              </w:rPr>
            </w:pPr>
            <w:r>
              <w:rPr>
                <w:rFonts w:ascii="Times New Roman" w:hAnsi="Times New Roman"/>
                <w:sz w:val="22"/>
                <w:lang w:val="zh-CN"/>
              </w:rPr>
              <w:t>数量</w:t>
            </w:r>
          </w:p>
        </w:tc>
        <w:tc>
          <w:tcPr>
            <w:tcW w:w="520" w:type="pct"/>
            <w:tcBorders>
              <w:top w:val="single" w:color="auto" w:sz="12" w:space="0"/>
            </w:tcBorders>
            <w:noWrap/>
            <w:vAlign w:val="center"/>
          </w:tcPr>
          <w:p>
            <w:pPr>
              <w:jc w:val="center"/>
              <w:rPr>
                <w:rFonts w:ascii="Times New Roman" w:hAnsi="Times New Roman"/>
                <w:sz w:val="22"/>
                <w:lang w:val="zh-CN"/>
              </w:rPr>
            </w:pPr>
            <w:r>
              <w:rPr>
                <w:rFonts w:ascii="Times New Roman" w:hAnsi="Times New Roman"/>
                <w:sz w:val="22"/>
                <w:lang w:val="zh-CN"/>
              </w:rPr>
              <w:t>单价（元）</w:t>
            </w:r>
          </w:p>
        </w:tc>
        <w:tc>
          <w:tcPr>
            <w:tcW w:w="518" w:type="pct"/>
            <w:tcBorders>
              <w:top w:val="single" w:color="auto" w:sz="12" w:space="0"/>
            </w:tcBorders>
            <w:noWrap/>
            <w:vAlign w:val="center"/>
          </w:tcPr>
          <w:p>
            <w:pPr>
              <w:jc w:val="center"/>
              <w:rPr>
                <w:rFonts w:ascii="Times New Roman" w:hAnsi="Times New Roman"/>
                <w:sz w:val="22"/>
                <w:lang w:val="zh-CN"/>
              </w:rPr>
            </w:pPr>
            <w:r>
              <w:rPr>
                <w:rFonts w:ascii="Times New Roman" w:hAnsi="Times New Roman"/>
                <w:sz w:val="22"/>
                <w:lang w:val="zh-CN"/>
              </w:rPr>
              <w:t>合价（元）</w:t>
            </w:r>
          </w:p>
        </w:tc>
        <w:tc>
          <w:tcPr>
            <w:tcW w:w="744" w:type="pct"/>
            <w:tcBorders>
              <w:top w:val="single" w:color="auto" w:sz="12" w:space="0"/>
            </w:tcBorders>
            <w:noWrap/>
            <w:vAlign w:val="center"/>
          </w:tcPr>
          <w:p>
            <w:pPr>
              <w:snapToGrid w:val="0"/>
              <w:jc w:val="center"/>
              <w:rPr>
                <w:rFonts w:ascii="Times New Roman" w:hAnsi="Times New Roman"/>
                <w:sz w:val="22"/>
              </w:rPr>
            </w:pPr>
            <w:r>
              <w:rPr>
                <w:rFonts w:ascii="Times New Roman" w:hAnsi="Times New Roman"/>
                <w:sz w:val="22"/>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1" w:hRule="atLeast"/>
        </w:trPr>
        <w:tc>
          <w:tcPr>
            <w:tcW w:w="411" w:type="pct"/>
            <w:noWrap/>
            <w:vAlign w:val="center"/>
          </w:tcPr>
          <w:p>
            <w:pPr>
              <w:snapToGrid w:val="0"/>
              <w:spacing w:line="260" w:lineRule="exact"/>
              <w:jc w:val="center"/>
              <w:rPr>
                <w:rFonts w:ascii="Times New Roman" w:hAnsi="Times New Roman"/>
                <w:color w:val="000000"/>
                <w:szCs w:val="21"/>
              </w:rPr>
            </w:pPr>
            <w:r>
              <w:rPr>
                <w:rFonts w:ascii="Times New Roman" w:hAnsi="Times New Roman"/>
                <w:color w:val="000000"/>
                <w:szCs w:val="21"/>
              </w:rPr>
              <w:t>1</w:t>
            </w:r>
          </w:p>
        </w:tc>
        <w:tc>
          <w:tcPr>
            <w:tcW w:w="2293" w:type="pct"/>
            <w:noWrap/>
            <w:vAlign w:val="center"/>
          </w:tcPr>
          <w:p>
            <w:pPr>
              <w:jc w:val="left"/>
              <w:rPr>
                <w:rFonts w:ascii="Times New Roman" w:hAnsi="Times New Roman"/>
                <w:color w:val="000000"/>
                <w:szCs w:val="21"/>
              </w:rPr>
            </w:pPr>
            <w:r>
              <w:rPr>
                <w:rFonts w:hint="eastAsia" w:ascii="Times New Roman" w:hAnsi="Times New Roman"/>
                <w:szCs w:val="21"/>
                <w:lang w:eastAsia="zh-CN"/>
              </w:rPr>
              <w:t>亳州至蒙城高速公路谯城（立德）至涡阳（标里）段</w:t>
            </w:r>
            <w:r>
              <w:rPr>
                <w:rFonts w:hint="eastAsia" w:ascii="Times New Roman" w:hAnsi="Times New Roman"/>
                <w:szCs w:val="21"/>
              </w:rPr>
              <w:t>收费站开通运营项目社会稳定风险评估</w:t>
            </w:r>
          </w:p>
        </w:tc>
        <w:tc>
          <w:tcPr>
            <w:tcW w:w="256" w:type="pct"/>
            <w:noWrap/>
            <w:vAlign w:val="center"/>
          </w:tcPr>
          <w:p>
            <w:pPr>
              <w:snapToGrid w:val="0"/>
              <w:spacing w:line="260" w:lineRule="exact"/>
              <w:jc w:val="center"/>
              <w:rPr>
                <w:rFonts w:ascii="Times New Roman" w:hAnsi="Times New Roman"/>
                <w:color w:val="000000"/>
                <w:szCs w:val="21"/>
              </w:rPr>
            </w:pPr>
            <w:r>
              <w:rPr>
                <w:rFonts w:hint="eastAsia" w:ascii="Times New Roman" w:hAnsi="Times New Roman"/>
                <w:color w:val="000000"/>
                <w:szCs w:val="21"/>
              </w:rPr>
              <w:t>总额</w:t>
            </w:r>
          </w:p>
        </w:tc>
        <w:tc>
          <w:tcPr>
            <w:tcW w:w="256" w:type="pct"/>
            <w:noWrap/>
            <w:vAlign w:val="center"/>
          </w:tcPr>
          <w:p>
            <w:pPr>
              <w:spacing w:line="260" w:lineRule="exact"/>
              <w:jc w:val="center"/>
              <w:rPr>
                <w:rFonts w:ascii="Times New Roman" w:hAnsi="Times New Roman"/>
                <w:color w:val="000000"/>
                <w:szCs w:val="21"/>
                <w:lang w:val="zh-CN"/>
              </w:rPr>
            </w:pPr>
            <w:r>
              <w:rPr>
                <w:rFonts w:ascii="Times New Roman" w:hAnsi="Times New Roman"/>
                <w:color w:val="000000"/>
                <w:szCs w:val="21"/>
                <w:lang w:val="zh-CN"/>
              </w:rPr>
              <w:t>1</w:t>
            </w:r>
          </w:p>
        </w:tc>
        <w:tc>
          <w:tcPr>
            <w:tcW w:w="520" w:type="pct"/>
            <w:noWrap/>
            <w:vAlign w:val="center"/>
          </w:tcPr>
          <w:p>
            <w:pPr>
              <w:jc w:val="center"/>
              <w:rPr>
                <w:rFonts w:ascii="Times New Roman" w:hAnsi="Times New Roman"/>
                <w:sz w:val="22"/>
                <w:lang w:val="zh-CN"/>
              </w:rPr>
            </w:pPr>
          </w:p>
        </w:tc>
        <w:tc>
          <w:tcPr>
            <w:tcW w:w="518" w:type="pct"/>
            <w:noWrap/>
            <w:vAlign w:val="center"/>
          </w:tcPr>
          <w:p>
            <w:pPr>
              <w:jc w:val="center"/>
              <w:rPr>
                <w:rFonts w:ascii="Times New Roman" w:hAnsi="Times New Roman"/>
                <w:sz w:val="22"/>
                <w:lang w:val="zh-CN"/>
              </w:rPr>
            </w:pPr>
          </w:p>
        </w:tc>
        <w:tc>
          <w:tcPr>
            <w:tcW w:w="744" w:type="pct"/>
            <w:noWrap/>
            <w:vAlign w:val="center"/>
          </w:tcPr>
          <w:p>
            <w:pPr>
              <w:pStyle w:val="6"/>
              <w:adjustRightInd w:val="0"/>
              <w:snapToGrid w:val="0"/>
              <w:jc w:val="left"/>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1" w:hRule="atLeast"/>
        </w:trPr>
        <w:tc>
          <w:tcPr>
            <w:tcW w:w="3737" w:type="pct"/>
            <w:gridSpan w:val="5"/>
            <w:tcBorders>
              <w:top w:val="single" w:color="auto" w:sz="4" w:space="0"/>
              <w:left w:val="single" w:color="auto" w:sz="4" w:space="0"/>
              <w:bottom w:val="single" w:color="auto" w:sz="4" w:space="0"/>
            </w:tcBorders>
            <w:noWrap/>
            <w:vAlign w:val="center"/>
          </w:tcPr>
          <w:p>
            <w:pPr>
              <w:spacing w:line="340" w:lineRule="exact"/>
              <w:jc w:val="center"/>
              <w:rPr>
                <w:rFonts w:ascii="Times New Roman" w:hAnsi="Times New Roman"/>
                <w:bCs/>
                <w:szCs w:val="21"/>
              </w:rPr>
            </w:pPr>
            <w:r>
              <w:rPr>
                <w:rFonts w:ascii="Times New Roman" w:hAnsi="Times New Roman"/>
                <w:kern w:val="0"/>
                <w:sz w:val="22"/>
                <w:szCs w:val="22"/>
              </w:rPr>
              <w:t>总报价（元）</w:t>
            </w:r>
          </w:p>
        </w:tc>
        <w:tc>
          <w:tcPr>
            <w:tcW w:w="518" w:type="pct"/>
            <w:tcBorders>
              <w:top w:val="single" w:color="auto" w:sz="4" w:space="0"/>
              <w:bottom w:val="single" w:color="auto" w:sz="4" w:space="0"/>
            </w:tcBorders>
            <w:noWrap/>
            <w:vAlign w:val="center"/>
          </w:tcPr>
          <w:p>
            <w:pPr>
              <w:spacing w:line="340" w:lineRule="exact"/>
              <w:jc w:val="center"/>
              <w:rPr>
                <w:rFonts w:ascii="Times New Roman" w:hAnsi="Times New Roman"/>
                <w:bCs/>
                <w:szCs w:val="21"/>
              </w:rPr>
            </w:pPr>
          </w:p>
        </w:tc>
        <w:tc>
          <w:tcPr>
            <w:tcW w:w="744" w:type="pct"/>
            <w:tcBorders>
              <w:top w:val="single" w:color="auto" w:sz="4" w:space="0"/>
              <w:bottom w:val="single" w:color="auto" w:sz="4" w:space="0"/>
              <w:right w:val="single" w:color="auto" w:sz="4" w:space="0"/>
            </w:tcBorders>
            <w:noWrap/>
            <w:vAlign w:val="center"/>
          </w:tcPr>
          <w:p>
            <w:pPr>
              <w:spacing w:line="340" w:lineRule="exact"/>
              <w:jc w:val="left"/>
              <w:rPr>
                <w:rFonts w:ascii="Times New Roman" w:hAnsi="Times New Roman"/>
                <w:bCs/>
                <w:szCs w:val="21"/>
              </w:rPr>
            </w:pPr>
          </w:p>
        </w:tc>
      </w:tr>
    </w:tbl>
    <w:p>
      <w:pPr>
        <w:spacing w:line="360" w:lineRule="auto"/>
        <w:rPr>
          <w:rFonts w:ascii="Times New Roman" w:hAnsi="Times New Roman"/>
          <w:bCs/>
          <w:szCs w:val="21"/>
        </w:rPr>
      </w:pPr>
    </w:p>
    <w:p>
      <w:pPr>
        <w:spacing w:line="360" w:lineRule="auto"/>
        <w:ind w:firstLine="420" w:firstLineChars="200"/>
        <w:rPr>
          <w:rFonts w:ascii="Times New Roman" w:hAnsi="Times New Roman"/>
          <w:bCs/>
          <w:szCs w:val="21"/>
        </w:rPr>
      </w:pPr>
      <w:r>
        <w:rPr>
          <w:rFonts w:ascii="Times New Roman" w:hAnsi="Times New Roman"/>
          <w:bCs/>
          <w:szCs w:val="21"/>
        </w:rPr>
        <w:t>报价人：</w:t>
      </w:r>
      <w:r>
        <w:rPr>
          <w:rFonts w:ascii="Times New Roman" w:hAnsi="Times New Roman"/>
          <w:bCs/>
          <w:szCs w:val="21"/>
          <w:u w:val="single"/>
        </w:rPr>
        <w:t xml:space="preserve">                （盖章）                  </w:t>
      </w:r>
    </w:p>
    <w:p>
      <w:pPr>
        <w:spacing w:line="360" w:lineRule="auto"/>
        <w:ind w:firstLine="420" w:firstLineChars="200"/>
        <w:rPr>
          <w:rFonts w:ascii="Times New Roman" w:hAnsi="Times New Roman"/>
          <w:bCs/>
          <w:szCs w:val="21"/>
        </w:rPr>
      </w:pPr>
      <w:r>
        <w:rPr>
          <w:rFonts w:ascii="Times New Roman" w:hAnsi="Times New Roman"/>
          <w:bCs/>
          <w:szCs w:val="21"/>
        </w:rPr>
        <w:t>报价单位法定代表人或其授权的代理人：                （签字）</w:t>
      </w:r>
    </w:p>
    <w:p>
      <w:pPr>
        <w:spacing w:line="360" w:lineRule="auto"/>
        <w:rPr>
          <w:rFonts w:ascii="Times New Roman" w:hAnsi="Times New Roman"/>
          <w:bCs/>
          <w:szCs w:val="21"/>
        </w:rPr>
      </w:pPr>
      <w:r>
        <w:rPr>
          <w:rFonts w:ascii="Times New Roman" w:hAnsi="Times New Roman"/>
          <w:bCs/>
          <w:szCs w:val="21"/>
        </w:rPr>
        <w:t>备注：</w:t>
      </w:r>
    </w:p>
    <w:p>
      <w:pPr>
        <w:spacing w:line="360" w:lineRule="auto"/>
        <w:ind w:firstLine="420" w:firstLineChars="200"/>
        <w:rPr>
          <w:rFonts w:ascii="Times New Roman" w:hAnsi="Times New Roman"/>
          <w:bCs/>
          <w:szCs w:val="21"/>
        </w:rPr>
      </w:pPr>
      <w:r>
        <w:rPr>
          <w:rFonts w:ascii="Times New Roman" w:hAnsi="Times New Roman"/>
          <w:bCs/>
          <w:szCs w:val="21"/>
        </w:rPr>
        <w:t>1.总价控制价为</w:t>
      </w:r>
      <w:r>
        <w:rPr>
          <w:rFonts w:hint="eastAsia" w:ascii="Times New Roman" w:hAnsi="Times New Roman"/>
          <w:bCs/>
          <w:szCs w:val="21"/>
          <w:lang w:val="en-US" w:eastAsia="zh-CN"/>
        </w:rPr>
        <w:t>6</w:t>
      </w:r>
      <w:r>
        <w:rPr>
          <w:rFonts w:ascii="Times New Roman" w:hAnsi="Times New Roman"/>
          <w:bCs/>
          <w:szCs w:val="21"/>
        </w:rPr>
        <w:t>万元，超过总价者报价人报价函将不被接受。</w:t>
      </w:r>
    </w:p>
    <w:p>
      <w:pPr>
        <w:spacing w:line="360" w:lineRule="auto"/>
        <w:ind w:firstLine="420" w:firstLineChars="200"/>
        <w:rPr>
          <w:rFonts w:ascii="Times New Roman" w:hAnsi="Times New Roman"/>
        </w:rPr>
      </w:pPr>
      <w:r>
        <w:rPr>
          <w:rFonts w:ascii="Times New Roman" w:hAnsi="Times New Roman"/>
          <w:bCs/>
          <w:szCs w:val="21"/>
        </w:rPr>
        <w:t>2.以上报价均包括了为实施和完成合同规定工作所需的一切费用。</w:t>
      </w:r>
      <w:r>
        <w:rPr>
          <w:rFonts w:ascii="Times New Roman" w:hAnsi="Times New Roman"/>
        </w:rPr>
        <w:br w:type="page"/>
      </w:r>
    </w:p>
    <w:p>
      <w:pPr>
        <w:pStyle w:val="2"/>
        <w:spacing w:before="312" w:after="312"/>
        <w:ind w:firstLine="0"/>
        <w:rPr>
          <w:rFonts w:ascii="Times New Roman" w:hAnsi="Times New Roman" w:eastAsia="宋体"/>
        </w:rPr>
      </w:pPr>
      <w:bookmarkStart w:id="154" w:name="_Toc117838432"/>
      <w:r>
        <w:rPr>
          <w:rFonts w:ascii="Times New Roman" w:hAnsi="Times New Roman" w:eastAsia="宋体"/>
        </w:rPr>
        <w:t>响应文件格式</w:t>
      </w:r>
      <w:bookmarkEnd w:id="154"/>
    </w:p>
    <w:p>
      <w:pPr>
        <w:rPr>
          <w:rFonts w:ascii="Times New Roman" w:hAnsi="Times New Roman"/>
        </w:rPr>
      </w:pPr>
      <w:r>
        <w:rPr>
          <w:rFonts w:ascii="Times New Roman" w:hAnsi="Times New Roman"/>
        </w:rPr>
        <w:br w:type="page"/>
      </w:r>
    </w:p>
    <w:p>
      <w:pPr>
        <w:spacing w:line="440" w:lineRule="exact"/>
        <w:rPr>
          <w:rFonts w:ascii="Times New Roman" w:hAnsi="Times New Roman" w:eastAsia="黑体"/>
          <w:sz w:val="20"/>
          <w:szCs w:val="20"/>
        </w:rPr>
      </w:pPr>
    </w:p>
    <w:p>
      <w:pPr>
        <w:spacing w:line="440" w:lineRule="exact"/>
        <w:jc w:val="center"/>
        <w:rPr>
          <w:rFonts w:hint="eastAsia" w:ascii="Times New Roman" w:hAnsi="Times New Roman" w:eastAsia="黑体"/>
          <w:sz w:val="24"/>
          <w:lang w:eastAsia="zh-CN"/>
        </w:rPr>
      </w:pPr>
      <w:r>
        <w:rPr>
          <w:rFonts w:hint="eastAsia" w:ascii="黑体" w:hAnsi="黑体" w:eastAsia="黑体"/>
          <w:sz w:val="28"/>
          <w:lang w:eastAsia="zh-CN"/>
        </w:rPr>
        <w:t>亳州至蒙城高速公路谯城（立德）至涡阳（标里）段</w:t>
      </w:r>
      <w:r>
        <w:rPr>
          <w:rFonts w:hint="eastAsia" w:ascii="黑体" w:hAnsi="黑体" w:eastAsia="黑体"/>
          <w:sz w:val="28"/>
        </w:rPr>
        <w:t>收费站开通运营项目社会稳定风险评估服务</w:t>
      </w:r>
      <w:r>
        <w:rPr>
          <w:rFonts w:hint="eastAsia" w:ascii="Times New Roman" w:hAnsi="Times New Roman" w:eastAsia="黑体"/>
          <w:sz w:val="28"/>
          <w:szCs w:val="28"/>
          <w:lang w:eastAsia="zh-CN"/>
        </w:rPr>
        <w:t>招标</w:t>
      </w:r>
    </w:p>
    <w:p>
      <w:pPr>
        <w:spacing w:line="440" w:lineRule="exact"/>
        <w:rPr>
          <w:rFonts w:ascii="Times New Roman" w:hAnsi="Times New Roman" w:eastAsia="黑体"/>
          <w:sz w:val="20"/>
          <w:szCs w:val="20"/>
        </w:rPr>
      </w:pPr>
    </w:p>
    <w:p>
      <w:pPr>
        <w:spacing w:line="440" w:lineRule="exact"/>
        <w:rPr>
          <w:rFonts w:ascii="Times New Roman" w:hAnsi="Times New Roman" w:eastAsia="黑体"/>
          <w:sz w:val="40"/>
          <w:szCs w:val="40"/>
        </w:rPr>
      </w:pPr>
    </w:p>
    <w:p>
      <w:pPr>
        <w:spacing w:line="440" w:lineRule="exact"/>
        <w:jc w:val="center"/>
        <w:rPr>
          <w:rFonts w:ascii="Times New Roman" w:hAnsi="Times New Roman" w:eastAsia="黑体"/>
          <w:sz w:val="40"/>
          <w:szCs w:val="40"/>
        </w:rPr>
      </w:pPr>
    </w:p>
    <w:p>
      <w:pPr>
        <w:spacing w:line="440" w:lineRule="exact"/>
        <w:jc w:val="center"/>
        <w:rPr>
          <w:rFonts w:ascii="Times New Roman" w:hAnsi="Times New Roman" w:eastAsia="黑体"/>
          <w:sz w:val="40"/>
          <w:szCs w:val="40"/>
        </w:rPr>
      </w:pPr>
    </w:p>
    <w:p>
      <w:pPr>
        <w:spacing w:line="440" w:lineRule="exact"/>
        <w:jc w:val="center"/>
        <w:rPr>
          <w:rFonts w:ascii="Times New Roman" w:hAnsi="Times New Roman" w:eastAsia="黑体"/>
          <w:sz w:val="40"/>
          <w:szCs w:val="40"/>
        </w:rPr>
      </w:pPr>
    </w:p>
    <w:p>
      <w:pPr>
        <w:jc w:val="center"/>
        <w:rPr>
          <w:rFonts w:ascii="Times New Roman" w:hAnsi="Times New Roman" w:eastAsia="黑体"/>
          <w:sz w:val="50"/>
          <w:szCs w:val="50"/>
        </w:rPr>
      </w:pPr>
      <w:bookmarkStart w:id="155" w:name="_Toc27552_WPSOffice_Level1"/>
      <w:bookmarkStart w:id="156" w:name="_Toc1914_WPSOffice_Level1"/>
      <w:bookmarkStart w:id="157" w:name="_Toc14496_WPSOffice_Level1"/>
      <w:bookmarkStart w:id="158" w:name="_Toc17394_WPSOffice_Level1"/>
      <w:bookmarkStart w:id="159" w:name="_Toc1456_WPSOffice_Level1"/>
      <w:r>
        <w:rPr>
          <w:rFonts w:ascii="Times New Roman" w:hAnsi="Times New Roman" w:eastAsia="黑体"/>
          <w:sz w:val="50"/>
          <w:szCs w:val="50"/>
        </w:rPr>
        <w:t>响  应  文  件</w:t>
      </w:r>
      <w:bookmarkEnd w:id="155"/>
      <w:bookmarkEnd w:id="156"/>
      <w:bookmarkEnd w:id="157"/>
      <w:bookmarkEnd w:id="158"/>
      <w:bookmarkEnd w:id="159"/>
    </w:p>
    <w:p>
      <w:pPr>
        <w:spacing w:line="440" w:lineRule="exact"/>
        <w:rPr>
          <w:rFonts w:ascii="Times New Roman" w:hAnsi="Times New Roman" w:eastAsia="黑体"/>
          <w:sz w:val="20"/>
          <w:szCs w:val="20"/>
        </w:rPr>
      </w:pPr>
    </w:p>
    <w:p>
      <w:pPr>
        <w:spacing w:line="440" w:lineRule="exact"/>
        <w:rPr>
          <w:rFonts w:ascii="Times New Roman" w:hAnsi="Times New Roman" w:eastAsia="黑体"/>
          <w:sz w:val="20"/>
          <w:szCs w:val="20"/>
        </w:rPr>
      </w:pPr>
    </w:p>
    <w:p>
      <w:pPr>
        <w:spacing w:line="440" w:lineRule="exact"/>
        <w:rPr>
          <w:rFonts w:ascii="Times New Roman" w:hAnsi="Times New Roman" w:eastAsia="黑体"/>
          <w:sz w:val="20"/>
          <w:szCs w:val="20"/>
        </w:rPr>
      </w:pPr>
    </w:p>
    <w:p>
      <w:pPr>
        <w:spacing w:line="440" w:lineRule="exact"/>
        <w:rPr>
          <w:rFonts w:ascii="Times New Roman" w:hAnsi="Times New Roman" w:eastAsia="黑体"/>
          <w:sz w:val="20"/>
          <w:szCs w:val="20"/>
        </w:rPr>
      </w:pPr>
    </w:p>
    <w:p>
      <w:pPr>
        <w:spacing w:line="440" w:lineRule="exact"/>
        <w:rPr>
          <w:rFonts w:ascii="Times New Roman" w:hAnsi="Times New Roman" w:eastAsia="黑体"/>
          <w:sz w:val="20"/>
          <w:szCs w:val="20"/>
        </w:rPr>
      </w:pPr>
    </w:p>
    <w:p>
      <w:pPr>
        <w:spacing w:line="440" w:lineRule="exact"/>
        <w:rPr>
          <w:rFonts w:ascii="Times New Roman" w:hAnsi="Times New Roman" w:eastAsia="黑体"/>
          <w:sz w:val="20"/>
          <w:szCs w:val="20"/>
        </w:rPr>
      </w:pPr>
    </w:p>
    <w:p>
      <w:pPr>
        <w:spacing w:line="440" w:lineRule="exact"/>
        <w:rPr>
          <w:rFonts w:ascii="Times New Roman" w:hAnsi="Times New Roman" w:eastAsia="黑体"/>
          <w:sz w:val="20"/>
          <w:szCs w:val="20"/>
        </w:rPr>
      </w:pPr>
    </w:p>
    <w:p>
      <w:pPr>
        <w:spacing w:line="440" w:lineRule="exact"/>
        <w:rPr>
          <w:rFonts w:ascii="Times New Roman" w:hAnsi="Times New Roman" w:eastAsia="黑体"/>
          <w:sz w:val="20"/>
          <w:szCs w:val="20"/>
        </w:rPr>
      </w:pPr>
    </w:p>
    <w:p>
      <w:pPr>
        <w:spacing w:line="440" w:lineRule="exact"/>
        <w:rPr>
          <w:rFonts w:ascii="Times New Roman" w:hAnsi="Times New Roman" w:eastAsia="黑体"/>
          <w:sz w:val="20"/>
          <w:szCs w:val="20"/>
        </w:rPr>
      </w:pPr>
    </w:p>
    <w:p>
      <w:pPr>
        <w:spacing w:line="440" w:lineRule="exact"/>
        <w:rPr>
          <w:rFonts w:ascii="Times New Roman" w:hAnsi="Times New Roman" w:eastAsia="黑体"/>
          <w:sz w:val="20"/>
          <w:szCs w:val="20"/>
        </w:rPr>
      </w:pPr>
    </w:p>
    <w:p>
      <w:pPr>
        <w:spacing w:line="440" w:lineRule="exact"/>
        <w:rPr>
          <w:rFonts w:ascii="Times New Roman" w:hAnsi="Times New Roman" w:eastAsia="黑体"/>
          <w:sz w:val="20"/>
          <w:szCs w:val="20"/>
        </w:rPr>
      </w:pPr>
    </w:p>
    <w:p>
      <w:pPr>
        <w:spacing w:line="440" w:lineRule="exact"/>
        <w:rPr>
          <w:rFonts w:ascii="Times New Roman" w:hAnsi="Times New Roman" w:eastAsia="黑体"/>
          <w:sz w:val="20"/>
          <w:szCs w:val="20"/>
        </w:rPr>
      </w:pPr>
    </w:p>
    <w:p>
      <w:pPr>
        <w:spacing w:line="440" w:lineRule="exact"/>
        <w:jc w:val="center"/>
        <w:rPr>
          <w:rFonts w:ascii="Times New Roman" w:hAnsi="Times New Roman" w:eastAsia="黑体"/>
          <w:sz w:val="28"/>
          <w:szCs w:val="28"/>
        </w:rPr>
      </w:pPr>
      <w:bookmarkStart w:id="160" w:name="_Toc25232_WPSOffice_Level2"/>
      <w:bookmarkStart w:id="161" w:name="_Toc5520_WPSOffice_Level2"/>
      <w:r>
        <w:rPr>
          <w:rFonts w:ascii="Times New Roman" w:hAnsi="Times New Roman" w:eastAsia="黑体"/>
          <w:sz w:val="28"/>
          <w:szCs w:val="28"/>
        </w:rPr>
        <w:t>供应商：</w:t>
      </w:r>
      <w:r>
        <w:rPr>
          <w:rFonts w:ascii="Times New Roman" w:hAnsi="Times New Roman" w:eastAsia="黑体"/>
          <w:sz w:val="28"/>
          <w:szCs w:val="28"/>
          <w:u w:val="single"/>
        </w:rPr>
        <w:t xml:space="preserve">            (全称、盖单位章)</w:t>
      </w:r>
      <w:bookmarkEnd w:id="160"/>
      <w:bookmarkEnd w:id="161"/>
    </w:p>
    <w:p>
      <w:pPr>
        <w:spacing w:line="440" w:lineRule="exact"/>
        <w:ind w:firstLine="2158" w:firstLineChars="771"/>
        <w:rPr>
          <w:rFonts w:ascii="Times New Roman" w:hAnsi="Times New Roman" w:eastAsia="黑体"/>
          <w:sz w:val="28"/>
          <w:szCs w:val="28"/>
        </w:rPr>
      </w:pPr>
    </w:p>
    <w:p>
      <w:pPr>
        <w:spacing w:line="440" w:lineRule="exact"/>
        <w:jc w:val="center"/>
        <w:rPr>
          <w:rFonts w:ascii="Times New Roman" w:hAnsi="Times New Roman" w:eastAsia="黑体"/>
          <w:sz w:val="28"/>
          <w:szCs w:val="28"/>
        </w:rPr>
      </w:pPr>
      <w:bookmarkStart w:id="162" w:name="_Toc31577_WPSOffice_Level2"/>
      <w:bookmarkStart w:id="163" w:name="_Toc20076_WPSOffice_Level2"/>
      <w:r>
        <w:rPr>
          <w:rFonts w:ascii="Times New Roman" w:hAnsi="Times New Roman" w:eastAsia="黑体"/>
          <w:sz w:val="28"/>
          <w:szCs w:val="28"/>
        </w:rPr>
        <w:t>年月日</w:t>
      </w:r>
      <w:bookmarkEnd w:id="162"/>
      <w:bookmarkEnd w:id="163"/>
    </w:p>
    <w:p>
      <w:pPr>
        <w:spacing w:line="440" w:lineRule="exact"/>
        <w:rPr>
          <w:rFonts w:ascii="Times New Roman" w:hAnsi="Times New Roman" w:eastAsia="黑体"/>
          <w:sz w:val="28"/>
          <w:szCs w:val="28"/>
        </w:rPr>
      </w:pPr>
    </w:p>
    <w:p>
      <w:pPr>
        <w:spacing w:line="440" w:lineRule="exact"/>
        <w:jc w:val="center"/>
        <w:rPr>
          <w:rFonts w:ascii="Times New Roman" w:hAnsi="Times New Roman" w:eastAsia="黑体"/>
          <w:sz w:val="28"/>
          <w:szCs w:val="28"/>
        </w:rPr>
      </w:pPr>
      <w:r>
        <w:rPr>
          <w:rFonts w:ascii="Times New Roman" w:hAnsi="Times New Roman" w:eastAsia="黑体"/>
          <w:sz w:val="20"/>
          <w:szCs w:val="20"/>
        </w:rPr>
        <w:br w:type="page"/>
      </w:r>
      <w:bookmarkStart w:id="164" w:name="_Toc21974_WPSOffice_Level2"/>
      <w:bookmarkStart w:id="165" w:name="_Toc22351_WPSOffice_Level2"/>
      <w:r>
        <w:rPr>
          <w:rFonts w:ascii="Times New Roman" w:hAnsi="Times New Roman" w:eastAsia="黑体"/>
          <w:sz w:val="28"/>
          <w:szCs w:val="28"/>
        </w:rPr>
        <w:t>目     录</w:t>
      </w:r>
      <w:bookmarkEnd w:id="164"/>
      <w:bookmarkEnd w:id="165"/>
    </w:p>
    <w:p>
      <w:pPr>
        <w:spacing w:line="440" w:lineRule="exact"/>
        <w:rPr>
          <w:rFonts w:ascii="Times New Roman" w:hAnsi="Times New Roman" w:eastAsia="黑体"/>
          <w:sz w:val="20"/>
          <w:szCs w:val="20"/>
        </w:rPr>
      </w:pPr>
    </w:p>
    <w:p>
      <w:pPr>
        <w:spacing w:line="440" w:lineRule="exact"/>
        <w:ind w:left="1619" w:leftChars="771"/>
        <w:rPr>
          <w:rFonts w:ascii="Times New Roman" w:hAnsi="Times New Roman" w:eastAsia="黑体"/>
          <w:sz w:val="24"/>
        </w:rPr>
      </w:pPr>
      <w:bookmarkStart w:id="166" w:name="_Toc6353_WPSOffice_Level1"/>
      <w:bookmarkStart w:id="167" w:name="_Toc11424_WPSOffice_Level1"/>
      <w:bookmarkStart w:id="168" w:name="_Toc27094_WPSOffice_Level1"/>
      <w:bookmarkStart w:id="169" w:name="_Toc23368_WPSOffice_Level1"/>
      <w:bookmarkStart w:id="170" w:name="_Toc30529_WPSOffice_Level1"/>
      <w:bookmarkStart w:id="171" w:name="_Toc12670_WPSOffice_Level1"/>
      <w:r>
        <w:rPr>
          <w:rFonts w:ascii="Times New Roman" w:hAnsi="Times New Roman" w:eastAsia="黑体"/>
          <w:sz w:val="24"/>
        </w:rPr>
        <w:t>一、报价函</w:t>
      </w:r>
      <w:bookmarkEnd w:id="166"/>
      <w:bookmarkEnd w:id="167"/>
      <w:bookmarkEnd w:id="168"/>
      <w:bookmarkEnd w:id="169"/>
      <w:bookmarkEnd w:id="170"/>
    </w:p>
    <w:p>
      <w:pPr>
        <w:spacing w:line="440" w:lineRule="exact"/>
        <w:ind w:left="1619" w:leftChars="771"/>
        <w:rPr>
          <w:rFonts w:ascii="Times New Roman" w:hAnsi="Times New Roman" w:eastAsia="黑体"/>
          <w:sz w:val="24"/>
        </w:rPr>
      </w:pPr>
      <w:bookmarkStart w:id="172" w:name="_Toc5317_WPSOffice_Level1"/>
      <w:bookmarkStart w:id="173" w:name="_Toc32729_WPSOffice_Level1"/>
      <w:bookmarkStart w:id="174" w:name="_Toc31927_WPSOffice_Level1"/>
      <w:bookmarkStart w:id="175" w:name="_Toc21229_WPSOffice_Level1"/>
      <w:bookmarkStart w:id="176" w:name="_Toc25557_WPSOffice_Level1"/>
      <w:r>
        <w:rPr>
          <w:rFonts w:ascii="Times New Roman" w:hAnsi="Times New Roman" w:eastAsia="黑体"/>
          <w:sz w:val="24"/>
        </w:rPr>
        <w:t>二、授权委托书</w:t>
      </w:r>
      <w:bookmarkEnd w:id="172"/>
      <w:bookmarkEnd w:id="173"/>
      <w:bookmarkEnd w:id="174"/>
      <w:bookmarkEnd w:id="175"/>
      <w:bookmarkEnd w:id="176"/>
    </w:p>
    <w:p>
      <w:pPr>
        <w:spacing w:line="440" w:lineRule="exact"/>
        <w:ind w:left="1619" w:leftChars="771"/>
        <w:rPr>
          <w:rFonts w:ascii="Times New Roman" w:hAnsi="Times New Roman" w:eastAsia="黑体"/>
          <w:sz w:val="24"/>
        </w:rPr>
      </w:pPr>
      <w:bookmarkStart w:id="177" w:name="_Toc4728_WPSOffice_Level1"/>
      <w:bookmarkStart w:id="178" w:name="_Toc25965_WPSOffice_Level1"/>
      <w:bookmarkStart w:id="179" w:name="_Toc29085_WPSOffice_Level1"/>
      <w:bookmarkStart w:id="180" w:name="_Toc23356_WPSOffice_Level1"/>
      <w:bookmarkStart w:id="181" w:name="_Toc8372_WPSOffice_Level1"/>
      <w:r>
        <w:rPr>
          <w:rFonts w:hint="eastAsia" w:ascii="Times New Roman" w:hAnsi="Times New Roman" w:eastAsia="黑体"/>
          <w:sz w:val="24"/>
        </w:rPr>
        <w:t>三</w:t>
      </w:r>
      <w:r>
        <w:rPr>
          <w:rFonts w:ascii="Times New Roman" w:hAnsi="Times New Roman" w:eastAsia="黑体"/>
          <w:sz w:val="24"/>
        </w:rPr>
        <w:t>、已标价</w:t>
      </w:r>
      <w:r>
        <w:rPr>
          <w:rFonts w:hint="eastAsia" w:ascii="Times New Roman" w:hAnsi="Times New Roman" w:eastAsia="黑体"/>
          <w:sz w:val="24"/>
        </w:rPr>
        <w:t>的</w:t>
      </w:r>
      <w:bookmarkEnd w:id="177"/>
      <w:bookmarkEnd w:id="178"/>
      <w:bookmarkEnd w:id="179"/>
      <w:bookmarkEnd w:id="180"/>
      <w:r>
        <w:rPr>
          <w:rFonts w:hint="eastAsia" w:ascii="Times New Roman" w:hAnsi="Times New Roman" w:eastAsia="黑体"/>
          <w:sz w:val="24"/>
        </w:rPr>
        <w:t>报价清单</w:t>
      </w:r>
      <w:bookmarkEnd w:id="181"/>
    </w:p>
    <w:p>
      <w:pPr>
        <w:spacing w:line="440" w:lineRule="exact"/>
        <w:ind w:left="1619" w:leftChars="771"/>
        <w:rPr>
          <w:rFonts w:ascii="Times New Roman" w:hAnsi="Times New Roman" w:eastAsia="黑体"/>
          <w:sz w:val="24"/>
        </w:rPr>
      </w:pPr>
      <w:bookmarkStart w:id="182" w:name="_Toc18964_WPSOffice_Level1"/>
      <w:bookmarkStart w:id="183" w:name="_Toc23744_WPSOffice_Level1"/>
      <w:bookmarkStart w:id="184" w:name="_Toc10608_WPSOffice_Level1"/>
      <w:bookmarkStart w:id="185" w:name="_Toc7453_WPSOffice_Level1"/>
      <w:bookmarkStart w:id="186" w:name="_Toc20214_WPSOffice_Level1"/>
      <w:r>
        <w:rPr>
          <w:rFonts w:hint="eastAsia" w:ascii="Times New Roman" w:hAnsi="Times New Roman" w:eastAsia="黑体"/>
          <w:sz w:val="24"/>
        </w:rPr>
        <w:t>四</w:t>
      </w:r>
      <w:r>
        <w:rPr>
          <w:rFonts w:ascii="Times New Roman" w:hAnsi="Times New Roman" w:eastAsia="黑体"/>
          <w:sz w:val="24"/>
        </w:rPr>
        <w:t>、</w:t>
      </w:r>
      <w:bookmarkEnd w:id="182"/>
      <w:bookmarkEnd w:id="183"/>
      <w:bookmarkEnd w:id="184"/>
      <w:bookmarkEnd w:id="185"/>
      <w:r>
        <w:rPr>
          <w:rFonts w:hint="eastAsia" w:ascii="Times New Roman" w:hAnsi="Times New Roman" w:eastAsia="黑体"/>
          <w:sz w:val="24"/>
        </w:rPr>
        <w:t>供应商基本情况</w:t>
      </w:r>
      <w:bookmarkEnd w:id="186"/>
    </w:p>
    <w:p>
      <w:pPr>
        <w:spacing w:line="440" w:lineRule="exact"/>
        <w:ind w:left="1619" w:leftChars="771"/>
        <w:rPr>
          <w:rFonts w:ascii="Times New Roman" w:hAnsi="Times New Roman" w:eastAsia="黑体"/>
          <w:sz w:val="24"/>
        </w:rPr>
      </w:pPr>
      <w:bookmarkStart w:id="187" w:name="_Toc19601_WPSOffice_Level1"/>
      <w:bookmarkStart w:id="188" w:name="_Toc23751_WPSOffice_Level1"/>
      <w:bookmarkStart w:id="189" w:name="_Toc1578_WPSOffice_Level1"/>
      <w:bookmarkStart w:id="190" w:name="_Toc9006_WPSOffice_Level1"/>
      <w:bookmarkStart w:id="191" w:name="_Toc9536_WPSOffice_Level1"/>
      <w:r>
        <w:rPr>
          <w:rFonts w:hint="eastAsia" w:ascii="Times New Roman" w:hAnsi="Times New Roman" w:eastAsia="黑体"/>
          <w:sz w:val="24"/>
        </w:rPr>
        <w:t>五、</w:t>
      </w:r>
      <w:bookmarkEnd w:id="187"/>
      <w:bookmarkEnd w:id="188"/>
      <w:bookmarkEnd w:id="189"/>
      <w:bookmarkEnd w:id="190"/>
      <w:r>
        <w:rPr>
          <w:rFonts w:hint="eastAsia" w:ascii="Times New Roman" w:hAnsi="Times New Roman" w:eastAsia="黑体"/>
          <w:sz w:val="24"/>
        </w:rPr>
        <w:t>近年类似业绩情况</w:t>
      </w:r>
      <w:bookmarkEnd w:id="191"/>
    </w:p>
    <w:p>
      <w:pPr>
        <w:spacing w:line="440" w:lineRule="exact"/>
        <w:ind w:left="1619" w:leftChars="771"/>
        <w:rPr>
          <w:rFonts w:ascii="Times New Roman" w:hAnsi="Times New Roman" w:eastAsia="黑体"/>
          <w:sz w:val="24"/>
        </w:rPr>
      </w:pPr>
      <w:bookmarkStart w:id="192" w:name="_Toc24082_WPSOffice_Level1"/>
      <w:bookmarkStart w:id="193" w:name="_Toc31314_WPSOffice_Level1"/>
      <w:bookmarkStart w:id="194" w:name="_Toc4130_WPSOffice_Level1"/>
      <w:bookmarkStart w:id="195" w:name="_Toc24262_WPSOffice_Level1"/>
      <w:bookmarkStart w:id="196" w:name="_Toc12459_WPSOffice_Level1"/>
      <w:r>
        <w:rPr>
          <w:rFonts w:hint="eastAsia" w:ascii="Times New Roman" w:hAnsi="Times New Roman" w:eastAsia="黑体"/>
          <w:sz w:val="24"/>
        </w:rPr>
        <w:t>六</w:t>
      </w:r>
      <w:r>
        <w:rPr>
          <w:rFonts w:ascii="Times New Roman" w:hAnsi="Times New Roman" w:eastAsia="黑体"/>
          <w:sz w:val="24"/>
        </w:rPr>
        <w:t>、</w:t>
      </w:r>
      <w:bookmarkEnd w:id="192"/>
      <w:bookmarkEnd w:id="193"/>
      <w:r>
        <w:rPr>
          <w:rFonts w:hint="eastAsia" w:ascii="Times New Roman" w:hAnsi="Times New Roman" w:eastAsia="黑体"/>
          <w:sz w:val="24"/>
        </w:rPr>
        <w:t>拟委任的主要人员</w:t>
      </w:r>
      <w:bookmarkEnd w:id="194"/>
    </w:p>
    <w:p>
      <w:pPr>
        <w:spacing w:line="440" w:lineRule="exact"/>
        <w:ind w:left="1619" w:leftChars="771"/>
        <w:rPr>
          <w:rFonts w:ascii="Times New Roman" w:hAnsi="Times New Roman" w:eastAsia="黑体"/>
          <w:sz w:val="24"/>
        </w:rPr>
      </w:pPr>
      <w:bookmarkStart w:id="197" w:name="_Toc20930_WPSOffice_Level1"/>
      <w:bookmarkStart w:id="198" w:name="_Toc32220_WPSOffice_Level1"/>
      <w:bookmarkStart w:id="199" w:name="_Toc4968_WPSOffice_Level1"/>
      <w:r>
        <w:rPr>
          <w:rFonts w:hint="eastAsia" w:ascii="Times New Roman" w:hAnsi="Times New Roman" w:eastAsia="黑体"/>
          <w:sz w:val="24"/>
        </w:rPr>
        <w:t>七</w:t>
      </w:r>
      <w:bookmarkEnd w:id="195"/>
      <w:bookmarkEnd w:id="196"/>
      <w:bookmarkEnd w:id="197"/>
      <w:bookmarkEnd w:id="198"/>
      <w:bookmarkStart w:id="200" w:name="_Toc32648_WPSOffice_Level1"/>
      <w:bookmarkStart w:id="201" w:name="_Toc30273_WPSOffice_Level1"/>
      <w:bookmarkStart w:id="202" w:name="_Toc25804_WPSOffice_Level1"/>
      <w:bookmarkStart w:id="203" w:name="_Toc27403_WPSOffice_Level1"/>
      <w:r>
        <w:rPr>
          <w:rFonts w:ascii="Times New Roman" w:hAnsi="Times New Roman" w:eastAsia="黑体"/>
          <w:sz w:val="24"/>
        </w:rPr>
        <w:t>、</w:t>
      </w:r>
      <w:bookmarkEnd w:id="200"/>
      <w:bookmarkEnd w:id="201"/>
      <w:bookmarkEnd w:id="202"/>
      <w:bookmarkEnd w:id="203"/>
      <w:r>
        <w:rPr>
          <w:rFonts w:hint="eastAsia" w:ascii="Times New Roman" w:hAnsi="Times New Roman" w:eastAsia="黑体"/>
          <w:sz w:val="24"/>
        </w:rPr>
        <w:t>信誉情况</w:t>
      </w:r>
      <w:bookmarkEnd w:id="199"/>
    </w:p>
    <w:p>
      <w:pPr>
        <w:spacing w:line="440" w:lineRule="exact"/>
        <w:ind w:left="1619" w:leftChars="771"/>
        <w:rPr>
          <w:rFonts w:ascii="Times New Roman" w:hAnsi="Times New Roman" w:eastAsia="黑体"/>
          <w:sz w:val="24"/>
        </w:rPr>
      </w:pPr>
      <w:bookmarkStart w:id="204" w:name="_Toc23147_WPSOffice_Level1"/>
      <w:bookmarkStart w:id="205" w:name="_Toc4051_WPSOffice_Level1"/>
      <w:bookmarkStart w:id="206" w:name="_Toc30234_WPSOffice_Level1"/>
      <w:bookmarkStart w:id="207" w:name="_Toc32152_WPSOffice_Level1"/>
      <w:bookmarkStart w:id="208" w:name="_Toc22085_WPSOffice_Level1"/>
      <w:r>
        <w:rPr>
          <w:rFonts w:hint="eastAsia" w:ascii="Times New Roman" w:hAnsi="Times New Roman" w:eastAsia="黑体"/>
          <w:sz w:val="24"/>
        </w:rPr>
        <w:t>八</w:t>
      </w:r>
      <w:r>
        <w:rPr>
          <w:rFonts w:ascii="Times New Roman" w:hAnsi="Times New Roman" w:eastAsia="黑体"/>
          <w:sz w:val="24"/>
        </w:rPr>
        <w:t>、</w:t>
      </w:r>
      <w:bookmarkEnd w:id="204"/>
      <w:bookmarkEnd w:id="205"/>
      <w:bookmarkEnd w:id="206"/>
      <w:bookmarkEnd w:id="207"/>
      <w:r>
        <w:rPr>
          <w:rFonts w:hint="eastAsia" w:ascii="Times New Roman" w:hAnsi="Times New Roman" w:eastAsia="黑体"/>
          <w:sz w:val="24"/>
        </w:rPr>
        <w:t>技术方案</w:t>
      </w:r>
      <w:bookmarkEnd w:id="208"/>
    </w:p>
    <w:p>
      <w:pPr>
        <w:spacing w:line="440" w:lineRule="exact"/>
        <w:ind w:left="1619" w:leftChars="771"/>
        <w:rPr>
          <w:rFonts w:ascii="Times New Roman" w:hAnsi="Times New Roman" w:eastAsia="黑体"/>
          <w:sz w:val="24"/>
        </w:rPr>
      </w:pPr>
      <w:bookmarkStart w:id="209" w:name="_Toc5885_WPSOffice_Level1"/>
      <w:bookmarkStart w:id="210" w:name="_Toc16988_WPSOffice_Level1"/>
      <w:bookmarkStart w:id="211" w:name="_Toc7764_WPSOffice_Level1"/>
      <w:r>
        <w:rPr>
          <w:rFonts w:hint="eastAsia" w:ascii="Times New Roman" w:hAnsi="Times New Roman" w:eastAsia="黑体"/>
          <w:sz w:val="24"/>
        </w:rPr>
        <w:t>九、其他材料</w:t>
      </w:r>
      <w:bookmarkEnd w:id="171"/>
      <w:bookmarkEnd w:id="209"/>
      <w:bookmarkEnd w:id="210"/>
      <w:bookmarkEnd w:id="211"/>
    </w:p>
    <w:p>
      <w:pPr>
        <w:spacing w:line="440" w:lineRule="exact"/>
        <w:ind w:left="1619" w:leftChars="771"/>
        <w:rPr>
          <w:rFonts w:ascii="Times New Roman" w:hAnsi="Times New Roman" w:eastAsia="黑体"/>
          <w:sz w:val="24"/>
        </w:rPr>
      </w:pPr>
    </w:p>
    <w:p>
      <w:pPr>
        <w:spacing w:line="440" w:lineRule="exact"/>
        <w:ind w:left="1619" w:leftChars="771"/>
        <w:rPr>
          <w:rFonts w:ascii="Times New Roman" w:hAnsi="Times New Roman" w:eastAsia="黑体"/>
          <w:sz w:val="24"/>
        </w:rPr>
      </w:pPr>
    </w:p>
    <w:p>
      <w:pPr>
        <w:spacing w:line="440" w:lineRule="exact"/>
        <w:jc w:val="center"/>
        <w:rPr>
          <w:rFonts w:ascii="Times New Roman" w:hAnsi="Times New Roman" w:eastAsia="黑体"/>
          <w:sz w:val="28"/>
          <w:szCs w:val="28"/>
        </w:rPr>
      </w:pPr>
      <w:r>
        <w:rPr>
          <w:rFonts w:ascii="Times New Roman" w:hAnsi="Times New Roman" w:eastAsia="黑体"/>
          <w:sz w:val="20"/>
          <w:szCs w:val="20"/>
        </w:rPr>
        <w:br w:type="page"/>
      </w:r>
      <w:bookmarkStart w:id="212" w:name="_Toc25394_WPSOffice_Level1"/>
      <w:bookmarkStart w:id="213" w:name="_Toc30031_WPSOffice_Level1"/>
      <w:bookmarkStart w:id="214" w:name="_Toc28708_WPSOffice_Level1"/>
      <w:bookmarkStart w:id="215" w:name="_Toc2765_WPSOffice_Level1"/>
      <w:bookmarkStart w:id="216" w:name="_Toc18312_WPSOffice_Level1"/>
      <w:bookmarkStart w:id="217" w:name="_Toc1687_WPSOffice_Level1"/>
      <w:r>
        <w:rPr>
          <w:rFonts w:ascii="Times New Roman" w:hAnsi="Times New Roman" w:eastAsia="黑体"/>
          <w:sz w:val="28"/>
          <w:szCs w:val="28"/>
        </w:rPr>
        <w:t>一、报价函</w:t>
      </w:r>
      <w:bookmarkEnd w:id="212"/>
      <w:bookmarkEnd w:id="213"/>
      <w:bookmarkEnd w:id="214"/>
      <w:bookmarkEnd w:id="215"/>
      <w:bookmarkEnd w:id="216"/>
      <w:bookmarkEnd w:id="217"/>
    </w:p>
    <w:p>
      <w:pPr>
        <w:spacing w:line="440" w:lineRule="exact"/>
        <w:rPr>
          <w:rFonts w:ascii="Times New Roman" w:hAnsi="Times New Roman"/>
          <w:sz w:val="24"/>
        </w:rPr>
      </w:pPr>
      <w:r>
        <w:rPr>
          <w:rFonts w:ascii="Times New Roman" w:hAnsi="Times New Roman"/>
          <w:sz w:val="24"/>
        </w:rPr>
        <w:t>(采购人名称)：</w:t>
      </w:r>
    </w:p>
    <w:p>
      <w:pPr>
        <w:spacing w:line="400" w:lineRule="exact"/>
        <w:ind w:firstLine="480" w:firstLineChars="200"/>
        <w:rPr>
          <w:rFonts w:ascii="Times New Roman" w:hAnsi="Times New Roman"/>
          <w:sz w:val="24"/>
        </w:rPr>
      </w:pPr>
      <w:r>
        <w:rPr>
          <w:rFonts w:ascii="Times New Roman" w:hAnsi="Times New Roman"/>
          <w:sz w:val="24"/>
        </w:rPr>
        <w:t>1．我方已仔细研究了(项目名称)合同包</w:t>
      </w:r>
      <w:r>
        <w:rPr>
          <w:rFonts w:hint="eastAsia" w:ascii="Times New Roman" w:hAnsi="Times New Roman"/>
          <w:sz w:val="24"/>
          <w:lang w:eastAsia="zh-CN"/>
        </w:rPr>
        <w:t>招标文件</w:t>
      </w:r>
      <w:r>
        <w:rPr>
          <w:rFonts w:ascii="Times New Roman" w:hAnsi="Times New Roman"/>
          <w:sz w:val="24"/>
        </w:rPr>
        <w:t>的全部内容(含补遗书第__号至第__号)，愿意以人民币(大写</w:t>
      </w:r>
      <w:r>
        <w:rPr>
          <w:rFonts w:hint="eastAsia" w:ascii="Times New Roman" w:hAnsi="Times New Roman"/>
          <w:sz w:val="24"/>
          <w:lang w:val="en-US" w:eastAsia="zh-CN"/>
        </w:rPr>
        <w:t xml:space="preserve">  </w:t>
      </w:r>
      <w:r>
        <w:rPr>
          <w:rFonts w:ascii="Times New Roman" w:hAnsi="Times New Roman"/>
          <w:sz w:val="24"/>
        </w:rPr>
        <w:t>)(小写：¥)的总报价，</w:t>
      </w:r>
      <w:r>
        <w:rPr>
          <w:rFonts w:hint="eastAsia" w:ascii="Times New Roman" w:hAnsi="Times New Roman"/>
          <w:sz w:val="24"/>
        </w:rPr>
        <w:t>服务期</w:t>
      </w:r>
      <w:r>
        <w:rPr>
          <w:rFonts w:ascii="Times New Roman" w:hAnsi="Times New Roman"/>
          <w:sz w:val="24"/>
        </w:rPr>
        <w:t>，按合同约定实施和完成相关服务，质量目标达到，安全目标达到。</w:t>
      </w:r>
    </w:p>
    <w:p>
      <w:pPr>
        <w:spacing w:line="400" w:lineRule="exact"/>
        <w:ind w:firstLine="480" w:firstLineChars="200"/>
        <w:rPr>
          <w:rFonts w:ascii="Times New Roman" w:hAnsi="Times New Roman"/>
          <w:sz w:val="24"/>
        </w:rPr>
      </w:pPr>
      <w:r>
        <w:rPr>
          <w:rFonts w:ascii="Times New Roman" w:hAnsi="Times New Roman"/>
          <w:sz w:val="24"/>
        </w:rPr>
        <w:t>2．我方承诺在响应有效期内不修改、撤销响应文件。</w:t>
      </w:r>
    </w:p>
    <w:p>
      <w:pPr>
        <w:spacing w:line="400" w:lineRule="exact"/>
        <w:ind w:firstLine="480" w:firstLineChars="200"/>
        <w:rPr>
          <w:rFonts w:ascii="Times New Roman" w:hAnsi="Times New Roman"/>
          <w:sz w:val="24"/>
        </w:rPr>
      </w:pPr>
      <w:r>
        <w:rPr>
          <w:rFonts w:ascii="Times New Roman" w:hAnsi="Times New Roman"/>
          <w:sz w:val="24"/>
        </w:rPr>
        <w:t>3．如我方成交：</w:t>
      </w:r>
    </w:p>
    <w:p>
      <w:pPr>
        <w:spacing w:line="400" w:lineRule="exact"/>
        <w:ind w:firstLine="480" w:firstLineChars="200"/>
        <w:rPr>
          <w:rFonts w:ascii="Times New Roman" w:hAnsi="Times New Roman"/>
          <w:sz w:val="24"/>
        </w:rPr>
      </w:pPr>
      <w:r>
        <w:rPr>
          <w:rFonts w:ascii="Times New Roman" w:hAnsi="Times New Roman"/>
          <w:sz w:val="24"/>
        </w:rPr>
        <w:t>(1)我方承诺在收到成交通知书后，在成交通知书规定的期限内与你方签订合同。</w:t>
      </w:r>
    </w:p>
    <w:p>
      <w:pPr>
        <w:spacing w:line="400" w:lineRule="exact"/>
        <w:ind w:firstLine="480" w:firstLineChars="200"/>
        <w:rPr>
          <w:rFonts w:ascii="Times New Roman" w:hAnsi="Times New Roman"/>
          <w:sz w:val="24"/>
        </w:rPr>
      </w:pPr>
      <w:r>
        <w:rPr>
          <w:rFonts w:ascii="Times New Roman" w:hAnsi="Times New Roman"/>
          <w:sz w:val="24"/>
        </w:rPr>
        <w:t>(2)我方承诺按照</w:t>
      </w:r>
      <w:r>
        <w:rPr>
          <w:rFonts w:hint="eastAsia" w:ascii="Times New Roman" w:hAnsi="Times New Roman"/>
          <w:sz w:val="24"/>
          <w:lang w:eastAsia="zh-CN"/>
        </w:rPr>
        <w:t>招标文件</w:t>
      </w:r>
      <w:r>
        <w:rPr>
          <w:rFonts w:ascii="Times New Roman" w:hAnsi="Times New Roman"/>
          <w:sz w:val="24"/>
        </w:rPr>
        <w:t>规定向你方递交履约担保。</w:t>
      </w:r>
    </w:p>
    <w:p>
      <w:pPr>
        <w:spacing w:line="400" w:lineRule="exact"/>
        <w:ind w:firstLine="480" w:firstLineChars="200"/>
        <w:rPr>
          <w:rFonts w:ascii="Times New Roman" w:hAnsi="Times New Roman"/>
          <w:sz w:val="24"/>
        </w:rPr>
      </w:pPr>
      <w:r>
        <w:rPr>
          <w:rFonts w:ascii="Times New Roman" w:hAnsi="Times New Roman"/>
          <w:sz w:val="24"/>
        </w:rPr>
        <w:t>(3)我方承诺在合同约定的期限内完成全部合同任务。</w:t>
      </w:r>
    </w:p>
    <w:p>
      <w:pPr>
        <w:spacing w:line="400" w:lineRule="exact"/>
        <w:ind w:firstLine="480" w:firstLineChars="200"/>
        <w:rPr>
          <w:rFonts w:ascii="Times New Roman" w:hAnsi="Times New Roman"/>
          <w:sz w:val="24"/>
        </w:rPr>
      </w:pPr>
      <w:r>
        <w:rPr>
          <w:rFonts w:ascii="Times New Roman" w:hAnsi="Times New Roman"/>
          <w:sz w:val="24"/>
        </w:rPr>
        <w:t>4．我方在此声明，所递交的响应文件及有关资料内容完整、真实和准确。</w:t>
      </w:r>
    </w:p>
    <w:p>
      <w:pPr>
        <w:spacing w:line="400" w:lineRule="exact"/>
        <w:ind w:firstLine="480" w:firstLineChars="200"/>
        <w:rPr>
          <w:rFonts w:ascii="Times New Roman" w:hAnsi="Times New Roman"/>
          <w:sz w:val="24"/>
        </w:rPr>
      </w:pPr>
      <w:r>
        <w:rPr>
          <w:rFonts w:ascii="Times New Roman" w:hAnsi="Times New Roman"/>
          <w:sz w:val="24"/>
        </w:rPr>
        <w:t>5．在合同协议书正式签署生效之前，本报价函连同你方的成交通知书将构成我们双方之间共同遵守的文件，对双方具有约束力。</w:t>
      </w:r>
    </w:p>
    <w:p>
      <w:pPr>
        <w:spacing w:line="400" w:lineRule="exact"/>
        <w:ind w:firstLine="480" w:firstLineChars="200"/>
        <w:rPr>
          <w:rFonts w:ascii="Times New Roman" w:hAnsi="Times New Roman"/>
          <w:sz w:val="24"/>
        </w:rPr>
      </w:pPr>
      <w:r>
        <w:rPr>
          <w:rFonts w:ascii="Times New Roman" w:hAnsi="Times New Roman"/>
          <w:sz w:val="24"/>
        </w:rPr>
        <w:t>6．我方理解，你方不一定</w:t>
      </w:r>
      <w:r>
        <w:rPr>
          <w:rFonts w:hint="eastAsia" w:ascii="Times New Roman" w:hAnsi="Times New Roman"/>
          <w:sz w:val="24"/>
        </w:rPr>
        <w:t>接受</w:t>
      </w:r>
      <w:r>
        <w:rPr>
          <w:rFonts w:ascii="Times New Roman" w:hAnsi="Times New Roman"/>
          <w:sz w:val="24"/>
        </w:rPr>
        <w:t>任何报价。同时也理解，你方不负担我方的任何报价费用。</w:t>
      </w:r>
    </w:p>
    <w:p>
      <w:pPr>
        <w:spacing w:line="400" w:lineRule="exact"/>
        <w:ind w:firstLine="480" w:firstLineChars="200"/>
        <w:rPr>
          <w:rFonts w:ascii="Times New Roman" w:hAnsi="Times New Roman"/>
          <w:sz w:val="24"/>
        </w:rPr>
      </w:pPr>
      <w:r>
        <w:rPr>
          <w:rFonts w:ascii="Times New Roman" w:hAnsi="Times New Roman"/>
          <w:sz w:val="24"/>
        </w:rPr>
        <w:t>7.____________。</w:t>
      </w:r>
    </w:p>
    <w:p>
      <w:pPr>
        <w:spacing w:line="400" w:lineRule="exact"/>
        <w:ind w:firstLine="3420" w:firstLineChars="1425"/>
        <w:rPr>
          <w:rFonts w:ascii="Times New Roman" w:hAnsi="Times New Roman"/>
          <w:sz w:val="24"/>
        </w:rPr>
      </w:pPr>
      <w:r>
        <w:rPr>
          <w:rFonts w:ascii="Times New Roman" w:hAnsi="Times New Roman"/>
          <w:sz w:val="24"/>
        </w:rPr>
        <w:t>供应商：(盖单位章)</w:t>
      </w:r>
    </w:p>
    <w:p>
      <w:pPr>
        <w:spacing w:line="400" w:lineRule="exact"/>
        <w:ind w:firstLine="3420" w:firstLineChars="1425"/>
        <w:rPr>
          <w:rFonts w:ascii="Times New Roman" w:hAnsi="Times New Roman"/>
          <w:sz w:val="24"/>
        </w:rPr>
      </w:pPr>
      <w:r>
        <w:rPr>
          <w:rFonts w:ascii="Times New Roman" w:hAnsi="Times New Roman"/>
          <w:sz w:val="24"/>
        </w:rPr>
        <w:t>法定代表人</w:t>
      </w:r>
      <w:r>
        <w:rPr>
          <w:rFonts w:hint="eastAsia" w:ascii="Times New Roman" w:hAnsi="Times New Roman"/>
          <w:sz w:val="24"/>
        </w:rPr>
        <w:t>或委托代理人</w:t>
      </w:r>
      <w:r>
        <w:rPr>
          <w:rFonts w:ascii="Times New Roman" w:hAnsi="Times New Roman"/>
          <w:sz w:val="24"/>
        </w:rPr>
        <w:t>：(</w:t>
      </w:r>
      <w:r>
        <w:rPr>
          <w:rFonts w:hint="eastAsia" w:ascii="Times New Roman" w:hAnsi="Times New Roman"/>
          <w:sz w:val="24"/>
        </w:rPr>
        <w:t>签名</w:t>
      </w:r>
      <w:r>
        <w:rPr>
          <w:rFonts w:ascii="Times New Roman" w:hAnsi="Times New Roman"/>
          <w:sz w:val="24"/>
        </w:rPr>
        <w:t>)</w:t>
      </w:r>
    </w:p>
    <w:p>
      <w:pPr>
        <w:spacing w:line="400" w:lineRule="exact"/>
        <w:ind w:firstLine="3420" w:firstLineChars="1425"/>
        <w:rPr>
          <w:rFonts w:ascii="Times New Roman" w:hAnsi="Times New Roman"/>
          <w:sz w:val="24"/>
        </w:rPr>
      </w:pPr>
    </w:p>
    <w:p>
      <w:pPr>
        <w:spacing w:line="400" w:lineRule="exact"/>
        <w:ind w:firstLine="4740" w:firstLineChars="1975"/>
        <w:rPr>
          <w:rFonts w:ascii="Times New Roman" w:hAnsi="Times New Roman"/>
          <w:sz w:val="24"/>
        </w:rPr>
      </w:pPr>
      <w:r>
        <w:rPr>
          <w:rFonts w:ascii="Times New Roman" w:hAnsi="Times New Roman"/>
          <w:sz w:val="24"/>
        </w:rPr>
        <w:t>年</w:t>
      </w:r>
      <w:r>
        <w:rPr>
          <w:rFonts w:hint="eastAsia" w:ascii="Times New Roman" w:hAnsi="Times New Roman"/>
          <w:sz w:val="24"/>
          <w:lang w:val="en-US" w:eastAsia="zh-CN"/>
        </w:rPr>
        <w:t xml:space="preserve">  </w:t>
      </w:r>
      <w:r>
        <w:rPr>
          <w:rFonts w:ascii="Times New Roman" w:hAnsi="Times New Roman"/>
          <w:sz w:val="24"/>
        </w:rPr>
        <w:t>月</w:t>
      </w:r>
      <w:r>
        <w:rPr>
          <w:rFonts w:hint="eastAsia" w:ascii="Times New Roman" w:hAnsi="Times New Roman"/>
          <w:sz w:val="24"/>
          <w:lang w:val="en-US" w:eastAsia="zh-CN"/>
        </w:rPr>
        <w:t xml:space="preserve">  </w:t>
      </w:r>
      <w:r>
        <w:rPr>
          <w:rFonts w:ascii="Times New Roman" w:hAnsi="Times New Roman"/>
          <w:sz w:val="24"/>
        </w:rPr>
        <w:t>日</w:t>
      </w:r>
    </w:p>
    <w:p>
      <w:pPr>
        <w:rPr>
          <w:rFonts w:ascii="Times New Roman" w:hAnsi="Times New Roman"/>
          <w:sz w:val="24"/>
        </w:rPr>
      </w:pPr>
      <w:r>
        <w:rPr>
          <w:rFonts w:ascii="Times New Roman" w:hAnsi="Times New Roman"/>
          <w:sz w:val="24"/>
        </w:rPr>
        <w:br w:type="page"/>
      </w:r>
    </w:p>
    <w:p>
      <w:pPr>
        <w:spacing w:line="440" w:lineRule="exact"/>
        <w:jc w:val="center"/>
        <w:rPr>
          <w:rFonts w:ascii="Times New Roman" w:hAnsi="Times New Roman" w:eastAsia="黑体"/>
          <w:sz w:val="20"/>
          <w:szCs w:val="20"/>
        </w:rPr>
      </w:pPr>
    </w:p>
    <w:p>
      <w:pPr>
        <w:spacing w:line="440" w:lineRule="exact"/>
        <w:jc w:val="center"/>
        <w:rPr>
          <w:rFonts w:ascii="Times New Roman" w:hAnsi="Times New Roman" w:eastAsia="黑体"/>
          <w:sz w:val="28"/>
          <w:szCs w:val="28"/>
        </w:rPr>
      </w:pPr>
      <w:bookmarkStart w:id="218" w:name="_Toc16271_WPSOffice_Level1"/>
      <w:bookmarkStart w:id="219" w:name="_Toc32350_WPSOffice_Level1"/>
      <w:bookmarkStart w:id="220" w:name="_Toc10475_WPSOffice_Level1"/>
      <w:bookmarkStart w:id="221" w:name="_Toc14563_WPSOffice_Level1"/>
      <w:bookmarkStart w:id="222" w:name="_Toc18668_WPSOffice_Level1"/>
      <w:bookmarkStart w:id="223" w:name="_Toc8695_WPSOffice_Level1"/>
      <w:r>
        <w:rPr>
          <w:rFonts w:ascii="Times New Roman" w:hAnsi="Times New Roman" w:eastAsia="黑体"/>
          <w:sz w:val="28"/>
          <w:szCs w:val="28"/>
        </w:rPr>
        <w:t>二、授权委托书</w:t>
      </w:r>
      <w:bookmarkEnd w:id="218"/>
      <w:bookmarkEnd w:id="219"/>
      <w:bookmarkEnd w:id="220"/>
      <w:bookmarkEnd w:id="221"/>
      <w:bookmarkEnd w:id="222"/>
      <w:bookmarkEnd w:id="223"/>
    </w:p>
    <w:p>
      <w:pPr>
        <w:spacing w:line="440" w:lineRule="exact"/>
        <w:rPr>
          <w:rFonts w:ascii="Times New Roman" w:hAnsi="Times New Roman"/>
          <w:sz w:val="20"/>
          <w:szCs w:val="20"/>
        </w:rPr>
      </w:pPr>
    </w:p>
    <w:p>
      <w:pPr>
        <w:topLinePunct/>
        <w:spacing w:line="440" w:lineRule="exact"/>
        <w:ind w:firstLine="480" w:firstLineChars="200"/>
        <w:rPr>
          <w:rFonts w:ascii="Times New Roman" w:hAnsi="Times New Roman"/>
          <w:sz w:val="24"/>
        </w:rPr>
      </w:pPr>
      <w:r>
        <w:rPr>
          <w:rFonts w:ascii="Times New Roman" w:hAnsi="Times New Roman"/>
          <w:sz w:val="24"/>
        </w:rPr>
        <w:t>本人(姓名)系(供应商名称)的法定代表人，现委托(姓名)为我方代理人。代理人根据授权，以我方名义签署、澄清、说明、补正、递交、撤回、修改(项目名称)合同包响应文件、签订合同和处理有关事宜，其法律后果由我方承担。</w:t>
      </w:r>
    </w:p>
    <w:p>
      <w:pPr>
        <w:spacing w:line="440" w:lineRule="exact"/>
        <w:rPr>
          <w:rFonts w:ascii="Times New Roman" w:hAnsi="Times New Roman"/>
          <w:sz w:val="24"/>
        </w:rPr>
      </w:pPr>
      <w:r>
        <w:rPr>
          <w:rFonts w:ascii="Times New Roman" w:hAnsi="Times New Roman"/>
          <w:sz w:val="24"/>
        </w:rPr>
        <w:t xml:space="preserve">    委托期限：</w:t>
      </w:r>
      <w:r>
        <w:rPr>
          <w:rFonts w:ascii="Times New Roman" w:hAnsi="Times New Roman"/>
          <w:sz w:val="24"/>
          <w:u w:val="single"/>
        </w:rPr>
        <w:t>自授权委托之日起至签订合同之日止</w:t>
      </w:r>
      <w:r>
        <w:rPr>
          <w:rFonts w:ascii="Times New Roman" w:hAnsi="Times New Roman"/>
          <w:sz w:val="24"/>
        </w:rPr>
        <w:t>。</w:t>
      </w:r>
    </w:p>
    <w:p>
      <w:pPr>
        <w:spacing w:line="440" w:lineRule="exact"/>
        <w:ind w:firstLine="480" w:firstLineChars="200"/>
        <w:rPr>
          <w:rFonts w:ascii="Times New Roman" w:hAnsi="Times New Roman"/>
          <w:sz w:val="24"/>
        </w:rPr>
      </w:pPr>
      <w:r>
        <w:rPr>
          <w:rFonts w:ascii="Times New Roman" w:hAnsi="Times New Roman"/>
          <w:sz w:val="24"/>
        </w:rPr>
        <w:t>代理人无转委托权。</w:t>
      </w:r>
    </w:p>
    <w:p>
      <w:pPr>
        <w:spacing w:line="440" w:lineRule="exact"/>
        <w:ind w:firstLine="480" w:firstLineChars="200"/>
        <w:rPr>
          <w:rFonts w:ascii="Times New Roman" w:hAnsi="Times New Roman"/>
          <w:sz w:val="24"/>
        </w:rPr>
      </w:pPr>
      <w:r>
        <w:rPr>
          <w:rFonts w:ascii="Times New Roman" w:hAnsi="Times New Roman"/>
          <w:sz w:val="24"/>
        </w:rPr>
        <w:t>附：</w:t>
      </w:r>
      <w:r>
        <w:rPr>
          <w:rFonts w:hint="eastAsia" w:ascii="Times New Roman" w:hAnsi="Times New Roman"/>
          <w:sz w:val="24"/>
          <w:lang w:val="en-US" w:eastAsia="zh-CN"/>
        </w:rPr>
        <w:t>法定代表人及</w:t>
      </w:r>
      <w:r>
        <w:rPr>
          <w:rFonts w:hint="eastAsia" w:ascii="Times New Roman" w:hAnsi="Times New Roman"/>
          <w:sz w:val="24"/>
        </w:rPr>
        <w:t>委托代理人的身份证正反面复印件</w:t>
      </w:r>
    </w:p>
    <w:p>
      <w:pPr>
        <w:spacing w:line="440" w:lineRule="exact"/>
        <w:ind w:firstLine="480" w:firstLineChars="200"/>
        <w:rPr>
          <w:rFonts w:ascii="Times New Roman" w:hAnsi="Times New Roman"/>
          <w:sz w:val="24"/>
        </w:rPr>
      </w:pPr>
    </w:p>
    <w:p>
      <w:pPr>
        <w:spacing w:line="440" w:lineRule="exact"/>
        <w:rPr>
          <w:rFonts w:ascii="Times New Roman" w:hAnsi="Times New Roman"/>
          <w:sz w:val="24"/>
        </w:rPr>
      </w:pPr>
    </w:p>
    <w:p>
      <w:pPr>
        <w:spacing w:line="440" w:lineRule="exact"/>
        <w:rPr>
          <w:rFonts w:ascii="Times New Roman" w:hAnsi="Times New Roman"/>
          <w:sz w:val="24"/>
        </w:rPr>
      </w:pPr>
      <w:r>
        <w:rPr>
          <w:rFonts w:ascii="Times New Roman" w:hAnsi="Times New Roman"/>
          <w:sz w:val="24"/>
        </w:rPr>
        <w:t>供应商：(盖单位章)</w:t>
      </w:r>
    </w:p>
    <w:p>
      <w:pPr>
        <w:spacing w:line="440" w:lineRule="exact"/>
        <w:rPr>
          <w:rFonts w:ascii="Times New Roman" w:hAnsi="Times New Roman"/>
          <w:sz w:val="24"/>
        </w:rPr>
      </w:pPr>
    </w:p>
    <w:p>
      <w:pPr>
        <w:spacing w:line="440" w:lineRule="exact"/>
        <w:rPr>
          <w:rFonts w:ascii="Times New Roman" w:hAnsi="Times New Roman"/>
          <w:sz w:val="24"/>
        </w:rPr>
      </w:pPr>
      <w:r>
        <w:rPr>
          <w:rFonts w:ascii="Times New Roman" w:hAnsi="Times New Roman"/>
          <w:sz w:val="24"/>
        </w:rPr>
        <w:t>法定代表人：(</w:t>
      </w:r>
      <w:r>
        <w:rPr>
          <w:rFonts w:hint="eastAsia" w:ascii="Times New Roman" w:hAnsi="Times New Roman"/>
          <w:sz w:val="24"/>
        </w:rPr>
        <w:t>签名</w:t>
      </w:r>
      <w:r>
        <w:rPr>
          <w:rFonts w:ascii="Times New Roman" w:hAnsi="Times New Roman"/>
          <w:sz w:val="24"/>
        </w:rPr>
        <w:t>)</w:t>
      </w:r>
    </w:p>
    <w:p>
      <w:pPr>
        <w:spacing w:line="440" w:lineRule="exact"/>
        <w:rPr>
          <w:rFonts w:ascii="Times New Roman" w:hAnsi="Times New Roman"/>
          <w:sz w:val="24"/>
        </w:rPr>
      </w:pPr>
    </w:p>
    <w:p>
      <w:pPr>
        <w:spacing w:line="440" w:lineRule="exact"/>
        <w:rPr>
          <w:rFonts w:ascii="Times New Roman" w:hAnsi="Times New Roman"/>
          <w:sz w:val="24"/>
        </w:rPr>
      </w:pPr>
      <w:r>
        <w:rPr>
          <w:rFonts w:ascii="Times New Roman" w:hAnsi="Times New Roman"/>
          <w:sz w:val="24"/>
        </w:rPr>
        <w:t>身份证号码：</w:t>
      </w:r>
    </w:p>
    <w:p>
      <w:pPr>
        <w:spacing w:line="440" w:lineRule="exact"/>
        <w:rPr>
          <w:rFonts w:ascii="Times New Roman" w:hAnsi="Times New Roman"/>
          <w:sz w:val="24"/>
        </w:rPr>
      </w:pPr>
    </w:p>
    <w:p>
      <w:pPr>
        <w:spacing w:line="440" w:lineRule="exact"/>
        <w:rPr>
          <w:rFonts w:ascii="Times New Roman" w:hAnsi="Times New Roman"/>
          <w:sz w:val="24"/>
        </w:rPr>
      </w:pPr>
      <w:r>
        <w:rPr>
          <w:rFonts w:ascii="Times New Roman" w:hAnsi="Times New Roman"/>
          <w:sz w:val="24"/>
        </w:rPr>
        <w:t>委托代理人：(</w:t>
      </w:r>
      <w:r>
        <w:rPr>
          <w:rFonts w:hint="eastAsia" w:ascii="Times New Roman" w:hAnsi="Times New Roman"/>
          <w:sz w:val="24"/>
        </w:rPr>
        <w:t>签名</w:t>
      </w:r>
      <w:r>
        <w:rPr>
          <w:rFonts w:ascii="Times New Roman" w:hAnsi="Times New Roman"/>
          <w:sz w:val="24"/>
        </w:rPr>
        <w:t>)</w:t>
      </w:r>
    </w:p>
    <w:p>
      <w:pPr>
        <w:spacing w:line="440" w:lineRule="exact"/>
        <w:rPr>
          <w:rFonts w:ascii="Times New Roman" w:hAnsi="Times New Roman"/>
          <w:sz w:val="24"/>
        </w:rPr>
      </w:pPr>
    </w:p>
    <w:p>
      <w:pPr>
        <w:spacing w:line="440" w:lineRule="exact"/>
        <w:rPr>
          <w:rFonts w:ascii="Times New Roman" w:hAnsi="Times New Roman"/>
          <w:sz w:val="24"/>
        </w:rPr>
      </w:pPr>
      <w:r>
        <w:rPr>
          <w:rFonts w:ascii="Times New Roman" w:hAnsi="Times New Roman"/>
          <w:sz w:val="24"/>
        </w:rPr>
        <w:t>身份证号码：</w:t>
      </w:r>
    </w:p>
    <w:p>
      <w:pPr>
        <w:spacing w:line="440" w:lineRule="exact"/>
        <w:rPr>
          <w:rFonts w:ascii="Times New Roman" w:hAnsi="Times New Roman"/>
          <w:sz w:val="24"/>
        </w:rPr>
      </w:pPr>
    </w:p>
    <w:p>
      <w:pPr>
        <w:spacing w:line="440" w:lineRule="exact"/>
        <w:rPr>
          <w:rFonts w:ascii="Times New Roman" w:hAnsi="Times New Roman"/>
          <w:sz w:val="24"/>
        </w:rPr>
      </w:pPr>
    </w:p>
    <w:p>
      <w:pPr>
        <w:spacing w:line="440" w:lineRule="exact"/>
        <w:ind w:firstLine="1800" w:firstLineChars="750"/>
        <w:rPr>
          <w:rFonts w:ascii="Times New Roman" w:hAnsi="Times New Roman" w:eastAsia="黑体"/>
          <w:sz w:val="24"/>
        </w:rPr>
      </w:pPr>
      <w:r>
        <w:rPr>
          <w:rFonts w:ascii="Times New Roman" w:hAnsi="Times New Roman"/>
          <w:sz w:val="24"/>
        </w:rPr>
        <w:t xml:space="preserve">年 </w:t>
      </w:r>
      <w:r>
        <w:rPr>
          <w:rFonts w:hint="eastAsia" w:ascii="Times New Roman" w:hAnsi="Times New Roman"/>
          <w:sz w:val="24"/>
          <w:lang w:val="en-US" w:eastAsia="zh-CN"/>
        </w:rPr>
        <w:t xml:space="preserve"> </w:t>
      </w:r>
      <w:r>
        <w:rPr>
          <w:rFonts w:ascii="Times New Roman" w:hAnsi="Times New Roman"/>
          <w:sz w:val="24"/>
        </w:rPr>
        <w:t>月</w:t>
      </w:r>
      <w:r>
        <w:rPr>
          <w:rFonts w:hint="eastAsia" w:ascii="Times New Roman" w:hAnsi="Times New Roman"/>
          <w:sz w:val="24"/>
          <w:lang w:val="en-US" w:eastAsia="zh-CN"/>
        </w:rPr>
        <w:t xml:space="preserve">  </w:t>
      </w:r>
      <w:r>
        <w:rPr>
          <w:rFonts w:ascii="Times New Roman" w:hAnsi="Times New Roman"/>
          <w:sz w:val="24"/>
        </w:rPr>
        <w:t>日</w:t>
      </w:r>
    </w:p>
    <w:p>
      <w:pPr>
        <w:spacing w:line="440" w:lineRule="exact"/>
        <w:rPr>
          <w:rFonts w:ascii="Times New Roman" w:hAnsi="Times New Roman" w:eastAsia="黑体"/>
          <w:sz w:val="24"/>
        </w:rPr>
      </w:pPr>
    </w:p>
    <w:p>
      <w:pPr>
        <w:spacing w:line="360" w:lineRule="exact"/>
        <w:ind w:left="360" w:hanging="360" w:hangingChars="200"/>
        <w:rPr>
          <w:rFonts w:ascii="Times New Roman" w:hAnsi="Times New Roman" w:eastAsia="黑体"/>
          <w:sz w:val="18"/>
          <w:szCs w:val="18"/>
        </w:rPr>
      </w:pPr>
    </w:p>
    <w:p>
      <w:pPr>
        <w:spacing w:line="440" w:lineRule="exact"/>
        <w:jc w:val="center"/>
        <w:rPr>
          <w:rFonts w:ascii="Times New Roman" w:hAnsi="Times New Roman" w:eastAsia="黑体"/>
          <w:sz w:val="24"/>
        </w:rPr>
      </w:pPr>
      <w:r>
        <w:rPr>
          <w:rFonts w:ascii="Times New Roman" w:hAnsi="Times New Roman" w:eastAsia="黑体"/>
          <w:sz w:val="24"/>
        </w:rPr>
        <w:br w:type="page"/>
      </w:r>
    </w:p>
    <w:p>
      <w:pPr>
        <w:spacing w:line="440" w:lineRule="exact"/>
        <w:jc w:val="center"/>
        <w:rPr>
          <w:rFonts w:ascii="Times New Roman" w:hAnsi="Times New Roman" w:eastAsia="黑体"/>
          <w:sz w:val="28"/>
          <w:szCs w:val="28"/>
        </w:rPr>
      </w:pPr>
      <w:bookmarkStart w:id="224" w:name="_Toc24567_WPSOffice_Level1"/>
      <w:bookmarkStart w:id="225" w:name="_Toc15186_WPSOffice_Level1"/>
      <w:bookmarkStart w:id="226" w:name="_Toc32085_WPSOffice_Level1"/>
      <w:bookmarkStart w:id="227" w:name="_Toc24530_WPSOffice_Level1"/>
      <w:bookmarkStart w:id="228" w:name="_Toc12127_WPSOffice_Level1"/>
      <w:bookmarkStart w:id="229" w:name="_Toc31532_WPSOffice_Level1"/>
      <w:r>
        <w:rPr>
          <w:rFonts w:hint="eastAsia" w:ascii="Times New Roman" w:hAnsi="Times New Roman" w:eastAsia="黑体"/>
          <w:sz w:val="28"/>
          <w:szCs w:val="28"/>
        </w:rPr>
        <w:t>三</w:t>
      </w:r>
      <w:r>
        <w:rPr>
          <w:rFonts w:ascii="Times New Roman" w:hAnsi="Times New Roman" w:eastAsia="黑体"/>
          <w:sz w:val="28"/>
          <w:szCs w:val="28"/>
        </w:rPr>
        <w:t>、已标价</w:t>
      </w:r>
      <w:r>
        <w:rPr>
          <w:rFonts w:hint="eastAsia" w:ascii="Times New Roman" w:hAnsi="Times New Roman" w:eastAsia="黑体"/>
          <w:sz w:val="28"/>
          <w:szCs w:val="28"/>
        </w:rPr>
        <w:t>的</w:t>
      </w:r>
      <w:bookmarkEnd w:id="224"/>
      <w:bookmarkEnd w:id="225"/>
      <w:bookmarkEnd w:id="226"/>
      <w:bookmarkEnd w:id="227"/>
      <w:r>
        <w:rPr>
          <w:rFonts w:hint="eastAsia" w:ascii="Times New Roman" w:hAnsi="Times New Roman" w:eastAsia="黑体"/>
          <w:sz w:val="28"/>
          <w:szCs w:val="28"/>
        </w:rPr>
        <w:t>报价清单</w:t>
      </w:r>
      <w:bookmarkEnd w:id="228"/>
      <w:bookmarkEnd w:id="229"/>
    </w:p>
    <w:p>
      <w:pPr>
        <w:pStyle w:val="9"/>
        <w:rPr>
          <w:rFonts w:ascii="Times New Roman" w:hAnsi="Times New Roman"/>
        </w:rPr>
      </w:pPr>
    </w:p>
    <w:p>
      <w:pPr>
        <w:spacing w:line="440" w:lineRule="exact"/>
        <w:ind w:firstLine="6300" w:firstLineChars="3000"/>
        <w:rPr>
          <w:rFonts w:ascii="Times New Roman" w:hAnsi="Times New Roman" w:eastAsia="黑体"/>
          <w:sz w:val="24"/>
        </w:rPr>
      </w:pPr>
      <w:r>
        <w:rPr>
          <w:rFonts w:ascii="Times New Roman" w:hAnsi="Times New Roman"/>
          <w:color w:val="000000"/>
        </w:rPr>
        <w:t>单位：人民币元</w:t>
      </w:r>
    </w:p>
    <w:tbl>
      <w:tblPr>
        <w:tblStyle w:val="21"/>
        <w:tblW w:w="5490" w:type="pct"/>
        <w:tblInd w:w="-543" w:type="dxa"/>
        <w:tblLayout w:type="fixed"/>
        <w:tblCellMar>
          <w:top w:w="0" w:type="dxa"/>
          <w:left w:w="108" w:type="dxa"/>
          <w:bottom w:w="0" w:type="dxa"/>
          <w:right w:w="108" w:type="dxa"/>
        </w:tblCellMar>
      </w:tblPr>
      <w:tblGrid>
        <w:gridCol w:w="729"/>
        <w:gridCol w:w="4319"/>
        <w:gridCol w:w="1053"/>
        <w:gridCol w:w="944"/>
        <w:gridCol w:w="1257"/>
        <w:gridCol w:w="1062"/>
      </w:tblGrid>
      <w:tr>
        <w:tblPrEx>
          <w:tblCellMar>
            <w:top w:w="0" w:type="dxa"/>
            <w:left w:w="108" w:type="dxa"/>
            <w:bottom w:w="0" w:type="dxa"/>
            <w:right w:w="108" w:type="dxa"/>
          </w:tblCellMar>
        </w:tblPrEx>
        <w:trPr>
          <w:trHeight w:val="668" w:hRule="atLeast"/>
        </w:trPr>
        <w:tc>
          <w:tcPr>
            <w:tcW w:w="389" w:type="pct"/>
            <w:tcBorders>
              <w:top w:val="single" w:color="000000" w:sz="8" w:space="0"/>
              <w:left w:val="single" w:color="000000" w:sz="8"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4"/>
              </w:rPr>
            </w:pPr>
            <w:r>
              <w:rPr>
                <w:rFonts w:ascii="Times New Roman" w:hAnsi="Times New Roman"/>
                <w:color w:val="000000"/>
                <w:kern w:val="0"/>
                <w:sz w:val="24"/>
              </w:rPr>
              <w:t>序号</w:t>
            </w:r>
          </w:p>
        </w:tc>
        <w:tc>
          <w:tcPr>
            <w:tcW w:w="2305" w:type="pct"/>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4"/>
              </w:rPr>
            </w:pPr>
            <w:r>
              <w:rPr>
                <w:rFonts w:ascii="Times New Roman" w:hAnsi="Times New Roman"/>
                <w:color w:val="000000"/>
                <w:kern w:val="0"/>
                <w:sz w:val="24"/>
              </w:rPr>
              <w:t>项目名称</w:t>
            </w:r>
          </w:p>
        </w:tc>
        <w:tc>
          <w:tcPr>
            <w:tcW w:w="562" w:type="pct"/>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4"/>
              </w:rPr>
            </w:pPr>
            <w:r>
              <w:rPr>
                <w:rFonts w:ascii="Times New Roman" w:hAnsi="Times New Roman"/>
                <w:color w:val="000000"/>
                <w:kern w:val="0"/>
                <w:sz w:val="24"/>
              </w:rPr>
              <w:t>单位</w:t>
            </w:r>
          </w:p>
        </w:tc>
        <w:tc>
          <w:tcPr>
            <w:tcW w:w="504" w:type="pct"/>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4"/>
              </w:rPr>
            </w:pPr>
            <w:r>
              <w:rPr>
                <w:rFonts w:ascii="Times New Roman" w:hAnsi="Times New Roman"/>
                <w:color w:val="000000"/>
                <w:kern w:val="0"/>
                <w:sz w:val="24"/>
              </w:rPr>
              <w:t>数量</w:t>
            </w:r>
          </w:p>
        </w:tc>
        <w:tc>
          <w:tcPr>
            <w:tcW w:w="670" w:type="pct"/>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4"/>
              </w:rPr>
            </w:pPr>
            <w:r>
              <w:rPr>
                <w:rFonts w:ascii="Times New Roman" w:hAnsi="Times New Roman"/>
                <w:color w:val="000000"/>
                <w:kern w:val="0"/>
                <w:sz w:val="24"/>
              </w:rPr>
              <w:t>单价</w:t>
            </w:r>
          </w:p>
        </w:tc>
        <w:tc>
          <w:tcPr>
            <w:tcW w:w="567" w:type="pct"/>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4"/>
              </w:rPr>
            </w:pPr>
            <w:r>
              <w:rPr>
                <w:rFonts w:ascii="Times New Roman" w:hAnsi="Times New Roman"/>
                <w:color w:val="000000"/>
                <w:kern w:val="0"/>
                <w:sz w:val="24"/>
              </w:rPr>
              <w:t>合价</w:t>
            </w:r>
          </w:p>
        </w:tc>
      </w:tr>
      <w:tr>
        <w:tblPrEx>
          <w:tblCellMar>
            <w:top w:w="0" w:type="dxa"/>
            <w:left w:w="108" w:type="dxa"/>
            <w:bottom w:w="0" w:type="dxa"/>
            <w:right w:w="108" w:type="dxa"/>
          </w:tblCellMar>
        </w:tblPrEx>
        <w:trPr>
          <w:trHeight w:val="854" w:hRule="atLeast"/>
        </w:trPr>
        <w:tc>
          <w:tcPr>
            <w:tcW w:w="389" w:type="pct"/>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4"/>
              </w:rPr>
            </w:pPr>
            <w:r>
              <w:rPr>
                <w:rFonts w:ascii="Times New Roman" w:hAnsi="Times New Roman"/>
                <w:color w:val="000000"/>
                <w:kern w:val="0"/>
                <w:sz w:val="24"/>
              </w:rPr>
              <w:t>1</w:t>
            </w:r>
          </w:p>
        </w:tc>
        <w:tc>
          <w:tcPr>
            <w:tcW w:w="2305" w:type="pct"/>
            <w:tcBorders>
              <w:top w:val="single" w:color="000000" w:sz="4" w:space="0"/>
              <w:left w:val="single" w:color="000000" w:sz="4" w:space="0"/>
              <w:bottom w:val="single" w:color="000000" w:sz="4" w:space="0"/>
              <w:right w:val="single" w:color="000000" w:sz="4" w:space="0"/>
            </w:tcBorders>
            <w:noWrap/>
            <w:vAlign w:val="center"/>
          </w:tcPr>
          <w:p>
            <w:pPr>
              <w:pStyle w:val="46"/>
              <w:widowControl/>
              <w:adjustRightInd w:val="0"/>
              <w:snapToGrid w:val="0"/>
              <w:spacing w:before="81"/>
              <w:jc w:val="center"/>
              <w:textAlignment w:val="center"/>
              <w:rPr>
                <w:rFonts w:ascii="Times New Roman" w:hAnsi="Times New Roman" w:cs="Times New Roman"/>
                <w:color w:val="000000"/>
                <w:sz w:val="24"/>
                <w:lang w:eastAsia="zh-CN"/>
              </w:rPr>
            </w:pPr>
            <w:r>
              <w:rPr>
                <w:rFonts w:hint="eastAsia" w:ascii="Times New Roman" w:hAnsi="Times New Roman" w:cs="Times New Roman"/>
                <w:color w:val="000000"/>
                <w:sz w:val="24"/>
                <w:lang w:eastAsia="zh-CN"/>
              </w:rPr>
              <w:t>亳州至蒙城高速公路谯城（立德）至涡阳（标里）段收费站开通运营项目社会稳定风险评估</w:t>
            </w:r>
          </w:p>
        </w:tc>
        <w:tc>
          <w:tcPr>
            <w:tcW w:w="56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4"/>
              </w:rPr>
            </w:pPr>
            <w:r>
              <w:rPr>
                <w:rFonts w:ascii="Times New Roman" w:hAnsi="Times New Roman"/>
                <w:color w:val="000000"/>
                <w:sz w:val="24"/>
              </w:rPr>
              <w:t>总额</w:t>
            </w:r>
          </w:p>
        </w:tc>
        <w:tc>
          <w:tcPr>
            <w:tcW w:w="504"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4"/>
              </w:rPr>
            </w:pPr>
            <w:r>
              <w:rPr>
                <w:rFonts w:ascii="Times New Roman" w:hAnsi="Times New Roman"/>
                <w:color w:val="000000"/>
                <w:sz w:val="24"/>
              </w:rPr>
              <w:t>1</w:t>
            </w:r>
          </w:p>
        </w:tc>
        <w:tc>
          <w:tcPr>
            <w:tcW w:w="67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4"/>
              </w:rPr>
            </w:pPr>
          </w:p>
        </w:tc>
        <w:tc>
          <w:tcPr>
            <w:tcW w:w="56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4"/>
              </w:rPr>
            </w:pPr>
          </w:p>
        </w:tc>
      </w:tr>
      <w:tr>
        <w:tblPrEx>
          <w:tblCellMar>
            <w:top w:w="0" w:type="dxa"/>
            <w:left w:w="108" w:type="dxa"/>
            <w:bottom w:w="0" w:type="dxa"/>
            <w:right w:w="108" w:type="dxa"/>
          </w:tblCellMar>
        </w:tblPrEx>
        <w:trPr>
          <w:trHeight w:val="864" w:hRule="atLeast"/>
        </w:trPr>
        <w:tc>
          <w:tcPr>
            <w:tcW w:w="389" w:type="pct"/>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Times New Roman" w:hAnsi="Times New Roman"/>
                <w:b/>
                <w:bCs/>
                <w:color w:val="000000"/>
                <w:sz w:val="24"/>
              </w:rPr>
            </w:pPr>
            <w:r>
              <w:rPr>
                <w:rFonts w:hint="eastAsia" w:ascii="Times New Roman" w:hAnsi="Times New Roman"/>
                <w:b/>
                <w:bCs/>
                <w:color w:val="000000"/>
                <w:kern w:val="0"/>
                <w:sz w:val="24"/>
              </w:rPr>
              <w:t>2</w:t>
            </w:r>
          </w:p>
        </w:tc>
        <w:tc>
          <w:tcPr>
            <w:tcW w:w="4042" w:type="pct"/>
            <w:gridSpan w:val="4"/>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4"/>
              </w:rPr>
            </w:pPr>
            <w:r>
              <w:rPr>
                <w:rFonts w:ascii="Times New Roman" w:hAnsi="Times New Roman"/>
                <w:b/>
                <w:bCs/>
                <w:color w:val="000000"/>
                <w:sz w:val="24"/>
              </w:rPr>
              <w:t>报价总计</w:t>
            </w:r>
          </w:p>
        </w:tc>
        <w:tc>
          <w:tcPr>
            <w:tcW w:w="56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4"/>
              </w:rPr>
            </w:pPr>
          </w:p>
        </w:tc>
      </w:tr>
    </w:tbl>
    <w:p>
      <w:pPr>
        <w:spacing w:line="400" w:lineRule="exact"/>
        <w:ind w:firstLine="480" w:firstLineChars="200"/>
        <w:rPr>
          <w:rFonts w:ascii="Times New Roman" w:hAnsi="Times New Roman" w:eastAsia="黑体"/>
          <w:sz w:val="24"/>
        </w:rPr>
        <w:sectPr>
          <w:footerReference r:id="rId6" w:type="default"/>
          <w:footnotePr>
            <w:numFmt w:val="decimalEnclosedCircleChinese"/>
          </w:footnotePr>
          <w:pgSz w:w="11906" w:h="16838"/>
          <w:pgMar w:top="1440" w:right="1797" w:bottom="1440" w:left="1797" w:header="851" w:footer="992" w:gutter="0"/>
          <w:cols w:space="720" w:num="1"/>
          <w:docGrid w:type="linesAndChars" w:linePitch="312" w:charSpace="0"/>
        </w:sectPr>
      </w:pPr>
      <w:r>
        <w:rPr>
          <w:rFonts w:hint="eastAsia" w:ascii="Times New Roman" w:hAnsi="Times New Roman"/>
          <w:b/>
          <w:bCs/>
          <w:sz w:val="24"/>
        </w:rPr>
        <w:t>备注：</w:t>
      </w:r>
      <w:r>
        <w:rPr>
          <w:rFonts w:ascii="Times New Roman" w:hAnsi="Times New Roman"/>
          <w:sz w:val="24"/>
        </w:rPr>
        <w:t>包含为完成</w:t>
      </w:r>
      <w:r>
        <w:rPr>
          <w:rFonts w:hint="eastAsia" w:ascii="Times New Roman" w:hAnsi="Times New Roman"/>
          <w:sz w:val="24"/>
          <w:lang w:eastAsia="zh-CN"/>
        </w:rPr>
        <w:t>亳州至蒙城高速公路谯城（立德）至涡阳（标里）段</w:t>
      </w:r>
      <w:r>
        <w:rPr>
          <w:rFonts w:hint="eastAsia" w:ascii="Times New Roman" w:hAnsi="Times New Roman"/>
          <w:sz w:val="24"/>
        </w:rPr>
        <w:t>收费站开通运营项目社会稳定风险评估</w:t>
      </w:r>
      <w:r>
        <w:rPr>
          <w:rFonts w:ascii="Times New Roman" w:hAnsi="Times New Roman"/>
          <w:sz w:val="24"/>
        </w:rPr>
        <w:t>报告</w:t>
      </w:r>
      <w:r>
        <w:rPr>
          <w:rFonts w:hint="eastAsia" w:ascii="Times New Roman" w:hAnsi="Times New Roman"/>
          <w:sz w:val="24"/>
        </w:rPr>
        <w:t>编制</w:t>
      </w:r>
      <w:r>
        <w:rPr>
          <w:rFonts w:ascii="Times New Roman" w:hAnsi="Times New Roman"/>
          <w:sz w:val="24"/>
        </w:rPr>
        <w:t>并在维稳部门备案</w:t>
      </w:r>
      <w:r>
        <w:rPr>
          <w:rFonts w:hint="eastAsia" w:ascii="Times New Roman" w:hAnsi="Times New Roman"/>
          <w:sz w:val="24"/>
        </w:rPr>
        <w:t>通过等所需一切费用</w:t>
      </w:r>
    </w:p>
    <w:p>
      <w:pPr>
        <w:topLinePunct/>
        <w:spacing w:line="440" w:lineRule="exact"/>
        <w:jc w:val="center"/>
        <w:rPr>
          <w:rFonts w:ascii="Times New Roman" w:hAnsi="Times New Roman" w:eastAsia="黑体"/>
          <w:sz w:val="28"/>
          <w:szCs w:val="28"/>
        </w:rPr>
      </w:pPr>
      <w:bookmarkStart w:id="230" w:name="_Toc7738_WPSOffice_Level1"/>
      <w:bookmarkStart w:id="231" w:name="_Toc10436_WPSOffice_Level1"/>
      <w:bookmarkStart w:id="232" w:name="_Toc26477_WPSOffice_Level1"/>
      <w:bookmarkStart w:id="233" w:name="_Toc31445_WPSOffice_Level1"/>
      <w:bookmarkStart w:id="234" w:name="_Toc23545_WPSOffice_Level1"/>
      <w:bookmarkStart w:id="235" w:name="_Toc5978_WPSOffice_Level1"/>
      <w:r>
        <w:rPr>
          <w:rFonts w:hint="eastAsia" w:ascii="Times New Roman" w:hAnsi="Times New Roman" w:eastAsia="黑体"/>
          <w:sz w:val="28"/>
          <w:szCs w:val="28"/>
        </w:rPr>
        <w:t>四</w:t>
      </w:r>
      <w:r>
        <w:rPr>
          <w:rFonts w:ascii="Times New Roman" w:hAnsi="Times New Roman" w:eastAsia="黑体"/>
          <w:sz w:val="28"/>
          <w:szCs w:val="28"/>
        </w:rPr>
        <w:t>、</w:t>
      </w:r>
      <w:bookmarkStart w:id="236" w:name="_Toc2807_WPSOffice_Level2"/>
      <w:bookmarkStart w:id="237" w:name="_Toc27600_WPSOffice_Level2"/>
      <w:r>
        <w:rPr>
          <w:rFonts w:ascii="Times New Roman" w:hAnsi="Times New Roman" w:eastAsia="黑体"/>
          <w:sz w:val="28"/>
          <w:szCs w:val="28"/>
        </w:rPr>
        <w:t>供应商基本情况</w:t>
      </w:r>
      <w:bookmarkEnd w:id="230"/>
      <w:bookmarkEnd w:id="231"/>
      <w:bookmarkEnd w:id="232"/>
      <w:bookmarkEnd w:id="233"/>
      <w:bookmarkEnd w:id="234"/>
      <w:bookmarkEnd w:id="235"/>
      <w:bookmarkEnd w:id="236"/>
      <w:bookmarkEnd w:id="237"/>
    </w:p>
    <w:p>
      <w:pPr>
        <w:topLinePunct/>
        <w:spacing w:line="440" w:lineRule="exact"/>
        <w:jc w:val="center"/>
        <w:rPr>
          <w:rFonts w:ascii="Times New Roman" w:hAnsi="Times New Roman"/>
          <w:sz w:val="23"/>
          <w:szCs w:val="23"/>
        </w:rPr>
      </w:pPr>
    </w:p>
    <w:tbl>
      <w:tblPr>
        <w:tblStyle w:val="21"/>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r>
              <w:rPr>
                <w:rFonts w:ascii="Times New Roman" w:hAnsi="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r>
              <w:rPr>
                <w:rFonts w:ascii="Times New Roman" w:hAnsi="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p>
        </w:tc>
        <w:tc>
          <w:tcPr>
            <w:tcW w:w="1084"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r>
              <w:rPr>
                <w:rFonts w:ascii="Times New Roman" w:hAnsi="Times New Roman"/>
                <w:szCs w:val="21"/>
              </w:rPr>
              <w:t>电 话</w:t>
            </w:r>
          </w:p>
        </w:tc>
        <w:tc>
          <w:tcPr>
            <w:tcW w:w="2356"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r>
              <w:rPr>
                <w:rFonts w:ascii="Times New Roman" w:hAnsi="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r>
              <w:rPr>
                <w:rFonts w:ascii="Times New Roman" w:hAnsi="Times New Roman"/>
                <w:szCs w:val="21"/>
              </w:rPr>
              <w:t>联系人</w:t>
            </w:r>
          </w:p>
        </w:tc>
        <w:tc>
          <w:tcPr>
            <w:tcW w:w="2173"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p>
        </w:tc>
        <w:tc>
          <w:tcPr>
            <w:tcW w:w="1084"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r>
              <w:rPr>
                <w:rFonts w:ascii="Times New Roman" w:hAnsi="Times New Roman"/>
                <w:szCs w:val="21"/>
              </w:rPr>
              <w:t>电话</w:t>
            </w:r>
          </w:p>
        </w:tc>
        <w:tc>
          <w:tcPr>
            <w:tcW w:w="2356"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p>
        </w:tc>
        <w:tc>
          <w:tcPr>
            <w:tcW w:w="1087"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r>
              <w:rPr>
                <w:rFonts w:hint="eastAsia" w:ascii="Times New Roman" w:hAnsi="Times New Roman"/>
                <w:szCs w:val="21"/>
              </w:rPr>
              <w:t>职  务</w:t>
            </w:r>
          </w:p>
        </w:tc>
        <w:tc>
          <w:tcPr>
            <w:tcW w:w="2173"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p>
        </w:tc>
        <w:tc>
          <w:tcPr>
            <w:tcW w:w="1084"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r>
              <w:rPr>
                <w:rFonts w:ascii="Times New Roman" w:hAnsi="Times New Roman"/>
                <w:szCs w:val="21"/>
              </w:rPr>
              <w:t>电子</w:t>
            </w:r>
            <w:r>
              <w:rPr>
                <w:rFonts w:hint="eastAsia" w:ascii="Times New Roman" w:hAnsi="Times New Roman"/>
                <w:szCs w:val="21"/>
              </w:rPr>
              <w:t>邮箱</w:t>
            </w:r>
          </w:p>
        </w:tc>
        <w:tc>
          <w:tcPr>
            <w:tcW w:w="2356"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r>
              <w:rPr>
                <w:rFonts w:ascii="Times New Roman" w:hAnsi="Times New Roman"/>
                <w:szCs w:val="21"/>
              </w:rPr>
              <w:t>法定代表人</w:t>
            </w:r>
          </w:p>
        </w:tc>
        <w:tc>
          <w:tcPr>
            <w:tcW w:w="6700" w:type="dxa"/>
            <w:gridSpan w:val="4"/>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r>
              <w:rPr>
                <w:rFonts w:ascii="Times New Roman" w:hAnsi="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r>
              <w:rPr>
                <w:rFonts w:ascii="Times New Roman" w:hAnsi="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noWrap/>
            <w:vAlign w:val="center"/>
          </w:tcPr>
          <w:p>
            <w:pPr>
              <w:topLinePunct/>
              <w:spacing w:line="440" w:lineRule="exact"/>
              <w:jc w:val="center"/>
              <w:rPr>
                <w:rFonts w:ascii="Times New Roman" w:hAnsi="Times New Roman"/>
                <w:szCs w:val="21"/>
              </w:rPr>
            </w:pPr>
          </w:p>
        </w:tc>
      </w:tr>
    </w:tbl>
    <w:p>
      <w:pPr>
        <w:widowControl/>
        <w:autoSpaceDE w:val="0"/>
        <w:autoSpaceDN w:val="0"/>
        <w:spacing w:line="360" w:lineRule="atLeast"/>
        <w:ind w:left="180"/>
        <w:textAlignment w:val="bottom"/>
        <w:rPr>
          <w:rFonts w:ascii="Times New Roman" w:hAnsi="Times New Roman"/>
          <w:sz w:val="20"/>
          <w:szCs w:val="20"/>
        </w:rPr>
      </w:pPr>
      <w:r>
        <w:rPr>
          <w:rFonts w:ascii="Times New Roman" w:hAnsi="Times New Roman" w:eastAsia="黑体"/>
          <w:szCs w:val="21"/>
        </w:rPr>
        <w:t>注：</w:t>
      </w:r>
    </w:p>
    <w:p>
      <w:pPr>
        <w:widowControl/>
        <w:autoSpaceDE w:val="0"/>
        <w:autoSpaceDN w:val="0"/>
        <w:spacing w:line="360" w:lineRule="atLeast"/>
        <w:ind w:left="420" w:leftChars="200"/>
        <w:textAlignment w:val="bottom"/>
        <w:rPr>
          <w:rFonts w:ascii="Times New Roman" w:hAnsi="Times New Roman" w:eastAsia="黑体"/>
          <w:szCs w:val="21"/>
        </w:rPr>
      </w:pPr>
      <w:r>
        <w:rPr>
          <w:rFonts w:ascii="Times New Roman" w:hAnsi="Times New Roman" w:eastAsia="黑体"/>
          <w:szCs w:val="21"/>
        </w:rPr>
        <w:t>在本表后应附企业法人营业执照、资质证书</w:t>
      </w:r>
      <w:r>
        <w:rPr>
          <w:rFonts w:hint="eastAsia" w:ascii="Times New Roman" w:hAnsi="Times New Roman" w:eastAsia="黑体"/>
          <w:szCs w:val="21"/>
        </w:rPr>
        <w:t>（如有）</w:t>
      </w:r>
      <w:r>
        <w:rPr>
          <w:rFonts w:ascii="Times New Roman" w:hAnsi="Times New Roman" w:eastAsia="黑体"/>
          <w:szCs w:val="21"/>
        </w:rPr>
        <w:t>及资格审查要求的其他证件复印件。</w:t>
      </w:r>
    </w:p>
    <w:p>
      <w:pPr>
        <w:widowControl/>
        <w:autoSpaceDE w:val="0"/>
        <w:autoSpaceDN w:val="0"/>
        <w:spacing w:line="360" w:lineRule="atLeast"/>
        <w:ind w:left="420" w:leftChars="200"/>
        <w:textAlignment w:val="bottom"/>
        <w:rPr>
          <w:rFonts w:ascii="Times New Roman" w:hAnsi="Times New Roman" w:eastAsia="黑体"/>
          <w:szCs w:val="21"/>
        </w:rPr>
      </w:pPr>
    </w:p>
    <w:p>
      <w:pPr>
        <w:widowControl/>
        <w:rPr>
          <w:rFonts w:ascii="Times New Roman" w:hAnsi="Times New Roman" w:eastAsia="黑体"/>
          <w:szCs w:val="21"/>
        </w:rPr>
      </w:pPr>
      <w:r>
        <w:rPr>
          <w:rFonts w:ascii="Times New Roman" w:hAnsi="Times New Roman" w:eastAsia="黑体"/>
          <w:szCs w:val="21"/>
        </w:rPr>
        <w:br w:type="page"/>
      </w:r>
    </w:p>
    <w:p>
      <w:pPr>
        <w:pStyle w:val="10"/>
        <w:spacing w:line="240" w:lineRule="atLeast"/>
        <w:ind w:left="560" w:leftChars="0" w:right="-512" w:rightChars="-244" w:hanging="560" w:hangingChars="200"/>
        <w:jc w:val="center"/>
        <w:rPr>
          <w:rFonts w:ascii="Times New Roman" w:hAnsi="Times New Roman"/>
          <w:sz w:val="28"/>
          <w:szCs w:val="28"/>
        </w:rPr>
      </w:pPr>
      <w:bookmarkStart w:id="238" w:name="_Toc3772_WPSOffice_Level1"/>
      <w:bookmarkStart w:id="239" w:name="_Toc19004_WPSOffice_Level1"/>
      <w:bookmarkStart w:id="240" w:name="_Toc5072_WPSOffice_Level1"/>
      <w:bookmarkStart w:id="241" w:name="_Toc1102_WPSOffice_Level1"/>
      <w:bookmarkStart w:id="242" w:name="_Toc20943_WPSOffice_Level1"/>
      <w:bookmarkStart w:id="243" w:name="_Toc18547_WPSOffice_Level1"/>
      <w:r>
        <w:rPr>
          <w:rFonts w:hint="eastAsia" w:ascii="Times New Roman" w:hAnsi="Times New Roman" w:eastAsia="黑体"/>
          <w:sz w:val="28"/>
          <w:szCs w:val="28"/>
        </w:rPr>
        <w:t>五</w:t>
      </w:r>
      <w:r>
        <w:rPr>
          <w:rFonts w:ascii="Times New Roman" w:hAnsi="Times New Roman" w:eastAsia="黑体"/>
          <w:sz w:val="28"/>
          <w:szCs w:val="28"/>
        </w:rPr>
        <w:t>、近年类似业绩情况</w:t>
      </w:r>
      <w:bookmarkEnd w:id="238"/>
      <w:bookmarkEnd w:id="239"/>
      <w:bookmarkEnd w:id="240"/>
      <w:bookmarkEnd w:id="241"/>
      <w:bookmarkEnd w:id="242"/>
      <w:bookmarkEnd w:id="243"/>
    </w:p>
    <w:tbl>
      <w:tblPr>
        <w:tblStyle w:val="21"/>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70" w:type="dxa"/>
            <w:noWrap/>
            <w:vAlign w:val="center"/>
          </w:tcPr>
          <w:p>
            <w:pPr>
              <w:topLinePunct/>
              <w:spacing w:line="440" w:lineRule="exact"/>
              <w:jc w:val="center"/>
              <w:rPr>
                <w:rFonts w:ascii="Times New Roman" w:hAnsi="Times New Roman"/>
                <w:szCs w:val="21"/>
              </w:rPr>
            </w:pPr>
            <w:r>
              <w:rPr>
                <w:rFonts w:ascii="Times New Roman" w:hAnsi="Times New Roman"/>
                <w:szCs w:val="21"/>
              </w:rPr>
              <w:t>项目名称</w:t>
            </w:r>
          </w:p>
        </w:tc>
        <w:tc>
          <w:tcPr>
            <w:tcW w:w="6258" w:type="dxa"/>
            <w:noWrap/>
          </w:tcPr>
          <w:p>
            <w:pPr>
              <w:topLinePunct/>
              <w:spacing w:line="44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70" w:type="dxa"/>
            <w:noWrap/>
            <w:vAlign w:val="center"/>
          </w:tcPr>
          <w:p>
            <w:pPr>
              <w:topLinePunct/>
              <w:spacing w:line="440" w:lineRule="exact"/>
              <w:jc w:val="center"/>
              <w:rPr>
                <w:rFonts w:ascii="Times New Roman" w:hAnsi="Times New Roman"/>
                <w:szCs w:val="21"/>
              </w:rPr>
            </w:pPr>
            <w:r>
              <w:rPr>
                <w:rFonts w:ascii="Times New Roman" w:hAnsi="Times New Roman"/>
                <w:szCs w:val="21"/>
              </w:rPr>
              <w:t>项目所在地</w:t>
            </w:r>
          </w:p>
        </w:tc>
        <w:tc>
          <w:tcPr>
            <w:tcW w:w="6258" w:type="dxa"/>
            <w:noWrap/>
          </w:tcPr>
          <w:p>
            <w:pPr>
              <w:topLinePunct/>
              <w:spacing w:line="44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70" w:type="dxa"/>
            <w:noWrap/>
            <w:vAlign w:val="center"/>
          </w:tcPr>
          <w:p>
            <w:pPr>
              <w:topLinePunct/>
              <w:spacing w:line="440" w:lineRule="exact"/>
              <w:jc w:val="center"/>
              <w:rPr>
                <w:rFonts w:ascii="Times New Roman" w:hAnsi="Times New Roman"/>
                <w:szCs w:val="21"/>
              </w:rPr>
            </w:pPr>
            <w:r>
              <w:rPr>
                <w:rFonts w:hint="eastAsia" w:ascii="Times New Roman" w:hAnsi="Times New Roman"/>
                <w:szCs w:val="21"/>
              </w:rPr>
              <w:t>业主</w:t>
            </w:r>
            <w:r>
              <w:rPr>
                <w:rFonts w:ascii="Times New Roman" w:hAnsi="Times New Roman"/>
                <w:szCs w:val="21"/>
              </w:rPr>
              <w:t>名称</w:t>
            </w:r>
          </w:p>
        </w:tc>
        <w:tc>
          <w:tcPr>
            <w:tcW w:w="6258" w:type="dxa"/>
            <w:noWrap/>
          </w:tcPr>
          <w:p>
            <w:pPr>
              <w:topLinePunct/>
              <w:spacing w:line="44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70" w:type="dxa"/>
            <w:noWrap/>
            <w:vAlign w:val="center"/>
          </w:tcPr>
          <w:p>
            <w:pPr>
              <w:topLinePunct/>
              <w:spacing w:line="440" w:lineRule="exact"/>
              <w:jc w:val="center"/>
              <w:rPr>
                <w:rFonts w:ascii="Times New Roman" w:hAnsi="Times New Roman"/>
                <w:szCs w:val="21"/>
              </w:rPr>
            </w:pPr>
            <w:r>
              <w:rPr>
                <w:rFonts w:hint="eastAsia" w:ascii="Times New Roman" w:hAnsi="Times New Roman"/>
                <w:szCs w:val="21"/>
              </w:rPr>
              <w:t>业主</w:t>
            </w:r>
            <w:r>
              <w:rPr>
                <w:rFonts w:ascii="Times New Roman" w:hAnsi="Times New Roman"/>
                <w:szCs w:val="21"/>
              </w:rPr>
              <w:t>地址</w:t>
            </w:r>
          </w:p>
        </w:tc>
        <w:tc>
          <w:tcPr>
            <w:tcW w:w="6258" w:type="dxa"/>
            <w:noWrap/>
          </w:tcPr>
          <w:p>
            <w:pPr>
              <w:topLinePunct/>
              <w:spacing w:line="44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70" w:type="dxa"/>
            <w:noWrap/>
            <w:vAlign w:val="center"/>
          </w:tcPr>
          <w:p>
            <w:pPr>
              <w:topLinePunct/>
              <w:spacing w:line="440" w:lineRule="exact"/>
              <w:jc w:val="center"/>
              <w:rPr>
                <w:rFonts w:ascii="Times New Roman" w:hAnsi="Times New Roman"/>
                <w:szCs w:val="21"/>
              </w:rPr>
            </w:pPr>
            <w:r>
              <w:rPr>
                <w:rFonts w:hint="eastAsia" w:ascii="Times New Roman" w:hAnsi="Times New Roman"/>
                <w:szCs w:val="21"/>
              </w:rPr>
              <w:t>业主</w:t>
            </w:r>
            <w:r>
              <w:rPr>
                <w:rFonts w:ascii="Times New Roman" w:hAnsi="Times New Roman"/>
                <w:szCs w:val="21"/>
              </w:rPr>
              <w:t>电话</w:t>
            </w:r>
          </w:p>
        </w:tc>
        <w:tc>
          <w:tcPr>
            <w:tcW w:w="6258" w:type="dxa"/>
            <w:noWrap/>
          </w:tcPr>
          <w:p>
            <w:pPr>
              <w:topLinePunct/>
              <w:spacing w:line="44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70" w:type="dxa"/>
            <w:noWrap/>
            <w:vAlign w:val="center"/>
          </w:tcPr>
          <w:p>
            <w:pPr>
              <w:topLinePunct/>
              <w:spacing w:line="440" w:lineRule="exact"/>
              <w:jc w:val="center"/>
              <w:rPr>
                <w:rFonts w:ascii="Times New Roman" w:hAnsi="Times New Roman"/>
                <w:szCs w:val="21"/>
              </w:rPr>
            </w:pPr>
            <w:r>
              <w:rPr>
                <w:rFonts w:ascii="Times New Roman" w:hAnsi="Times New Roman"/>
                <w:szCs w:val="21"/>
              </w:rPr>
              <w:t>合同价格</w:t>
            </w:r>
          </w:p>
        </w:tc>
        <w:tc>
          <w:tcPr>
            <w:tcW w:w="6258" w:type="dxa"/>
            <w:noWrap/>
          </w:tcPr>
          <w:p>
            <w:pPr>
              <w:topLinePunct/>
              <w:spacing w:line="44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noWrap/>
            <w:vAlign w:val="center"/>
          </w:tcPr>
          <w:p>
            <w:pPr>
              <w:topLinePunct/>
              <w:spacing w:line="440" w:lineRule="exact"/>
              <w:jc w:val="center"/>
              <w:rPr>
                <w:rFonts w:ascii="Times New Roman" w:hAnsi="Times New Roman"/>
                <w:szCs w:val="21"/>
              </w:rPr>
            </w:pPr>
            <w:r>
              <w:rPr>
                <w:rFonts w:ascii="Times New Roman" w:hAnsi="Times New Roman"/>
                <w:szCs w:val="21"/>
              </w:rPr>
              <w:t>开工日期</w:t>
            </w:r>
          </w:p>
        </w:tc>
        <w:tc>
          <w:tcPr>
            <w:tcW w:w="6258" w:type="dxa"/>
            <w:noWrap/>
          </w:tcPr>
          <w:p>
            <w:pPr>
              <w:topLinePunct/>
              <w:spacing w:line="44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70" w:type="dxa"/>
            <w:noWrap/>
            <w:vAlign w:val="center"/>
          </w:tcPr>
          <w:p>
            <w:pPr>
              <w:topLinePunct/>
              <w:spacing w:line="440" w:lineRule="exact"/>
              <w:jc w:val="center"/>
              <w:rPr>
                <w:rFonts w:ascii="Times New Roman" w:hAnsi="Times New Roman"/>
                <w:szCs w:val="21"/>
              </w:rPr>
            </w:pPr>
            <w:r>
              <w:rPr>
                <w:rFonts w:hint="eastAsia" w:ascii="Times New Roman" w:hAnsi="Times New Roman"/>
                <w:szCs w:val="21"/>
              </w:rPr>
              <w:t>完成</w:t>
            </w:r>
            <w:r>
              <w:rPr>
                <w:rFonts w:ascii="Times New Roman" w:hAnsi="Times New Roman"/>
                <w:szCs w:val="21"/>
              </w:rPr>
              <w:t>日期</w:t>
            </w:r>
          </w:p>
        </w:tc>
        <w:tc>
          <w:tcPr>
            <w:tcW w:w="6258" w:type="dxa"/>
            <w:noWrap/>
          </w:tcPr>
          <w:p>
            <w:pPr>
              <w:topLinePunct/>
              <w:spacing w:line="44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70" w:type="dxa"/>
            <w:noWrap/>
            <w:vAlign w:val="center"/>
          </w:tcPr>
          <w:p>
            <w:pPr>
              <w:topLinePunct/>
              <w:spacing w:line="440" w:lineRule="exact"/>
              <w:jc w:val="center"/>
              <w:rPr>
                <w:rFonts w:ascii="Times New Roman" w:hAnsi="Times New Roman"/>
                <w:szCs w:val="21"/>
              </w:rPr>
            </w:pPr>
            <w:r>
              <w:rPr>
                <w:rFonts w:ascii="Times New Roman" w:hAnsi="Times New Roman"/>
                <w:szCs w:val="21"/>
              </w:rPr>
              <w:t>承担的工作</w:t>
            </w:r>
          </w:p>
        </w:tc>
        <w:tc>
          <w:tcPr>
            <w:tcW w:w="6258" w:type="dxa"/>
            <w:noWrap/>
          </w:tcPr>
          <w:p>
            <w:pPr>
              <w:topLinePunct/>
              <w:spacing w:line="44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70" w:type="dxa"/>
            <w:noWrap/>
            <w:vAlign w:val="center"/>
          </w:tcPr>
          <w:p>
            <w:pPr>
              <w:topLinePunct/>
              <w:spacing w:line="440" w:lineRule="exact"/>
              <w:jc w:val="center"/>
              <w:rPr>
                <w:rFonts w:ascii="Times New Roman" w:hAnsi="Times New Roman"/>
                <w:szCs w:val="21"/>
              </w:rPr>
            </w:pPr>
            <w:r>
              <w:rPr>
                <w:rFonts w:ascii="Times New Roman" w:hAnsi="Times New Roman"/>
                <w:szCs w:val="21"/>
              </w:rPr>
              <w:t>项目</w:t>
            </w:r>
            <w:r>
              <w:rPr>
                <w:rFonts w:hint="eastAsia" w:ascii="Times New Roman" w:hAnsi="Times New Roman"/>
                <w:szCs w:val="21"/>
              </w:rPr>
              <w:t>负责人</w:t>
            </w:r>
          </w:p>
        </w:tc>
        <w:tc>
          <w:tcPr>
            <w:tcW w:w="6258" w:type="dxa"/>
            <w:noWrap/>
          </w:tcPr>
          <w:p>
            <w:pPr>
              <w:topLinePunct/>
              <w:spacing w:line="44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270" w:type="dxa"/>
            <w:noWrap/>
            <w:vAlign w:val="center"/>
          </w:tcPr>
          <w:p>
            <w:pPr>
              <w:topLinePunct/>
              <w:spacing w:line="440" w:lineRule="exact"/>
              <w:jc w:val="center"/>
              <w:rPr>
                <w:rFonts w:ascii="Times New Roman" w:hAnsi="Times New Roman"/>
                <w:szCs w:val="21"/>
              </w:rPr>
            </w:pPr>
            <w:r>
              <w:rPr>
                <w:rFonts w:ascii="Times New Roman" w:hAnsi="Times New Roman"/>
                <w:szCs w:val="21"/>
              </w:rPr>
              <w:t>项目描述</w:t>
            </w:r>
          </w:p>
        </w:tc>
        <w:tc>
          <w:tcPr>
            <w:tcW w:w="6258" w:type="dxa"/>
            <w:noWrap/>
          </w:tcPr>
          <w:p>
            <w:pPr>
              <w:topLinePunct/>
              <w:spacing w:line="44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noWrap/>
            <w:vAlign w:val="center"/>
          </w:tcPr>
          <w:p>
            <w:pPr>
              <w:topLinePunct/>
              <w:spacing w:line="440" w:lineRule="exact"/>
              <w:jc w:val="center"/>
              <w:rPr>
                <w:rFonts w:ascii="Times New Roman" w:hAnsi="Times New Roman"/>
                <w:szCs w:val="21"/>
              </w:rPr>
            </w:pPr>
            <w:r>
              <w:rPr>
                <w:rFonts w:ascii="Times New Roman" w:hAnsi="Times New Roman"/>
                <w:szCs w:val="21"/>
              </w:rPr>
              <w:t>备注</w:t>
            </w:r>
          </w:p>
        </w:tc>
        <w:tc>
          <w:tcPr>
            <w:tcW w:w="6258" w:type="dxa"/>
            <w:noWrap/>
          </w:tcPr>
          <w:p>
            <w:pPr>
              <w:topLinePunct/>
              <w:spacing w:line="440" w:lineRule="exact"/>
              <w:rPr>
                <w:rFonts w:ascii="Times New Roman" w:hAnsi="Times New Roman"/>
                <w:szCs w:val="21"/>
              </w:rPr>
            </w:pPr>
          </w:p>
        </w:tc>
      </w:tr>
    </w:tbl>
    <w:p>
      <w:pPr>
        <w:widowControl/>
        <w:autoSpaceDE w:val="0"/>
        <w:autoSpaceDN w:val="0"/>
        <w:spacing w:line="360" w:lineRule="atLeast"/>
        <w:ind w:left="418" w:hanging="418" w:hangingChars="209"/>
        <w:textAlignment w:val="bottom"/>
        <w:rPr>
          <w:rFonts w:ascii="Times New Roman" w:hAnsi="Times New Roman" w:eastAsia="黑体"/>
          <w:szCs w:val="21"/>
        </w:rPr>
      </w:pPr>
      <w:r>
        <w:rPr>
          <w:rFonts w:ascii="Times New Roman" w:hAnsi="Times New Roman" w:eastAsia="黑体"/>
          <w:sz w:val="20"/>
          <w:szCs w:val="20"/>
        </w:rPr>
        <w:t>注：</w:t>
      </w:r>
    </w:p>
    <w:p>
      <w:pPr>
        <w:widowControl/>
        <w:autoSpaceDE w:val="0"/>
        <w:autoSpaceDN w:val="0"/>
        <w:spacing w:line="360" w:lineRule="atLeast"/>
        <w:ind w:left="420" w:leftChars="200"/>
        <w:textAlignment w:val="bottom"/>
        <w:rPr>
          <w:rFonts w:ascii="Times New Roman" w:hAnsi="Times New Roman" w:eastAsia="黑体"/>
          <w:szCs w:val="21"/>
        </w:rPr>
      </w:pPr>
      <w:r>
        <w:rPr>
          <w:rFonts w:hint="eastAsia" w:ascii="Times New Roman" w:hAnsi="Times New Roman" w:eastAsia="黑体"/>
          <w:szCs w:val="21"/>
        </w:rPr>
        <w:t>1、</w:t>
      </w:r>
      <w:r>
        <w:rPr>
          <w:rFonts w:ascii="Times New Roman" w:hAnsi="Times New Roman" w:eastAsia="黑体"/>
          <w:szCs w:val="21"/>
        </w:rPr>
        <w:t>每张表格只填写一个项目，并标明序号。</w:t>
      </w:r>
    </w:p>
    <w:p>
      <w:pPr>
        <w:widowControl/>
        <w:autoSpaceDE w:val="0"/>
        <w:autoSpaceDN w:val="0"/>
        <w:spacing w:line="360" w:lineRule="atLeast"/>
        <w:ind w:left="420" w:leftChars="200"/>
        <w:textAlignment w:val="bottom"/>
        <w:rPr>
          <w:rFonts w:ascii="Times New Roman" w:hAnsi="Times New Roman" w:eastAsia="黑体"/>
          <w:szCs w:val="21"/>
        </w:rPr>
      </w:pPr>
      <w:r>
        <w:rPr>
          <w:rFonts w:hint="eastAsia" w:ascii="Times New Roman" w:hAnsi="Times New Roman" w:eastAsia="黑体"/>
          <w:szCs w:val="21"/>
        </w:rPr>
        <w:t>2、业绩证明材料要求：________________________。</w:t>
      </w:r>
    </w:p>
    <w:p>
      <w:pPr>
        <w:widowControl/>
        <w:autoSpaceDE w:val="0"/>
        <w:autoSpaceDN w:val="0"/>
        <w:spacing w:line="360" w:lineRule="atLeast"/>
        <w:ind w:left="420" w:leftChars="200"/>
        <w:textAlignment w:val="bottom"/>
        <w:rPr>
          <w:rFonts w:ascii="Times New Roman" w:hAnsi="Times New Roman" w:eastAsia="黑体"/>
          <w:sz w:val="27"/>
          <w:szCs w:val="27"/>
        </w:rPr>
      </w:pPr>
      <w:r>
        <w:rPr>
          <w:rFonts w:hint="eastAsia" w:ascii="Times New Roman" w:hAnsi="Times New Roman" w:eastAsia="黑体"/>
          <w:szCs w:val="21"/>
        </w:rPr>
        <w:t>3、</w:t>
      </w:r>
      <w:r>
        <w:rPr>
          <w:rFonts w:ascii="Times New Roman" w:hAnsi="Times New Roman" w:eastAsia="黑体"/>
          <w:szCs w:val="21"/>
        </w:rPr>
        <w:t>如近年来，供应商法人机构发生合法变更或重组或法人名称变更时，应提供相关部门的合法批件或其他相关证明材料来证明其所附业绩的继承性。</w:t>
      </w:r>
    </w:p>
    <w:p>
      <w:pPr>
        <w:pStyle w:val="9"/>
        <w:rPr>
          <w:rFonts w:ascii="Times New Roman" w:hAnsi="Times New Roman"/>
        </w:rPr>
      </w:pPr>
    </w:p>
    <w:p>
      <w:pPr>
        <w:topLinePunct/>
        <w:spacing w:line="340" w:lineRule="atLeast"/>
        <w:jc w:val="center"/>
        <w:rPr>
          <w:rFonts w:ascii="Times New Roman" w:hAnsi="Times New Roman" w:eastAsia="黑体"/>
          <w:sz w:val="24"/>
        </w:rPr>
      </w:pPr>
      <w:r>
        <w:rPr>
          <w:rFonts w:ascii="Times New Roman" w:hAnsi="Times New Roman" w:eastAsia="黑体"/>
          <w:sz w:val="28"/>
          <w:szCs w:val="28"/>
        </w:rPr>
        <w:br w:type="page"/>
      </w:r>
    </w:p>
    <w:p>
      <w:pPr>
        <w:widowControl/>
        <w:autoSpaceDE w:val="0"/>
        <w:autoSpaceDN w:val="0"/>
        <w:spacing w:line="360" w:lineRule="atLeast"/>
        <w:ind w:left="180"/>
        <w:jc w:val="center"/>
        <w:textAlignment w:val="bottom"/>
        <w:rPr>
          <w:rFonts w:ascii="Times New Roman" w:hAnsi="Times New Roman" w:eastAsia="黑体"/>
          <w:sz w:val="28"/>
          <w:szCs w:val="28"/>
        </w:rPr>
      </w:pPr>
      <w:bookmarkStart w:id="244" w:name="_Toc29313_WPSOffice_Level1"/>
      <w:bookmarkStart w:id="245" w:name="_Toc24001_WPSOffice_Level1"/>
      <w:bookmarkStart w:id="246" w:name="_Toc4739_WPSOffice_Level1"/>
      <w:bookmarkStart w:id="247" w:name="_Toc8166_WPSOffice_Level1"/>
      <w:bookmarkStart w:id="248" w:name="_Toc18931_WPSOffice_Level1"/>
      <w:bookmarkStart w:id="249" w:name="_Toc16156_WPSOffice_Level1"/>
      <w:r>
        <w:rPr>
          <w:rFonts w:hint="eastAsia" w:ascii="Times New Roman" w:hAnsi="Times New Roman" w:eastAsia="黑体"/>
          <w:sz w:val="28"/>
          <w:szCs w:val="28"/>
        </w:rPr>
        <w:t>六</w:t>
      </w:r>
      <w:r>
        <w:rPr>
          <w:rFonts w:ascii="Times New Roman" w:hAnsi="Times New Roman" w:eastAsia="黑体"/>
          <w:sz w:val="28"/>
          <w:szCs w:val="28"/>
        </w:rPr>
        <w:t>、拟委任的主要人</w:t>
      </w:r>
      <w:bookmarkEnd w:id="244"/>
      <w:r>
        <w:rPr>
          <w:rFonts w:ascii="Times New Roman" w:hAnsi="Times New Roman" w:eastAsia="黑体"/>
          <w:sz w:val="28"/>
          <w:szCs w:val="28"/>
        </w:rPr>
        <w:t>员</w:t>
      </w:r>
      <w:bookmarkEnd w:id="245"/>
      <w:bookmarkEnd w:id="246"/>
      <w:bookmarkEnd w:id="247"/>
      <w:bookmarkEnd w:id="248"/>
      <w:bookmarkEnd w:id="249"/>
    </w:p>
    <w:p>
      <w:pPr>
        <w:pStyle w:val="9"/>
        <w:widowControl/>
        <w:autoSpaceDE w:val="0"/>
        <w:autoSpaceDN w:val="0"/>
        <w:spacing w:line="360" w:lineRule="atLeast"/>
        <w:ind w:left="180"/>
        <w:jc w:val="center"/>
        <w:textAlignment w:val="bottom"/>
        <w:rPr>
          <w:rFonts w:ascii="Times New Roman" w:hAnsi="Times New Roman" w:eastAsia="黑体"/>
          <w:sz w:val="28"/>
          <w:szCs w:val="28"/>
        </w:rPr>
      </w:pPr>
      <w:bookmarkStart w:id="250" w:name="_Toc24686_WPSOffice_Level2"/>
      <w:bookmarkStart w:id="251" w:name="_Toc6185_WPSOffice_Level2"/>
      <w:r>
        <w:rPr>
          <w:rFonts w:ascii="Times New Roman" w:hAnsi="Times New Roman" w:eastAsia="黑体"/>
          <w:sz w:val="28"/>
          <w:szCs w:val="28"/>
        </w:rPr>
        <w:t>拟委任的</w:t>
      </w:r>
      <w:r>
        <w:rPr>
          <w:rFonts w:hint="eastAsia" w:ascii="Times New Roman" w:hAnsi="Times New Roman" w:eastAsia="黑体"/>
          <w:sz w:val="28"/>
          <w:szCs w:val="28"/>
        </w:rPr>
        <w:t>主要人员</w:t>
      </w:r>
      <w:r>
        <w:rPr>
          <w:rFonts w:ascii="Times New Roman" w:hAnsi="Times New Roman" w:eastAsia="黑体"/>
          <w:sz w:val="28"/>
          <w:szCs w:val="28"/>
        </w:rPr>
        <w:t>资历表</w:t>
      </w:r>
      <w:bookmarkEnd w:id="250"/>
      <w:bookmarkEnd w:id="251"/>
    </w:p>
    <w:tbl>
      <w:tblPr>
        <w:tblStyle w:val="21"/>
        <w:tblW w:w="8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83"/>
        <w:gridCol w:w="48"/>
        <w:gridCol w:w="1392"/>
        <w:gridCol w:w="1016"/>
        <w:gridCol w:w="1322"/>
        <w:gridCol w:w="323"/>
        <w:gridCol w:w="1478"/>
        <w:gridCol w:w="369"/>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2" w:hRule="atLeast"/>
        </w:trPr>
        <w:tc>
          <w:tcPr>
            <w:tcW w:w="1183" w:type="dxa"/>
            <w:noWrap/>
            <w:vAlign w:val="center"/>
          </w:tcPr>
          <w:p>
            <w:pPr>
              <w:widowControl/>
              <w:autoSpaceDE w:val="0"/>
              <w:autoSpaceDN w:val="0"/>
              <w:spacing w:before="40" w:after="40" w:line="280" w:lineRule="atLeast"/>
              <w:jc w:val="center"/>
              <w:textAlignment w:val="bottom"/>
              <w:rPr>
                <w:rFonts w:ascii="Times New Roman" w:hAnsi="Times New Roman"/>
                <w:szCs w:val="21"/>
              </w:rPr>
            </w:pPr>
            <w:r>
              <w:rPr>
                <w:rFonts w:ascii="Times New Roman" w:hAnsi="Times New Roman"/>
                <w:szCs w:val="21"/>
              </w:rPr>
              <w:t>姓    名</w:t>
            </w:r>
          </w:p>
        </w:tc>
        <w:tc>
          <w:tcPr>
            <w:tcW w:w="1440" w:type="dxa"/>
            <w:gridSpan w:val="2"/>
            <w:noWrap/>
            <w:vAlign w:val="center"/>
          </w:tcPr>
          <w:p>
            <w:pPr>
              <w:widowControl/>
              <w:autoSpaceDE w:val="0"/>
              <w:autoSpaceDN w:val="0"/>
              <w:spacing w:before="40" w:after="40" w:line="280" w:lineRule="atLeast"/>
              <w:jc w:val="center"/>
              <w:textAlignment w:val="bottom"/>
              <w:rPr>
                <w:rFonts w:ascii="Times New Roman" w:hAnsi="Times New Roman"/>
                <w:szCs w:val="21"/>
              </w:rPr>
            </w:pPr>
          </w:p>
        </w:tc>
        <w:tc>
          <w:tcPr>
            <w:tcW w:w="1016" w:type="dxa"/>
            <w:noWrap/>
            <w:vAlign w:val="center"/>
          </w:tcPr>
          <w:p>
            <w:pPr>
              <w:widowControl/>
              <w:autoSpaceDE w:val="0"/>
              <w:autoSpaceDN w:val="0"/>
              <w:spacing w:before="40" w:after="40" w:line="280" w:lineRule="atLeast"/>
              <w:jc w:val="center"/>
              <w:textAlignment w:val="bottom"/>
              <w:rPr>
                <w:rFonts w:ascii="Times New Roman" w:hAnsi="Times New Roman"/>
                <w:szCs w:val="21"/>
              </w:rPr>
            </w:pPr>
            <w:r>
              <w:rPr>
                <w:rFonts w:ascii="Times New Roman" w:hAnsi="Times New Roman"/>
                <w:szCs w:val="21"/>
              </w:rPr>
              <w:t>年    龄</w:t>
            </w:r>
          </w:p>
        </w:tc>
        <w:tc>
          <w:tcPr>
            <w:tcW w:w="1322" w:type="dxa"/>
            <w:noWrap/>
            <w:vAlign w:val="center"/>
          </w:tcPr>
          <w:p>
            <w:pPr>
              <w:widowControl/>
              <w:autoSpaceDE w:val="0"/>
              <w:autoSpaceDN w:val="0"/>
              <w:spacing w:before="40" w:after="40" w:line="280" w:lineRule="atLeast"/>
              <w:jc w:val="center"/>
              <w:textAlignment w:val="bottom"/>
              <w:rPr>
                <w:rFonts w:ascii="Times New Roman" w:hAnsi="Times New Roman"/>
                <w:szCs w:val="21"/>
              </w:rPr>
            </w:pPr>
          </w:p>
        </w:tc>
        <w:tc>
          <w:tcPr>
            <w:tcW w:w="1801" w:type="dxa"/>
            <w:gridSpan w:val="2"/>
            <w:noWrap/>
            <w:vAlign w:val="center"/>
          </w:tcPr>
          <w:p>
            <w:pPr>
              <w:widowControl/>
              <w:autoSpaceDE w:val="0"/>
              <w:autoSpaceDN w:val="0"/>
              <w:spacing w:before="40" w:after="40" w:line="280" w:lineRule="atLeast"/>
              <w:jc w:val="center"/>
              <w:textAlignment w:val="bottom"/>
              <w:rPr>
                <w:rFonts w:ascii="Times New Roman" w:hAnsi="Times New Roman"/>
                <w:szCs w:val="21"/>
              </w:rPr>
            </w:pPr>
            <w:r>
              <w:rPr>
                <w:rFonts w:ascii="Times New Roman" w:hAnsi="Times New Roman"/>
                <w:szCs w:val="21"/>
              </w:rPr>
              <w:t>专    业</w:t>
            </w:r>
          </w:p>
        </w:tc>
        <w:tc>
          <w:tcPr>
            <w:tcW w:w="1598" w:type="dxa"/>
            <w:gridSpan w:val="2"/>
            <w:noWrap/>
            <w:vAlign w:val="center"/>
          </w:tcPr>
          <w:p>
            <w:pPr>
              <w:widowControl/>
              <w:autoSpaceDE w:val="0"/>
              <w:autoSpaceDN w:val="0"/>
              <w:spacing w:before="40" w:after="40" w:line="280" w:lineRule="atLeast"/>
              <w:textAlignment w:val="bottom"/>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66" w:hRule="atLeast"/>
        </w:trPr>
        <w:tc>
          <w:tcPr>
            <w:tcW w:w="1183" w:type="dxa"/>
            <w:noWrap/>
            <w:vAlign w:val="center"/>
          </w:tcPr>
          <w:p>
            <w:pPr>
              <w:widowControl/>
              <w:autoSpaceDE w:val="0"/>
              <w:autoSpaceDN w:val="0"/>
              <w:spacing w:before="40" w:after="40" w:line="280" w:lineRule="atLeast"/>
              <w:jc w:val="center"/>
              <w:textAlignment w:val="bottom"/>
              <w:rPr>
                <w:rFonts w:ascii="Times New Roman" w:hAnsi="Times New Roman"/>
                <w:szCs w:val="21"/>
              </w:rPr>
            </w:pPr>
            <w:r>
              <w:rPr>
                <w:rFonts w:ascii="Times New Roman" w:hAnsi="Times New Roman"/>
                <w:szCs w:val="21"/>
              </w:rPr>
              <w:t>职    称</w:t>
            </w:r>
          </w:p>
        </w:tc>
        <w:tc>
          <w:tcPr>
            <w:tcW w:w="1440" w:type="dxa"/>
            <w:gridSpan w:val="2"/>
            <w:noWrap/>
            <w:vAlign w:val="center"/>
          </w:tcPr>
          <w:p>
            <w:pPr>
              <w:widowControl/>
              <w:autoSpaceDE w:val="0"/>
              <w:autoSpaceDN w:val="0"/>
              <w:spacing w:before="40" w:after="40" w:line="280" w:lineRule="atLeast"/>
              <w:jc w:val="center"/>
              <w:textAlignment w:val="bottom"/>
              <w:rPr>
                <w:rFonts w:ascii="Times New Roman" w:hAnsi="Times New Roman"/>
                <w:szCs w:val="21"/>
              </w:rPr>
            </w:pPr>
          </w:p>
        </w:tc>
        <w:tc>
          <w:tcPr>
            <w:tcW w:w="1016" w:type="dxa"/>
            <w:noWrap/>
            <w:vAlign w:val="center"/>
          </w:tcPr>
          <w:p>
            <w:pPr>
              <w:widowControl/>
              <w:autoSpaceDE w:val="0"/>
              <w:autoSpaceDN w:val="0"/>
              <w:spacing w:before="40" w:after="40" w:line="280" w:lineRule="atLeast"/>
              <w:jc w:val="center"/>
              <w:textAlignment w:val="bottom"/>
              <w:rPr>
                <w:rFonts w:ascii="Times New Roman" w:hAnsi="Times New Roman"/>
                <w:szCs w:val="21"/>
              </w:rPr>
            </w:pPr>
            <w:r>
              <w:rPr>
                <w:rFonts w:ascii="Times New Roman" w:hAnsi="Times New Roman"/>
                <w:szCs w:val="21"/>
              </w:rPr>
              <w:t>职    务</w:t>
            </w:r>
          </w:p>
        </w:tc>
        <w:tc>
          <w:tcPr>
            <w:tcW w:w="1322" w:type="dxa"/>
            <w:noWrap/>
            <w:vAlign w:val="center"/>
          </w:tcPr>
          <w:p>
            <w:pPr>
              <w:widowControl/>
              <w:autoSpaceDE w:val="0"/>
              <w:autoSpaceDN w:val="0"/>
              <w:spacing w:before="40" w:after="40" w:line="280" w:lineRule="atLeast"/>
              <w:jc w:val="center"/>
              <w:textAlignment w:val="bottom"/>
              <w:rPr>
                <w:rFonts w:ascii="Times New Roman" w:hAnsi="Times New Roman"/>
                <w:szCs w:val="21"/>
              </w:rPr>
            </w:pPr>
          </w:p>
        </w:tc>
        <w:tc>
          <w:tcPr>
            <w:tcW w:w="1801" w:type="dxa"/>
            <w:gridSpan w:val="2"/>
            <w:noWrap/>
            <w:vAlign w:val="center"/>
          </w:tcPr>
          <w:p>
            <w:pPr>
              <w:widowControl/>
              <w:autoSpaceDE w:val="0"/>
              <w:autoSpaceDN w:val="0"/>
              <w:spacing w:before="40" w:after="40" w:line="280" w:lineRule="atLeast"/>
              <w:jc w:val="center"/>
              <w:textAlignment w:val="bottom"/>
              <w:rPr>
                <w:rFonts w:ascii="Times New Roman" w:hAnsi="Times New Roman"/>
                <w:szCs w:val="21"/>
              </w:rPr>
            </w:pPr>
            <w:r>
              <w:rPr>
                <w:rFonts w:ascii="Times New Roman" w:hAnsi="Times New Roman"/>
                <w:szCs w:val="21"/>
              </w:rPr>
              <w:t>拟在本项目</w:t>
            </w:r>
          </w:p>
          <w:p>
            <w:pPr>
              <w:widowControl/>
              <w:autoSpaceDE w:val="0"/>
              <w:autoSpaceDN w:val="0"/>
              <w:spacing w:before="40" w:after="40" w:line="280" w:lineRule="atLeast"/>
              <w:jc w:val="center"/>
              <w:textAlignment w:val="bottom"/>
              <w:rPr>
                <w:rFonts w:ascii="Times New Roman" w:hAnsi="Times New Roman"/>
                <w:szCs w:val="21"/>
              </w:rPr>
            </w:pPr>
            <w:r>
              <w:rPr>
                <w:rFonts w:ascii="Times New Roman" w:hAnsi="Times New Roman"/>
                <w:szCs w:val="21"/>
              </w:rPr>
              <w:t>担任职务</w:t>
            </w:r>
          </w:p>
        </w:tc>
        <w:tc>
          <w:tcPr>
            <w:tcW w:w="1598" w:type="dxa"/>
            <w:gridSpan w:val="2"/>
            <w:noWrap/>
            <w:vAlign w:val="center"/>
          </w:tcPr>
          <w:p>
            <w:pPr>
              <w:widowControl/>
              <w:autoSpaceDE w:val="0"/>
              <w:autoSpaceDN w:val="0"/>
              <w:spacing w:before="40" w:after="40" w:line="280" w:lineRule="atLeast"/>
              <w:textAlignment w:val="bottom"/>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8360" w:type="dxa"/>
            <w:gridSpan w:val="9"/>
            <w:noWrap/>
            <w:vAlign w:val="center"/>
          </w:tcPr>
          <w:p>
            <w:pPr>
              <w:widowControl/>
              <w:autoSpaceDE w:val="0"/>
              <w:autoSpaceDN w:val="0"/>
              <w:spacing w:before="40" w:after="40" w:line="280" w:lineRule="atLeast"/>
              <w:jc w:val="center"/>
              <w:textAlignment w:val="bottom"/>
              <w:rPr>
                <w:rFonts w:ascii="Times New Roman" w:hAnsi="Times New Roman"/>
                <w:szCs w:val="21"/>
              </w:rPr>
            </w:pPr>
            <w:r>
              <w:rPr>
                <w:rFonts w:ascii="Times New Roman" w:hAnsi="Times New Roman"/>
                <w:szCs w:val="21"/>
              </w:rPr>
              <w:t>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15" w:hRule="atLeast"/>
        </w:trPr>
        <w:tc>
          <w:tcPr>
            <w:tcW w:w="1231" w:type="dxa"/>
            <w:gridSpan w:val="2"/>
            <w:noWrap/>
            <w:vAlign w:val="center"/>
          </w:tcPr>
          <w:p>
            <w:pPr>
              <w:widowControl/>
              <w:autoSpaceDE w:val="0"/>
              <w:autoSpaceDN w:val="0"/>
              <w:spacing w:before="40" w:after="40" w:line="280" w:lineRule="atLeast"/>
              <w:jc w:val="center"/>
              <w:textAlignment w:val="bottom"/>
              <w:rPr>
                <w:rFonts w:ascii="Times New Roman" w:hAnsi="Times New Roman"/>
                <w:szCs w:val="21"/>
              </w:rPr>
            </w:pPr>
            <w:r>
              <w:rPr>
                <w:rFonts w:ascii="Times New Roman" w:hAnsi="Times New Roman"/>
                <w:szCs w:val="21"/>
              </w:rPr>
              <w:t>__年~__年</w:t>
            </w:r>
          </w:p>
        </w:tc>
        <w:tc>
          <w:tcPr>
            <w:tcW w:w="4053" w:type="dxa"/>
            <w:gridSpan w:val="4"/>
            <w:noWrap/>
            <w:vAlign w:val="center"/>
          </w:tcPr>
          <w:p>
            <w:pPr>
              <w:pStyle w:val="34"/>
              <w:widowControl/>
              <w:adjustRightInd/>
              <w:snapToGrid/>
              <w:spacing w:before="40" w:after="40" w:line="280" w:lineRule="atLeast"/>
              <w:textAlignment w:val="bottom"/>
              <w:rPr>
                <w:rFonts w:ascii="Times New Roman" w:hAnsi="Times New Roman"/>
                <w:spacing w:val="0"/>
                <w:kern w:val="2"/>
                <w:szCs w:val="21"/>
              </w:rPr>
            </w:pPr>
            <w:r>
              <w:rPr>
                <w:rFonts w:ascii="Times New Roman" w:hAnsi="Times New Roman"/>
                <w:spacing w:val="0"/>
                <w:kern w:val="2"/>
                <w:szCs w:val="21"/>
              </w:rPr>
              <w:t>参加过的</w:t>
            </w:r>
            <w:r>
              <w:rPr>
                <w:rFonts w:hint="eastAsia" w:ascii="Times New Roman" w:hAnsi="Times New Roman"/>
                <w:spacing w:val="0"/>
                <w:kern w:val="2"/>
                <w:szCs w:val="21"/>
              </w:rPr>
              <w:t>类似</w:t>
            </w:r>
            <w:r>
              <w:rPr>
                <w:rFonts w:ascii="Times New Roman" w:hAnsi="Times New Roman"/>
                <w:spacing w:val="0"/>
                <w:kern w:val="2"/>
                <w:szCs w:val="21"/>
              </w:rPr>
              <w:t>项目名称</w:t>
            </w:r>
          </w:p>
        </w:tc>
        <w:tc>
          <w:tcPr>
            <w:tcW w:w="1847" w:type="dxa"/>
            <w:gridSpan w:val="2"/>
            <w:noWrap/>
            <w:vAlign w:val="center"/>
          </w:tcPr>
          <w:p>
            <w:pPr>
              <w:pStyle w:val="34"/>
              <w:widowControl/>
              <w:adjustRightInd/>
              <w:snapToGrid/>
              <w:spacing w:before="40" w:after="40" w:line="280" w:lineRule="atLeast"/>
              <w:textAlignment w:val="bottom"/>
              <w:rPr>
                <w:rFonts w:ascii="Times New Roman" w:hAnsi="Times New Roman"/>
                <w:spacing w:val="0"/>
                <w:kern w:val="2"/>
                <w:szCs w:val="21"/>
              </w:rPr>
            </w:pPr>
            <w:r>
              <w:rPr>
                <w:rFonts w:ascii="Times New Roman" w:hAnsi="Times New Roman"/>
                <w:spacing w:val="0"/>
                <w:kern w:val="2"/>
                <w:szCs w:val="21"/>
              </w:rPr>
              <w:t>担任何职</w:t>
            </w:r>
          </w:p>
        </w:tc>
        <w:tc>
          <w:tcPr>
            <w:tcW w:w="1229" w:type="dxa"/>
            <w:noWrap/>
            <w:vAlign w:val="center"/>
          </w:tcPr>
          <w:p>
            <w:pPr>
              <w:widowControl/>
              <w:autoSpaceDE w:val="0"/>
              <w:autoSpaceDN w:val="0"/>
              <w:spacing w:before="40" w:after="40" w:line="280" w:lineRule="atLeast"/>
              <w:jc w:val="center"/>
              <w:textAlignment w:val="bottom"/>
              <w:rPr>
                <w:rFonts w:ascii="Times New Roman" w:hAnsi="Times New Roman"/>
                <w:szCs w:val="21"/>
              </w:rPr>
            </w:pPr>
            <w:r>
              <w:rPr>
                <w:rFonts w:hint="eastAsia" w:ascii="Times New Roman" w:hAnsi="Times New Roman"/>
                <w:szCs w:val="21"/>
              </w:rPr>
              <w:t>业主</w:t>
            </w:r>
            <w:r>
              <w:rPr>
                <w:rFonts w:ascii="Times New Roman" w:hAnsi="Times New Roman"/>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1231" w:type="dxa"/>
            <w:gridSpan w:val="2"/>
            <w:noWrap/>
            <w:vAlign w:val="center"/>
          </w:tcPr>
          <w:p>
            <w:pPr>
              <w:widowControl/>
              <w:autoSpaceDE w:val="0"/>
              <w:autoSpaceDN w:val="0"/>
              <w:spacing w:before="40" w:after="40" w:line="280" w:lineRule="atLeast"/>
              <w:jc w:val="center"/>
              <w:textAlignment w:val="bottom"/>
              <w:rPr>
                <w:rFonts w:ascii="Times New Roman" w:hAnsi="Times New Roman"/>
                <w:szCs w:val="21"/>
              </w:rPr>
            </w:pPr>
          </w:p>
        </w:tc>
        <w:tc>
          <w:tcPr>
            <w:tcW w:w="4053" w:type="dxa"/>
            <w:gridSpan w:val="4"/>
            <w:noWrap/>
            <w:vAlign w:val="center"/>
          </w:tcPr>
          <w:p>
            <w:pPr>
              <w:widowControl/>
              <w:autoSpaceDE w:val="0"/>
              <w:autoSpaceDN w:val="0"/>
              <w:spacing w:before="40" w:after="40" w:line="280" w:lineRule="atLeast"/>
              <w:jc w:val="center"/>
              <w:textAlignment w:val="bottom"/>
              <w:rPr>
                <w:rFonts w:ascii="Times New Roman" w:hAnsi="Times New Roman"/>
                <w:szCs w:val="21"/>
              </w:rPr>
            </w:pPr>
          </w:p>
        </w:tc>
        <w:tc>
          <w:tcPr>
            <w:tcW w:w="1847" w:type="dxa"/>
            <w:gridSpan w:val="2"/>
            <w:noWrap/>
            <w:vAlign w:val="center"/>
          </w:tcPr>
          <w:p>
            <w:pPr>
              <w:widowControl/>
              <w:autoSpaceDE w:val="0"/>
              <w:autoSpaceDN w:val="0"/>
              <w:spacing w:before="40" w:after="40" w:line="280" w:lineRule="atLeast"/>
              <w:textAlignment w:val="bottom"/>
              <w:rPr>
                <w:rFonts w:ascii="Times New Roman" w:hAnsi="Times New Roman"/>
                <w:szCs w:val="21"/>
              </w:rPr>
            </w:pPr>
          </w:p>
        </w:tc>
        <w:tc>
          <w:tcPr>
            <w:tcW w:w="1229" w:type="dxa"/>
            <w:noWrap/>
            <w:vAlign w:val="center"/>
          </w:tcPr>
          <w:p>
            <w:pPr>
              <w:widowControl/>
              <w:autoSpaceDE w:val="0"/>
              <w:autoSpaceDN w:val="0"/>
              <w:spacing w:before="40" w:after="40" w:line="280" w:lineRule="atLeast"/>
              <w:textAlignment w:val="bottom"/>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1231" w:type="dxa"/>
            <w:gridSpan w:val="2"/>
            <w:noWrap/>
            <w:vAlign w:val="center"/>
          </w:tcPr>
          <w:p>
            <w:pPr>
              <w:widowControl/>
              <w:autoSpaceDE w:val="0"/>
              <w:autoSpaceDN w:val="0"/>
              <w:spacing w:before="40" w:after="40" w:line="280" w:lineRule="atLeast"/>
              <w:jc w:val="center"/>
              <w:textAlignment w:val="bottom"/>
              <w:rPr>
                <w:rFonts w:ascii="Times New Roman" w:hAnsi="Times New Roman"/>
                <w:szCs w:val="21"/>
              </w:rPr>
            </w:pPr>
          </w:p>
        </w:tc>
        <w:tc>
          <w:tcPr>
            <w:tcW w:w="4053" w:type="dxa"/>
            <w:gridSpan w:val="4"/>
            <w:noWrap/>
            <w:vAlign w:val="center"/>
          </w:tcPr>
          <w:p>
            <w:pPr>
              <w:widowControl/>
              <w:autoSpaceDE w:val="0"/>
              <w:autoSpaceDN w:val="0"/>
              <w:spacing w:before="40" w:after="40" w:line="280" w:lineRule="atLeast"/>
              <w:jc w:val="center"/>
              <w:textAlignment w:val="bottom"/>
              <w:rPr>
                <w:rFonts w:ascii="Times New Roman" w:hAnsi="Times New Roman"/>
                <w:szCs w:val="21"/>
              </w:rPr>
            </w:pPr>
          </w:p>
        </w:tc>
        <w:tc>
          <w:tcPr>
            <w:tcW w:w="1847" w:type="dxa"/>
            <w:gridSpan w:val="2"/>
            <w:noWrap/>
            <w:vAlign w:val="center"/>
          </w:tcPr>
          <w:p>
            <w:pPr>
              <w:widowControl/>
              <w:autoSpaceDE w:val="0"/>
              <w:autoSpaceDN w:val="0"/>
              <w:spacing w:before="40" w:after="40" w:line="280" w:lineRule="atLeast"/>
              <w:textAlignment w:val="bottom"/>
              <w:rPr>
                <w:rFonts w:ascii="Times New Roman" w:hAnsi="Times New Roman"/>
                <w:szCs w:val="21"/>
              </w:rPr>
            </w:pPr>
          </w:p>
        </w:tc>
        <w:tc>
          <w:tcPr>
            <w:tcW w:w="1229" w:type="dxa"/>
            <w:noWrap/>
            <w:vAlign w:val="center"/>
          </w:tcPr>
          <w:p>
            <w:pPr>
              <w:widowControl/>
              <w:autoSpaceDE w:val="0"/>
              <w:autoSpaceDN w:val="0"/>
              <w:spacing w:before="40" w:after="40" w:line="280" w:lineRule="atLeast"/>
              <w:textAlignment w:val="bottom"/>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1231" w:type="dxa"/>
            <w:gridSpan w:val="2"/>
            <w:noWrap/>
            <w:vAlign w:val="center"/>
          </w:tcPr>
          <w:p>
            <w:pPr>
              <w:widowControl/>
              <w:autoSpaceDE w:val="0"/>
              <w:autoSpaceDN w:val="0"/>
              <w:spacing w:before="40" w:after="40" w:line="280" w:lineRule="atLeast"/>
              <w:jc w:val="center"/>
              <w:textAlignment w:val="bottom"/>
              <w:rPr>
                <w:rFonts w:ascii="Times New Roman" w:hAnsi="Times New Roman"/>
                <w:szCs w:val="21"/>
              </w:rPr>
            </w:pPr>
          </w:p>
        </w:tc>
        <w:tc>
          <w:tcPr>
            <w:tcW w:w="4053" w:type="dxa"/>
            <w:gridSpan w:val="4"/>
            <w:noWrap/>
            <w:vAlign w:val="center"/>
          </w:tcPr>
          <w:p>
            <w:pPr>
              <w:widowControl/>
              <w:autoSpaceDE w:val="0"/>
              <w:autoSpaceDN w:val="0"/>
              <w:spacing w:before="40" w:after="40" w:line="280" w:lineRule="atLeast"/>
              <w:jc w:val="center"/>
              <w:textAlignment w:val="bottom"/>
              <w:rPr>
                <w:rFonts w:ascii="Times New Roman" w:hAnsi="Times New Roman"/>
                <w:szCs w:val="21"/>
              </w:rPr>
            </w:pPr>
          </w:p>
        </w:tc>
        <w:tc>
          <w:tcPr>
            <w:tcW w:w="1847" w:type="dxa"/>
            <w:gridSpan w:val="2"/>
            <w:noWrap/>
            <w:vAlign w:val="center"/>
          </w:tcPr>
          <w:p>
            <w:pPr>
              <w:widowControl/>
              <w:autoSpaceDE w:val="0"/>
              <w:autoSpaceDN w:val="0"/>
              <w:spacing w:before="40" w:after="40" w:line="280" w:lineRule="atLeast"/>
              <w:textAlignment w:val="bottom"/>
              <w:rPr>
                <w:rFonts w:ascii="Times New Roman" w:hAnsi="Times New Roman"/>
                <w:szCs w:val="21"/>
              </w:rPr>
            </w:pPr>
          </w:p>
        </w:tc>
        <w:tc>
          <w:tcPr>
            <w:tcW w:w="1229" w:type="dxa"/>
            <w:noWrap/>
            <w:vAlign w:val="center"/>
          </w:tcPr>
          <w:p>
            <w:pPr>
              <w:widowControl/>
              <w:autoSpaceDE w:val="0"/>
              <w:autoSpaceDN w:val="0"/>
              <w:spacing w:before="40" w:after="40" w:line="280" w:lineRule="atLeast"/>
              <w:textAlignment w:val="bottom"/>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1231" w:type="dxa"/>
            <w:gridSpan w:val="2"/>
            <w:noWrap/>
            <w:vAlign w:val="center"/>
          </w:tcPr>
          <w:p>
            <w:pPr>
              <w:widowControl/>
              <w:autoSpaceDE w:val="0"/>
              <w:autoSpaceDN w:val="0"/>
              <w:spacing w:before="40" w:after="40" w:line="280" w:lineRule="atLeast"/>
              <w:jc w:val="center"/>
              <w:textAlignment w:val="bottom"/>
              <w:rPr>
                <w:rFonts w:ascii="Times New Roman" w:hAnsi="Times New Roman"/>
                <w:szCs w:val="21"/>
              </w:rPr>
            </w:pPr>
          </w:p>
        </w:tc>
        <w:tc>
          <w:tcPr>
            <w:tcW w:w="4053" w:type="dxa"/>
            <w:gridSpan w:val="4"/>
            <w:noWrap/>
            <w:vAlign w:val="center"/>
          </w:tcPr>
          <w:p>
            <w:pPr>
              <w:widowControl/>
              <w:autoSpaceDE w:val="0"/>
              <w:autoSpaceDN w:val="0"/>
              <w:spacing w:before="40" w:after="40" w:line="280" w:lineRule="atLeast"/>
              <w:jc w:val="center"/>
              <w:textAlignment w:val="bottom"/>
              <w:rPr>
                <w:rFonts w:ascii="Times New Roman" w:hAnsi="Times New Roman"/>
                <w:szCs w:val="21"/>
              </w:rPr>
            </w:pPr>
          </w:p>
        </w:tc>
        <w:tc>
          <w:tcPr>
            <w:tcW w:w="1847" w:type="dxa"/>
            <w:gridSpan w:val="2"/>
            <w:noWrap/>
            <w:vAlign w:val="center"/>
          </w:tcPr>
          <w:p>
            <w:pPr>
              <w:widowControl/>
              <w:autoSpaceDE w:val="0"/>
              <w:autoSpaceDN w:val="0"/>
              <w:spacing w:before="40" w:after="40" w:line="280" w:lineRule="atLeast"/>
              <w:textAlignment w:val="bottom"/>
              <w:rPr>
                <w:rFonts w:ascii="Times New Roman" w:hAnsi="Times New Roman"/>
                <w:szCs w:val="21"/>
              </w:rPr>
            </w:pPr>
          </w:p>
        </w:tc>
        <w:tc>
          <w:tcPr>
            <w:tcW w:w="1229" w:type="dxa"/>
            <w:noWrap/>
            <w:vAlign w:val="center"/>
          </w:tcPr>
          <w:p>
            <w:pPr>
              <w:widowControl/>
              <w:autoSpaceDE w:val="0"/>
              <w:autoSpaceDN w:val="0"/>
              <w:spacing w:before="40" w:after="40" w:line="280" w:lineRule="atLeast"/>
              <w:textAlignment w:val="bottom"/>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8" w:hRule="atLeast"/>
        </w:trPr>
        <w:tc>
          <w:tcPr>
            <w:tcW w:w="1231" w:type="dxa"/>
            <w:gridSpan w:val="2"/>
            <w:noWrap/>
            <w:vAlign w:val="center"/>
          </w:tcPr>
          <w:p>
            <w:pPr>
              <w:widowControl/>
              <w:autoSpaceDE w:val="0"/>
              <w:autoSpaceDN w:val="0"/>
              <w:spacing w:before="40" w:after="40" w:line="280" w:lineRule="atLeast"/>
              <w:jc w:val="center"/>
              <w:textAlignment w:val="bottom"/>
              <w:rPr>
                <w:rFonts w:ascii="Times New Roman" w:hAnsi="Times New Roman"/>
                <w:szCs w:val="21"/>
              </w:rPr>
            </w:pPr>
          </w:p>
        </w:tc>
        <w:tc>
          <w:tcPr>
            <w:tcW w:w="4053" w:type="dxa"/>
            <w:gridSpan w:val="4"/>
            <w:noWrap/>
            <w:vAlign w:val="center"/>
          </w:tcPr>
          <w:p>
            <w:pPr>
              <w:widowControl/>
              <w:autoSpaceDE w:val="0"/>
              <w:autoSpaceDN w:val="0"/>
              <w:spacing w:before="40" w:after="40" w:line="280" w:lineRule="atLeast"/>
              <w:jc w:val="center"/>
              <w:textAlignment w:val="bottom"/>
              <w:rPr>
                <w:rFonts w:ascii="Times New Roman" w:hAnsi="Times New Roman"/>
                <w:szCs w:val="21"/>
              </w:rPr>
            </w:pPr>
          </w:p>
        </w:tc>
        <w:tc>
          <w:tcPr>
            <w:tcW w:w="1847" w:type="dxa"/>
            <w:gridSpan w:val="2"/>
            <w:noWrap/>
            <w:vAlign w:val="center"/>
          </w:tcPr>
          <w:p>
            <w:pPr>
              <w:widowControl/>
              <w:autoSpaceDE w:val="0"/>
              <w:autoSpaceDN w:val="0"/>
              <w:spacing w:before="40" w:after="40" w:line="280" w:lineRule="atLeast"/>
              <w:textAlignment w:val="bottom"/>
              <w:rPr>
                <w:rFonts w:ascii="Times New Roman" w:hAnsi="Times New Roman"/>
                <w:szCs w:val="21"/>
              </w:rPr>
            </w:pPr>
          </w:p>
        </w:tc>
        <w:tc>
          <w:tcPr>
            <w:tcW w:w="1229" w:type="dxa"/>
            <w:noWrap/>
            <w:vAlign w:val="center"/>
          </w:tcPr>
          <w:p>
            <w:pPr>
              <w:widowControl/>
              <w:autoSpaceDE w:val="0"/>
              <w:autoSpaceDN w:val="0"/>
              <w:spacing w:before="40" w:after="40" w:line="280" w:lineRule="atLeast"/>
              <w:textAlignment w:val="bottom"/>
              <w:rPr>
                <w:rFonts w:ascii="Times New Roman" w:hAnsi="Times New Roman"/>
                <w:szCs w:val="21"/>
              </w:rPr>
            </w:pPr>
          </w:p>
        </w:tc>
      </w:tr>
    </w:tbl>
    <w:p>
      <w:pPr>
        <w:pStyle w:val="10"/>
        <w:spacing w:line="240" w:lineRule="atLeast"/>
        <w:ind w:left="0" w:leftChars="0"/>
        <w:rPr>
          <w:rFonts w:ascii="Times New Roman" w:hAnsi="Times New Roman"/>
          <w:sz w:val="20"/>
          <w:szCs w:val="20"/>
        </w:rPr>
      </w:pPr>
      <w:r>
        <w:rPr>
          <w:rFonts w:ascii="Times New Roman" w:hAnsi="Times New Roman" w:eastAsia="黑体"/>
          <w:szCs w:val="21"/>
        </w:rPr>
        <w:t>注：</w:t>
      </w:r>
    </w:p>
    <w:p>
      <w:pPr>
        <w:widowControl/>
        <w:autoSpaceDE w:val="0"/>
        <w:autoSpaceDN w:val="0"/>
        <w:spacing w:line="360" w:lineRule="atLeast"/>
        <w:ind w:left="420" w:leftChars="200"/>
        <w:textAlignment w:val="bottom"/>
        <w:rPr>
          <w:rFonts w:ascii="Times New Roman" w:hAnsi="Times New Roman" w:eastAsia="黑体"/>
          <w:szCs w:val="21"/>
        </w:rPr>
      </w:pPr>
      <w:r>
        <w:rPr>
          <w:rFonts w:ascii="Times New Roman" w:hAnsi="Times New Roman" w:eastAsia="黑体"/>
          <w:szCs w:val="21"/>
        </w:rPr>
        <w:t>1、一个人员对应填写一张本资历表。</w:t>
      </w:r>
    </w:p>
    <w:p>
      <w:pPr>
        <w:widowControl/>
        <w:autoSpaceDE w:val="0"/>
        <w:autoSpaceDN w:val="0"/>
        <w:spacing w:line="360" w:lineRule="atLeast"/>
        <w:ind w:left="420" w:leftChars="200"/>
        <w:textAlignment w:val="bottom"/>
        <w:rPr>
          <w:rFonts w:ascii="Times New Roman" w:hAnsi="Times New Roman" w:eastAsia="黑体"/>
          <w:szCs w:val="21"/>
        </w:rPr>
      </w:pPr>
      <w:r>
        <w:rPr>
          <w:rFonts w:hint="eastAsia" w:ascii="Times New Roman" w:hAnsi="Times New Roman" w:eastAsia="黑体"/>
          <w:szCs w:val="21"/>
        </w:rPr>
        <w:t>2、</w:t>
      </w:r>
      <w:r>
        <w:rPr>
          <w:rFonts w:ascii="Times New Roman" w:hAnsi="Times New Roman" w:eastAsia="黑体"/>
          <w:szCs w:val="21"/>
        </w:rPr>
        <w:t>在本表后应附有其有效的身份证</w:t>
      </w:r>
      <w:r>
        <w:rPr>
          <w:rFonts w:hint="eastAsia" w:ascii="Times New Roman" w:hAnsi="Times New Roman" w:eastAsia="黑体"/>
          <w:szCs w:val="21"/>
        </w:rPr>
        <w:t>、响应文件递交截止时间前一年内连续三个月在供应商本单位的社保缴费记录、____________________（其他证明材料）</w:t>
      </w:r>
      <w:r>
        <w:rPr>
          <w:rFonts w:ascii="Times New Roman" w:hAnsi="Times New Roman" w:eastAsia="黑体"/>
          <w:szCs w:val="21"/>
        </w:rPr>
        <w:t>的复印件。所有证件的扫描件均应清晰可辨，否则，将被认为证书无效。</w:t>
      </w:r>
    </w:p>
    <w:p>
      <w:pPr>
        <w:pStyle w:val="10"/>
        <w:spacing w:after="0" w:line="240" w:lineRule="atLeast"/>
        <w:ind w:left="630" w:leftChars="100" w:hanging="420" w:hangingChars="200"/>
        <w:rPr>
          <w:rFonts w:ascii="Times New Roman" w:hAnsi="Times New Roman" w:eastAsia="黑体"/>
          <w:bCs/>
          <w:kern w:val="0"/>
          <w:szCs w:val="21"/>
        </w:rPr>
      </w:pPr>
    </w:p>
    <w:p>
      <w:pPr>
        <w:pStyle w:val="10"/>
        <w:spacing w:after="0" w:line="240" w:lineRule="atLeast"/>
        <w:ind w:left="630" w:leftChars="100" w:hanging="420" w:hangingChars="200"/>
        <w:rPr>
          <w:rFonts w:ascii="Times New Roman" w:hAnsi="Times New Roman"/>
          <w:bCs/>
          <w:kern w:val="0"/>
          <w:sz w:val="20"/>
          <w:szCs w:val="20"/>
        </w:rPr>
      </w:pPr>
      <w:r>
        <w:rPr>
          <w:rFonts w:ascii="Times New Roman" w:hAnsi="Times New Roman" w:eastAsia="黑体"/>
          <w:bCs/>
          <w:kern w:val="0"/>
          <w:szCs w:val="21"/>
        </w:rPr>
        <w:br w:type="page"/>
      </w:r>
    </w:p>
    <w:p>
      <w:pPr>
        <w:tabs>
          <w:tab w:val="left" w:pos="3060"/>
        </w:tabs>
        <w:topLinePunct/>
        <w:spacing w:line="440" w:lineRule="exact"/>
        <w:jc w:val="center"/>
        <w:rPr>
          <w:rFonts w:ascii="Times New Roman" w:hAnsi="Times New Roman" w:eastAsia="黑体"/>
          <w:sz w:val="28"/>
          <w:szCs w:val="28"/>
        </w:rPr>
      </w:pPr>
      <w:bookmarkStart w:id="252" w:name="_Toc5403_WPSOffice_Level1"/>
      <w:bookmarkStart w:id="253" w:name="_Toc8691_WPSOffice_Level1"/>
      <w:bookmarkStart w:id="254" w:name="_Toc3893_WPSOffice_Level1"/>
      <w:bookmarkStart w:id="255" w:name="_Toc32222_WPSOffice_Level1"/>
      <w:bookmarkStart w:id="256" w:name="_Toc12019_WPSOffice_Level1"/>
      <w:bookmarkStart w:id="257" w:name="_Toc9267_WPSOffice_Level1"/>
      <w:r>
        <w:rPr>
          <w:rFonts w:hint="eastAsia" w:ascii="Times New Roman" w:hAnsi="Times New Roman" w:eastAsia="黑体"/>
          <w:sz w:val="28"/>
          <w:szCs w:val="28"/>
        </w:rPr>
        <w:t>七</w:t>
      </w:r>
      <w:r>
        <w:rPr>
          <w:rFonts w:ascii="Times New Roman" w:hAnsi="Times New Roman" w:eastAsia="黑体"/>
          <w:sz w:val="28"/>
          <w:szCs w:val="28"/>
        </w:rPr>
        <w:t>、</w:t>
      </w:r>
      <w:r>
        <w:rPr>
          <w:rFonts w:hint="eastAsia" w:ascii="Times New Roman" w:hAnsi="Times New Roman" w:eastAsia="黑体"/>
          <w:sz w:val="28"/>
          <w:szCs w:val="28"/>
        </w:rPr>
        <w:t>信誉情况</w:t>
      </w:r>
      <w:bookmarkEnd w:id="252"/>
      <w:bookmarkEnd w:id="253"/>
      <w:bookmarkEnd w:id="254"/>
      <w:bookmarkEnd w:id="255"/>
      <w:bookmarkEnd w:id="256"/>
      <w:bookmarkEnd w:id="257"/>
    </w:p>
    <w:p>
      <w:pPr>
        <w:topLinePunct/>
        <w:spacing w:line="440" w:lineRule="exact"/>
        <w:rPr>
          <w:rFonts w:ascii="Times New Roman" w:hAnsi="Times New Roman"/>
          <w:bCs/>
          <w:sz w:val="23"/>
          <w:szCs w:val="23"/>
        </w:rPr>
      </w:pP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noWrap/>
          </w:tcPr>
          <w:p>
            <w:pPr>
              <w:topLinePunct/>
              <w:spacing w:line="440" w:lineRule="exact"/>
              <w:jc w:val="center"/>
              <w:rPr>
                <w:rFonts w:ascii="Times New Roman" w:hAnsi="Times New Roman"/>
                <w:bCs/>
                <w:szCs w:val="21"/>
              </w:rPr>
            </w:pPr>
            <w:r>
              <w:rPr>
                <w:rFonts w:ascii="Times New Roman" w:hAnsi="Times New Roman"/>
                <w:bCs/>
                <w:szCs w:val="21"/>
              </w:rPr>
              <w:t>项 目</w:t>
            </w:r>
          </w:p>
        </w:tc>
        <w:tc>
          <w:tcPr>
            <w:tcW w:w="4445" w:type="dxa"/>
            <w:noWrap/>
          </w:tcPr>
          <w:p>
            <w:pPr>
              <w:topLinePunct/>
              <w:spacing w:line="440" w:lineRule="exact"/>
              <w:jc w:val="center"/>
              <w:rPr>
                <w:rFonts w:ascii="Times New Roman" w:hAnsi="Times New Roman"/>
                <w:bCs/>
                <w:szCs w:val="21"/>
              </w:rPr>
            </w:pPr>
            <w:r>
              <w:rPr>
                <w:rFonts w:ascii="Times New Roman" w:hAnsi="Times New Roman"/>
                <w:bCs/>
                <w:szCs w:val="21"/>
              </w:rPr>
              <w:t>供应商情况说明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pPr>
              <w:topLinePunct/>
              <w:spacing w:line="440" w:lineRule="exact"/>
              <w:rPr>
                <w:rFonts w:ascii="Times New Roman" w:hAnsi="Times New Roman"/>
                <w:bCs/>
                <w:szCs w:val="21"/>
              </w:rPr>
            </w:pPr>
            <w:r>
              <w:rPr>
                <w:rFonts w:ascii="Times New Roman" w:hAnsi="Times New Roman"/>
                <w:sz w:val="24"/>
                <w:szCs w:val="28"/>
              </w:rPr>
              <w:t>是否被责令停业，暂扣或吊销执照，或吊销资质证书</w:t>
            </w:r>
          </w:p>
        </w:tc>
        <w:tc>
          <w:tcPr>
            <w:tcW w:w="4445" w:type="dxa"/>
            <w:noWrap/>
          </w:tcPr>
          <w:p>
            <w:pPr>
              <w:topLinePunct/>
              <w:spacing w:line="440" w:lineRule="exact"/>
              <w:rPr>
                <w:rFonts w:ascii="Times New Roman" w:hAnsi="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pPr>
              <w:topLinePunct/>
              <w:spacing w:line="440" w:lineRule="exact"/>
              <w:rPr>
                <w:rFonts w:ascii="Times New Roman" w:hAnsi="Times New Roman"/>
                <w:bCs/>
                <w:szCs w:val="21"/>
              </w:rPr>
            </w:pPr>
            <w:r>
              <w:rPr>
                <w:rFonts w:ascii="Times New Roman" w:hAnsi="Times New Roman"/>
                <w:sz w:val="24"/>
                <w:szCs w:val="28"/>
              </w:rPr>
              <w:t>是否进入清算程序，或被宣告破产，或其他丧失履约能力的情形</w:t>
            </w:r>
          </w:p>
        </w:tc>
        <w:tc>
          <w:tcPr>
            <w:tcW w:w="4445" w:type="dxa"/>
            <w:noWrap/>
          </w:tcPr>
          <w:p>
            <w:pPr>
              <w:topLinePunct/>
              <w:spacing w:line="440" w:lineRule="exact"/>
              <w:rPr>
                <w:rFonts w:ascii="Times New Roman" w:hAnsi="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pPr>
              <w:topLinePunct/>
              <w:spacing w:line="440" w:lineRule="exact"/>
              <w:rPr>
                <w:rFonts w:ascii="Times New Roman" w:hAnsi="Times New Roman"/>
                <w:bCs/>
                <w:szCs w:val="21"/>
              </w:rPr>
            </w:pPr>
            <w:r>
              <w:rPr>
                <w:rFonts w:ascii="Times New Roman" w:hAnsi="Times New Roman"/>
                <w:sz w:val="24"/>
                <w:szCs w:val="28"/>
              </w:rPr>
              <w:t>是否在国家企业信用信息公示系统（http://www.gsxt.gov.cn）中被列入严重违法失信企业名单</w:t>
            </w:r>
          </w:p>
        </w:tc>
        <w:tc>
          <w:tcPr>
            <w:tcW w:w="4445" w:type="dxa"/>
            <w:noWrap/>
          </w:tcPr>
          <w:p>
            <w:pPr>
              <w:topLinePunct/>
              <w:spacing w:line="440" w:lineRule="exact"/>
              <w:rPr>
                <w:rFonts w:ascii="Times New Roman" w:hAnsi="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pPr>
              <w:topLinePunct/>
              <w:spacing w:line="440" w:lineRule="exact"/>
              <w:rPr>
                <w:rFonts w:ascii="Times New Roman" w:hAnsi="Times New Roman"/>
                <w:bCs/>
                <w:szCs w:val="21"/>
              </w:rPr>
            </w:pPr>
            <w:r>
              <w:rPr>
                <w:rFonts w:ascii="Times New Roman" w:hAnsi="Times New Roman"/>
                <w:sz w:val="24"/>
                <w:szCs w:val="28"/>
              </w:rPr>
              <w:t>是否在“信用中国”网站（http://www.creditchina.gov.cn）中被列入失信被执行人名单</w:t>
            </w:r>
          </w:p>
        </w:tc>
        <w:tc>
          <w:tcPr>
            <w:tcW w:w="4445" w:type="dxa"/>
            <w:noWrap/>
          </w:tcPr>
          <w:p>
            <w:pPr>
              <w:topLinePunct/>
              <w:spacing w:line="440" w:lineRule="exact"/>
              <w:rPr>
                <w:rFonts w:ascii="Times New Roman" w:hAnsi="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pPr>
              <w:topLinePunct/>
              <w:spacing w:line="440" w:lineRule="exact"/>
              <w:rPr>
                <w:rFonts w:ascii="Times New Roman" w:hAnsi="Times New Roman"/>
                <w:bCs/>
                <w:szCs w:val="21"/>
              </w:rPr>
            </w:pPr>
            <w:r>
              <w:rPr>
                <w:rFonts w:ascii="Times New Roman" w:hAnsi="Times New Roman"/>
                <w:sz w:val="24"/>
                <w:szCs w:val="28"/>
              </w:rPr>
              <w:t>是否在近三年内（自</w:t>
            </w:r>
            <w:r>
              <w:rPr>
                <w:rFonts w:hint="eastAsia" w:ascii="Times New Roman" w:hAnsi="Times New Roman"/>
                <w:sz w:val="24"/>
                <w:szCs w:val="28"/>
              </w:rPr>
              <w:t>响应文件递交截止之日</w:t>
            </w:r>
            <w:r>
              <w:rPr>
                <w:rFonts w:ascii="Times New Roman" w:hAnsi="Times New Roman"/>
                <w:sz w:val="24"/>
                <w:szCs w:val="28"/>
              </w:rPr>
              <w:t>向前追溯3年）供应商或其法定代表人、拟委任的</w:t>
            </w:r>
            <w:r>
              <w:rPr>
                <w:rFonts w:hint="eastAsia" w:ascii="Times New Roman" w:hAnsi="Times New Roman"/>
                <w:sz w:val="24"/>
                <w:szCs w:val="28"/>
              </w:rPr>
              <w:t>项目负责人</w:t>
            </w:r>
            <w:r>
              <w:rPr>
                <w:rFonts w:ascii="Times New Roman" w:hAnsi="Times New Roman"/>
                <w:sz w:val="24"/>
                <w:szCs w:val="28"/>
              </w:rPr>
              <w:t>有行贿犯罪行为</w:t>
            </w:r>
          </w:p>
        </w:tc>
        <w:tc>
          <w:tcPr>
            <w:tcW w:w="4445" w:type="dxa"/>
            <w:noWrap/>
          </w:tcPr>
          <w:p>
            <w:pPr>
              <w:topLinePunct/>
              <w:spacing w:line="440" w:lineRule="exact"/>
              <w:rPr>
                <w:rFonts w:ascii="Times New Roman" w:hAnsi="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pPr>
              <w:topLinePunct/>
              <w:spacing w:line="440" w:lineRule="exact"/>
              <w:rPr>
                <w:rFonts w:ascii="Times New Roman" w:hAnsi="Times New Roman"/>
                <w:sz w:val="24"/>
                <w:szCs w:val="28"/>
              </w:rPr>
            </w:pPr>
            <w:r>
              <w:rPr>
                <w:rFonts w:hint="eastAsia" w:ascii="Times New Roman" w:hAnsi="Times New Roman"/>
                <w:sz w:val="24"/>
                <w:szCs w:val="28"/>
              </w:rPr>
              <w:t>……</w:t>
            </w:r>
          </w:p>
        </w:tc>
        <w:tc>
          <w:tcPr>
            <w:tcW w:w="4445" w:type="dxa"/>
            <w:noWrap/>
          </w:tcPr>
          <w:p>
            <w:pPr>
              <w:topLinePunct/>
              <w:spacing w:line="440" w:lineRule="exact"/>
              <w:rPr>
                <w:rFonts w:ascii="Times New Roman" w:hAnsi="Times New Roman"/>
                <w:bCs/>
                <w:szCs w:val="21"/>
              </w:rPr>
            </w:pPr>
          </w:p>
        </w:tc>
      </w:tr>
    </w:tbl>
    <w:p>
      <w:pPr>
        <w:spacing w:line="440" w:lineRule="exact"/>
        <w:jc w:val="left"/>
        <w:rPr>
          <w:rFonts w:ascii="Times New Roman" w:hAnsi="Times New Roman"/>
          <w:sz w:val="24"/>
        </w:rPr>
      </w:pPr>
      <w:r>
        <w:rPr>
          <w:rFonts w:ascii="Times New Roman" w:hAnsi="Times New Roman"/>
          <w:sz w:val="24"/>
        </w:rPr>
        <w:t>注：本表无需附证明材料。</w:t>
      </w:r>
    </w:p>
    <w:p>
      <w:pPr>
        <w:pStyle w:val="9"/>
        <w:jc w:val="right"/>
        <w:rPr>
          <w:rFonts w:ascii="Times New Roman" w:hAnsi="Times New Roman"/>
          <w:sz w:val="24"/>
        </w:rPr>
      </w:pPr>
    </w:p>
    <w:p>
      <w:pPr>
        <w:spacing w:line="440" w:lineRule="exact"/>
        <w:jc w:val="right"/>
        <w:rPr>
          <w:rFonts w:ascii="Times New Roman" w:hAnsi="Times New Roman"/>
          <w:sz w:val="24"/>
        </w:rPr>
      </w:pPr>
      <w:r>
        <w:rPr>
          <w:rFonts w:ascii="Times New Roman" w:hAnsi="Times New Roman"/>
          <w:sz w:val="24"/>
        </w:rPr>
        <w:t xml:space="preserve"> 供应商：(盖单位章)</w:t>
      </w:r>
    </w:p>
    <w:p>
      <w:pPr>
        <w:pStyle w:val="9"/>
        <w:jc w:val="right"/>
        <w:rPr>
          <w:u w:val="single"/>
        </w:rPr>
      </w:pPr>
      <w:r>
        <w:rPr>
          <w:rFonts w:ascii="Times New Roman" w:hAnsi="Times New Roman"/>
          <w:sz w:val="24"/>
        </w:rPr>
        <w:t>年 月</w:t>
      </w:r>
      <w:r>
        <w:rPr>
          <w:rFonts w:hint="eastAsia" w:ascii="Times New Roman" w:hAnsi="Times New Roman"/>
          <w:sz w:val="24"/>
          <w:lang w:val="en-US" w:eastAsia="zh-CN"/>
        </w:rPr>
        <w:t xml:space="preserve"> </w:t>
      </w:r>
      <w:r>
        <w:rPr>
          <w:rFonts w:ascii="Times New Roman" w:hAnsi="Times New Roman"/>
          <w:sz w:val="24"/>
        </w:rPr>
        <w:t>日</w:t>
      </w:r>
    </w:p>
    <w:p>
      <w:pPr>
        <w:pStyle w:val="9"/>
      </w:pPr>
    </w:p>
    <w:p>
      <w:pPr>
        <w:pStyle w:val="9"/>
        <w:spacing w:line="440" w:lineRule="exact"/>
        <w:rPr>
          <w:rFonts w:ascii="Times New Roman" w:hAnsi="Times New Roman"/>
          <w:sz w:val="24"/>
        </w:rPr>
      </w:pPr>
    </w:p>
    <w:p>
      <w:pPr>
        <w:spacing w:line="400" w:lineRule="atLeast"/>
        <w:jc w:val="center"/>
        <w:rPr>
          <w:rFonts w:ascii="Times New Roman" w:hAnsi="Times New Roman"/>
          <w:sz w:val="24"/>
        </w:rPr>
      </w:pPr>
      <w:r>
        <w:rPr>
          <w:rFonts w:ascii="Times New Roman" w:hAnsi="Times New Roman" w:eastAsia="黑体"/>
          <w:sz w:val="27"/>
          <w:szCs w:val="27"/>
        </w:rPr>
        <w:br w:type="page"/>
      </w:r>
    </w:p>
    <w:p>
      <w:pPr>
        <w:spacing w:line="440" w:lineRule="exact"/>
        <w:jc w:val="center"/>
        <w:rPr>
          <w:rFonts w:ascii="Times New Roman" w:hAnsi="Times New Roman" w:eastAsia="黑体"/>
          <w:sz w:val="28"/>
          <w:szCs w:val="28"/>
        </w:rPr>
      </w:pPr>
      <w:bookmarkStart w:id="258" w:name="_Toc24999_WPSOffice_Level1"/>
      <w:bookmarkStart w:id="259" w:name="_Toc2048_WPSOffice_Level1"/>
      <w:bookmarkStart w:id="260" w:name="_Toc23493_WPSOffice_Level1"/>
      <w:bookmarkStart w:id="261" w:name="_Toc1483_WPSOffice_Level1"/>
      <w:bookmarkStart w:id="262" w:name="_Toc31596_WPSOffice_Level1"/>
      <w:bookmarkStart w:id="263" w:name="_Toc29660_WPSOffice_Level1"/>
      <w:r>
        <w:rPr>
          <w:rFonts w:hint="eastAsia" w:ascii="Times New Roman" w:hAnsi="Times New Roman" w:eastAsia="黑体"/>
          <w:sz w:val="28"/>
          <w:szCs w:val="28"/>
        </w:rPr>
        <w:t>八</w:t>
      </w:r>
      <w:r>
        <w:rPr>
          <w:rFonts w:ascii="Times New Roman" w:hAnsi="Times New Roman" w:eastAsia="黑体"/>
          <w:sz w:val="28"/>
          <w:szCs w:val="28"/>
        </w:rPr>
        <w:t>、</w:t>
      </w:r>
      <w:bookmarkEnd w:id="258"/>
      <w:bookmarkEnd w:id="259"/>
      <w:bookmarkEnd w:id="260"/>
      <w:bookmarkEnd w:id="261"/>
      <w:r>
        <w:rPr>
          <w:rFonts w:hint="eastAsia" w:ascii="Times New Roman" w:hAnsi="Times New Roman" w:eastAsia="黑体"/>
          <w:sz w:val="28"/>
          <w:szCs w:val="28"/>
        </w:rPr>
        <w:t>技术方案</w:t>
      </w:r>
      <w:bookmarkEnd w:id="262"/>
      <w:bookmarkEnd w:id="263"/>
    </w:p>
    <w:p>
      <w:pPr>
        <w:spacing w:line="440" w:lineRule="exact"/>
        <w:rPr>
          <w:rFonts w:ascii="Times New Roman" w:hAnsi="Times New Roman" w:eastAsia="黑体"/>
          <w:sz w:val="20"/>
          <w:szCs w:val="20"/>
        </w:rPr>
      </w:pPr>
    </w:p>
    <w:p>
      <w:pPr>
        <w:spacing w:line="440" w:lineRule="exact"/>
        <w:ind w:firstLine="480" w:firstLineChars="200"/>
        <w:rPr>
          <w:rFonts w:ascii="Times New Roman" w:hAnsi="Times New Roman"/>
          <w:sz w:val="24"/>
        </w:rPr>
      </w:pPr>
      <w:r>
        <w:rPr>
          <w:rFonts w:ascii="Times New Roman" w:hAnsi="Times New Roman"/>
          <w:sz w:val="24"/>
        </w:rPr>
        <w:t>供应商应按</w:t>
      </w:r>
      <w:r>
        <w:rPr>
          <w:rFonts w:hint="eastAsia" w:ascii="Times New Roman" w:hAnsi="Times New Roman"/>
          <w:sz w:val="24"/>
        </w:rPr>
        <w:t>项目特点</w:t>
      </w:r>
      <w:r>
        <w:rPr>
          <w:rFonts w:ascii="Times New Roman" w:hAnsi="Times New Roman"/>
          <w:sz w:val="24"/>
        </w:rPr>
        <w:t>编制</w:t>
      </w:r>
      <w:r>
        <w:rPr>
          <w:rFonts w:hint="eastAsia" w:ascii="Times New Roman" w:hAnsi="Times New Roman"/>
          <w:sz w:val="24"/>
        </w:rPr>
        <w:t>技术方案</w:t>
      </w:r>
      <w:r>
        <w:rPr>
          <w:rFonts w:ascii="Times New Roman" w:hAnsi="Times New Roman"/>
          <w:sz w:val="24"/>
        </w:rPr>
        <w:t>(文字宜精炼、内容具有针对性)</w:t>
      </w:r>
      <w:r>
        <w:rPr>
          <w:rFonts w:hint="eastAsia" w:ascii="Times New Roman" w:hAnsi="Times New Roman"/>
          <w:sz w:val="24"/>
        </w:rPr>
        <w:t>。</w:t>
      </w:r>
    </w:p>
    <w:sectPr>
      <w:headerReference r:id="rId7" w:type="default"/>
      <w:footerReference r:id="rId8" w:type="default"/>
      <w:footnotePr>
        <w:numFmt w:val="decimalEnclosedCircleChinese"/>
      </w:footnotePr>
      <w:pgSz w:w="11906" w:h="16838"/>
      <w:pgMar w:top="1440" w:right="1797"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Calibri Light">
    <w:panose1 w:val="020F03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仿宋_GBK">
    <w:altName w:val="微软雅黑"/>
    <w:panose1 w:val="00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jc w:val="center"/>
    </w:pPr>
    <w:r>
      <w:pict>
        <v:shape id="_x0000_s1025" o:spid="_x0000_s102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4"/>
                  <w:ind w:firstLine="360"/>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w:r>
  </w:p>
  <w:p>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jc w:val="center"/>
    </w:pPr>
    <w:r>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p>
                <w:pPr>
                  <w:pStyle w:val="14"/>
                  <w:ind w:firstLine="360"/>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v:shape>
      </w:pict>
    </w:r>
  </w:p>
  <w:p>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pict>
        <v:shape id="_x0000_s1027" o:spid="_x0000_s1027"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jc w:val="center"/>
                </w:pPr>
                <w:r>
                  <w:fldChar w:fldCharType="begin"/>
                </w:r>
                <w:r>
                  <w:rPr>
                    <w:rStyle w:val="24"/>
                  </w:rPr>
                  <w:instrText xml:space="preserve"> PAGE </w:instrText>
                </w:r>
                <w:r>
                  <w:fldChar w:fldCharType="separate"/>
                </w:r>
                <w:r>
                  <w:rPr>
                    <w:rStyle w:val="24"/>
                  </w:rPr>
                  <w:t>23</w:t>
                </w:r>
                <w:r>
                  <w:fldChar w:fldCharType="end"/>
                </w:r>
              </w:p>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pict>
        <v:shape id="_x0000_s1028" o:spid="_x0000_s1028"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joinstyle="miter"/>
          <v:imagedata o:title=""/>
          <o:lock v:ext="edit"/>
          <v:textbox inset="0mm,0mm,0mm,0mm" style="mso-fit-shape-to-text:t;">
            <w:txbxContent>
              <w:p>
                <w:pPr>
                  <w:jc w:val="center"/>
                </w:pPr>
                <w:r>
                  <w:fldChar w:fldCharType="begin"/>
                </w:r>
                <w:r>
                  <w:rPr>
                    <w:rStyle w:val="24"/>
                  </w:rPr>
                  <w:instrText xml:space="preserve"> PAGE </w:instrText>
                </w:r>
                <w:r>
                  <w:fldChar w:fldCharType="separate"/>
                </w:r>
                <w:r>
                  <w:rPr>
                    <w:rStyle w:val="24"/>
                  </w:rPr>
                  <w:t>31</w:t>
                </w:r>
                <w:r>
                  <w:fldChar w:fldCharType="end"/>
                </w:r>
              </w:p>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w:pict>
        <v:shape id="_x0000_s1029" o:spid="_x0000_s1029"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14"/>
                  <w:ind w:firstLine="360"/>
                </w:pPr>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C01D7B5A"/>
    <w:multiLevelType w:val="singleLevel"/>
    <w:tmpl w:val="C01D7B5A"/>
    <w:lvl w:ilvl="0" w:tentative="0">
      <w:start w:val="2"/>
      <w:numFmt w:val="decimal"/>
      <w:suff w:val="nothing"/>
      <w:lvlText w:val="（%1）"/>
      <w:lvlJc w:val="left"/>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47F84552"/>
    <w:multiLevelType w:val="multilevel"/>
    <w:tmpl w:val="47F84552"/>
    <w:lvl w:ilvl="0" w:tentative="0">
      <w:start w:val="1"/>
      <w:numFmt w:val="decimal"/>
      <w:lvlText w:val="%1、"/>
      <w:lvlJc w:val="left"/>
      <w:pPr>
        <w:ind w:left="1080" w:hanging="450"/>
      </w:pPr>
      <w:rPr>
        <w:rFonts w:hint="default"/>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E0MDc5YWVhMzU2NTc3YjczMGYzYWZhNTQ3NGZkOTQifQ=="/>
  </w:docVars>
  <w:rsids>
    <w:rsidRoot w:val="00FC1A93"/>
    <w:rsid w:val="00092BE3"/>
    <w:rsid w:val="000B5DCB"/>
    <w:rsid w:val="000D633D"/>
    <w:rsid w:val="00122F8B"/>
    <w:rsid w:val="00126DE8"/>
    <w:rsid w:val="00163477"/>
    <w:rsid w:val="001659E6"/>
    <w:rsid w:val="00173769"/>
    <w:rsid w:val="00174EBB"/>
    <w:rsid w:val="001D34DD"/>
    <w:rsid w:val="001D4A8E"/>
    <w:rsid w:val="001F19D7"/>
    <w:rsid w:val="001F2422"/>
    <w:rsid w:val="00201AFA"/>
    <w:rsid w:val="002022BA"/>
    <w:rsid w:val="00210983"/>
    <w:rsid w:val="0021517B"/>
    <w:rsid w:val="00222D16"/>
    <w:rsid w:val="00243196"/>
    <w:rsid w:val="00257382"/>
    <w:rsid w:val="002824D8"/>
    <w:rsid w:val="00286930"/>
    <w:rsid w:val="002D385A"/>
    <w:rsid w:val="002F11A8"/>
    <w:rsid w:val="0031448D"/>
    <w:rsid w:val="003310A0"/>
    <w:rsid w:val="00354813"/>
    <w:rsid w:val="00381467"/>
    <w:rsid w:val="003829E7"/>
    <w:rsid w:val="003A5042"/>
    <w:rsid w:val="003C6A6E"/>
    <w:rsid w:val="003C769E"/>
    <w:rsid w:val="003E1134"/>
    <w:rsid w:val="003F35E7"/>
    <w:rsid w:val="00410A2B"/>
    <w:rsid w:val="00412AF4"/>
    <w:rsid w:val="00416C4E"/>
    <w:rsid w:val="00421C6E"/>
    <w:rsid w:val="00462282"/>
    <w:rsid w:val="00466F51"/>
    <w:rsid w:val="0048691F"/>
    <w:rsid w:val="004932B8"/>
    <w:rsid w:val="004A5E63"/>
    <w:rsid w:val="004B1681"/>
    <w:rsid w:val="004C188B"/>
    <w:rsid w:val="004C55C3"/>
    <w:rsid w:val="00512041"/>
    <w:rsid w:val="00541222"/>
    <w:rsid w:val="0057135E"/>
    <w:rsid w:val="005B1C62"/>
    <w:rsid w:val="005C3787"/>
    <w:rsid w:val="00607A3C"/>
    <w:rsid w:val="00620A2B"/>
    <w:rsid w:val="00632F58"/>
    <w:rsid w:val="00643FD7"/>
    <w:rsid w:val="006E71E8"/>
    <w:rsid w:val="00704AE9"/>
    <w:rsid w:val="007107C8"/>
    <w:rsid w:val="0071462D"/>
    <w:rsid w:val="00715B5E"/>
    <w:rsid w:val="00717F41"/>
    <w:rsid w:val="00750B1A"/>
    <w:rsid w:val="00774C23"/>
    <w:rsid w:val="007821A3"/>
    <w:rsid w:val="007959C5"/>
    <w:rsid w:val="007977CF"/>
    <w:rsid w:val="00797C47"/>
    <w:rsid w:val="007D6FC3"/>
    <w:rsid w:val="007E44EE"/>
    <w:rsid w:val="007F0E50"/>
    <w:rsid w:val="007F165D"/>
    <w:rsid w:val="007F1B2E"/>
    <w:rsid w:val="00824938"/>
    <w:rsid w:val="00895952"/>
    <w:rsid w:val="008A3DF5"/>
    <w:rsid w:val="008A3E11"/>
    <w:rsid w:val="008C34A8"/>
    <w:rsid w:val="008E7221"/>
    <w:rsid w:val="00900BFE"/>
    <w:rsid w:val="00956BD9"/>
    <w:rsid w:val="00960956"/>
    <w:rsid w:val="00993FA5"/>
    <w:rsid w:val="009A6A4F"/>
    <w:rsid w:val="009A79F9"/>
    <w:rsid w:val="009E5300"/>
    <w:rsid w:val="009F7B1D"/>
    <w:rsid w:val="00A22A54"/>
    <w:rsid w:val="00A346AA"/>
    <w:rsid w:val="00A359BB"/>
    <w:rsid w:val="00A371B0"/>
    <w:rsid w:val="00A55532"/>
    <w:rsid w:val="00A658E1"/>
    <w:rsid w:val="00A81D58"/>
    <w:rsid w:val="00A82B6F"/>
    <w:rsid w:val="00AD0752"/>
    <w:rsid w:val="00AE1115"/>
    <w:rsid w:val="00AE3DBC"/>
    <w:rsid w:val="00AF0DA2"/>
    <w:rsid w:val="00AF1547"/>
    <w:rsid w:val="00B018AE"/>
    <w:rsid w:val="00B03080"/>
    <w:rsid w:val="00B50DBE"/>
    <w:rsid w:val="00B56F3C"/>
    <w:rsid w:val="00B63C1C"/>
    <w:rsid w:val="00B82CC8"/>
    <w:rsid w:val="00BB0081"/>
    <w:rsid w:val="00BE555A"/>
    <w:rsid w:val="00C04C6E"/>
    <w:rsid w:val="00C97775"/>
    <w:rsid w:val="00CA2D28"/>
    <w:rsid w:val="00CD64D7"/>
    <w:rsid w:val="00CF32C4"/>
    <w:rsid w:val="00CF458B"/>
    <w:rsid w:val="00CF5F7D"/>
    <w:rsid w:val="00D10880"/>
    <w:rsid w:val="00D85076"/>
    <w:rsid w:val="00DA6D1C"/>
    <w:rsid w:val="00DC34BC"/>
    <w:rsid w:val="00DD0303"/>
    <w:rsid w:val="00E21C49"/>
    <w:rsid w:val="00E2732B"/>
    <w:rsid w:val="00E3302B"/>
    <w:rsid w:val="00E97065"/>
    <w:rsid w:val="00EA1BDF"/>
    <w:rsid w:val="00EB2E30"/>
    <w:rsid w:val="00F035CD"/>
    <w:rsid w:val="00F22D42"/>
    <w:rsid w:val="00F3148D"/>
    <w:rsid w:val="00F34567"/>
    <w:rsid w:val="00F43DE7"/>
    <w:rsid w:val="00F56C1E"/>
    <w:rsid w:val="00F6067C"/>
    <w:rsid w:val="00F77921"/>
    <w:rsid w:val="00F87436"/>
    <w:rsid w:val="00FA1044"/>
    <w:rsid w:val="00FB37A3"/>
    <w:rsid w:val="00FC1A93"/>
    <w:rsid w:val="00FD2626"/>
    <w:rsid w:val="01082DCE"/>
    <w:rsid w:val="01196377"/>
    <w:rsid w:val="011A27E6"/>
    <w:rsid w:val="011B4B0A"/>
    <w:rsid w:val="011D6ED0"/>
    <w:rsid w:val="013C7065"/>
    <w:rsid w:val="014D641B"/>
    <w:rsid w:val="01604B65"/>
    <w:rsid w:val="01631629"/>
    <w:rsid w:val="016A3995"/>
    <w:rsid w:val="01767A67"/>
    <w:rsid w:val="018B2605"/>
    <w:rsid w:val="01906BB6"/>
    <w:rsid w:val="019312E0"/>
    <w:rsid w:val="0195715E"/>
    <w:rsid w:val="019D2FC7"/>
    <w:rsid w:val="019E058F"/>
    <w:rsid w:val="01B82FCB"/>
    <w:rsid w:val="01BC5540"/>
    <w:rsid w:val="01E22FC9"/>
    <w:rsid w:val="01ED4448"/>
    <w:rsid w:val="02047B14"/>
    <w:rsid w:val="021A334D"/>
    <w:rsid w:val="02241CA7"/>
    <w:rsid w:val="022C0382"/>
    <w:rsid w:val="022D7E5C"/>
    <w:rsid w:val="02454DC6"/>
    <w:rsid w:val="02460711"/>
    <w:rsid w:val="024B086A"/>
    <w:rsid w:val="024C3FDE"/>
    <w:rsid w:val="025C2FF3"/>
    <w:rsid w:val="0260580C"/>
    <w:rsid w:val="026F50F7"/>
    <w:rsid w:val="0292228F"/>
    <w:rsid w:val="029D3473"/>
    <w:rsid w:val="02A843B9"/>
    <w:rsid w:val="02AF018D"/>
    <w:rsid w:val="02B17534"/>
    <w:rsid w:val="02C148EA"/>
    <w:rsid w:val="02F11F86"/>
    <w:rsid w:val="031402A0"/>
    <w:rsid w:val="03530EF0"/>
    <w:rsid w:val="03666726"/>
    <w:rsid w:val="036A6013"/>
    <w:rsid w:val="036B0042"/>
    <w:rsid w:val="03921536"/>
    <w:rsid w:val="03957CCA"/>
    <w:rsid w:val="03BA168E"/>
    <w:rsid w:val="03DE6BBF"/>
    <w:rsid w:val="03EA0F31"/>
    <w:rsid w:val="03EC548F"/>
    <w:rsid w:val="03FB6B06"/>
    <w:rsid w:val="03FE1FAC"/>
    <w:rsid w:val="04233E93"/>
    <w:rsid w:val="04266180"/>
    <w:rsid w:val="04295DA0"/>
    <w:rsid w:val="04352FAD"/>
    <w:rsid w:val="04533F12"/>
    <w:rsid w:val="046B7205"/>
    <w:rsid w:val="047B3AB4"/>
    <w:rsid w:val="047C0CFA"/>
    <w:rsid w:val="047C234D"/>
    <w:rsid w:val="048328A9"/>
    <w:rsid w:val="04A52713"/>
    <w:rsid w:val="04A61CAB"/>
    <w:rsid w:val="04B66E9B"/>
    <w:rsid w:val="04C82992"/>
    <w:rsid w:val="04DF02F5"/>
    <w:rsid w:val="04EA65EC"/>
    <w:rsid w:val="04F54297"/>
    <w:rsid w:val="04F76AAC"/>
    <w:rsid w:val="04F95D73"/>
    <w:rsid w:val="050022AA"/>
    <w:rsid w:val="05162632"/>
    <w:rsid w:val="05474D67"/>
    <w:rsid w:val="057351EA"/>
    <w:rsid w:val="059761EF"/>
    <w:rsid w:val="059F2433"/>
    <w:rsid w:val="05A12F8F"/>
    <w:rsid w:val="05B16949"/>
    <w:rsid w:val="05C614B1"/>
    <w:rsid w:val="05EC3DBF"/>
    <w:rsid w:val="05F90297"/>
    <w:rsid w:val="060C39DD"/>
    <w:rsid w:val="061006D5"/>
    <w:rsid w:val="06227012"/>
    <w:rsid w:val="06291D77"/>
    <w:rsid w:val="062929E2"/>
    <w:rsid w:val="064B1FD0"/>
    <w:rsid w:val="06510831"/>
    <w:rsid w:val="0655574A"/>
    <w:rsid w:val="066756C3"/>
    <w:rsid w:val="066E7995"/>
    <w:rsid w:val="0671119D"/>
    <w:rsid w:val="068C07A0"/>
    <w:rsid w:val="06976AC0"/>
    <w:rsid w:val="069C2279"/>
    <w:rsid w:val="06C75E0F"/>
    <w:rsid w:val="06CD2659"/>
    <w:rsid w:val="06D9617D"/>
    <w:rsid w:val="06E209B7"/>
    <w:rsid w:val="06EE5449"/>
    <w:rsid w:val="07133C6D"/>
    <w:rsid w:val="071D3AEF"/>
    <w:rsid w:val="071F775B"/>
    <w:rsid w:val="0725414F"/>
    <w:rsid w:val="073E4D0F"/>
    <w:rsid w:val="07914D92"/>
    <w:rsid w:val="07C93DD2"/>
    <w:rsid w:val="07D22829"/>
    <w:rsid w:val="07F10BD9"/>
    <w:rsid w:val="07F33261"/>
    <w:rsid w:val="07FB3039"/>
    <w:rsid w:val="07FC2047"/>
    <w:rsid w:val="080A4F8B"/>
    <w:rsid w:val="081D312D"/>
    <w:rsid w:val="08290DFC"/>
    <w:rsid w:val="082D031A"/>
    <w:rsid w:val="083227D0"/>
    <w:rsid w:val="083E61F6"/>
    <w:rsid w:val="08441F41"/>
    <w:rsid w:val="08662069"/>
    <w:rsid w:val="0871359F"/>
    <w:rsid w:val="08762289"/>
    <w:rsid w:val="088909C5"/>
    <w:rsid w:val="08A45B58"/>
    <w:rsid w:val="08A75E9F"/>
    <w:rsid w:val="08B51EFD"/>
    <w:rsid w:val="08C520FD"/>
    <w:rsid w:val="08C644EB"/>
    <w:rsid w:val="08CB31B1"/>
    <w:rsid w:val="08DE0702"/>
    <w:rsid w:val="08E36B16"/>
    <w:rsid w:val="08EB2A28"/>
    <w:rsid w:val="09033D88"/>
    <w:rsid w:val="091033C7"/>
    <w:rsid w:val="092454AE"/>
    <w:rsid w:val="094350D2"/>
    <w:rsid w:val="09520EC1"/>
    <w:rsid w:val="09522E65"/>
    <w:rsid w:val="096126C2"/>
    <w:rsid w:val="09904735"/>
    <w:rsid w:val="09A1577F"/>
    <w:rsid w:val="09B1743D"/>
    <w:rsid w:val="09BF3C5F"/>
    <w:rsid w:val="09EC3543"/>
    <w:rsid w:val="0A017749"/>
    <w:rsid w:val="0A27015B"/>
    <w:rsid w:val="0A31325F"/>
    <w:rsid w:val="0A433EA3"/>
    <w:rsid w:val="0A4C0A53"/>
    <w:rsid w:val="0A562E5C"/>
    <w:rsid w:val="0A595E3B"/>
    <w:rsid w:val="0A6D4428"/>
    <w:rsid w:val="0A70103F"/>
    <w:rsid w:val="0A830A8F"/>
    <w:rsid w:val="0AB1314A"/>
    <w:rsid w:val="0AB92708"/>
    <w:rsid w:val="0ADB488F"/>
    <w:rsid w:val="0ADF4740"/>
    <w:rsid w:val="0AF12517"/>
    <w:rsid w:val="0AF404CA"/>
    <w:rsid w:val="0B237F0C"/>
    <w:rsid w:val="0B25655D"/>
    <w:rsid w:val="0B372831"/>
    <w:rsid w:val="0B3B41A4"/>
    <w:rsid w:val="0B466158"/>
    <w:rsid w:val="0B765704"/>
    <w:rsid w:val="0B7D0BA2"/>
    <w:rsid w:val="0B831417"/>
    <w:rsid w:val="0B837613"/>
    <w:rsid w:val="0B976282"/>
    <w:rsid w:val="0BAA0921"/>
    <w:rsid w:val="0BAB4B61"/>
    <w:rsid w:val="0BBE3C8E"/>
    <w:rsid w:val="0BD75140"/>
    <w:rsid w:val="0BD821CA"/>
    <w:rsid w:val="0BE00F68"/>
    <w:rsid w:val="0BED0F30"/>
    <w:rsid w:val="0C0A4650"/>
    <w:rsid w:val="0C0F1D5C"/>
    <w:rsid w:val="0C122E87"/>
    <w:rsid w:val="0C142061"/>
    <w:rsid w:val="0C25115F"/>
    <w:rsid w:val="0C30164C"/>
    <w:rsid w:val="0C4909C1"/>
    <w:rsid w:val="0C54553C"/>
    <w:rsid w:val="0C6153DA"/>
    <w:rsid w:val="0C680BDD"/>
    <w:rsid w:val="0C715D36"/>
    <w:rsid w:val="0C72723E"/>
    <w:rsid w:val="0C8830F0"/>
    <w:rsid w:val="0C915D6B"/>
    <w:rsid w:val="0C9F0011"/>
    <w:rsid w:val="0CA8035A"/>
    <w:rsid w:val="0CAD361F"/>
    <w:rsid w:val="0CAD70A0"/>
    <w:rsid w:val="0CCA7A68"/>
    <w:rsid w:val="0CE45ABA"/>
    <w:rsid w:val="0CE55D2A"/>
    <w:rsid w:val="0CEA1161"/>
    <w:rsid w:val="0D0E1A16"/>
    <w:rsid w:val="0D10611A"/>
    <w:rsid w:val="0D204464"/>
    <w:rsid w:val="0D245D5D"/>
    <w:rsid w:val="0D2A5D78"/>
    <w:rsid w:val="0D4D2A59"/>
    <w:rsid w:val="0D643C93"/>
    <w:rsid w:val="0D840310"/>
    <w:rsid w:val="0D8F2ED2"/>
    <w:rsid w:val="0D935001"/>
    <w:rsid w:val="0DA75F7E"/>
    <w:rsid w:val="0DBA39FC"/>
    <w:rsid w:val="0DCE19B4"/>
    <w:rsid w:val="0E09088A"/>
    <w:rsid w:val="0E14052A"/>
    <w:rsid w:val="0E1B588D"/>
    <w:rsid w:val="0E265F28"/>
    <w:rsid w:val="0E2873E9"/>
    <w:rsid w:val="0E744B2D"/>
    <w:rsid w:val="0E8D05E0"/>
    <w:rsid w:val="0E9B3C63"/>
    <w:rsid w:val="0EAC5699"/>
    <w:rsid w:val="0EB4636E"/>
    <w:rsid w:val="0EB75DCA"/>
    <w:rsid w:val="0EC81177"/>
    <w:rsid w:val="0ED12EB4"/>
    <w:rsid w:val="0ED16605"/>
    <w:rsid w:val="0ED97B37"/>
    <w:rsid w:val="0EE3071C"/>
    <w:rsid w:val="0EED2DF2"/>
    <w:rsid w:val="0EF83DB8"/>
    <w:rsid w:val="0F401FA4"/>
    <w:rsid w:val="0F4F57E8"/>
    <w:rsid w:val="0F6C3B60"/>
    <w:rsid w:val="0F6F6315"/>
    <w:rsid w:val="0F7150A0"/>
    <w:rsid w:val="0F74541D"/>
    <w:rsid w:val="0F7A125F"/>
    <w:rsid w:val="0F825E34"/>
    <w:rsid w:val="0FB81B5B"/>
    <w:rsid w:val="0FD00E8A"/>
    <w:rsid w:val="0FE65A61"/>
    <w:rsid w:val="10090199"/>
    <w:rsid w:val="10337DDD"/>
    <w:rsid w:val="103656D1"/>
    <w:rsid w:val="103C7917"/>
    <w:rsid w:val="10564A8B"/>
    <w:rsid w:val="1058602D"/>
    <w:rsid w:val="10795C93"/>
    <w:rsid w:val="108B3AFA"/>
    <w:rsid w:val="10B15280"/>
    <w:rsid w:val="10CF164C"/>
    <w:rsid w:val="10D50461"/>
    <w:rsid w:val="10E24CD8"/>
    <w:rsid w:val="10F15163"/>
    <w:rsid w:val="10F26CDC"/>
    <w:rsid w:val="11163C77"/>
    <w:rsid w:val="11280B92"/>
    <w:rsid w:val="1139732F"/>
    <w:rsid w:val="114A7510"/>
    <w:rsid w:val="114C67B8"/>
    <w:rsid w:val="115A53BC"/>
    <w:rsid w:val="116479F0"/>
    <w:rsid w:val="11696085"/>
    <w:rsid w:val="117A2D8F"/>
    <w:rsid w:val="118E75B9"/>
    <w:rsid w:val="1194155A"/>
    <w:rsid w:val="119C1623"/>
    <w:rsid w:val="11AB3509"/>
    <w:rsid w:val="11B5299E"/>
    <w:rsid w:val="11E52624"/>
    <w:rsid w:val="11E8124D"/>
    <w:rsid w:val="11F70C69"/>
    <w:rsid w:val="11F9333E"/>
    <w:rsid w:val="11FE31AD"/>
    <w:rsid w:val="121466AA"/>
    <w:rsid w:val="122B6577"/>
    <w:rsid w:val="122B76A8"/>
    <w:rsid w:val="12343761"/>
    <w:rsid w:val="123756D1"/>
    <w:rsid w:val="123B7167"/>
    <w:rsid w:val="124E5F2C"/>
    <w:rsid w:val="12597E87"/>
    <w:rsid w:val="125B3739"/>
    <w:rsid w:val="126943EE"/>
    <w:rsid w:val="12865675"/>
    <w:rsid w:val="129A697A"/>
    <w:rsid w:val="12C6189A"/>
    <w:rsid w:val="12CE785B"/>
    <w:rsid w:val="12D16BCB"/>
    <w:rsid w:val="12DC2AAB"/>
    <w:rsid w:val="12E74E3F"/>
    <w:rsid w:val="12ED7F8F"/>
    <w:rsid w:val="12F04674"/>
    <w:rsid w:val="12FE1AE7"/>
    <w:rsid w:val="130C6CE3"/>
    <w:rsid w:val="13190BA4"/>
    <w:rsid w:val="13293F8A"/>
    <w:rsid w:val="132A5815"/>
    <w:rsid w:val="13356A71"/>
    <w:rsid w:val="134854F2"/>
    <w:rsid w:val="13594F2D"/>
    <w:rsid w:val="13714DE1"/>
    <w:rsid w:val="13A70B15"/>
    <w:rsid w:val="13B72E13"/>
    <w:rsid w:val="13BA32C6"/>
    <w:rsid w:val="13DE4A24"/>
    <w:rsid w:val="14003B68"/>
    <w:rsid w:val="14077165"/>
    <w:rsid w:val="140A4876"/>
    <w:rsid w:val="14231FAC"/>
    <w:rsid w:val="14264818"/>
    <w:rsid w:val="145378D4"/>
    <w:rsid w:val="1463315F"/>
    <w:rsid w:val="14664519"/>
    <w:rsid w:val="146F09C5"/>
    <w:rsid w:val="147441B4"/>
    <w:rsid w:val="14745B8C"/>
    <w:rsid w:val="14832530"/>
    <w:rsid w:val="14936D19"/>
    <w:rsid w:val="14F33B67"/>
    <w:rsid w:val="151E62FD"/>
    <w:rsid w:val="151F03B5"/>
    <w:rsid w:val="153A65BE"/>
    <w:rsid w:val="15422B45"/>
    <w:rsid w:val="156629A4"/>
    <w:rsid w:val="156A38D6"/>
    <w:rsid w:val="15772A45"/>
    <w:rsid w:val="1584295D"/>
    <w:rsid w:val="158735B1"/>
    <w:rsid w:val="15895244"/>
    <w:rsid w:val="159E013D"/>
    <w:rsid w:val="15BA0961"/>
    <w:rsid w:val="15BC6BCB"/>
    <w:rsid w:val="15D32868"/>
    <w:rsid w:val="15EE1192"/>
    <w:rsid w:val="15FD0081"/>
    <w:rsid w:val="161713B9"/>
    <w:rsid w:val="162117F2"/>
    <w:rsid w:val="163D38BD"/>
    <w:rsid w:val="164432FC"/>
    <w:rsid w:val="166867F9"/>
    <w:rsid w:val="16746A12"/>
    <w:rsid w:val="16763172"/>
    <w:rsid w:val="167E2633"/>
    <w:rsid w:val="168431DE"/>
    <w:rsid w:val="168C763B"/>
    <w:rsid w:val="1690501F"/>
    <w:rsid w:val="16B01790"/>
    <w:rsid w:val="16B22F9A"/>
    <w:rsid w:val="16D147CF"/>
    <w:rsid w:val="16DB2D50"/>
    <w:rsid w:val="16DE5569"/>
    <w:rsid w:val="16E8299C"/>
    <w:rsid w:val="16F40010"/>
    <w:rsid w:val="16FB1042"/>
    <w:rsid w:val="17096A52"/>
    <w:rsid w:val="170A608F"/>
    <w:rsid w:val="17176EC0"/>
    <w:rsid w:val="171A22E9"/>
    <w:rsid w:val="172F68A1"/>
    <w:rsid w:val="173213AE"/>
    <w:rsid w:val="1735048C"/>
    <w:rsid w:val="173C70F5"/>
    <w:rsid w:val="174206F3"/>
    <w:rsid w:val="17543035"/>
    <w:rsid w:val="1761165F"/>
    <w:rsid w:val="176B4C2E"/>
    <w:rsid w:val="17912DBB"/>
    <w:rsid w:val="179E2BB2"/>
    <w:rsid w:val="17A31E57"/>
    <w:rsid w:val="17A41A09"/>
    <w:rsid w:val="17BE7705"/>
    <w:rsid w:val="17DE1931"/>
    <w:rsid w:val="17E43CA4"/>
    <w:rsid w:val="1803234F"/>
    <w:rsid w:val="181F7B0D"/>
    <w:rsid w:val="183412E3"/>
    <w:rsid w:val="184D7361"/>
    <w:rsid w:val="18611ADF"/>
    <w:rsid w:val="18660D83"/>
    <w:rsid w:val="188F0361"/>
    <w:rsid w:val="18A34D8C"/>
    <w:rsid w:val="18AD0BE1"/>
    <w:rsid w:val="18B619A6"/>
    <w:rsid w:val="18BB43F9"/>
    <w:rsid w:val="18BB5C24"/>
    <w:rsid w:val="18BD2A66"/>
    <w:rsid w:val="18C13AC1"/>
    <w:rsid w:val="18D119EE"/>
    <w:rsid w:val="190524A1"/>
    <w:rsid w:val="19111C94"/>
    <w:rsid w:val="193809C2"/>
    <w:rsid w:val="194361A3"/>
    <w:rsid w:val="194E641E"/>
    <w:rsid w:val="19651738"/>
    <w:rsid w:val="198365E2"/>
    <w:rsid w:val="19976995"/>
    <w:rsid w:val="19B044DF"/>
    <w:rsid w:val="19C332D1"/>
    <w:rsid w:val="19FA5475"/>
    <w:rsid w:val="19FC6A1D"/>
    <w:rsid w:val="1A110767"/>
    <w:rsid w:val="1A1964F4"/>
    <w:rsid w:val="1A576AE8"/>
    <w:rsid w:val="1A613F40"/>
    <w:rsid w:val="1A6450AE"/>
    <w:rsid w:val="1A6F3D1D"/>
    <w:rsid w:val="1A742AE7"/>
    <w:rsid w:val="1A851E5E"/>
    <w:rsid w:val="1A976D8E"/>
    <w:rsid w:val="1A9A00BD"/>
    <w:rsid w:val="1A9F3526"/>
    <w:rsid w:val="1AB60854"/>
    <w:rsid w:val="1AB62259"/>
    <w:rsid w:val="1ADB5923"/>
    <w:rsid w:val="1ADF24BC"/>
    <w:rsid w:val="1AFB2F34"/>
    <w:rsid w:val="1B111758"/>
    <w:rsid w:val="1B142E41"/>
    <w:rsid w:val="1B1C4A6C"/>
    <w:rsid w:val="1B1F0131"/>
    <w:rsid w:val="1B2372F3"/>
    <w:rsid w:val="1B257E0D"/>
    <w:rsid w:val="1B2709C3"/>
    <w:rsid w:val="1B2C2EBB"/>
    <w:rsid w:val="1B300A8F"/>
    <w:rsid w:val="1B3028D7"/>
    <w:rsid w:val="1B344A57"/>
    <w:rsid w:val="1B364075"/>
    <w:rsid w:val="1B387860"/>
    <w:rsid w:val="1B5A266B"/>
    <w:rsid w:val="1B6603B7"/>
    <w:rsid w:val="1B6F3157"/>
    <w:rsid w:val="1B745152"/>
    <w:rsid w:val="1B763A15"/>
    <w:rsid w:val="1B941FF2"/>
    <w:rsid w:val="1BB019DC"/>
    <w:rsid w:val="1BB91E00"/>
    <w:rsid w:val="1BC0329E"/>
    <w:rsid w:val="1BC863D0"/>
    <w:rsid w:val="1BD827B7"/>
    <w:rsid w:val="1BEF1A51"/>
    <w:rsid w:val="1C01157A"/>
    <w:rsid w:val="1C337FF5"/>
    <w:rsid w:val="1C3B4532"/>
    <w:rsid w:val="1C3F63C6"/>
    <w:rsid w:val="1C495A9B"/>
    <w:rsid w:val="1C4A4F18"/>
    <w:rsid w:val="1C4C62F2"/>
    <w:rsid w:val="1C6063BC"/>
    <w:rsid w:val="1C677760"/>
    <w:rsid w:val="1C8342C9"/>
    <w:rsid w:val="1C835541"/>
    <w:rsid w:val="1CA63F16"/>
    <w:rsid w:val="1CB63D17"/>
    <w:rsid w:val="1CBE15B8"/>
    <w:rsid w:val="1CC70AAE"/>
    <w:rsid w:val="1CF93C71"/>
    <w:rsid w:val="1CF97B60"/>
    <w:rsid w:val="1D030883"/>
    <w:rsid w:val="1D1D75F2"/>
    <w:rsid w:val="1D330136"/>
    <w:rsid w:val="1D5039A9"/>
    <w:rsid w:val="1D670B14"/>
    <w:rsid w:val="1D924EB5"/>
    <w:rsid w:val="1D9F65B1"/>
    <w:rsid w:val="1DA002EB"/>
    <w:rsid w:val="1DD7785D"/>
    <w:rsid w:val="1DE0242C"/>
    <w:rsid w:val="1DE02E8C"/>
    <w:rsid w:val="1DFB418B"/>
    <w:rsid w:val="1E061D8D"/>
    <w:rsid w:val="1E1510B3"/>
    <w:rsid w:val="1E1B06D7"/>
    <w:rsid w:val="1E1D003B"/>
    <w:rsid w:val="1E2A636A"/>
    <w:rsid w:val="1E2B5895"/>
    <w:rsid w:val="1E3F71AC"/>
    <w:rsid w:val="1E407FC7"/>
    <w:rsid w:val="1E484768"/>
    <w:rsid w:val="1E4946FB"/>
    <w:rsid w:val="1E4A65BA"/>
    <w:rsid w:val="1E506677"/>
    <w:rsid w:val="1E5A2DA3"/>
    <w:rsid w:val="1E611165"/>
    <w:rsid w:val="1E6C6427"/>
    <w:rsid w:val="1E7646AA"/>
    <w:rsid w:val="1E965D04"/>
    <w:rsid w:val="1EA26379"/>
    <w:rsid w:val="1EC13239"/>
    <w:rsid w:val="1ED352F2"/>
    <w:rsid w:val="1ED920BE"/>
    <w:rsid w:val="1EF25530"/>
    <w:rsid w:val="1EF7470E"/>
    <w:rsid w:val="1F05265B"/>
    <w:rsid w:val="1F073AFB"/>
    <w:rsid w:val="1F0E2E4B"/>
    <w:rsid w:val="1F1068A9"/>
    <w:rsid w:val="1F11207D"/>
    <w:rsid w:val="1F1D16D5"/>
    <w:rsid w:val="1F3309E4"/>
    <w:rsid w:val="1F3C6344"/>
    <w:rsid w:val="1F5435CA"/>
    <w:rsid w:val="1F546D45"/>
    <w:rsid w:val="1F6A639E"/>
    <w:rsid w:val="1F8132C8"/>
    <w:rsid w:val="1FA02744"/>
    <w:rsid w:val="1FAC011C"/>
    <w:rsid w:val="1FC24714"/>
    <w:rsid w:val="1FCC3990"/>
    <w:rsid w:val="1FFD71DA"/>
    <w:rsid w:val="200C298F"/>
    <w:rsid w:val="201C54FE"/>
    <w:rsid w:val="202A4D90"/>
    <w:rsid w:val="20435529"/>
    <w:rsid w:val="20517E69"/>
    <w:rsid w:val="20530F08"/>
    <w:rsid w:val="2066350B"/>
    <w:rsid w:val="208701DC"/>
    <w:rsid w:val="20942936"/>
    <w:rsid w:val="20AD1511"/>
    <w:rsid w:val="20AE71CD"/>
    <w:rsid w:val="20C75587"/>
    <w:rsid w:val="20DD7EA1"/>
    <w:rsid w:val="20EC6F0D"/>
    <w:rsid w:val="20EF3849"/>
    <w:rsid w:val="21114D59"/>
    <w:rsid w:val="212707FC"/>
    <w:rsid w:val="216D73A5"/>
    <w:rsid w:val="2181475C"/>
    <w:rsid w:val="218D6398"/>
    <w:rsid w:val="21C614F6"/>
    <w:rsid w:val="21D57E5D"/>
    <w:rsid w:val="220B38D3"/>
    <w:rsid w:val="220F27AB"/>
    <w:rsid w:val="223029AE"/>
    <w:rsid w:val="22441B96"/>
    <w:rsid w:val="224B1241"/>
    <w:rsid w:val="22565E31"/>
    <w:rsid w:val="22623FCE"/>
    <w:rsid w:val="226C24D9"/>
    <w:rsid w:val="227540C8"/>
    <w:rsid w:val="22C438D9"/>
    <w:rsid w:val="22C90127"/>
    <w:rsid w:val="22D008F7"/>
    <w:rsid w:val="22D42D6B"/>
    <w:rsid w:val="22DF5D82"/>
    <w:rsid w:val="22E9418C"/>
    <w:rsid w:val="22FD581D"/>
    <w:rsid w:val="231A6446"/>
    <w:rsid w:val="23200D04"/>
    <w:rsid w:val="23252F62"/>
    <w:rsid w:val="2329015A"/>
    <w:rsid w:val="233D41F6"/>
    <w:rsid w:val="233E1D9D"/>
    <w:rsid w:val="23471C6C"/>
    <w:rsid w:val="235A23F9"/>
    <w:rsid w:val="23690BF3"/>
    <w:rsid w:val="238A746E"/>
    <w:rsid w:val="23A70DB3"/>
    <w:rsid w:val="23D003FB"/>
    <w:rsid w:val="23E06FF0"/>
    <w:rsid w:val="23F26B67"/>
    <w:rsid w:val="24321DFA"/>
    <w:rsid w:val="24530C8F"/>
    <w:rsid w:val="24636547"/>
    <w:rsid w:val="2470600F"/>
    <w:rsid w:val="24717D47"/>
    <w:rsid w:val="249C788A"/>
    <w:rsid w:val="24B82B32"/>
    <w:rsid w:val="24BB6D5B"/>
    <w:rsid w:val="24DC6375"/>
    <w:rsid w:val="24F755BB"/>
    <w:rsid w:val="24FA5375"/>
    <w:rsid w:val="250A1A7D"/>
    <w:rsid w:val="25167458"/>
    <w:rsid w:val="251E581D"/>
    <w:rsid w:val="252A368C"/>
    <w:rsid w:val="25306483"/>
    <w:rsid w:val="253317B8"/>
    <w:rsid w:val="2537641D"/>
    <w:rsid w:val="253C3EF7"/>
    <w:rsid w:val="2558795E"/>
    <w:rsid w:val="255E089E"/>
    <w:rsid w:val="257F5882"/>
    <w:rsid w:val="25987884"/>
    <w:rsid w:val="25BF330D"/>
    <w:rsid w:val="25C27A7C"/>
    <w:rsid w:val="25C76039"/>
    <w:rsid w:val="25CC175F"/>
    <w:rsid w:val="25E31DB1"/>
    <w:rsid w:val="25F341F9"/>
    <w:rsid w:val="25FD4EFD"/>
    <w:rsid w:val="2603678D"/>
    <w:rsid w:val="26050C41"/>
    <w:rsid w:val="261A0D6A"/>
    <w:rsid w:val="263F4733"/>
    <w:rsid w:val="264826D8"/>
    <w:rsid w:val="26486C62"/>
    <w:rsid w:val="26581526"/>
    <w:rsid w:val="26845C6C"/>
    <w:rsid w:val="26873841"/>
    <w:rsid w:val="269408C3"/>
    <w:rsid w:val="26A244E0"/>
    <w:rsid w:val="26AF5A72"/>
    <w:rsid w:val="26BE55EA"/>
    <w:rsid w:val="26C35476"/>
    <w:rsid w:val="26C762DB"/>
    <w:rsid w:val="26DC20E5"/>
    <w:rsid w:val="26F97745"/>
    <w:rsid w:val="270E3585"/>
    <w:rsid w:val="274B353E"/>
    <w:rsid w:val="27524FD4"/>
    <w:rsid w:val="275319F4"/>
    <w:rsid w:val="27613BAA"/>
    <w:rsid w:val="276A2C20"/>
    <w:rsid w:val="276E6872"/>
    <w:rsid w:val="278E3101"/>
    <w:rsid w:val="27941CFF"/>
    <w:rsid w:val="27A458E7"/>
    <w:rsid w:val="27BC1DF8"/>
    <w:rsid w:val="28076074"/>
    <w:rsid w:val="280D4614"/>
    <w:rsid w:val="281846D4"/>
    <w:rsid w:val="282F78FD"/>
    <w:rsid w:val="28436F61"/>
    <w:rsid w:val="286A2391"/>
    <w:rsid w:val="28724132"/>
    <w:rsid w:val="287B59F6"/>
    <w:rsid w:val="28847D06"/>
    <w:rsid w:val="288F48FB"/>
    <w:rsid w:val="28974169"/>
    <w:rsid w:val="28AC0ECF"/>
    <w:rsid w:val="28AE2264"/>
    <w:rsid w:val="28BE57FD"/>
    <w:rsid w:val="28C01F1D"/>
    <w:rsid w:val="28C14CAA"/>
    <w:rsid w:val="28D35487"/>
    <w:rsid w:val="28EB33ED"/>
    <w:rsid w:val="29001D45"/>
    <w:rsid w:val="290D0C20"/>
    <w:rsid w:val="29154A5F"/>
    <w:rsid w:val="29162105"/>
    <w:rsid w:val="291D6CFF"/>
    <w:rsid w:val="291E564E"/>
    <w:rsid w:val="29454998"/>
    <w:rsid w:val="29741CFA"/>
    <w:rsid w:val="297C2E49"/>
    <w:rsid w:val="29941624"/>
    <w:rsid w:val="299554BA"/>
    <w:rsid w:val="29956056"/>
    <w:rsid w:val="29AA3C23"/>
    <w:rsid w:val="29BF59D6"/>
    <w:rsid w:val="29C53546"/>
    <w:rsid w:val="29C941A2"/>
    <w:rsid w:val="29EB49C9"/>
    <w:rsid w:val="29EF3FB8"/>
    <w:rsid w:val="29F12286"/>
    <w:rsid w:val="29FB2966"/>
    <w:rsid w:val="2A1D7695"/>
    <w:rsid w:val="2A291720"/>
    <w:rsid w:val="2A2B2E5B"/>
    <w:rsid w:val="2A37472F"/>
    <w:rsid w:val="2A3A63BF"/>
    <w:rsid w:val="2A411009"/>
    <w:rsid w:val="2A48150B"/>
    <w:rsid w:val="2A4C0A1A"/>
    <w:rsid w:val="2A4C6A3D"/>
    <w:rsid w:val="2A633D38"/>
    <w:rsid w:val="2A655AFF"/>
    <w:rsid w:val="2A715DEA"/>
    <w:rsid w:val="2A97631D"/>
    <w:rsid w:val="2AB4054B"/>
    <w:rsid w:val="2AB843C9"/>
    <w:rsid w:val="2AD307BD"/>
    <w:rsid w:val="2AEA4C38"/>
    <w:rsid w:val="2AFE46B0"/>
    <w:rsid w:val="2B073FBC"/>
    <w:rsid w:val="2B0C18DB"/>
    <w:rsid w:val="2B14398C"/>
    <w:rsid w:val="2B22095A"/>
    <w:rsid w:val="2B392180"/>
    <w:rsid w:val="2B3C1D66"/>
    <w:rsid w:val="2B3E28EB"/>
    <w:rsid w:val="2B430D79"/>
    <w:rsid w:val="2B6E1F63"/>
    <w:rsid w:val="2B9215B2"/>
    <w:rsid w:val="2BA42C24"/>
    <w:rsid w:val="2BB623FD"/>
    <w:rsid w:val="2BC566C7"/>
    <w:rsid w:val="2BC81736"/>
    <w:rsid w:val="2BE3479D"/>
    <w:rsid w:val="2BFB3F34"/>
    <w:rsid w:val="2C0E0D00"/>
    <w:rsid w:val="2C19133D"/>
    <w:rsid w:val="2C1A1B3D"/>
    <w:rsid w:val="2C221397"/>
    <w:rsid w:val="2C5A142C"/>
    <w:rsid w:val="2C81653D"/>
    <w:rsid w:val="2CB9247E"/>
    <w:rsid w:val="2CF42A2C"/>
    <w:rsid w:val="2D1547AA"/>
    <w:rsid w:val="2D1C0C8B"/>
    <w:rsid w:val="2D500625"/>
    <w:rsid w:val="2D511CF8"/>
    <w:rsid w:val="2D8748E9"/>
    <w:rsid w:val="2D8A262B"/>
    <w:rsid w:val="2D8E5DB3"/>
    <w:rsid w:val="2D9C231F"/>
    <w:rsid w:val="2D9D235F"/>
    <w:rsid w:val="2D9F3C27"/>
    <w:rsid w:val="2DAB019F"/>
    <w:rsid w:val="2DB15F1B"/>
    <w:rsid w:val="2DE44B7D"/>
    <w:rsid w:val="2DE85A59"/>
    <w:rsid w:val="2E00515D"/>
    <w:rsid w:val="2E153C96"/>
    <w:rsid w:val="2E1D043E"/>
    <w:rsid w:val="2E2C3CC9"/>
    <w:rsid w:val="2E2D39B2"/>
    <w:rsid w:val="2E3944DD"/>
    <w:rsid w:val="2E524DAC"/>
    <w:rsid w:val="2E553313"/>
    <w:rsid w:val="2E6C4C6B"/>
    <w:rsid w:val="2E760F81"/>
    <w:rsid w:val="2E7A64DB"/>
    <w:rsid w:val="2E7F0E45"/>
    <w:rsid w:val="2E816717"/>
    <w:rsid w:val="2EB774D0"/>
    <w:rsid w:val="2ED62883"/>
    <w:rsid w:val="2EE04406"/>
    <w:rsid w:val="2EE461BC"/>
    <w:rsid w:val="2EE642AD"/>
    <w:rsid w:val="2F05447E"/>
    <w:rsid w:val="2F3F6D21"/>
    <w:rsid w:val="2F427B64"/>
    <w:rsid w:val="2F671CE5"/>
    <w:rsid w:val="2F7A7771"/>
    <w:rsid w:val="2F8E7570"/>
    <w:rsid w:val="2FA70B41"/>
    <w:rsid w:val="2FAE780E"/>
    <w:rsid w:val="2FEA61C6"/>
    <w:rsid w:val="2FF46A33"/>
    <w:rsid w:val="30164ACC"/>
    <w:rsid w:val="301746AE"/>
    <w:rsid w:val="301A510E"/>
    <w:rsid w:val="30446691"/>
    <w:rsid w:val="30536DA5"/>
    <w:rsid w:val="30555F0B"/>
    <w:rsid w:val="305B18F9"/>
    <w:rsid w:val="306675DB"/>
    <w:rsid w:val="306F4A5C"/>
    <w:rsid w:val="30704F1E"/>
    <w:rsid w:val="30751371"/>
    <w:rsid w:val="30B74EB9"/>
    <w:rsid w:val="30EA2FCA"/>
    <w:rsid w:val="31130579"/>
    <w:rsid w:val="31150AF7"/>
    <w:rsid w:val="312977F5"/>
    <w:rsid w:val="3140510D"/>
    <w:rsid w:val="31490B16"/>
    <w:rsid w:val="31500AF0"/>
    <w:rsid w:val="315D724F"/>
    <w:rsid w:val="31606BA9"/>
    <w:rsid w:val="317B5137"/>
    <w:rsid w:val="31B173FD"/>
    <w:rsid w:val="31B535AF"/>
    <w:rsid w:val="31EA44FA"/>
    <w:rsid w:val="31F304A6"/>
    <w:rsid w:val="32091243"/>
    <w:rsid w:val="32294765"/>
    <w:rsid w:val="3276317E"/>
    <w:rsid w:val="327E7CD9"/>
    <w:rsid w:val="32B56E69"/>
    <w:rsid w:val="32F445A5"/>
    <w:rsid w:val="32FC5FC6"/>
    <w:rsid w:val="330F4401"/>
    <w:rsid w:val="331E1E02"/>
    <w:rsid w:val="33353215"/>
    <w:rsid w:val="33435036"/>
    <w:rsid w:val="33472431"/>
    <w:rsid w:val="335D7B29"/>
    <w:rsid w:val="336B0B61"/>
    <w:rsid w:val="337B4743"/>
    <w:rsid w:val="338C3ABE"/>
    <w:rsid w:val="33A867A1"/>
    <w:rsid w:val="33BE0CB2"/>
    <w:rsid w:val="33C02706"/>
    <w:rsid w:val="33D21CA6"/>
    <w:rsid w:val="33F133C2"/>
    <w:rsid w:val="33F943AC"/>
    <w:rsid w:val="341548E7"/>
    <w:rsid w:val="34251F8E"/>
    <w:rsid w:val="345A7961"/>
    <w:rsid w:val="347A05C3"/>
    <w:rsid w:val="347E5080"/>
    <w:rsid w:val="348D4D75"/>
    <w:rsid w:val="34902CE5"/>
    <w:rsid w:val="34965FFC"/>
    <w:rsid w:val="349E0792"/>
    <w:rsid w:val="34B475AD"/>
    <w:rsid w:val="34C1398D"/>
    <w:rsid w:val="34D33C1F"/>
    <w:rsid w:val="34DB71D0"/>
    <w:rsid w:val="34E077DE"/>
    <w:rsid w:val="34EB3FFA"/>
    <w:rsid w:val="351911D3"/>
    <w:rsid w:val="351C58FB"/>
    <w:rsid w:val="35493147"/>
    <w:rsid w:val="35572F42"/>
    <w:rsid w:val="35597C68"/>
    <w:rsid w:val="35680A2A"/>
    <w:rsid w:val="35682CA4"/>
    <w:rsid w:val="356E5C0E"/>
    <w:rsid w:val="357375C4"/>
    <w:rsid w:val="357A743D"/>
    <w:rsid w:val="358B52B4"/>
    <w:rsid w:val="35990A65"/>
    <w:rsid w:val="359D6299"/>
    <w:rsid w:val="35A6171B"/>
    <w:rsid w:val="35A82F5F"/>
    <w:rsid w:val="35B603F5"/>
    <w:rsid w:val="35CC2089"/>
    <w:rsid w:val="35EF1F65"/>
    <w:rsid w:val="35EF4E9F"/>
    <w:rsid w:val="36011B96"/>
    <w:rsid w:val="360D3064"/>
    <w:rsid w:val="3652616D"/>
    <w:rsid w:val="366046B9"/>
    <w:rsid w:val="366135C0"/>
    <w:rsid w:val="366A5627"/>
    <w:rsid w:val="36710AA2"/>
    <w:rsid w:val="36AC26B2"/>
    <w:rsid w:val="36C81B5B"/>
    <w:rsid w:val="36CA4796"/>
    <w:rsid w:val="36D305E5"/>
    <w:rsid w:val="36EA7FF2"/>
    <w:rsid w:val="37017235"/>
    <w:rsid w:val="373D169F"/>
    <w:rsid w:val="374E143A"/>
    <w:rsid w:val="375145A6"/>
    <w:rsid w:val="37522485"/>
    <w:rsid w:val="37613C52"/>
    <w:rsid w:val="376F2885"/>
    <w:rsid w:val="377835C6"/>
    <w:rsid w:val="37C11509"/>
    <w:rsid w:val="37DD1744"/>
    <w:rsid w:val="37F25243"/>
    <w:rsid w:val="380255AF"/>
    <w:rsid w:val="38333626"/>
    <w:rsid w:val="384E441A"/>
    <w:rsid w:val="38506C2F"/>
    <w:rsid w:val="38803B23"/>
    <w:rsid w:val="38877CF7"/>
    <w:rsid w:val="38961914"/>
    <w:rsid w:val="38AA3B82"/>
    <w:rsid w:val="38AF3010"/>
    <w:rsid w:val="38D822E9"/>
    <w:rsid w:val="38DD6A3B"/>
    <w:rsid w:val="38E03474"/>
    <w:rsid w:val="38E2286A"/>
    <w:rsid w:val="38E32D4B"/>
    <w:rsid w:val="38E94228"/>
    <w:rsid w:val="39051B96"/>
    <w:rsid w:val="39090EB2"/>
    <w:rsid w:val="390A09B4"/>
    <w:rsid w:val="390B2C76"/>
    <w:rsid w:val="391644FB"/>
    <w:rsid w:val="39257351"/>
    <w:rsid w:val="392E030F"/>
    <w:rsid w:val="392F0F3D"/>
    <w:rsid w:val="39322F95"/>
    <w:rsid w:val="39430A5E"/>
    <w:rsid w:val="39602F23"/>
    <w:rsid w:val="396B58C4"/>
    <w:rsid w:val="397B0BB4"/>
    <w:rsid w:val="399B3376"/>
    <w:rsid w:val="39A64195"/>
    <w:rsid w:val="39AF1465"/>
    <w:rsid w:val="39C04E20"/>
    <w:rsid w:val="39CA3463"/>
    <w:rsid w:val="39CF6662"/>
    <w:rsid w:val="39E80849"/>
    <w:rsid w:val="39F2252B"/>
    <w:rsid w:val="3A0E5A41"/>
    <w:rsid w:val="3A2175BE"/>
    <w:rsid w:val="3A2436D1"/>
    <w:rsid w:val="3A2A7F00"/>
    <w:rsid w:val="3A593D19"/>
    <w:rsid w:val="3A6A27D7"/>
    <w:rsid w:val="3ABC09E4"/>
    <w:rsid w:val="3AC407C9"/>
    <w:rsid w:val="3ADD1A06"/>
    <w:rsid w:val="3AF06CC1"/>
    <w:rsid w:val="3B183E18"/>
    <w:rsid w:val="3B215631"/>
    <w:rsid w:val="3B2D6711"/>
    <w:rsid w:val="3B51309B"/>
    <w:rsid w:val="3B8339DC"/>
    <w:rsid w:val="3B850E7A"/>
    <w:rsid w:val="3B883403"/>
    <w:rsid w:val="3B954F85"/>
    <w:rsid w:val="3B9C0E95"/>
    <w:rsid w:val="3B9F54F4"/>
    <w:rsid w:val="3BA96A60"/>
    <w:rsid w:val="3BBD0AD4"/>
    <w:rsid w:val="3BDE4EBF"/>
    <w:rsid w:val="3BFE5D03"/>
    <w:rsid w:val="3C0248C3"/>
    <w:rsid w:val="3C072215"/>
    <w:rsid w:val="3C167592"/>
    <w:rsid w:val="3C170EB9"/>
    <w:rsid w:val="3C250799"/>
    <w:rsid w:val="3C276162"/>
    <w:rsid w:val="3C2B1BD6"/>
    <w:rsid w:val="3C2C17DF"/>
    <w:rsid w:val="3C396A58"/>
    <w:rsid w:val="3C663D83"/>
    <w:rsid w:val="3C714A0F"/>
    <w:rsid w:val="3C762FBC"/>
    <w:rsid w:val="3C9108DC"/>
    <w:rsid w:val="3CA427D7"/>
    <w:rsid w:val="3CA431D4"/>
    <w:rsid w:val="3CA86B29"/>
    <w:rsid w:val="3CAC710F"/>
    <w:rsid w:val="3CBD03A6"/>
    <w:rsid w:val="3CDC27C9"/>
    <w:rsid w:val="3CE068D8"/>
    <w:rsid w:val="3CF21AEE"/>
    <w:rsid w:val="3D0A22D5"/>
    <w:rsid w:val="3D0B5F2D"/>
    <w:rsid w:val="3D114B5C"/>
    <w:rsid w:val="3D193B16"/>
    <w:rsid w:val="3D3F2810"/>
    <w:rsid w:val="3D484D37"/>
    <w:rsid w:val="3D495DF7"/>
    <w:rsid w:val="3D851633"/>
    <w:rsid w:val="3D875BB8"/>
    <w:rsid w:val="3DBF1661"/>
    <w:rsid w:val="3E051FCE"/>
    <w:rsid w:val="3E1756B6"/>
    <w:rsid w:val="3E1920C0"/>
    <w:rsid w:val="3E2048C2"/>
    <w:rsid w:val="3E28471D"/>
    <w:rsid w:val="3E352534"/>
    <w:rsid w:val="3E42659A"/>
    <w:rsid w:val="3E4C632F"/>
    <w:rsid w:val="3E5E3BF8"/>
    <w:rsid w:val="3E5F70CE"/>
    <w:rsid w:val="3E610DA9"/>
    <w:rsid w:val="3E645172"/>
    <w:rsid w:val="3E701062"/>
    <w:rsid w:val="3E77442B"/>
    <w:rsid w:val="3E90381A"/>
    <w:rsid w:val="3EAC39B4"/>
    <w:rsid w:val="3EC11BF7"/>
    <w:rsid w:val="3EF169DA"/>
    <w:rsid w:val="3EF93089"/>
    <w:rsid w:val="3F0E4239"/>
    <w:rsid w:val="3F127531"/>
    <w:rsid w:val="3F207BB8"/>
    <w:rsid w:val="3F2B4E96"/>
    <w:rsid w:val="3F3A7BF4"/>
    <w:rsid w:val="3F507482"/>
    <w:rsid w:val="3F5661ED"/>
    <w:rsid w:val="3F5C181E"/>
    <w:rsid w:val="3F6263C0"/>
    <w:rsid w:val="3F700303"/>
    <w:rsid w:val="3F755AF4"/>
    <w:rsid w:val="3F7A035D"/>
    <w:rsid w:val="3F7A4AAC"/>
    <w:rsid w:val="3F7F2AED"/>
    <w:rsid w:val="3F8568C6"/>
    <w:rsid w:val="3F895D56"/>
    <w:rsid w:val="3FAF7F99"/>
    <w:rsid w:val="3FBE325D"/>
    <w:rsid w:val="3FC24EFB"/>
    <w:rsid w:val="3FC42D5D"/>
    <w:rsid w:val="3FC470DF"/>
    <w:rsid w:val="3FCC6181"/>
    <w:rsid w:val="3FCF37A1"/>
    <w:rsid w:val="3FDD44BD"/>
    <w:rsid w:val="3FEE70B9"/>
    <w:rsid w:val="400910C5"/>
    <w:rsid w:val="4016105A"/>
    <w:rsid w:val="40507088"/>
    <w:rsid w:val="40511B29"/>
    <w:rsid w:val="40525CFA"/>
    <w:rsid w:val="405666DE"/>
    <w:rsid w:val="405A164D"/>
    <w:rsid w:val="405A2653"/>
    <w:rsid w:val="40622EEA"/>
    <w:rsid w:val="40727C41"/>
    <w:rsid w:val="407D09B4"/>
    <w:rsid w:val="40892F96"/>
    <w:rsid w:val="408E1F25"/>
    <w:rsid w:val="409D774F"/>
    <w:rsid w:val="40A22DA0"/>
    <w:rsid w:val="40A354E5"/>
    <w:rsid w:val="40B03322"/>
    <w:rsid w:val="40C444B5"/>
    <w:rsid w:val="4109777D"/>
    <w:rsid w:val="411F6223"/>
    <w:rsid w:val="41390C96"/>
    <w:rsid w:val="413B683F"/>
    <w:rsid w:val="41466C95"/>
    <w:rsid w:val="414B6987"/>
    <w:rsid w:val="4158647C"/>
    <w:rsid w:val="416B0B98"/>
    <w:rsid w:val="4175321B"/>
    <w:rsid w:val="418F78FA"/>
    <w:rsid w:val="4195768D"/>
    <w:rsid w:val="41A605D0"/>
    <w:rsid w:val="41CA3305"/>
    <w:rsid w:val="41CC6A6E"/>
    <w:rsid w:val="41D46746"/>
    <w:rsid w:val="41E00614"/>
    <w:rsid w:val="41E50241"/>
    <w:rsid w:val="41ED6B4B"/>
    <w:rsid w:val="42065175"/>
    <w:rsid w:val="42203DE5"/>
    <w:rsid w:val="423339AE"/>
    <w:rsid w:val="42400071"/>
    <w:rsid w:val="42623E1B"/>
    <w:rsid w:val="42702AE2"/>
    <w:rsid w:val="427A3AB6"/>
    <w:rsid w:val="427B2568"/>
    <w:rsid w:val="427B6090"/>
    <w:rsid w:val="428A5209"/>
    <w:rsid w:val="42A32E9D"/>
    <w:rsid w:val="42A37451"/>
    <w:rsid w:val="42AA632B"/>
    <w:rsid w:val="42AE7F37"/>
    <w:rsid w:val="42B9327D"/>
    <w:rsid w:val="42CC28E0"/>
    <w:rsid w:val="43037BB1"/>
    <w:rsid w:val="4308583C"/>
    <w:rsid w:val="43111CE1"/>
    <w:rsid w:val="433E40E3"/>
    <w:rsid w:val="434C25F0"/>
    <w:rsid w:val="434D4AE8"/>
    <w:rsid w:val="43512BF1"/>
    <w:rsid w:val="435448CE"/>
    <w:rsid w:val="43572820"/>
    <w:rsid w:val="43633FF9"/>
    <w:rsid w:val="436B0A40"/>
    <w:rsid w:val="43715519"/>
    <w:rsid w:val="437B5074"/>
    <w:rsid w:val="437E400B"/>
    <w:rsid w:val="43993698"/>
    <w:rsid w:val="43B31196"/>
    <w:rsid w:val="43BB720C"/>
    <w:rsid w:val="43BC335F"/>
    <w:rsid w:val="43C92B32"/>
    <w:rsid w:val="43EB7ACC"/>
    <w:rsid w:val="43FC1AB4"/>
    <w:rsid w:val="442A1993"/>
    <w:rsid w:val="442F4C28"/>
    <w:rsid w:val="44402F95"/>
    <w:rsid w:val="447D407D"/>
    <w:rsid w:val="448A0E5D"/>
    <w:rsid w:val="449D45F7"/>
    <w:rsid w:val="44A435AA"/>
    <w:rsid w:val="44A872EC"/>
    <w:rsid w:val="44A91136"/>
    <w:rsid w:val="44C07EB7"/>
    <w:rsid w:val="44C41CD0"/>
    <w:rsid w:val="44EB55BF"/>
    <w:rsid w:val="4516216D"/>
    <w:rsid w:val="451F0B3D"/>
    <w:rsid w:val="452A57C8"/>
    <w:rsid w:val="452D2698"/>
    <w:rsid w:val="454E3658"/>
    <w:rsid w:val="4570054D"/>
    <w:rsid w:val="45836B41"/>
    <w:rsid w:val="45BA3A93"/>
    <w:rsid w:val="45D32B9D"/>
    <w:rsid w:val="45D51F09"/>
    <w:rsid w:val="45E335B5"/>
    <w:rsid w:val="46072FDC"/>
    <w:rsid w:val="460B44C8"/>
    <w:rsid w:val="46136A51"/>
    <w:rsid w:val="46144FA7"/>
    <w:rsid w:val="461F3C01"/>
    <w:rsid w:val="462D4AD7"/>
    <w:rsid w:val="463E6D3E"/>
    <w:rsid w:val="46566AA9"/>
    <w:rsid w:val="46661558"/>
    <w:rsid w:val="466A3548"/>
    <w:rsid w:val="466C4AED"/>
    <w:rsid w:val="46967F5B"/>
    <w:rsid w:val="46B05B1F"/>
    <w:rsid w:val="46B20001"/>
    <w:rsid w:val="46B35E11"/>
    <w:rsid w:val="46BA27BC"/>
    <w:rsid w:val="46BC6770"/>
    <w:rsid w:val="46BF2C2D"/>
    <w:rsid w:val="46CF7E90"/>
    <w:rsid w:val="46D13DB8"/>
    <w:rsid w:val="47240834"/>
    <w:rsid w:val="47372465"/>
    <w:rsid w:val="47546CCD"/>
    <w:rsid w:val="475567CD"/>
    <w:rsid w:val="475B3DA3"/>
    <w:rsid w:val="478039D4"/>
    <w:rsid w:val="479E642E"/>
    <w:rsid w:val="47A20A59"/>
    <w:rsid w:val="47B5458F"/>
    <w:rsid w:val="47C1238D"/>
    <w:rsid w:val="47CB0AA5"/>
    <w:rsid w:val="47E246F7"/>
    <w:rsid w:val="47E76F91"/>
    <w:rsid w:val="47FF0DAF"/>
    <w:rsid w:val="48030380"/>
    <w:rsid w:val="48185A6B"/>
    <w:rsid w:val="48273A4D"/>
    <w:rsid w:val="483F2C13"/>
    <w:rsid w:val="48490C72"/>
    <w:rsid w:val="484A471E"/>
    <w:rsid w:val="485162E7"/>
    <w:rsid w:val="48560B58"/>
    <w:rsid w:val="48615205"/>
    <w:rsid w:val="486B3599"/>
    <w:rsid w:val="486F3FB1"/>
    <w:rsid w:val="487452ED"/>
    <w:rsid w:val="48936FC5"/>
    <w:rsid w:val="489414DE"/>
    <w:rsid w:val="48A61185"/>
    <w:rsid w:val="48BC2E38"/>
    <w:rsid w:val="48C34DDE"/>
    <w:rsid w:val="48D17B15"/>
    <w:rsid w:val="48F814A8"/>
    <w:rsid w:val="491171A1"/>
    <w:rsid w:val="4927647B"/>
    <w:rsid w:val="492C5797"/>
    <w:rsid w:val="495013A9"/>
    <w:rsid w:val="495F48E7"/>
    <w:rsid w:val="49804F41"/>
    <w:rsid w:val="499C2D6D"/>
    <w:rsid w:val="49B96530"/>
    <w:rsid w:val="49BF7880"/>
    <w:rsid w:val="49C82B49"/>
    <w:rsid w:val="49D56C49"/>
    <w:rsid w:val="49D855C7"/>
    <w:rsid w:val="49EC4258"/>
    <w:rsid w:val="49F80512"/>
    <w:rsid w:val="4A21436D"/>
    <w:rsid w:val="4A263F01"/>
    <w:rsid w:val="4A4658CB"/>
    <w:rsid w:val="4A4C1CC9"/>
    <w:rsid w:val="4A7F1D52"/>
    <w:rsid w:val="4A854E3F"/>
    <w:rsid w:val="4AAB146E"/>
    <w:rsid w:val="4AED724C"/>
    <w:rsid w:val="4AF850BA"/>
    <w:rsid w:val="4AFB4F34"/>
    <w:rsid w:val="4B130467"/>
    <w:rsid w:val="4B1338CC"/>
    <w:rsid w:val="4B172B12"/>
    <w:rsid w:val="4B262EBA"/>
    <w:rsid w:val="4B3F1EC7"/>
    <w:rsid w:val="4B531F8D"/>
    <w:rsid w:val="4B662E8B"/>
    <w:rsid w:val="4B82772E"/>
    <w:rsid w:val="4B8D450C"/>
    <w:rsid w:val="4B943B21"/>
    <w:rsid w:val="4BAB096B"/>
    <w:rsid w:val="4BAF7E06"/>
    <w:rsid w:val="4BBB3716"/>
    <w:rsid w:val="4BD46636"/>
    <w:rsid w:val="4BEE45CB"/>
    <w:rsid w:val="4C082496"/>
    <w:rsid w:val="4C08678F"/>
    <w:rsid w:val="4C1B5AC4"/>
    <w:rsid w:val="4C396B73"/>
    <w:rsid w:val="4C426781"/>
    <w:rsid w:val="4C4C5496"/>
    <w:rsid w:val="4C6A1CEF"/>
    <w:rsid w:val="4C6C3432"/>
    <w:rsid w:val="4C755449"/>
    <w:rsid w:val="4C854697"/>
    <w:rsid w:val="4C8C21FB"/>
    <w:rsid w:val="4C907331"/>
    <w:rsid w:val="4C9D08B4"/>
    <w:rsid w:val="4CA66198"/>
    <w:rsid w:val="4CAA102F"/>
    <w:rsid w:val="4CB14655"/>
    <w:rsid w:val="4CB33E17"/>
    <w:rsid w:val="4CC80B92"/>
    <w:rsid w:val="4CC92C3A"/>
    <w:rsid w:val="4CE01489"/>
    <w:rsid w:val="4CEB74B6"/>
    <w:rsid w:val="4CF50A59"/>
    <w:rsid w:val="4CF8202F"/>
    <w:rsid w:val="4CFD4AAA"/>
    <w:rsid w:val="4D182801"/>
    <w:rsid w:val="4D1836FB"/>
    <w:rsid w:val="4D533AAF"/>
    <w:rsid w:val="4D79073E"/>
    <w:rsid w:val="4D7B0185"/>
    <w:rsid w:val="4D9E34B9"/>
    <w:rsid w:val="4DAC7F99"/>
    <w:rsid w:val="4DBF6851"/>
    <w:rsid w:val="4DC90683"/>
    <w:rsid w:val="4DC94ACF"/>
    <w:rsid w:val="4DD67F46"/>
    <w:rsid w:val="4DE047C5"/>
    <w:rsid w:val="4DE54991"/>
    <w:rsid w:val="4DF05258"/>
    <w:rsid w:val="4E252D2A"/>
    <w:rsid w:val="4E3F795C"/>
    <w:rsid w:val="4E40707C"/>
    <w:rsid w:val="4E42373A"/>
    <w:rsid w:val="4E507D99"/>
    <w:rsid w:val="4E866E0A"/>
    <w:rsid w:val="4E8D2056"/>
    <w:rsid w:val="4E9712DA"/>
    <w:rsid w:val="4EBB286E"/>
    <w:rsid w:val="4ED21F42"/>
    <w:rsid w:val="4EE07940"/>
    <w:rsid w:val="4EF647A8"/>
    <w:rsid w:val="4F093E78"/>
    <w:rsid w:val="4F1D2082"/>
    <w:rsid w:val="4F1E444B"/>
    <w:rsid w:val="4F280A7B"/>
    <w:rsid w:val="4F2B223C"/>
    <w:rsid w:val="4F2C416E"/>
    <w:rsid w:val="4F3B0396"/>
    <w:rsid w:val="4F4D0E89"/>
    <w:rsid w:val="4F5464CE"/>
    <w:rsid w:val="4F55307E"/>
    <w:rsid w:val="4F602B90"/>
    <w:rsid w:val="4F6F5219"/>
    <w:rsid w:val="4F8E4B27"/>
    <w:rsid w:val="4F907AA4"/>
    <w:rsid w:val="4FA60918"/>
    <w:rsid w:val="4FB476B5"/>
    <w:rsid w:val="4FBC4BF4"/>
    <w:rsid w:val="4FD65B1E"/>
    <w:rsid w:val="50051405"/>
    <w:rsid w:val="500832F8"/>
    <w:rsid w:val="501136F0"/>
    <w:rsid w:val="502256AD"/>
    <w:rsid w:val="504215FA"/>
    <w:rsid w:val="50451DB7"/>
    <w:rsid w:val="504B791D"/>
    <w:rsid w:val="50501952"/>
    <w:rsid w:val="508F60CA"/>
    <w:rsid w:val="50981162"/>
    <w:rsid w:val="50BC7B28"/>
    <w:rsid w:val="50C06385"/>
    <w:rsid w:val="50CE6418"/>
    <w:rsid w:val="50D40BCA"/>
    <w:rsid w:val="50D70E9D"/>
    <w:rsid w:val="50F35D93"/>
    <w:rsid w:val="50FA44CD"/>
    <w:rsid w:val="510036F5"/>
    <w:rsid w:val="5105303B"/>
    <w:rsid w:val="51114085"/>
    <w:rsid w:val="511216F1"/>
    <w:rsid w:val="512A1CE3"/>
    <w:rsid w:val="514516F1"/>
    <w:rsid w:val="51545650"/>
    <w:rsid w:val="516E7D73"/>
    <w:rsid w:val="5180209A"/>
    <w:rsid w:val="51897721"/>
    <w:rsid w:val="519667AD"/>
    <w:rsid w:val="51973EE4"/>
    <w:rsid w:val="51A84D41"/>
    <w:rsid w:val="51AA2482"/>
    <w:rsid w:val="51B1317F"/>
    <w:rsid w:val="51B82B60"/>
    <w:rsid w:val="51C23429"/>
    <w:rsid w:val="51DB1E92"/>
    <w:rsid w:val="51E14E39"/>
    <w:rsid w:val="51ED757F"/>
    <w:rsid w:val="52150A7D"/>
    <w:rsid w:val="522E0F28"/>
    <w:rsid w:val="52414306"/>
    <w:rsid w:val="52457AEB"/>
    <w:rsid w:val="52564EE5"/>
    <w:rsid w:val="52666F95"/>
    <w:rsid w:val="526763FB"/>
    <w:rsid w:val="526D2AE2"/>
    <w:rsid w:val="52741EC2"/>
    <w:rsid w:val="52E1213E"/>
    <w:rsid w:val="53336AAE"/>
    <w:rsid w:val="533A136C"/>
    <w:rsid w:val="53480B19"/>
    <w:rsid w:val="5355264E"/>
    <w:rsid w:val="535F2BBA"/>
    <w:rsid w:val="537C67BA"/>
    <w:rsid w:val="53AF337A"/>
    <w:rsid w:val="53B26284"/>
    <w:rsid w:val="53B759F4"/>
    <w:rsid w:val="53B82303"/>
    <w:rsid w:val="53D225A4"/>
    <w:rsid w:val="53DF4479"/>
    <w:rsid w:val="54157C9B"/>
    <w:rsid w:val="54186AD3"/>
    <w:rsid w:val="54371F77"/>
    <w:rsid w:val="543B112A"/>
    <w:rsid w:val="544A4D29"/>
    <w:rsid w:val="54547B86"/>
    <w:rsid w:val="545E0121"/>
    <w:rsid w:val="546A3396"/>
    <w:rsid w:val="54760B52"/>
    <w:rsid w:val="5481317B"/>
    <w:rsid w:val="5494027A"/>
    <w:rsid w:val="54A21918"/>
    <w:rsid w:val="54AA76FF"/>
    <w:rsid w:val="54B92F65"/>
    <w:rsid w:val="54DA00AC"/>
    <w:rsid w:val="54DE5937"/>
    <w:rsid w:val="54E05AE9"/>
    <w:rsid w:val="54E82ECC"/>
    <w:rsid w:val="54FB3C17"/>
    <w:rsid w:val="55220DA5"/>
    <w:rsid w:val="5527238A"/>
    <w:rsid w:val="55272CCA"/>
    <w:rsid w:val="552B579B"/>
    <w:rsid w:val="55487F01"/>
    <w:rsid w:val="555C6E60"/>
    <w:rsid w:val="556B7BE3"/>
    <w:rsid w:val="556E398A"/>
    <w:rsid w:val="558114B8"/>
    <w:rsid w:val="55813D78"/>
    <w:rsid w:val="55910F8E"/>
    <w:rsid w:val="55AB500F"/>
    <w:rsid w:val="55B256C0"/>
    <w:rsid w:val="55C73811"/>
    <w:rsid w:val="55DF79E5"/>
    <w:rsid w:val="55E4027B"/>
    <w:rsid w:val="5608544B"/>
    <w:rsid w:val="5611384C"/>
    <w:rsid w:val="561B28DD"/>
    <w:rsid w:val="561D05FE"/>
    <w:rsid w:val="5635520A"/>
    <w:rsid w:val="564846E1"/>
    <w:rsid w:val="566056C5"/>
    <w:rsid w:val="56641FF0"/>
    <w:rsid w:val="566C0CDE"/>
    <w:rsid w:val="567F34E2"/>
    <w:rsid w:val="56840D14"/>
    <w:rsid w:val="568868CC"/>
    <w:rsid w:val="56933527"/>
    <w:rsid w:val="56994311"/>
    <w:rsid w:val="569B0A3B"/>
    <w:rsid w:val="569C4AD4"/>
    <w:rsid w:val="56A90562"/>
    <w:rsid w:val="56AD325A"/>
    <w:rsid w:val="56AD47B1"/>
    <w:rsid w:val="56B913AD"/>
    <w:rsid w:val="56DA0859"/>
    <w:rsid w:val="56DC35DD"/>
    <w:rsid w:val="56E17318"/>
    <w:rsid w:val="56FD590E"/>
    <w:rsid w:val="56FE257B"/>
    <w:rsid w:val="57036880"/>
    <w:rsid w:val="572B37BA"/>
    <w:rsid w:val="57305E26"/>
    <w:rsid w:val="57314C5A"/>
    <w:rsid w:val="574A5794"/>
    <w:rsid w:val="575A261C"/>
    <w:rsid w:val="57A20E6B"/>
    <w:rsid w:val="57A6426A"/>
    <w:rsid w:val="57E01724"/>
    <w:rsid w:val="57F307C1"/>
    <w:rsid w:val="57FA2BAA"/>
    <w:rsid w:val="57FA43F1"/>
    <w:rsid w:val="580162E5"/>
    <w:rsid w:val="58041F34"/>
    <w:rsid w:val="5815497A"/>
    <w:rsid w:val="581C6799"/>
    <w:rsid w:val="58327181"/>
    <w:rsid w:val="585D149C"/>
    <w:rsid w:val="586621B6"/>
    <w:rsid w:val="589C683B"/>
    <w:rsid w:val="58B9588A"/>
    <w:rsid w:val="58C14572"/>
    <w:rsid w:val="58C73AD7"/>
    <w:rsid w:val="58DA2920"/>
    <w:rsid w:val="58F020A3"/>
    <w:rsid w:val="58FB332B"/>
    <w:rsid w:val="59540A82"/>
    <w:rsid w:val="59594578"/>
    <w:rsid w:val="59631729"/>
    <w:rsid w:val="598A7A09"/>
    <w:rsid w:val="59B33075"/>
    <w:rsid w:val="59B63D96"/>
    <w:rsid w:val="59C13ED2"/>
    <w:rsid w:val="59E6253A"/>
    <w:rsid w:val="59E7033F"/>
    <w:rsid w:val="59E8544B"/>
    <w:rsid w:val="5A0354F7"/>
    <w:rsid w:val="5A1E5359"/>
    <w:rsid w:val="5A291824"/>
    <w:rsid w:val="5A344ECC"/>
    <w:rsid w:val="5A390B46"/>
    <w:rsid w:val="5A446AAF"/>
    <w:rsid w:val="5A492723"/>
    <w:rsid w:val="5A5D74BC"/>
    <w:rsid w:val="5A7C5C8F"/>
    <w:rsid w:val="5A90403D"/>
    <w:rsid w:val="5A9D71ED"/>
    <w:rsid w:val="5AA2571A"/>
    <w:rsid w:val="5AB04EDE"/>
    <w:rsid w:val="5ABD5B1C"/>
    <w:rsid w:val="5AC64C86"/>
    <w:rsid w:val="5ACF4A76"/>
    <w:rsid w:val="5AD51064"/>
    <w:rsid w:val="5ADE295C"/>
    <w:rsid w:val="5AEB0C39"/>
    <w:rsid w:val="5AF8170C"/>
    <w:rsid w:val="5B05555C"/>
    <w:rsid w:val="5B110237"/>
    <w:rsid w:val="5B1649CC"/>
    <w:rsid w:val="5B244DD8"/>
    <w:rsid w:val="5B2717CA"/>
    <w:rsid w:val="5B295890"/>
    <w:rsid w:val="5B2E4556"/>
    <w:rsid w:val="5B3879B9"/>
    <w:rsid w:val="5B436EF0"/>
    <w:rsid w:val="5B4D2B80"/>
    <w:rsid w:val="5B550806"/>
    <w:rsid w:val="5B893F6C"/>
    <w:rsid w:val="5B9F1B41"/>
    <w:rsid w:val="5BA37F28"/>
    <w:rsid w:val="5BAE24A8"/>
    <w:rsid w:val="5BB117B1"/>
    <w:rsid w:val="5BBB115B"/>
    <w:rsid w:val="5BC51BF0"/>
    <w:rsid w:val="5BCF26D8"/>
    <w:rsid w:val="5C0B7CEE"/>
    <w:rsid w:val="5C44015E"/>
    <w:rsid w:val="5C4D41F0"/>
    <w:rsid w:val="5C554BC5"/>
    <w:rsid w:val="5C6043D4"/>
    <w:rsid w:val="5C7D3D43"/>
    <w:rsid w:val="5C882C4F"/>
    <w:rsid w:val="5C8962BA"/>
    <w:rsid w:val="5CA70B0A"/>
    <w:rsid w:val="5CBD523A"/>
    <w:rsid w:val="5CC20CC0"/>
    <w:rsid w:val="5CCD31A9"/>
    <w:rsid w:val="5CD2475E"/>
    <w:rsid w:val="5CF86CAE"/>
    <w:rsid w:val="5D0B3776"/>
    <w:rsid w:val="5D443020"/>
    <w:rsid w:val="5D47572E"/>
    <w:rsid w:val="5D485FD5"/>
    <w:rsid w:val="5D487E79"/>
    <w:rsid w:val="5D516A2D"/>
    <w:rsid w:val="5D65410C"/>
    <w:rsid w:val="5D6C5E39"/>
    <w:rsid w:val="5D71281A"/>
    <w:rsid w:val="5D7D662C"/>
    <w:rsid w:val="5D954FBB"/>
    <w:rsid w:val="5DE847B7"/>
    <w:rsid w:val="5E0779FA"/>
    <w:rsid w:val="5E1D5BB1"/>
    <w:rsid w:val="5E1D5F77"/>
    <w:rsid w:val="5E234035"/>
    <w:rsid w:val="5E2911D4"/>
    <w:rsid w:val="5E4F7B9F"/>
    <w:rsid w:val="5E5D1A5A"/>
    <w:rsid w:val="5E751A3D"/>
    <w:rsid w:val="5E7762CF"/>
    <w:rsid w:val="5E8460C1"/>
    <w:rsid w:val="5EBF574D"/>
    <w:rsid w:val="5EC9135A"/>
    <w:rsid w:val="5ED14E5B"/>
    <w:rsid w:val="5EF04B7B"/>
    <w:rsid w:val="5EFA6DED"/>
    <w:rsid w:val="5EFF3DE0"/>
    <w:rsid w:val="5F007B24"/>
    <w:rsid w:val="5F106EAF"/>
    <w:rsid w:val="5F283CA5"/>
    <w:rsid w:val="5F305F32"/>
    <w:rsid w:val="5F425A26"/>
    <w:rsid w:val="5F4E3CB5"/>
    <w:rsid w:val="5F7D1E64"/>
    <w:rsid w:val="5F9374D0"/>
    <w:rsid w:val="5FDA48B5"/>
    <w:rsid w:val="5FE25384"/>
    <w:rsid w:val="5FE875BC"/>
    <w:rsid w:val="60671E65"/>
    <w:rsid w:val="607562A7"/>
    <w:rsid w:val="608664A5"/>
    <w:rsid w:val="608C7B28"/>
    <w:rsid w:val="608F41F2"/>
    <w:rsid w:val="609E6925"/>
    <w:rsid w:val="60BA77CD"/>
    <w:rsid w:val="60C63F24"/>
    <w:rsid w:val="60CA2B58"/>
    <w:rsid w:val="60E73E36"/>
    <w:rsid w:val="60F80C2F"/>
    <w:rsid w:val="613468C2"/>
    <w:rsid w:val="613A48D5"/>
    <w:rsid w:val="61487E7F"/>
    <w:rsid w:val="614C4BCD"/>
    <w:rsid w:val="614F6149"/>
    <w:rsid w:val="61572E4F"/>
    <w:rsid w:val="615D1AF9"/>
    <w:rsid w:val="616128EC"/>
    <w:rsid w:val="616720C6"/>
    <w:rsid w:val="61725619"/>
    <w:rsid w:val="617E294F"/>
    <w:rsid w:val="618649E8"/>
    <w:rsid w:val="619104F5"/>
    <w:rsid w:val="61AB7C65"/>
    <w:rsid w:val="61C3512C"/>
    <w:rsid w:val="61DB7979"/>
    <w:rsid w:val="62073433"/>
    <w:rsid w:val="620B3059"/>
    <w:rsid w:val="620D753C"/>
    <w:rsid w:val="62181D46"/>
    <w:rsid w:val="626B7791"/>
    <w:rsid w:val="62721747"/>
    <w:rsid w:val="628762A4"/>
    <w:rsid w:val="628C2933"/>
    <w:rsid w:val="628C4312"/>
    <w:rsid w:val="62AB1D8D"/>
    <w:rsid w:val="62C42917"/>
    <w:rsid w:val="62D9309F"/>
    <w:rsid w:val="62DE5A92"/>
    <w:rsid w:val="62E73481"/>
    <w:rsid w:val="62ED42C9"/>
    <w:rsid w:val="62F0419C"/>
    <w:rsid w:val="62FA55D0"/>
    <w:rsid w:val="631A7E52"/>
    <w:rsid w:val="63234C0F"/>
    <w:rsid w:val="634B4DB7"/>
    <w:rsid w:val="634C01CF"/>
    <w:rsid w:val="635665B8"/>
    <w:rsid w:val="63696264"/>
    <w:rsid w:val="637A72AA"/>
    <w:rsid w:val="63A83A82"/>
    <w:rsid w:val="63CB3622"/>
    <w:rsid w:val="63D600F2"/>
    <w:rsid w:val="63E31E9D"/>
    <w:rsid w:val="640434E5"/>
    <w:rsid w:val="64185C22"/>
    <w:rsid w:val="643B275E"/>
    <w:rsid w:val="64411A38"/>
    <w:rsid w:val="64587275"/>
    <w:rsid w:val="646A5BED"/>
    <w:rsid w:val="64C4485F"/>
    <w:rsid w:val="64DA076B"/>
    <w:rsid w:val="64E36924"/>
    <w:rsid w:val="64E9112D"/>
    <w:rsid w:val="65014155"/>
    <w:rsid w:val="65142B38"/>
    <w:rsid w:val="6520621E"/>
    <w:rsid w:val="653D68E6"/>
    <w:rsid w:val="65630AA9"/>
    <w:rsid w:val="656A3683"/>
    <w:rsid w:val="656A7144"/>
    <w:rsid w:val="657B048C"/>
    <w:rsid w:val="657F70B1"/>
    <w:rsid w:val="65865107"/>
    <w:rsid w:val="659242EE"/>
    <w:rsid w:val="65B0069A"/>
    <w:rsid w:val="65B61ED7"/>
    <w:rsid w:val="65E9533F"/>
    <w:rsid w:val="65F76683"/>
    <w:rsid w:val="65F93869"/>
    <w:rsid w:val="660B2971"/>
    <w:rsid w:val="660B5D8E"/>
    <w:rsid w:val="66224F9D"/>
    <w:rsid w:val="6632531C"/>
    <w:rsid w:val="667237CD"/>
    <w:rsid w:val="66794A10"/>
    <w:rsid w:val="66953E2E"/>
    <w:rsid w:val="669F7CBA"/>
    <w:rsid w:val="66AE39AD"/>
    <w:rsid w:val="66B00768"/>
    <w:rsid w:val="66BB0B84"/>
    <w:rsid w:val="66FB73E6"/>
    <w:rsid w:val="670A4B9E"/>
    <w:rsid w:val="67171C12"/>
    <w:rsid w:val="671C012D"/>
    <w:rsid w:val="672E507D"/>
    <w:rsid w:val="673936D7"/>
    <w:rsid w:val="67517AFA"/>
    <w:rsid w:val="67805AAD"/>
    <w:rsid w:val="679850C1"/>
    <w:rsid w:val="679A2E90"/>
    <w:rsid w:val="67AB1B26"/>
    <w:rsid w:val="67AF11C7"/>
    <w:rsid w:val="67B265D1"/>
    <w:rsid w:val="67B30E44"/>
    <w:rsid w:val="67C23B71"/>
    <w:rsid w:val="67C501C3"/>
    <w:rsid w:val="67E55296"/>
    <w:rsid w:val="67E87F7F"/>
    <w:rsid w:val="68080A2F"/>
    <w:rsid w:val="681E7CFD"/>
    <w:rsid w:val="68221B5F"/>
    <w:rsid w:val="682633F9"/>
    <w:rsid w:val="68270406"/>
    <w:rsid w:val="68273145"/>
    <w:rsid w:val="682A5BF7"/>
    <w:rsid w:val="68535738"/>
    <w:rsid w:val="68721156"/>
    <w:rsid w:val="687C423F"/>
    <w:rsid w:val="68C25D28"/>
    <w:rsid w:val="68D033F3"/>
    <w:rsid w:val="68D06E03"/>
    <w:rsid w:val="68DC689F"/>
    <w:rsid w:val="68E0170A"/>
    <w:rsid w:val="68F302CC"/>
    <w:rsid w:val="69074555"/>
    <w:rsid w:val="69123CE1"/>
    <w:rsid w:val="69141C2E"/>
    <w:rsid w:val="69184264"/>
    <w:rsid w:val="693350FB"/>
    <w:rsid w:val="695479FA"/>
    <w:rsid w:val="696F1E02"/>
    <w:rsid w:val="69705CB0"/>
    <w:rsid w:val="69762AAC"/>
    <w:rsid w:val="697826BD"/>
    <w:rsid w:val="69874F79"/>
    <w:rsid w:val="69997553"/>
    <w:rsid w:val="699D5604"/>
    <w:rsid w:val="69AA23F5"/>
    <w:rsid w:val="69BF7EC3"/>
    <w:rsid w:val="69D330B4"/>
    <w:rsid w:val="69F432B5"/>
    <w:rsid w:val="6A1A2066"/>
    <w:rsid w:val="6A1B5C00"/>
    <w:rsid w:val="6A2835EC"/>
    <w:rsid w:val="6A291175"/>
    <w:rsid w:val="6A2C34AA"/>
    <w:rsid w:val="6A6459AF"/>
    <w:rsid w:val="6A820F91"/>
    <w:rsid w:val="6A824374"/>
    <w:rsid w:val="6A87407F"/>
    <w:rsid w:val="6A99127D"/>
    <w:rsid w:val="6AB8004E"/>
    <w:rsid w:val="6AB861B4"/>
    <w:rsid w:val="6AD96CB7"/>
    <w:rsid w:val="6B0F3C1E"/>
    <w:rsid w:val="6B13077A"/>
    <w:rsid w:val="6B1424DD"/>
    <w:rsid w:val="6B221E5F"/>
    <w:rsid w:val="6B272595"/>
    <w:rsid w:val="6B2B1CE6"/>
    <w:rsid w:val="6B2F5E6F"/>
    <w:rsid w:val="6B4629BA"/>
    <w:rsid w:val="6B4C3CF7"/>
    <w:rsid w:val="6B6B5CD2"/>
    <w:rsid w:val="6B711394"/>
    <w:rsid w:val="6B7C0E69"/>
    <w:rsid w:val="6B882178"/>
    <w:rsid w:val="6BA078E7"/>
    <w:rsid w:val="6BB36B04"/>
    <w:rsid w:val="6BC576AE"/>
    <w:rsid w:val="6BC82F86"/>
    <w:rsid w:val="6BCC1277"/>
    <w:rsid w:val="6BE4278E"/>
    <w:rsid w:val="6BEA1F9C"/>
    <w:rsid w:val="6BFC4F57"/>
    <w:rsid w:val="6C1F76C2"/>
    <w:rsid w:val="6C455CAB"/>
    <w:rsid w:val="6C4E1244"/>
    <w:rsid w:val="6C5B6EEC"/>
    <w:rsid w:val="6C5D2D2B"/>
    <w:rsid w:val="6C6E3EA2"/>
    <w:rsid w:val="6C7765FE"/>
    <w:rsid w:val="6C8008DC"/>
    <w:rsid w:val="6CAA5E4D"/>
    <w:rsid w:val="6CB00A5F"/>
    <w:rsid w:val="6CC60DC9"/>
    <w:rsid w:val="6CD44DB3"/>
    <w:rsid w:val="6CDC7845"/>
    <w:rsid w:val="6D000FC4"/>
    <w:rsid w:val="6D031778"/>
    <w:rsid w:val="6D08005D"/>
    <w:rsid w:val="6D0A7C83"/>
    <w:rsid w:val="6D106FB7"/>
    <w:rsid w:val="6D1C3F9C"/>
    <w:rsid w:val="6D2B7848"/>
    <w:rsid w:val="6D4A67A4"/>
    <w:rsid w:val="6D517127"/>
    <w:rsid w:val="6D5D5CC1"/>
    <w:rsid w:val="6D6B744D"/>
    <w:rsid w:val="6DA07DE7"/>
    <w:rsid w:val="6DA721E6"/>
    <w:rsid w:val="6DBE5CD2"/>
    <w:rsid w:val="6DE374BA"/>
    <w:rsid w:val="6DEC6B1D"/>
    <w:rsid w:val="6E1A3D81"/>
    <w:rsid w:val="6E20601C"/>
    <w:rsid w:val="6E2A5041"/>
    <w:rsid w:val="6E2C4FDA"/>
    <w:rsid w:val="6E3A38A7"/>
    <w:rsid w:val="6E41574E"/>
    <w:rsid w:val="6E4660D0"/>
    <w:rsid w:val="6E4A043D"/>
    <w:rsid w:val="6E6F129A"/>
    <w:rsid w:val="6E8C7E9A"/>
    <w:rsid w:val="6EA7226C"/>
    <w:rsid w:val="6EB13143"/>
    <w:rsid w:val="6EBF0F07"/>
    <w:rsid w:val="6EC3545C"/>
    <w:rsid w:val="6ECA78B1"/>
    <w:rsid w:val="6EFD5C0F"/>
    <w:rsid w:val="6F0211AE"/>
    <w:rsid w:val="6F081FAF"/>
    <w:rsid w:val="6F157BB6"/>
    <w:rsid w:val="6F1D5BE7"/>
    <w:rsid w:val="6F252E0D"/>
    <w:rsid w:val="6F257D94"/>
    <w:rsid w:val="6F4379DD"/>
    <w:rsid w:val="6F6A055F"/>
    <w:rsid w:val="6F6A09C1"/>
    <w:rsid w:val="6F733EF8"/>
    <w:rsid w:val="6F7478CD"/>
    <w:rsid w:val="6F8310B0"/>
    <w:rsid w:val="6FA66C5B"/>
    <w:rsid w:val="6FAF4A0F"/>
    <w:rsid w:val="6FB917DB"/>
    <w:rsid w:val="6FC80B1A"/>
    <w:rsid w:val="6FD412E1"/>
    <w:rsid w:val="6FEA1D9F"/>
    <w:rsid w:val="6FEE7DF4"/>
    <w:rsid w:val="6FF43A17"/>
    <w:rsid w:val="6FF473BA"/>
    <w:rsid w:val="6FFC588A"/>
    <w:rsid w:val="70233526"/>
    <w:rsid w:val="70306C17"/>
    <w:rsid w:val="70754C0A"/>
    <w:rsid w:val="70810F20"/>
    <w:rsid w:val="70984F7D"/>
    <w:rsid w:val="709970EF"/>
    <w:rsid w:val="709C1A8C"/>
    <w:rsid w:val="70B27B70"/>
    <w:rsid w:val="70CE09C3"/>
    <w:rsid w:val="70E41A32"/>
    <w:rsid w:val="71147566"/>
    <w:rsid w:val="71287630"/>
    <w:rsid w:val="712C1AEB"/>
    <w:rsid w:val="713148BC"/>
    <w:rsid w:val="71371CF9"/>
    <w:rsid w:val="713E5AE7"/>
    <w:rsid w:val="716F1C44"/>
    <w:rsid w:val="717E7A69"/>
    <w:rsid w:val="71806D32"/>
    <w:rsid w:val="71AD6FAE"/>
    <w:rsid w:val="71AE30B5"/>
    <w:rsid w:val="71C27EC8"/>
    <w:rsid w:val="71C33DD0"/>
    <w:rsid w:val="72005AE6"/>
    <w:rsid w:val="72104AC2"/>
    <w:rsid w:val="72124041"/>
    <w:rsid w:val="72135B21"/>
    <w:rsid w:val="721601E1"/>
    <w:rsid w:val="72337620"/>
    <w:rsid w:val="723F5BDB"/>
    <w:rsid w:val="72570EA7"/>
    <w:rsid w:val="726C2611"/>
    <w:rsid w:val="72726B56"/>
    <w:rsid w:val="727355E2"/>
    <w:rsid w:val="72A11E23"/>
    <w:rsid w:val="72A322A5"/>
    <w:rsid w:val="72AF0917"/>
    <w:rsid w:val="72B3210B"/>
    <w:rsid w:val="72CF7ADB"/>
    <w:rsid w:val="72E75951"/>
    <w:rsid w:val="72E91B02"/>
    <w:rsid w:val="72F9284C"/>
    <w:rsid w:val="72FF3233"/>
    <w:rsid w:val="732650C3"/>
    <w:rsid w:val="733C616F"/>
    <w:rsid w:val="7340334A"/>
    <w:rsid w:val="734A7EB9"/>
    <w:rsid w:val="73586DC3"/>
    <w:rsid w:val="735B05AA"/>
    <w:rsid w:val="736811C4"/>
    <w:rsid w:val="73725CC7"/>
    <w:rsid w:val="739B35DE"/>
    <w:rsid w:val="73DA0AAB"/>
    <w:rsid w:val="73FA2A89"/>
    <w:rsid w:val="73FF32CB"/>
    <w:rsid w:val="7405758D"/>
    <w:rsid w:val="74301EA6"/>
    <w:rsid w:val="74386E56"/>
    <w:rsid w:val="7439010A"/>
    <w:rsid w:val="743F7814"/>
    <w:rsid w:val="74622F2F"/>
    <w:rsid w:val="7497088D"/>
    <w:rsid w:val="74A30572"/>
    <w:rsid w:val="74C73FE3"/>
    <w:rsid w:val="74DC5A55"/>
    <w:rsid w:val="74E63482"/>
    <w:rsid w:val="74E71A82"/>
    <w:rsid w:val="74F64E3F"/>
    <w:rsid w:val="74FD1B30"/>
    <w:rsid w:val="751D0E17"/>
    <w:rsid w:val="754A05DC"/>
    <w:rsid w:val="7557416E"/>
    <w:rsid w:val="75844D94"/>
    <w:rsid w:val="75942A40"/>
    <w:rsid w:val="75A023F2"/>
    <w:rsid w:val="75C5780F"/>
    <w:rsid w:val="75FB2A56"/>
    <w:rsid w:val="75FF18EA"/>
    <w:rsid w:val="76023351"/>
    <w:rsid w:val="761730DD"/>
    <w:rsid w:val="762514F1"/>
    <w:rsid w:val="762C5C47"/>
    <w:rsid w:val="765512FB"/>
    <w:rsid w:val="765E31FB"/>
    <w:rsid w:val="766477E6"/>
    <w:rsid w:val="76687032"/>
    <w:rsid w:val="7672045B"/>
    <w:rsid w:val="76766B2A"/>
    <w:rsid w:val="767F2D37"/>
    <w:rsid w:val="76895AED"/>
    <w:rsid w:val="7698131F"/>
    <w:rsid w:val="76984EB1"/>
    <w:rsid w:val="76991A17"/>
    <w:rsid w:val="76BA50E5"/>
    <w:rsid w:val="76C42FE0"/>
    <w:rsid w:val="76D42781"/>
    <w:rsid w:val="76D81D5A"/>
    <w:rsid w:val="77067FBD"/>
    <w:rsid w:val="771672D4"/>
    <w:rsid w:val="771A06F0"/>
    <w:rsid w:val="77236D53"/>
    <w:rsid w:val="772A5AB9"/>
    <w:rsid w:val="774D3DC3"/>
    <w:rsid w:val="776A22E2"/>
    <w:rsid w:val="776D6580"/>
    <w:rsid w:val="778C04E9"/>
    <w:rsid w:val="778F2765"/>
    <w:rsid w:val="77B360B7"/>
    <w:rsid w:val="77E22291"/>
    <w:rsid w:val="78125407"/>
    <w:rsid w:val="78163E0D"/>
    <w:rsid w:val="78300AEE"/>
    <w:rsid w:val="784F14F7"/>
    <w:rsid w:val="78507637"/>
    <w:rsid w:val="7859168E"/>
    <w:rsid w:val="7867796C"/>
    <w:rsid w:val="787F40EE"/>
    <w:rsid w:val="78985EAB"/>
    <w:rsid w:val="789E5F80"/>
    <w:rsid w:val="78B4709E"/>
    <w:rsid w:val="78B57BD3"/>
    <w:rsid w:val="78C14DB7"/>
    <w:rsid w:val="78C243BF"/>
    <w:rsid w:val="78D81144"/>
    <w:rsid w:val="78F669DD"/>
    <w:rsid w:val="78F824F7"/>
    <w:rsid w:val="79047D24"/>
    <w:rsid w:val="792073FF"/>
    <w:rsid w:val="79255B1E"/>
    <w:rsid w:val="79327BE3"/>
    <w:rsid w:val="793423B9"/>
    <w:rsid w:val="794674FF"/>
    <w:rsid w:val="794F5E9D"/>
    <w:rsid w:val="7950305C"/>
    <w:rsid w:val="79596ED9"/>
    <w:rsid w:val="796606AB"/>
    <w:rsid w:val="797279F9"/>
    <w:rsid w:val="798B6440"/>
    <w:rsid w:val="79976759"/>
    <w:rsid w:val="799C0BFC"/>
    <w:rsid w:val="79B50C6F"/>
    <w:rsid w:val="79D319E8"/>
    <w:rsid w:val="79E06AB0"/>
    <w:rsid w:val="79FA5A10"/>
    <w:rsid w:val="7A0527D6"/>
    <w:rsid w:val="7A073B40"/>
    <w:rsid w:val="7A1E66A7"/>
    <w:rsid w:val="7A3B4E23"/>
    <w:rsid w:val="7A3E3C86"/>
    <w:rsid w:val="7A421F6B"/>
    <w:rsid w:val="7A985BAD"/>
    <w:rsid w:val="7A9C129D"/>
    <w:rsid w:val="7AAC617C"/>
    <w:rsid w:val="7ABB0835"/>
    <w:rsid w:val="7ABE7A74"/>
    <w:rsid w:val="7AC3193E"/>
    <w:rsid w:val="7AD825ED"/>
    <w:rsid w:val="7AE7522B"/>
    <w:rsid w:val="7AF11E4A"/>
    <w:rsid w:val="7AFC756B"/>
    <w:rsid w:val="7B0A616D"/>
    <w:rsid w:val="7B1530FA"/>
    <w:rsid w:val="7B6A65F9"/>
    <w:rsid w:val="7B73525D"/>
    <w:rsid w:val="7B754167"/>
    <w:rsid w:val="7B841502"/>
    <w:rsid w:val="7B856B69"/>
    <w:rsid w:val="7BA51FAA"/>
    <w:rsid w:val="7BA71431"/>
    <w:rsid w:val="7BAB65F0"/>
    <w:rsid w:val="7BC5601A"/>
    <w:rsid w:val="7BE067C0"/>
    <w:rsid w:val="7BF7355E"/>
    <w:rsid w:val="7C041716"/>
    <w:rsid w:val="7C0F6F8D"/>
    <w:rsid w:val="7C1832E2"/>
    <w:rsid w:val="7C2C3168"/>
    <w:rsid w:val="7C60764A"/>
    <w:rsid w:val="7C7F077B"/>
    <w:rsid w:val="7C9A2C55"/>
    <w:rsid w:val="7CB570A3"/>
    <w:rsid w:val="7CBE7070"/>
    <w:rsid w:val="7CC85D2E"/>
    <w:rsid w:val="7CFA0A3C"/>
    <w:rsid w:val="7CFB25C5"/>
    <w:rsid w:val="7D024938"/>
    <w:rsid w:val="7D0432EA"/>
    <w:rsid w:val="7D071A67"/>
    <w:rsid w:val="7D153027"/>
    <w:rsid w:val="7D240558"/>
    <w:rsid w:val="7D4E4391"/>
    <w:rsid w:val="7D6A50D1"/>
    <w:rsid w:val="7D6C1F0C"/>
    <w:rsid w:val="7D6F7C2B"/>
    <w:rsid w:val="7D7B5BD6"/>
    <w:rsid w:val="7D812A55"/>
    <w:rsid w:val="7D9828AA"/>
    <w:rsid w:val="7DA15DD8"/>
    <w:rsid w:val="7DA54E7B"/>
    <w:rsid w:val="7DAD4B1E"/>
    <w:rsid w:val="7DCE4670"/>
    <w:rsid w:val="7DDB6F5C"/>
    <w:rsid w:val="7DDF08B2"/>
    <w:rsid w:val="7DDF7781"/>
    <w:rsid w:val="7E2F58AE"/>
    <w:rsid w:val="7E464EB2"/>
    <w:rsid w:val="7E5724CE"/>
    <w:rsid w:val="7E5B4BE3"/>
    <w:rsid w:val="7E6C79E8"/>
    <w:rsid w:val="7E6E14DC"/>
    <w:rsid w:val="7EB90785"/>
    <w:rsid w:val="7EE97E69"/>
    <w:rsid w:val="7EEF15E6"/>
    <w:rsid w:val="7F0F3C4C"/>
    <w:rsid w:val="7F102E25"/>
    <w:rsid w:val="7F2B3490"/>
    <w:rsid w:val="7F4167DE"/>
    <w:rsid w:val="7F81479C"/>
    <w:rsid w:val="7F961536"/>
    <w:rsid w:val="7FB772DD"/>
    <w:rsid w:val="7FD5728C"/>
    <w:rsid w:val="7FE5681A"/>
    <w:rsid w:val="7FE66A22"/>
    <w:rsid w:val="7FED0787"/>
    <w:rsid w:val="7FF3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jc w:val="center"/>
      <w:outlineLvl w:val="0"/>
    </w:pPr>
    <w:rPr>
      <w:rFonts w:eastAsia="微软雅黑"/>
      <w:b/>
      <w:bCs/>
      <w:kern w:val="44"/>
      <w:sz w:val="36"/>
      <w:szCs w:val="44"/>
    </w:rPr>
  </w:style>
  <w:style w:type="paragraph" w:styleId="3">
    <w:name w:val="heading 2"/>
    <w:basedOn w:val="1"/>
    <w:next w:val="1"/>
    <w:link w:val="29"/>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qFormat/>
    <w:uiPriority w:val="0"/>
    <w:pPr>
      <w:keepNext/>
      <w:keepLines/>
      <w:outlineLvl w:val="2"/>
    </w:pPr>
    <w:rPr>
      <w:rFonts w:ascii="宋体" w:hAnsi="宋体" w:eastAsia="黑体"/>
      <w:bCs/>
      <w:sz w:val="24"/>
      <w:szCs w:val="28"/>
    </w:rPr>
  </w:style>
  <w:style w:type="paragraph" w:styleId="5">
    <w:name w:val="heading 5"/>
    <w:basedOn w:val="1"/>
    <w:next w:val="1"/>
    <w:unhideWhenUsed/>
    <w:qFormat/>
    <w:uiPriority w:val="9"/>
    <w:pPr>
      <w:keepNext/>
      <w:keepLines/>
      <w:spacing w:before="280" w:after="290" w:line="376" w:lineRule="auto"/>
      <w:outlineLvl w:val="4"/>
    </w:pPr>
    <w:rPr>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rPr>
      <w:szCs w:val="20"/>
    </w:rPr>
  </w:style>
  <w:style w:type="paragraph" w:styleId="7">
    <w:name w:val="annotation text"/>
    <w:basedOn w:val="1"/>
    <w:qFormat/>
    <w:uiPriority w:val="0"/>
    <w:pPr>
      <w:jc w:val="left"/>
    </w:pPr>
  </w:style>
  <w:style w:type="paragraph" w:styleId="8">
    <w:name w:val="Body Text 3"/>
    <w:basedOn w:val="1"/>
    <w:qFormat/>
    <w:uiPriority w:val="0"/>
    <w:pPr>
      <w:spacing w:beforeLines="50"/>
    </w:pPr>
    <w:rPr>
      <w:rFonts w:ascii="宋体" w:hAnsi="宋体"/>
      <w:szCs w:val="20"/>
    </w:rPr>
  </w:style>
  <w:style w:type="paragraph" w:styleId="9">
    <w:name w:val="Body Text"/>
    <w:basedOn w:val="1"/>
    <w:link w:val="28"/>
    <w:qFormat/>
    <w:uiPriority w:val="0"/>
    <w:pPr>
      <w:spacing w:after="120"/>
    </w:pPr>
  </w:style>
  <w:style w:type="paragraph" w:styleId="10">
    <w:name w:val="Body Text Indent"/>
    <w:basedOn w:val="1"/>
    <w:next w:val="11"/>
    <w:qFormat/>
    <w:uiPriority w:val="0"/>
    <w:pPr>
      <w:spacing w:after="120"/>
      <w:ind w:left="420" w:leftChars="200"/>
    </w:pPr>
  </w:style>
  <w:style w:type="paragraph" w:styleId="11">
    <w:name w:val="envelope return"/>
    <w:basedOn w:val="1"/>
    <w:unhideWhenUsed/>
    <w:qFormat/>
    <w:uiPriority w:val="99"/>
    <w:pPr>
      <w:snapToGrid w:val="0"/>
      <w:ind w:firstLine="200"/>
    </w:pPr>
    <w:rPr>
      <w:rFonts w:ascii="Arial" w:hAnsi="Arial" w:cs="Arial"/>
      <w:szCs w:val="20"/>
    </w:rPr>
  </w:style>
  <w:style w:type="paragraph" w:styleId="12">
    <w:name w:val="toc 3"/>
    <w:basedOn w:val="1"/>
    <w:next w:val="1"/>
    <w:qFormat/>
    <w:uiPriority w:val="39"/>
    <w:pPr>
      <w:ind w:left="840" w:leftChars="400"/>
    </w:pPr>
  </w:style>
  <w:style w:type="paragraph" w:styleId="13">
    <w:name w:val="Plain Text"/>
    <w:basedOn w:val="1"/>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toc 1"/>
    <w:basedOn w:val="1"/>
    <w:next w:val="1"/>
    <w:qFormat/>
    <w:uiPriority w:val="39"/>
    <w:pPr>
      <w:spacing w:before="120" w:after="120"/>
      <w:jc w:val="left"/>
    </w:pPr>
    <w:rPr>
      <w:rFonts w:cs="Calibri"/>
      <w:b/>
      <w:bCs/>
      <w:caps/>
      <w:sz w:val="20"/>
      <w:szCs w:val="20"/>
    </w:rPr>
  </w:style>
  <w:style w:type="paragraph" w:styleId="17">
    <w:name w:val="footnote text"/>
    <w:basedOn w:val="1"/>
    <w:unhideWhenUsed/>
    <w:qFormat/>
    <w:uiPriority w:val="0"/>
    <w:pPr>
      <w:snapToGrid w:val="0"/>
      <w:jc w:val="left"/>
    </w:pPr>
    <w:rPr>
      <w:sz w:val="18"/>
      <w:szCs w:val="18"/>
    </w:rPr>
  </w:style>
  <w:style w:type="paragraph" w:styleId="18">
    <w:name w:val="toc 2"/>
    <w:basedOn w:val="1"/>
    <w:next w:val="1"/>
    <w:qFormat/>
    <w:uiPriority w:val="39"/>
    <w:pPr>
      <w:ind w:left="420" w:leftChars="200"/>
    </w:pPr>
  </w:style>
  <w:style w:type="paragraph" w:styleId="19">
    <w:name w:val="Normal (Web)"/>
    <w:basedOn w:val="1"/>
    <w:qFormat/>
    <w:uiPriority w:val="0"/>
    <w:pPr>
      <w:spacing w:before="100" w:beforeAutospacing="1" w:after="100" w:afterAutospacing="1"/>
    </w:pPr>
    <w:rPr>
      <w:rFonts w:ascii="宋体" w:hAnsi="宋体" w:eastAsia="宋体" w:cs="宋体"/>
      <w:sz w:val="24"/>
      <w:szCs w:val="24"/>
      <w:lang w:val="en-US" w:eastAsia="zh-CN" w:bidi="ar-SA"/>
    </w:rPr>
  </w:style>
  <w:style w:type="paragraph" w:styleId="20">
    <w:name w:val="index 1"/>
    <w:basedOn w:val="1"/>
    <w:next w:val="1"/>
    <w:semiHidden/>
    <w:qFormat/>
    <w:uiPriority w:val="0"/>
    <w:pPr>
      <w:spacing w:line="220" w:lineRule="exact"/>
      <w:jc w:val="center"/>
    </w:pPr>
    <w:rPr>
      <w:rFonts w:ascii="仿宋_GB2312" w:eastAsia="仿宋_GB2312"/>
      <w:szCs w:val="21"/>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page number"/>
    <w:basedOn w:val="23"/>
    <w:qFormat/>
    <w:uiPriority w:val="0"/>
  </w:style>
  <w:style w:type="character" w:styleId="25">
    <w:name w:val="Hyperlink"/>
    <w:basedOn w:val="23"/>
    <w:qFormat/>
    <w:uiPriority w:val="99"/>
    <w:rPr>
      <w:color w:val="0563C1"/>
      <w:u w:val="single"/>
    </w:rPr>
  </w:style>
  <w:style w:type="character" w:styleId="26">
    <w:name w:val="annotation reference"/>
    <w:qFormat/>
    <w:uiPriority w:val="0"/>
    <w:rPr>
      <w:sz w:val="21"/>
      <w:szCs w:val="21"/>
    </w:rPr>
  </w:style>
  <w:style w:type="character" w:styleId="27">
    <w:name w:val="footnote reference"/>
    <w:qFormat/>
    <w:uiPriority w:val="0"/>
    <w:rPr>
      <w:vertAlign w:val="superscript"/>
    </w:rPr>
  </w:style>
  <w:style w:type="character" w:customStyle="1" w:styleId="28">
    <w:name w:val="正文文本 Char"/>
    <w:link w:val="9"/>
    <w:qFormat/>
    <w:uiPriority w:val="0"/>
    <w:rPr>
      <w:rFonts w:ascii="Calibri" w:hAnsi="Calibri" w:eastAsia="宋体" w:cs="Times New Roman"/>
      <w:kern w:val="2"/>
      <w:sz w:val="21"/>
      <w:szCs w:val="24"/>
    </w:rPr>
  </w:style>
  <w:style w:type="character" w:customStyle="1" w:styleId="29">
    <w:name w:val="标题 2 Char"/>
    <w:link w:val="3"/>
    <w:qFormat/>
    <w:uiPriority w:val="0"/>
    <w:rPr>
      <w:rFonts w:ascii="Arial" w:hAnsi="Arial"/>
      <w:b/>
      <w:bCs/>
      <w:sz w:val="28"/>
      <w:szCs w:val="32"/>
    </w:rPr>
  </w:style>
  <w:style w:type="paragraph" w:customStyle="1" w:styleId="30">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1">
    <w:name w:val="表格"/>
    <w:basedOn w:val="1"/>
    <w:qFormat/>
    <w:uiPriority w:val="0"/>
    <w:pPr>
      <w:textAlignment w:val="center"/>
    </w:pPr>
    <w:rPr>
      <w:rFonts w:ascii="华文细黑" w:hAnsi="华文细黑"/>
      <w:kern w:val="0"/>
      <w:szCs w:val="20"/>
    </w:rPr>
  </w:style>
  <w:style w:type="paragraph" w:customStyle="1" w:styleId="32">
    <w:name w:val="正文 题目"/>
    <w:basedOn w:val="1"/>
    <w:qFormat/>
    <w:uiPriority w:val="0"/>
    <w:pPr>
      <w:jc w:val="center"/>
    </w:pPr>
    <w:rPr>
      <w:rFonts w:ascii="黑体" w:hAnsi="黑体" w:eastAsia="黑体"/>
      <w:sz w:val="28"/>
    </w:rPr>
  </w:style>
  <w:style w:type="paragraph" w:customStyle="1" w:styleId="33">
    <w:name w:val="列出段落1"/>
    <w:basedOn w:val="1"/>
    <w:qFormat/>
    <w:uiPriority w:val="99"/>
    <w:rPr>
      <w:rFonts w:ascii="Times New Roman" w:hAnsi="Times New Roman"/>
    </w:rPr>
  </w:style>
  <w:style w:type="paragraph" w:customStyle="1" w:styleId="34">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WPSOffice手动目录 1"/>
    <w:qFormat/>
    <w:uiPriority w:val="0"/>
    <w:rPr>
      <w:rFonts w:ascii="Calibri" w:hAnsi="Calibri" w:eastAsia="宋体" w:cs="Times New Roman"/>
      <w:lang w:val="en-US" w:eastAsia="zh-CN" w:bidi="ar-SA"/>
    </w:rPr>
  </w:style>
  <w:style w:type="paragraph" w:customStyle="1" w:styleId="36">
    <w:name w:val="WPSOffice手动目录 2"/>
    <w:qFormat/>
    <w:uiPriority w:val="0"/>
    <w:pPr>
      <w:ind w:left="200" w:leftChars="200"/>
    </w:pPr>
    <w:rPr>
      <w:rFonts w:ascii="Calibri" w:hAnsi="Calibri" w:eastAsia="宋体" w:cs="Times New Roman"/>
      <w:lang w:val="en-US" w:eastAsia="zh-CN" w:bidi="ar-SA"/>
    </w:rPr>
  </w:style>
  <w:style w:type="character" w:customStyle="1" w:styleId="37">
    <w:name w:val="font21"/>
    <w:basedOn w:val="23"/>
    <w:qFormat/>
    <w:uiPriority w:val="0"/>
    <w:rPr>
      <w:rFonts w:hint="eastAsia" w:ascii="宋体" w:hAnsi="宋体" w:eastAsia="宋体" w:cs="宋体"/>
      <w:color w:val="000000"/>
      <w:sz w:val="24"/>
      <w:szCs w:val="24"/>
      <w:u w:val="none"/>
    </w:rPr>
  </w:style>
  <w:style w:type="character" w:customStyle="1" w:styleId="38">
    <w:name w:val="font01"/>
    <w:basedOn w:val="23"/>
    <w:qFormat/>
    <w:uiPriority w:val="0"/>
    <w:rPr>
      <w:rFonts w:hint="default" w:ascii="Times New Roman" w:hAnsi="Times New Roman" w:cs="Times New Roman"/>
      <w:color w:val="000000"/>
      <w:sz w:val="24"/>
      <w:szCs w:val="24"/>
      <w:u w:val="none"/>
    </w:rPr>
  </w:style>
  <w:style w:type="character" w:customStyle="1" w:styleId="39">
    <w:name w:val="font11"/>
    <w:basedOn w:val="23"/>
    <w:qFormat/>
    <w:uiPriority w:val="0"/>
    <w:rPr>
      <w:rFonts w:hint="default" w:ascii="Times New Roman" w:hAnsi="Times New Roman" w:cs="Times New Roman"/>
      <w:color w:val="000000"/>
      <w:sz w:val="20"/>
      <w:szCs w:val="20"/>
      <w:u w:val="none"/>
    </w:rPr>
  </w:style>
  <w:style w:type="character" w:customStyle="1" w:styleId="40">
    <w:name w:val="font31"/>
    <w:basedOn w:val="23"/>
    <w:qFormat/>
    <w:uiPriority w:val="0"/>
    <w:rPr>
      <w:rFonts w:hint="eastAsia" w:ascii="宋体" w:hAnsi="宋体" w:eastAsia="宋体" w:cs="宋体"/>
      <w:color w:val="000000"/>
      <w:sz w:val="20"/>
      <w:szCs w:val="20"/>
      <w:u w:val="none"/>
    </w:rPr>
  </w:style>
  <w:style w:type="paragraph" w:customStyle="1" w:styleId="41">
    <w:name w:val="修订1"/>
    <w:semiHidden/>
    <w:qFormat/>
    <w:uiPriority w:val="99"/>
    <w:rPr>
      <w:rFonts w:ascii="Calibri" w:hAnsi="Calibri" w:eastAsia="宋体" w:cs="Times New Roman"/>
      <w:kern w:val="2"/>
      <w:sz w:val="21"/>
      <w:szCs w:val="24"/>
      <w:lang w:val="en-US" w:eastAsia="zh-CN" w:bidi="ar-SA"/>
    </w:rPr>
  </w:style>
  <w:style w:type="paragraph" w:styleId="42">
    <w:name w:val="List Paragraph"/>
    <w:basedOn w:val="1"/>
    <w:qFormat/>
    <w:uiPriority w:val="99"/>
    <w:pPr>
      <w:ind w:firstLine="420" w:firstLineChars="200"/>
    </w:pPr>
  </w:style>
  <w:style w:type="character" w:customStyle="1" w:styleId="43">
    <w:name w:val="Unresolved Mention"/>
    <w:basedOn w:val="23"/>
    <w:unhideWhenUsed/>
    <w:qFormat/>
    <w:uiPriority w:val="99"/>
    <w:rPr>
      <w:color w:val="605E5C"/>
      <w:shd w:val="clear" w:color="auto" w:fill="E1DFDD"/>
    </w:rPr>
  </w:style>
  <w:style w:type="paragraph" w:customStyle="1" w:styleId="44">
    <w:name w:val="xl2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szCs w:val="20"/>
    </w:rPr>
  </w:style>
  <w:style w:type="paragraph" w:customStyle="1" w:styleId="45">
    <w:name w:val="TOC 标题1"/>
    <w:basedOn w:val="2"/>
    <w:next w:val="1"/>
    <w:unhideWhenUsed/>
    <w:qFormat/>
    <w:uiPriority w:val="39"/>
    <w:pPr>
      <w:widowControl/>
      <w:numPr>
        <w:numId w:val="0"/>
      </w:numPr>
      <w:tabs>
        <w:tab w:val="clear" w:pos="0"/>
      </w:tabs>
      <w:spacing w:beforeLines="0" w:afterLines="0" w:line="259" w:lineRule="auto"/>
      <w:jc w:val="left"/>
      <w:outlineLvl w:val="9"/>
    </w:pPr>
    <w:rPr>
      <w:rFonts w:ascii="Calibri Light" w:hAnsi="Calibri Light" w:eastAsia="宋体"/>
      <w:b w:val="0"/>
      <w:bCs w:val="0"/>
      <w:color w:val="2E75B5"/>
      <w:kern w:val="0"/>
      <w:sz w:val="32"/>
      <w:szCs w:val="32"/>
    </w:rPr>
  </w:style>
  <w:style w:type="paragraph" w:customStyle="1" w:styleId="46">
    <w:name w:val="Table Paragraph"/>
    <w:basedOn w:val="1"/>
    <w:qFormat/>
    <w:uiPriority w:val="1"/>
    <w:pPr>
      <w:autoSpaceDE w:val="0"/>
      <w:autoSpaceDN w:val="0"/>
      <w:jc w:val="left"/>
    </w:pPr>
    <w:rPr>
      <w:rFonts w:ascii="宋体" w:hAnsi="宋体" w:cs="宋体"/>
      <w:kern w:val="0"/>
      <w:sz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5"/>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39</Pages>
  <Words>2420</Words>
  <Characters>13794</Characters>
  <Lines>114</Lines>
  <Paragraphs>32</Paragraphs>
  <TotalTime>1</TotalTime>
  <ScaleCrop>false</ScaleCrop>
  <LinksUpToDate>false</LinksUpToDate>
  <CharactersWithSpaces>16182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2023-07-11T00:50:00Z</dcterms:created>
  <dc:creator>huajie</dc:creator>
  <cp:lastModifiedBy>海之维</cp:lastModifiedBy>
  <cp:lastPrinted>2023-11-15T04:14:00Z</cp:lastPrinted>
  <dcterms:modified xsi:type="dcterms:W3CDTF">2023-11-15T08:25:29Z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8C7151C553554927BD0067C47C4DDDC2_13</vt:lpwstr>
  </property>
  <property fmtid="{D5CDD505-2E9C-101B-9397-08002B2CF9AE}" pid="3" name="KSOProductBuildVer">
    <vt:lpwstr>2052-12.1.0.15712</vt:lpwstr>
  </property>
</Properties>
</file>