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1080" w:firstLineChars="300"/>
        <w:jc w:val="left"/>
        <w:textAlignment w:val="auto"/>
        <w:rPr>
          <w:rFonts w:hint="eastAsia" w:ascii="仿宋_GB2312" w:hAnsi="仿宋_GB2312" w:eastAsia="仿宋_GB2312" w:cs="仿宋_GB2312"/>
          <w:sz w:val="36"/>
          <w:szCs w:val="36"/>
          <w:u w:val="single"/>
          <w:lang w:val="en-US" w:eastAsia="zh-CN"/>
        </w:rPr>
      </w:pPr>
      <w:r>
        <w:rPr>
          <w:rFonts w:hint="eastAsia" w:ascii="仿宋_GB2312" w:hAnsi="仿宋_GB2312" w:eastAsia="仿宋_GB2312" w:cs="仿宋_GB2312"/>
          <w:sz w:val="36"/>
          <w:szCs w:val="36"/>
          <w:u w:val="single"/>
          <w:lang w:val="en-US" w:eastAsia="zh-CN"/>
        </w:rPr>
        <w:t>文化公园公交首末站低压施工建设项目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ACJT</w:t>
      </w:r>
      <w:r>
        <w:rPr>
          <w:rFonts w:hint="default" w:ascii="Times New Roman" w:hAnsi="Times New Roman" w:eastAsia="楷体" w:cs="Times New Roman"/>
          <w:kern w:val="0"/>
          <w:sz w:val="28"/>
          <w:szCs w:val="28"/>
          <w:highlight w:val="none"/>
          <w:shd w:val="clear" w:color="auto" w:fill="auto"/>
          <w:lang w:val="en-US" w:eastAsia="zh-CN"/>
        </w:rPr>
        <w:t>-20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17</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eastAsia" w:ascii="Times New Roman" w:hAnsi="Times New Roman" w:cs="Times New Roman"/>
          <w:highlight w:val="none"/>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5"/>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bookmarkStart w:id="6" w:name="_GoBack"/>
      <w:bookmarkEnd w:id="6"/>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三、分项报价表（格式附后）；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五、其他资料。</w:t>
      </w:r>
      <w:r>
        <w:rPr>
          <w:rFonts w:hint="default" w:ascii="Times New Roman" w:hAnsi="Times New Roman" w:cs="Times New Roman"/>
          <w:highlight w:val="none"/>
          <w:lang w:val="en-US" w:eastAsia="zh-CN"/>
        </w:rPr>
        <w:br w:type="page"/>
      </w:r>
    </w:p>
    <w:p>
      <w:pPr>
        <w:pStyle w:val="5"/>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w:t>
            </w:r>
            <w:r>
              <w:rPr>
                <w:rFonts w:hint="eastAsia" w:ascii="Times New Roman" w:hAnsi="Times New Roman" w:cs="Times New Roman"/>
                <w:szCs w:val="21"/>
                <w:highlight w:val="none"/>
                <w:lang w:val="en-US" w:eastAsia="zh-CN"/>
              </w:rPr>
              <w:t>或法人盖章</w:t>
            </w:r>
            <w:r>
              <w:rPr>
                <w:rFonts w:hint="default" w:ascii="Times New Roman" w:hAnsi="Times New Roman" w:cs="Times New Roman"/>
                <w:szCs w:val="21"/>
                <w:highlight w:val="none"/>
              </w:rPr>
              <w:t>，否则其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采购人名称：安徽省安车交通运输集团有限公司</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文化公园公交首末站低压施工建设项目响应文件</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项目编号：ACJT-2023- 17号</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在2023年 11 月 20 日 10时00分前不得开启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代表应持有效身份证件参加</w:t>
            </w:r>
            <w:r>
              <w:rPr>
                <w:rFonts w:hint="eastAsia" w:ascii="Times New Roman" w:hAnsi="Times New Roman" w:cs="Times New Roman"/>
                <w:szCs w:val="21"/>
                <w:highlight w:val="none"/>
                <w:lang w:val="en-US" w:eastAsia="zh-CN"/>
              </w:rPr>
              <w:t>磋商</w:t>
            </w:r>
            <w:r>
              <w:rPr>
                <w:rFonts w:hint="default" w:ascii="Times New Roman" w:hAnsi="Times New Roman" w:cs="Times New Roman"/>
                <w:szCs w:val="21"/>
                <w:highlight w:val="none"/>
              </w:rPr>
              <w:t>会议，有效身份证件是指中华人民共和国第二代居民身份证，其他证明无效。</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152045794"/>
      <w:bookmarkStart w:id="1" w:name="_Toc247514286"/>
      <w:bookmarkStart w:id="2" w:name="_Toc247527834"/>
      <w:bookmarkStart w:id="3" w:name="_Toc152042583"/>
      <w:bookmarkStart w:id="4" w:name="_Toc300835216"/>
      <w:bookmarkStart w:id="5" w:name="_Toc144974862"/>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专票</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日历天，质量标准：符合国家、地方、行业现行相关规范合格标准。</w:t>
      </w:r>
      <w:permEnd w:id="3"/>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2.分项报价表</w:t>
      </w:r>
    </w:p>
    <w:p>
      <w:pPr>
        <w:ind w:firstLine="420" w:firstLineChars="200"/>
        <w:rPr>
          <w:rFonts w:hint="default" w:ascii="Times New Roman" w:hAnsi="Times New Roman" w:cs="Times New Roman"/>
          <w:lang w:val="en-US" w:eastAsia="zh-CN"/>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134"/>
        <w:gridCol w:w="1134"/>
        <w:gridCol w:w="1134"/>
        <w:gridCol w:w="1134"/>
        <w:gridCol w:w="1134"/>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分项名称</w:t>
            </w:r>
          </w:p>
        </w:tc>
        <w:tc>
          <w:tcPr>
            <w:tcW w:w="1134"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单位</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数量</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单价（元）</w:t>
            </w:r>
          </w:p>
        </w:tc>
        <w:tc>
          <w:tcPr>
            <w:tcW w:w="1134" w:type="dxa"/>
            <w:vAlign w:val="center"/>
          </w:tcPr>
          <w:p>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总价（元）</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keepNext w:val="0"/>
              <w:keepLines w:val="0"/>
              <w:widowControl/>
              <w:suppressLineNumbers w:val="0"/>
              <w:jc w:val="center"/>
              <w:textAlignment w:val="center"/>
              <w:rPr>
                <w:rFonts w:hint="eastAsia" w:ascii="Times New Roman" w:hAnsi="Times New Roman" w:cs="Times New Roman" w:eastAsiaTheme="minorEastAsia"/>
                <w:vertAlign w:val="baseline"/>
                <w:lang w:val="en-US" w:eastAsia="zh-CN"/>
              </w:rPr>
            </w:pPr>
            <w:r>
              <w:rPr>
                <w:rFonts w:hint="eastAsia" w:ascii="宋体" w:hAnsi="宋体" w:eastAsia="宋体" w:cs="宋体"/>
                <w:i w:val="0"/>
                <w:iCs w:val="0"/>
                <w:color w:val="000000"/>
                <w:kern w:val="0"/>
                <w:sz w:val="21"/>
                <w:szCs w:val="21"/>
                <w:u w:val="none"/>
                <w:lang w:val="en-US" w:eastAsia="zh-CN" w:bidi="ar"/>
              </w:rPr>
              <w:t>1</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充电桩基础（混凝土材质）</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个</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8</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keepNext w:val="0"/>
              <w:keepLines w:val="0"/>
              <w:widowControl/>
              <w:suppressLineNumbers w:val="0"/>
              <w:jc w:val="center"/>
              <w:textAlignment w:val="center"/>
              <w:rPr>
                <w:rFonts w:hint="default" w:ascii="Times New Roman" w:hAnsi="Times New Roman" w:cs="Times New Roman"/>
                <w:vertAlign w:val="baseline"/>
                <w:lang w:val="en-US" w:eastAsia="zh-CN"/>
              </w:rPr>
            </w:pPr>
            <w:r>
              <w:rPr>
                <w:rFonts w:hint="eastAsia" w:ascii="宋体" w:hAnsi="宋体" w:eastAsia="宋体" w:cs="宋体"/>
                <w:i w:val="0"/>
                <w:iCs w:val="0"/>
                <w:color w:val="000000"/>
                <w:kern w:val="0"/>
                <w:sz w:val="21"/>
                <w:szCs w:val="21"/>
                <w:u w:val="none"/>
                <w:lang w:val="en-US" w:eastAsia="zh-CN" w:bidi="ar"/>
              </w:rPr>
              <w:t>2</w:t>
            </w:r>
          </w:p>
        </w:tc>
        <w:tc>
          <w:tcPr>
            <w:tcW w:w="1134" w:type="dxa"/>
            <w:vAlign w:val="center"/>
          </w:tcPr>
          <w:p>
            <w:pPr>
              <w:keepNext w:val="0"/>
              <w:keepLines w:val="0"/>
              <w:widowControl/>
              <w:suppressLineNumbers w:val="0"/>
              <w:jc w:val="center"/>
              <w:textAlignment w:val="center"/>
              <w:rPr>
                <w:rFonts w:hint="eastAsia" w:ascii="Times New Roman" w:hAnsi="Times New Roman" w:cs="Times New Roman"/>
                <w:vertAlign w:val="baseline"/>
                <w:lang w:val="en-US" w:eastAsia="zh-CN"/>
              </w:rPr>
            </w:pPr>
            <w:r>
              <w:rPr>
                <w:rFonts w:hint="eastAsia" w:ascii="宋体" w:hAnsi="宋体" w:eastAsia="宋体" w:cs="宋体"/>
                <w:i w:val="0"/>
                <w:iCs w:val="0"/>
                <w:color w:val="000000"/>
                <w:kern w:val="0"/>
                <w:sz w:val="21"/>
                <w:szCs w:val="21"/>
                <w:u w:val="none"/>
                <w:lang w:val="en-US" w:eastAsia="zh-CN" w:bidi="ar"/>
              </w:rPr>
              <w:t>电缆敷设</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米</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300</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keepNext w:val="0"/>
              <w:keepLines w:val="0"/>
              <w:widowControl/>
              <w:suppressLineNumbers w:val="0"/>
              <w:jc w:val="center"/>
              <w:textAlignment w:val="center"/>
              <w:rPr>
                <w:rFonts w:hint="default" w:ascii="Times New Roman" w:hAnsi="Times New Roman" w:cs="Times New Roman"/>
                <w:vertAlign w:val="baseline"/>
                <w:lang w:val="en-US" w:eastAsia="zh-CN"/>
              </w:rPr>
            </w:pPr>
            <w:r>
              <w:rPr>
                <w:rFonts w:hint="eastAsia" w:ascii="宋体" w:hAnsi="宋体" w:eastAsia="宋体" w:cs="宋体"/>
                <w:i w:val="0"/>
                <w:iCs w:val="0"/>
                <w:color w:val="000000"/>
                <w:kern w:val="0"/>
                <w:sz w:val="21"/>
                <w:szCs w:val="21"/>
                <w:u w:val="none"/>
                <w:lang w:val="en-US" w:eastAsia="zh-CN" w:bidi="ar"/>
              </w:rPr>
              <w:t>3</w:t>
            </w:r>
          </w:p>
        </w:tc>
        <w:tc>
          <w:tcPr>
            <w:tcW w:w="1134" w:type="dxa"/>
            <w:vAlign w:val="center"/>
          </w:tcPr>
          <w:p>
            <w:pPr>
              <w:keepNext w:val="0"/>
              <w:keepLines w:val="0"/>
              <w:widowControl/>
              <w:suppressLineNumbers w:val="0"/>
              <w:jc w:val="center"/>
              <w:textAlignment w:val="center"/>
              <w:rPr>
                <w:rFonts w:hint="eastAsia" w:ascii="Times New Roman" w:hAnsi="Times New Roman" w:cs="Times New Roman"/>
                <w:vertAlign w:val="baseline"/>
                <w:lang w:val="en-US" w:eastAsia="zh-CN"/>
              </w:rPr>
            </w:pPr>
            <w:r>
              <w:rPr>
                <w:rFonts w:hint="eastAsia" w:ascii="宋体" w:hAnsi="宋体" w:eastAsia="宋体" w:cs="宋体"/>
                <w:i w:val="0"/>
                <w:iCs w:val="0"/>
                <w:color w:val="000000"/>
                <w:kern w:val="0"/>
                <w:sz w:val="21"/>
                <w:szCs w:val="21"/>
                <w:u w:val="none"/>
                <w:lang w:val="en-US" w:eastAsia="zh-CN" w:bidi="ar"/>
              </w:rPr>
              <w:t>电缆头制作</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套</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16</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keepNext w:val="0"/>
              <w:keepLines w:val="0"/>
              <w:widowControl/>
              <w:suppressLineNumbers w:val="0"/>
              <w:jc w:val="center"/>
              <w:textAlignment w:val="center"/>
              <w:rPr>
                <w:rFonts w:hint="default" w:ascii="Times New Roman" w:hAnsi="Times New Roman" w:cs="Times New Roman" w:eastAsiaTheme="minorEastAsia"/>
                <w:vertAlign w:val="baseline"/>
                <w:lang w:val="en-US" w:eastAsia="zh-CN"/>
              </w:rPr>
            </w:pPr>
            <w:r>
              <w:rPr>
                <w:rFonts w:hint="eastAsia" w:ascii="宋体" w:hAnsi="宋体" w:eastAsia="宋体" w:cs="宋体"/>
                <w:i w:val="0"/>
                <w:iCs w:val="0"/>
                <w:color w:val="000000"/>
                <w:kern w:val="0"/>
                <w:sz w:val="21"/>
                <w:szCs w:val="21"/>
                <w:u w:val="none"/>
                <w:lang w:val="en-US" w:eastAsia="zh-CN" w:bidi="ar"/>
              </w:rPr>
              <w:t>4</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eastAsiaTheme="minorEastAsia"/>
                <w:vertAlign w:val="baseline"/>
                <w:lang w:val="en-US" w:eastAsia="zh-CN"/>
              </w:rPr>
            </w:pPr>
            <w:r>
              <w:rPr>
                <w:rFonts w:hint="eastAsia" w:ascii="宋体" w:hAnsi="宋体" w:eastAsia="宋体" w:cs="宋体"/>
                <w:i w:val="0"/>
                <w:iCs w:val="0"/>
                <w:color w:val="000000"/>
                <w:kern w:val="0"/>
                <w:sz w:val="21"/>
                <w:szCs w:val="21"/>
                <w:u w:val="none"/>
                <w:lang w:val="en-US" w:eastAsia="zh-CN" w:bidi="ar"/>
              </w:rPr>
              <w:t>电缆沟</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米</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55</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keepNext w:val="0"/>
              <w:keepLines w:val="0"/>
              <w:widowControl/>
              <w:suppressLineNumbers w:val="0"/>
              <w:jc w:val="center"/>
              <w:textAlignment w:val="center"/>
              <w:rPr>
                <w:rFonts w:hint="eastAsia" w:ascii="Times New Roman" w:hAnsi="Times New Roman" w:cs="Times New Roman"/>
                <w:vertAlign w:val="baseline"/>
                <w:lang w:val="en-US" w:eastAsia="zh-CN"/>
              </w:rPr>
            </w:pPr>
            <w:r>
              <w:rPr>
                <w:rFonts w:hint="eastAsia" w:ascii="宋体" w:hAnsi="宋体" w:eastAsia="宋体" w:cs="宋体"/>
                <w:i w:val="0"/>
                <w:iCs w:val="0"/>
                <w:color w:val="000000"/>
                <w:kern w:val="0"/>
                <w:sz w:val="21"/>
                <w:szCs w:val="21"/>
                <w:u w:val="none"/>
                <w:lang w:val="en-US" w:eastAsia="zh-CN" w:bidi="ar"/>
              </w:rPr>
              <w:t>5</w:t>
            </w:r>
          </w:p>
        </w:tc>
        <w:tc>
          <w:tcPr>
            <w:tcW w:w="1134" w:type="dxa"/>
            <w:vAlign w:val="center"/>
          </w:tcPr>
          <w:p>
            <w:pPr>
              <w:keepNext w:val="0"/>
              <w:keepLines w:val="0"/>
              <w:widowControl/>
              <w:suppressLineNumbers w:val="0"/>
              <w:jc w:val="center"/>
              <w:textAlignment w:val="center"/>
              <w:rPr>
                <w:rFonts w:hint="eastAsia" w:ascii="Times New Roman" w:hAnsi="Times New Roman" w:cs="Times New Roman"/>
                <w:vertAlign w:val="baseline"/>
                <w:lang w:val="en-US" w:eastAsia="zh-CN"/>
              </w:rPr>
            </w:pPr>
            <w:r>
              <w:rPr>
                <w:rFonts w:hint="eastAsia" w:ascii="宋体" w:hAnsi="宋体" w:eastAsia="宋体" w:cs="宋体"/>
                <w:i w:val="0"/>
                <w:iCs w:val="0"/>
                <w:color w:val="000000"/>
                <w:kern w:val="0"/>
                <w:sz w:val="21"/>
                <w:szCs w:val="21"/>
                <w:u w:val="none"/>
                <w:lang w:val="en-US" w:eastAsia="zh-CN" w:bidi="ar"/>
              </w:rPr>
              <w:t>电缆井</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座</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keepNext w:val="0"/>
              <w:keepLines w:val="0"/>
              <w:widowControl/>
              <w:suppressLineNumbers w:val="0"/>
              <w:jc w:val="center"/>
              <w:textAlignment w:val="center"/>
              <w:rPr>
                <w:rFonts w:hint="eastAsia" w:ascii="Times New Roman" w:hAnsi="Times New Roman" w:cs="Times New Roman"/>
                <w:vertAlign w:val="baseline"/>
                <w:lang w:val="en-US" w:eastAsia="zh-CN"/>
              </w:rPr>
            </w:pPr>
            <w:r>
              <w:rPr>
                <w:rFonts w:hint="eastAsia" w:ascii="宋体" w:hAnsi="宋体" w:eastAsia="宋体" w:cs="宋体"/>
                <w:i w:val="0"/>
                <w:iCs w:val="0"/>
                <w:color w:val="000000"/>
                <w:kern w:val="0"/>
                <w:sz w:val="21"/>
                <w:szCs w:val="21"/>
                <w:u w:val="none"/>
                <w:lang w:val="en-US" w:eastAsia="zh-CN" w:bidi="ar"/>
              </w:rPr>
              <w:t>6</w:t>
            </w:r>
          </w:p>
        </w:tc>
        <w:tc>
          <w:tcPr>
            <w:tcW w:w="1134" w:type="dxa"/>
            <w:vAlign w:val="center"/>
          </w:tcPr>
          <w:p>
            <w:pPr>
              <w:keepNext w:val="0"/>
              <w:keepLines w:val="0"/>
              <w:widowControl/>
              <w:suppressLineNumbers w:val="0"/>
              <w:jc w:val="center"/>
              <w:textAlignment w:val="center"/>
              <w:rPr>
                <w:rFonts w:hint="eastAsia" w:ascii="Times New Roman" w:hAnsi="Times New Roman" w:cs="Times New Roman"/>
                <w:vertAlign w:val="baseline"/>
                <w:lang w:val="en-US" w:eastAsia="zh-CN"/>
              </w:rPr>
            </w:pPr>
            <w:r>
              <w:rPr>
                <w:rFonts w:hint="eastAsia" w:ascii="宋体" w:hAnsi="宋体" w:eastAsia="宋体" w:cs="宋体"/>
                <w:i w:val="0"/>
                <w:iCs w:val="0"/>
                <w:color w:val="000000"/>
                <w:kern w:val="0"/>
                <w:sz w:val="21"/>
                <w:szCs w:val="21"/>
                <w:u w:val="none"/>
                <w:lang w:val="en-US" w:eastAsia="zh-CN" w:bidi="ar"/>
              </w:rPr>
              <w:t>充电桩安装</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台</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8</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keepNext w:val="0"/>
              <w:keepLines w:val="0"/>
              <w:widowControl/>
              <w:suppressLineNumbers w:val="0"/>
              <w:jc w:val="center"/>
              <w:textAlignment w:val="center"/>
              <w:rPr>
                <w:rFonts w:hint="eastAsia" w:ascii="Times New Roman" w:hAnsi="Times New Roman" w:cs="Times New Roman"/>
                <w:vertAlign w:val="baseline"/>
                <w:lang w:val="en-US" w:eastAsia="zh-CN"/>
              </w:rPr>
            </w:pPr>
            <w:r>
              <w:rPr>
                <w:rFonts w:hint="eastAsia" w:ascii="宋体" w:hAnsi="宋体" w:eastAsia="宋体" w:cs="宋体"/>
                <w:i w:val="0"/>
                <w:iCs w:val="0"/>
                <w:color w:val="000000"/>
                <w:kern w:val="0"/>
                <w:sz w:val="21"/>
                <w:szCs w:val="21"/>
                <w:u w:val="none"/>
                <w:lang w:val="en-US" w:eastAsia="zh-CN" w:bidi="ar"/>
              </w:rPr>
              <w:t>7</w:t>
            </w:r>
          </w:p>
        </w:tc>
        <w:tc>
          <w:tcPr>
            <w:tcW w:w="1134" w:type="dxa"/>
            <w:vAlign w:val="center"/>
          </w:tcPr>
          <w:p>
            <w:pPr>
              <w:keepNext w:val="0"/>
              <w:keepLines w:val="0"/>
              <w:widowControl/>
              <w:suppressLineNumbers w:val="0"/>
              <w:jc w:val="center"/>
              <w:textAlignment w:val="center"/>
              <w:rPr>
                <w:rFonts w:hint="eastAsia" w:ascii="Times New Roman" w:hAnsi="Times New Roman" w:cs="Times New Roman"/>
                <w:vertAlign w:val="baseline"/>
                <w:lang w:val="en-US" w:eastAsia="zh-CN"/>
              </w:rPr>
            </w:pPr>
            <w:r>
              <w:rPr>
                <w:rFonts w:hint="eastAsia" w:ascii="宋体" w:hAnsi="宋体" w:eastAsia="宋体" w:cs="宋体"/>
                <w:i w:val="0"/>
                <w:iCs w:val="0"/>
                <w:color w:val="000000"/>
                <w:kern w:val="0"/>
                <w:sz w:val="21"/>
                <w:szCs w:val="21"/>
                <w:u w:val="none"/>
                <w:lang w:val="en-US" w:eastAsia="zh-CN" w:bidi="ar"/>
              </w:rPr>
              <w:t>原有电缆拆除</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项</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keepNext w:val="0"/>
              <w:keepLines w:val="0"/>
              <w:widowControl/>
              <w:suppressLineNumbers w:val="0"/>
              <w:jc w:val="center"/>
              <w:textAlignment w:val="center"/>
              <w:rPr>
                <w:rFonts w:hint="eastAsia" w:ascii="Times New Roman" w:hAnsi="Times New Roman" w:cs="Times New Roman"/>
                <w:vertAlign w:val="baseline"/>
                <w:lang w:val="en-US" w:eastAsia="zh-CN"/>
              </w:rPr>
            </w:pPr>
            <w:r>
              <w:rPr>
                <w:rFonts w:hint="eastAsia" w:ascii="宋体" w:hAnsi="宋体" w:eastAsia="宋体" w:cs="宋体"/>
                <w:i w:val="0"/>
                <w:iCs w:val="0"/>
                <w:color w:val="000000"/>
                <w:kern w:val="0"/>
                <w:sz w:val="21"/>
                <w:szCs w:val="21"/>
                <w:u w:val="none"/>
                <w:lang w:val="en-US" w:eastAsia="zh-CN" w:bidi="ar"/>
              </w:rPr>
              <w:t>8</w:t>
            </w:r>
          </w:p>
        </w:tc>
        <w:tc>
          <w:tcPr>
            <w:tcW w:w="1134" w:type="dxa"/>
            <w:vAlign w:val="center"/>
          </w:tcPr>
          <w:p>
            <w:pPr>
              <w:keepNext w:val="0"/>
              <w:keepLines w:val="0"/>
              <w:widowControl/>
              <w:suppressLineNumbers w:val="0"/>
              <w:jc w:val="center"/>
              <w:textAlignment w:val="center"/>
              <w:rPr>
                <w:rFonts w:hint="eastAsia" w:ascii="Times New Roman" w:hAnsi="Times New Roman" w:cs="Times New Roman"/>
                <w:vertAlign w:val="baseline"/>
                <w:lang w:val="en-US" w:eastAsia="zh-CN"/>
              </w:rPr>
            </w:pPr>
            <w:r>
              <w:rPr>
                <w:rFonts w:hint="eastAsia" w:ascii="宋体" w:hAnsi="宋体" w:eastAsia="宋体" w:cs="宋体"/>
                <w:i w:val="0"/>
                <w:iCs w:val="0"/>
                <w:color w:val="000000"/>
                <w:kern w:val="0"/>
                <w:sz w:val="21"/>
                <w:szCs w:val="21"/>
                <w:u w:val="none"/>
                <w:lang w:val="en-US" w:eastAsia="zh-CN" w:bidi="ar"/>
              </w:rPr>
              <w:t>充电桩拆除</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项</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需恢复原始地貌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keepNext w:val="0"/>
              <w:keepLines w:val="0"/>
              <w:widowControl/>
              <w:suppressLineNumbers w:val="0"/>
              <w:jc w:val="center"/>
              <w:textAlignment w:val="center"/>
              <w:rPr>
                <w:rFonts w:hint="eastAsia" w:ascii="Times New Roman" w:hAnsi="Times New Roman" w:cs="Times New Roman"/>
                <w:vertAlign w:val="baseline"/>
                <w:lang w:val="en-US" w:eastAsia="zh-CN"/>
              </w:rPr>
            </w:pPr>
            <w:r>
              <w:rPr>
                <w:rFonts w:hint="eastAsia" w:ascii="宋体" w:hAnsi="宋体" w:eastAsia="宋体" w:cs="宋体"/>
                <w:i w:val="0"/>
                <w:iCs w:val="0"/>
                <w:color w:val="000000"/>
                <w:kern w:val="0"/>
                <w:sz w:val="21"/>
                <w:szCs w:val="21"/>
                <w:u w:val="none"/>
                <w:lang w:val="en-US" w:eastAsia="zh-CN" w:bidi="ar"/>
              </w:rPr>
              <w:t>9</w:t>
            </w:r>
          </w:p>
        </w:tc>
        <w:tc>
          <w:tcPr>
            <w:tcW w:w="1134" w:type="dxa"/>
            <w:vAlign w:val="center"/>
          </w:tcPr>
          <w:p>
            <w:pPr>
              <w:keepNext w:val="0"/>
              <w:keepLines w:val="0"/>
              <w:widowControl/>
              <w:suppressLineNumbers w:val="0"/>
              <w:jc w:val="center"/>
              <w:textAlignment w:val="center"/>
              <w:rPr>
                <w:rFonts w:hint="eastAsia" w:ascii="Times New Roman" w:hAnsi="Times New Roman" w:cs="Times New Roman"/>
                <w:vertAlign w:val="baseline"/>
                <w:lang w:val="en-US" w:eastAsia="zh-CN"/>
              </w:rPr>
            </w:pPr>
            <w:r>
              <w:rPr>
                <w:rFonts w:hint="eastAsia" w:ascii="宋体" w:hAnsi="宋体" w:eastAsia="宋体" w:cs="宋体"/>
                <w:i w:val="0"/>
                <w:iCs w:val="0"/>
                <w:color w:val="000000"/>
                <w:kern w:val="0"/>
                <w:sz w:val="21"/>
                <w:szCs w:val="21"/>
                <w:u w:val="none"/>
                <w:lang w:val="en-US" w:eastAsia="zh-CN" w:bidi="ar"/>
              </w:rPr>
              <w:t>道路恢复</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项</w:t>
            </w:r>
          </w:p>
        </w:tc>
        <w:tc>
          <w:tcPr>
            <w:tcW w:w="1134" w:type="dxa"/>
            <w:vAlign w:val="center"/>
          </w:tcPr>
          <w:p>
            <w:pPr>
              <w:keepNext w:val="0"/>
              <w:keepLines w:val="0"/>
              <w:widowControl/>
              <w:suppressLineNumbers w:val="0"/>
              <w:jc w:val="center"/>
              <w:textAlignment w:val="center"/>
              <w:rPr>
                <w:rFonts w:hint="default" w:ascii="Times New Roman" w:hAnsi="Times New Roman" w:cs="Times New Roman"/>
                <w:vertAlign w:val="baseline"/>
              </w:rPr>
            </w:pPr>
            <w:r>
              <w:rPr>
                <w:rFonts w:hint="eastAsia" w:ascii="宋体" w:hAnsi="宋体" w:eastAsia="宋体" w:cs="宋体"/>
                <w:i w:val="0"/>
                <w:iCs w:val="0"/>
                <w:color w:val="000000"/>
                <w:kern w:val="0"/>
                <w:sz w:val="21"/>
                <w:szCs w:val="21"/>
                <w:u w:val="none"/>
                <w:lang w:val="en-US" w:eastAsia="zh-CN" w:bidi="ar"/>
              </w:rPr>
              <w:t>1</w:t>
            </w:r>
          </w:p>
        </w:tc>
        <w:tc>
          <w:tcPr>
            <w:tcW w:w="1134" w:type="dxa"/>
            <w:vAlign w:val="center"/>
          </w:tcPr>
          <w:p>
            <w:pPr>
              <w:jc w:val="center"/>
              <w:rPr>
                <w:rFonts w:hint="default" w:ascii="Times New Roman" w:hAnsi="Times New Roman" w:cs="Times New Roman"/>
                <w:vertAlign w:val="baseline"/>
              </w:rPr>
            </w:pP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5"/>
            <w:vAlign w:val="center"/>
          </w:tcPr>
          <w:p>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合计报价（含税9%）</w:t>
            </w:r>
          </w:p>
        </w:tc>
        <w:tc>
          <w:tcPr>
            <w:tcW w:w="1134"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center"/>
        <w:textAlignment w:val="auto"/>
        <w:outlineLvl w:val="9"/>
        <w:rPr>
          <w:rFonts w:hint="default" w:ascii="Times New Roman" w:hAnsi="Times New Roman" w:eastAsia="方正仿宋_GBK" w:cs="Times New Roman"/>
          <w:i w:val="0"/>
          <w:iCs w:val="0"/>
          <w:caps w:val="0"/>
          <w:color w:val="auto"/>
          <w:spacing w:val="0"/>
          <w:sz w:val="32"/>
          <w:szCs w:val="32"/>
        </w:rPr>
      </w:pPr>
      <w:r>
        <w:rPr>
          <w:rFonts w:hint="eastAsia" w:ascii="黑体" w:hAnsi="黑体" w:eastAsia="黑体" w:cs="黑体"/>
          <w:b w:val="0"/>
          <w:bCs w:val="0"/>
          <w:color w:val="000000"/>
          <w:sz w:val="32"/>
          <w:szCs w:val="32"/>
          <w:lang w:val="en-US" w:eastAsia="zh-CN"/>
        </w:rPr>
        <w:t>四、资格审查料</w:t>
      </w:r>
      <w:permStart w:id="4" w:edGrp="everyone"/>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注：</w:t>
      </w:r>
      <w:r>
        <w:rPr>
          <w:rFonts w:hint="default" w:ascii="Times New Roman" w:hAnsi="Times New Roman" w:cs="Times New Roman"/>
          <w:szCs w:val="21"/>
          <w:lang w:val="en-US" w:eastAsia="zh-CN"/>
        </w:rPr>
        <w:t>1.法人授权委托书原件一份（附法人代表和授权代理人身份证复印件，并加盖单位公章）；</w:t>
      </w:r>
    </w:p>
    <w:permEnd w:id="4"/>
    <w:p>
      <w:pPr>
        <w:topLinePunct/>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2.营业执照副本（复印件加盖公章）；</w:t>
      </w:r>
    </w:p>
    <w:p>
      <w:pPr>
        <w:topLinePunct/>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3.投标报价材料</w:t>
      </w:r>
      <w:r>
        <w:rPr>
          <w:rFonts w:hint="eastAsia" w:ascii="Times New Roman" w:hAnsi="Times New Roman" w:cs="Times New Roman"/>
          <w:szCs w:val="21"/>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4.具备电力工程施工总承包三级及以上资质或输变电工程专业承包三级及以上资质，</w:t>
      </w:r>
      <w:r>
        <w:rPr>
          <w:rFonts w:hint="eastAsia" w:ascii="Times New Roman" w:hAnsi="Times New Roman" w:cs="Times New Roman"/>
          <w:szCs w:val="21"/>
          <w:lang w:val="en-US" w:eastAsia="zh-CN"/>
        </w:rPr>
        <w:t>且具备在</w:t>
      </w:r>
      <w:r>
        <w:rPr>
          <w:rFonts w:hint="default" w:ascii="Times New Roman" w:hAnsi="Times New Roman" w:cs="Times New Roman"/>
          <w:szCs w:val="21"/>
          <w:lang w:val="en-US" w:eastAsia="zh-CN"/>
        </w:rPr>
        <w:t>有效期内的安全生产许可证。</w:t>
      </w:r>
      <w:r>
        <w:rPr>
          <w:rFonts w:hint="eastAsia" w:ascii="Times New Roman" w:hAnsi="Times New Roman" w:cs="Times New Roman"/>
          <w:szCs w:val="21"/>
          <w:lang w:val="en-US" w:eastAsia="zh-CN"/>
        </w:rPr>
        <w:t>；同时具备承装（修、试）电力设施许可证，承装类五级及以上、承修类五级及以上、承试类五级及以上资质;</w:t>
      </w: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w:t>
      </w:r>
      <w:r>
        <w:rPr>
          <w:rFonts w:hint="default" w:ascii="Times New Roman" w:hAnsi="Times New Roman" w:cs="Times New Roman"/>
          <w:szCs w:val="21"/>
          <w:lang w:val="en-US" w:eastAsia="zh-CN"/>
        </w:rPr>
        <w:t>投标人自2019年</w:t>
      </w:r>
      <w:r>
        <w:rPr>
          <w:rFonts w:hint="eastAsia" w:ascii="Times New Roman" w:hAnsi="Times New Roman" w:cs="Times New Roman"/>
          <w:szCs w:val="21"/>
          <w:lang w:val="en-US" w:eastAsia="zh-CN"/>
        </w:rPr>
        <w:t>9</w:t>
      </w:r>
      <w:r>
        <w:rPr>
          <w:rFonts w:hint="default" w:ascii="Times New Roman" w:hAnsi="Times New Roman" w:cs="Times New Roman"/>
          <w:szCs w:val="21"/>
          <w:lang w:val="en-US" w:eastAsia="zh-CN"/>
        </w:rPr>
        <w:t>月至202</w:t>
      </w:r>
      <w:r>
        <w:rPr>
          <w:rFonts w:hint="eastAsia" w:ascii="Times New Roman" w:hAnsi="Times New Roman" w:cs="Times New Roman"/>
          <w:szCs w:val="21"/>
          <w:lang w:val="en-US" w:eastAsia="zh-CN"/>
        </w:rPr>
        <w:t>3</w:t>
      </w:r>
      <w:r>
        <w:rPr>
          <w:rFonts w:hint="default" w:ascii="Times New Roman" w:hAnsi="Times New Roman" w:cs="Times New Roman"/>
          <w:szCs w:val="21"/>
          <w:lang w:val="en-US" w:eastAsia="zh-CN"/>
        </w:rPr>
        <w:t>年</w:t>
      </w:r>
      <w:r>
        <w:rPr>
          <w:rFonts w:hint="eastAsia" w:ascii="Times New Roman" w:hAnsi="Times New Roman" w:cs="Times New Roman"/>
          <w:szCs w:val="21"/>
          <w:lang w:val="en-US" w:eastAsia="zh-CN"/>
        </w:rPr>
        <w:t>9</w:t>
      </w:r>
      <w:r>
        <w:rPr>
          <w:rFonts w:hint="default" w:ascii="Times New Roman" w:hAnsi="Times New Roman" w:cs="Times New Roman"/>
          <w:szCs w:val="21"/>
          <w:lang w:val="en-US" w:eastAsia="zh-CN"/>
        </w:rPr>
        <w:t>月止，投标人至少承担过</w:t>
      </w:r>
      <w:r>
        <w:rPr>
          <w:rFonts w:hint="eastAsia" w:ascii="Times New Roman" w:hAnsi="Times New Roman" w:cs="Times New Roman"/>
          <w:szCs w:val="21"/>
          <w:lang w:val="en-US" w:eastAsia="zh-CN"/>
        </w:rPr>
        <w:t>1</w:t>
      </w:r>
      <w:r>
        <w:rPr>
          <w:rFonts w:hint="default" w:ascii="Times New Roman" w:hAnsi="Times New Roman" w:cs="Times New Roman"/>
          <w:szCs w:val="21"/>
          <w:lang w:val="en-US" w:eastAsia="zh-CN"/>
        </w:rPr>
        <w:t>个单项合同金额</w:t>
      </w:r>
      <w:r>
        <w:rPr>
          <w:rFonts w:hint="eastAsia" w:ascii="Times New Roman" w:hAnsi="Times New Roman" w:cs="Times New Roman"/>
          <w:szCs w:val="21"/>
          <w:lang w:val="en-US" w:eastAsia="zh-CN"/>
        </w:rPr>
        <w:t>6</w:t>
      </w:r>
      <w:r>
        <w:rPr>
          <w:rFonts w:hint="default" w:ascii="Times New Roman" w:hAnsi="Times New Roman" w:cs="Times New Roman"/>
          <w:szCs w:val="21"/>
          <w:lang w:val="en-US" w:eastAsia="zh-CN"/>
        </w:rPr>
        <w:t>万元及以上的电力工程类似业绩【类似工程业绩：提供合同原件扫描件，以合同签订时间为准】</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textAlignment w:val="auto"/>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6.信誉证明材料（“信用中国”（www.creditchina.gov.cn）发布的为准，有限制期限的按规定期限执行（以现场查询为准）。</w:t>
      </w:r>
    </w:p>
    <w:p>
      <w:pPr>
        <w:keepNext w:val="0"/>
        <w:keepLines w:val="0"/>
        <w:pageBreakBefore w:val="0"/>
        <w:widowControl w:val="0"/>
        <w:kinsoku/>
        <w:wordWrap w:val="0"/>
        <w:overflowPunct/>
        <w:topLinePunct w:val="0"/>
        <w:autoSpaceDE/>
        <w:autoSpaceDN/>
        <w:bidi w:val="0"/>
        <w:adjustRightInd/>
        <w:snapToGrid/>
        <w:spacing w:line="480" w:lineRule="exact"/>
        <w:ind w:firstLine="420" w:firstLineChars="200"/>
        <w:textAlignment w:val="auto"/>
        <w:rPr>
          <w:rFonts w:hint="default" w:ascii="Times New Roman" w:hAnsi="Times New Roman" w:cs="Times New Roman"/>
          <w:szCs w:val="21"/>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default" w:ascii="Times New Roman" w:hAnsi="Times New Roman" w:cs="Times New Roman"/>
          <w:szCs w:val="21"/>
          <w:lang w:val="en-US" w:eastAsia="zh-CN"/>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auto"/>
          <w:spacing w:val="0"/>
          <w:kern w:val="0"/>
          <w:sz w:val="32"/>
          <w:szCs w:val="32"/>
          <w:lang w:val="en-US" w:eastAsia="zh-CN" w:bidi="ar"/>
        </w:rPr>
      </w:pPr>
    </w:p>
    <w:p>
      <w:pPr>
        <w:topLinePunct/>
        <w:spacing w:line="440" w:lineRule="exact"/>
        <w:ind w:firstLine="420" w:firstLineChars="200"/>
        <w:rPr>
          <w:rFonts w:hint="default"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rPr>
          <w:rFonts w:hint="eastAsia"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五、其他资料</w:t>
      </w:r>
    </w:p>
    <w:p>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xMjQzY2U0N2M3ZGNjOWMxYzBjZWM4ODk3NGUzOTE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3D458E"/>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C51EAD"/>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EF57FF"/>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EB40AC"/>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485FA1"/>
    <w:rsid w:val="1D576A44"/>
    <w:rsid w:val="1D5835F0"/>
    <w:rsid w:val="1D5D4990"/>
    <w:rsid w:val="1D6539B3"/>
    <w:rsid w:val="1D8C5045"/>
    <w:rsid w:val="1D9244F8"/>
    <w:rsid w:val="1D931CEA"/>
    <w:rsid w:val="1DA0794B"/>
    <w:rsid w:val="1DB82722"/>
    <w:rsid w:val="1DBC6F05"/>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3EA35AC"/>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6A1341"/>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04EE"/>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4E4F3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4B691C"/>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7C381D"/>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457E2"/>
    <w:rsid w:val="6A4F7CF0"/>
    <w:rsid w:val="6A5517EC"/>
    <w:rsid w:val="6A694BA1"/>
    <w:rsid w:val="6A734205"/>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22598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83DCD"/>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B135F"/>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14A8D"/>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C30A92"/>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paragraph" w:styleId="5">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p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Indent"/>
    <w:basedOn w:val="1"/>
    <w:qFormat/>
    <w:uiPriority w:val="0"/>
    <w:pPr>
      <w:spacing w:after="120" w:afterLines="0"/>
      <w:ind w:left="420" w:leftChars="200"/>
    </w:pPr>
  </w:style>
  <w:style w:type="paragraph" w:styleId="10">
    <w:name w:val="Plain Text"/>
    <w:basedOn w:val="1"/>
    <w:qFormat/>
    <w:uiPriority w:val="0"/>
    <w:rPr>
      <w:rFonts w:ascii="宋体" w:hAnsi="Courier New"/>
      <w:szCs w:val="20"/>
    </w:rPr>
  </w:style>
  <w:style w:type="paragraph" w:styleId="11">
    <w:name w:val="Body Text Indent 2"/>
    <w:basedOn w:val="1"/>
    <w:qFormat/>
    <w:uiPriority w:val="0"/>
    <w:pPr>
      <w:spacing w:after="120" w:afterLines="0" w:afterAutospacing="0" w:line="480" w:lineRule="auto"/>
      <w:ind w:left="420" w:leftChars="200"/>
    </w:p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5"/>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6"/>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1860</Words>
  <Characters>1927</Characters>
  <Lines>0</Lines>
  <Paragraphs>0</Paragraphs>
  <TotalTime>3</TotalTime>
  <ScaleCrop>false</ScaleCrop>
  <LinksUpToDate>false</LinksUpToDate>
  <CharactersWithSpaces>2721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脸大的人</cp:lastModifiedBy>
  <cp:lastPrinted>2023-11-14T09:38:00Z</cp:lastPrinted>
  <dcterms:modified xsi:type="dcterms:W3CDTF">2023-11-15T02:36:43Z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6F91E10C15BD46BC9C823ACA516713E4_13</vt:lpwstr>
  </property>
</Properties>
</file>