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亳州交控智能零碳光储直柔停车场项目劳务</w:t>
      </w:r>
      <w:r>
        <w:rPr>
          <w:rFonts w:hint="eastAsia" w:ascii="Times New Roman" w:hAnsi="Times New Roman" w:eastAsia="黑体" w:cs="Times New Roman"/>
          <w:kern w:val="0"/>
          <w:sz w:val="32"/>
          <w:szCs w:val="32"/>
          <w:lang w:eastAsia="zh-CN"/>
        </w:rPr>
        <w:t>分包</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0"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rPr>
        <w:t xml:space="preserve"> 036 </w:t>
      </w:r>
      <w:r>
        <w:rPr>
          <w:rFonts w:ascii="Times New Roman" w:hAnsi="Times New Roman" w:eastAsia="楷体" w:cs="Times New Roman"/>
          <w:kern w:val="0"/>
          <w:sz w:val="28"/>
          <w:szCs w:val="28"/>
        </w:rPr>
        <w:t>号</w:t>
      </w:r>
      <w:permEnd w:id="0"/>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rPr>
        <w:t>安徽通康建设工程有限公司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1" w:edGrp="everyone"/>
      <w:r>
        <w:rPr>
          <w:rFonts w:hint="eastAsia" w:ascii="Times New Roman" w:hAnsi="Times New Roman" w:eastAsia="楷体" w:cs="Times New Roman"/>
          <w:kern w:val="0"/>
          <w:sz w:val="32"/>
          <w:szCs w:val="32"/>
        </w:rPr>
        <w:t xml:space="preserve"> 2023年11 月</w:t>
      </w:r>
      <w:r>
        <w:rPr>
          <w:rFonts w:hint="eastAsia" w:ascii="Times New Roman" w:hAnsi="Times New Roman" w:eastAsia="楷体" w:cs="Times New Roman"/>
          <w:kern w:val="0"/>
          <w:sz w:val="32"/>
          <w:szCs w:val="32"/>
          <w:lang w:val="en-US" w:eastAsia="zh-CN"/>
        </w:rPr>
        <w:t>3</w:t>
      </w:r>
      <w:r>
        <w:rPr>
          <w:rFonts w:hint="eastAsia" w:ascii="Times New Roman" w:hAnsi="Times New Roman" w:eastAsia="楷体" w:cs="Times New Roman"/>
          <w:kern w:val="0"/>
          <w:sz w:val="32"/>
          <w:szCs w:val="32"/>
        </w:rPr>
        <w:t xml:space="preserve"> 日</w:t>
      </w:r>
      <w:permEnd w:id="1"/>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2" w:edGrp="everyone"/>
      <w:r>
        <w:rPr>
          <w:rFonts w:ascii="Times New Roman" w:hAnsi="Times New Roman" w:eastAsia="黑体" w:cs="Times New Roman"/>
          <w:kern w:val="0"/>
          <w:sz w:val="32"/>
          <w:szCs w:val="32"/>
        </w:rPr>
        <w:t>第一章 招标公告.......................................................................1</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rPr>
        <w:t>5</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22</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28</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lang w:val="en-US" w:eastAsia="zh-CN"/>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技术标准和要求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31</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lang w:val="en-US" w:eastAsia="zh-CN"/>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32</w:t>
      </w:r>
    </w:p>
    <w:permEnd w:id="2"/>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wordWrap w:val="0"/>
        <w:spacing w:line="480" w:lineRule="exact"/>
        <w:jc w:val="center"/>
        <w:rPr>
          <w:rFonts w:hint="eastAsia" w:ascii="Times New Roman" w:hAnsi="Times New Roman" w:eastAsia="黑体" w:cs="Times New Roman"/>
          <w:sz w:val="28"/>
          <w:szCs w:val="28"/>
        </w:rPr>
      </w:pPr>
    </w:p>
    <w:p>
      <w:pPr>
        <w:wordWrap w:val="0"/>
        <w:spacing w:line="480" w:lineRule="exact"/>
        <w:jc w:val="center"/>
        <w:rPr>
          <w:rFonts w:ascii="黑体" w:hAnsi="黑体" w:eastAsia="黑体" w:cs="黑体"/>
          <w:sz w:val="28"/>
          <w:szCs w:val="28"/>
        </w:rPr>
      </w:pPr>
      <w:r>
        <w:rPr>
          <w:rFonts w:hint="eastAsia" w:ascii="Times New Roman" w:hAnsi="Times New Roman" w:eastAsia="黑体" w:cs="Times New Roman"/>
          <w:sz w:val="28"/>
          <w:szCs w:val="28"/>
        </w:rPr>
        <w:t>亳州交控智能零碳光储直柔停车场项目劳务</w:t>
      </w:r>
      <w:r>
        <w:rPr>
          <w:rFonts w:hint="eastAsia" w:ascii="Times New Roman" w:hAnsi="Times New Roman" w:eastAsia="黑体" w:cs="Times New Roman"/>
          <w:sz w:val="28"/>
          <w:szCs w:val="28"/>
          <w:lang w:eastAsia="zh-CN"/>
        </w:rPr>
        <w:t>分包</w:t>
      </w:r>
      <w:r>
        <w:rPr>
          <w:rFonts w:hint="eastAsia" w:ascii="Times New Roman" w:hAnsi="Times New Roman" w:eastAsia="黑体" w:cs="Times New Roman"/>
          <w:sz w:val="28"/>
          <w:szCs w:val="28"/>
        </w:rPr>
        <w:t>招标公告</w:t>
      </w:r>
      <w:bookmarkStart w:id="0" w:name="_Toc144974487"/>
      <w:bookmarkStart w:id="1" w:name="_Toc152042295"/>
      <w:bookmarkStart w:id="2" w:name="_Toc152045519"/>
      <w:bookmarkStart w:id="3" w:name="_Toc247085680"/>
      <w:bookmarkStart w:id="4" w:name="_Toc296602410"/>
      <w:bookmarkStart w:id="5" w:name="_Toc246996909"/>
      <w:bookmarkStart w:id="6" w:name="_Toc179632536"/>
      <w:bookmarkStart w:id="7" w:name="_Toc246996166"/>
    </w:p>
    <w:p>
      <w:pPr>
        <w:wordWrap w:val="0"/>
        <w:spacing w:line="480" w:lineRule="exact"/>
        <w:ind w:firstLine="560" w:firstLineChars="200"/>
        <w:rPr>
          <w:rFonts w:hint="eastAsia" w:ascii="黑体" w:hAnsi="黑体" w:eastAsia="黑体" w:cs="黑体"/>
          <w:sz w:val="28"/>
          <w:szCs w:val="28"/>
        </w:rPr>
      </w:pPr>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560" w:firstLineChars="200"/>
        <w:rPr>
          <w:rFonts w:hint="eastAsia" w:asciiTheme="minorEastAsia" w:hAnsiTheme="minorEastAsia" w:cstheme="minorEastAsia"/>
          <w:sz w:val="28"/>
          <w:szCs w:val="28"/>
        </w:rPr>
      </w:pPr>
      <w:bookmarkStart w:id="8" w:name="_Toc152042296"/>
      <w:bookmarkStart w:id="9" w:name="_Toc179632537"/>
      <w:bookmarkStart w:id="10" w:name="_Toc152045520"/>
      <w:bookmarkStart w:id="11" w:name="_Toc246996167"/>
      <w:bookmarkStart w:id="12" w:name="_Toc246996910"/>
      <w:bookmarkStart w:id="13" w:name="_Toc247085681"/>
      <w:bookmarkStart w:id="14" w:name="_Toc144974488"/>
      <w:bookmarkStart w:id="15" w:name="_Toc296602411"/>
      <w:r>
        <w:rPr>
          <w:rFonts w:hint="eastAsia" w:asciiTheme="minorEastAsia" w:hAnsiTheme="minorEastAsia" w:cstheme="minorEastAsia"/>
          <w:sz w:val="28"/>
          <w:szCs w:val="28"/>
        </w:rPr>
        <w:t>（一）项目名称：</w:t>
      </w:r>
      <w:permStart w:id="3" w:edGrp="everyone"/>
      <w:r>
        <w:rPr>
          <w:rFonts w:hint="eastAsia" w:asciiTheme="minorEastAsia" w:hAnsiTheme="minorEastAsia" w:cstheme="minorEastAsia"/>
          <w:sz w:val="28"/>
          <w:szCs w:val="28"/>
        </w:rPr>
        <w:t>亳州交控智能零碳光储直柔停车场项目劳务</w:t>
      </w:r>
      <w:r>
        <w:rPr>
          <w:rFonts w:hint="eastAsia" w:asciiTheme="minorEastAsia" w:hAnsiTheme="minorEastAsia" w:cstheme="minorEastAsia"/>
          <w:sz w:val="28"/>
          <w:szCs w:val="28"/>
          <w:lang w:eastAsia="zh-CN"/>
        </w:rPr>
        <w:t>分包</w:t>
      </w:r>
    </w:p>
    <w:permEnd w:id="3"/>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（二）项目编号：</w:t>
      </w:r>
      <w:permStart w:id="4" w:edGrp="everyone"/>
      <w:r>
        <w:rPr>
          <w:rFonts w:hint="eastAsia" w:asciiTheme="minorEastAsia" w:hAnsiTheme="minorEastAsia" w:cstheme="minorEastAsia"/>
          <w:sz w:val="28"/>
          <w:szCs w:val="28"/>
        </w:rPr>
        <w:t xml:space="preserve"> </w:t>
      </w:r>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rPr>
        <w:t xml:space="preserve"> 036</w:t>
      </w:r>
      <w:r>
        <w:rPr>
          <w:rFonts w:hint="eastAsia" w:ascii="Times New Roman" w:hAnsi="Times New Roman" w:eastAsia="楷体" w:cs="Times New Roman"/>
          <w:kern w:val="0"/>
          <w:sz w:val="28"/>
          <w:szCs w:val="28"/>
          <w:u w:val="single"/>
          <w:lang w:val="en-US" w:eastAsia="zh-CN"/>
        </w:rPr>
        <w:t>号</w:t>
      </w:r>
      <w:r>
        <w:rPr>
          <w:rFonts w:hint="eastAsia" w:asciiTheme="minorEastAsia" w:hAnsiTheme="minorEastAsia" w:cstheme="minorEastAsia"/>
          <w:sz w:val="28"/>
          <w:szCs w:val="28"/>
        </w:rPr>
        <w:t xml:space="preserve"> </w:t>
      </w:r>
      <w:permEnd w:id="4"/>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（三）资金来源：</w:t>
      </w:r>
      <w:permStart w:id="5" w:edGrp="everyone"/>
      <w:r>
        <w:rPr>
          <w:rFonts w:hint="eastAsia" w:asciiTheme="minorEastAsia" w:hAnsiTheme="minorEastAsia" w:cstheme="minorEastAsia"/>
          <w:sz w:val="28"/>
          <w:szCs w:val="28"/>
        </w:rPr>
        <w:t xml:space="preserve"> 企业自筹 </w:t>
      </w:r>
    </w:p>
    <w:permEnd w:id="5"/>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（四）招标人：</w:t>
      </w:r>
      <w:permStart w:id="6" w:edGrp="everyone"/>
      <w:r>
        <w:rPr>
          <w:rFonts w:hint="eastAsia" w:asciiTheme="minorEastAsia" w:hAnsiTheme="minorEastAsia" w:cstheme="minorEastAsia"/>
          <w:sz w:val="28"/>
          <w:szCs w:val="28"/>
        </w:rPr>
        <w:t xml:space="preserve"> 安徽通康建设工程有限公司 </w:t>
      </w:r>
    </w:p>
    <w:permEnd w:id="6"/>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项目已具备招标条件，现对该项目的施工进行公开招标。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wordWrap w:val="0"/>
        <w:spacing w:line="480" w:lineRule="exact"/>
        <w:ind w:firstLine="560" w:firstLineChars="200"/>
        <w:rPr>
          <w:rFonts w:hint="default" w:ascii="Times New Roman" w:hAnsi="Times New Roman" w:cs="Times New Roman" w:eastAsiaTheme="minorEastAsia"/>
          <w:sz w:val="28"/>
          <w:szCs w:val="28"/>
          <w:lang w:val="en-US" w:eastAsia="zh-CN"/>
        </w:rPr>
      </w:pPr>
      <w:r>
        <w:rPr>
          <w:rFonts w:hint="eastAsia" w:asciiTheme="minorEastAsia" w:hAnsiTheme="minorEastAsia" w:cstheme="minorEastAsia"/>
          <w:sz w:val="28"/>
          <w:szCs w:val="28"/>
        </w:rPr>
        <w:t>（一）项目概况：</w:t>
      </w:r>
      <w:permStart w:id="7" w:edGrp="everyone"/>
      <w:r>
        <w:rPr>
          <w:rFonts w:hint="eastAsia" w:asciiTheme="minorEastAsia" w:hAnsiTheme="minorEastAsia" w:cstheme="minorEastAsia"/>
          <w:sz w:val="28"/>
          <w:szCs w:val="28"/>
        </w:rPr>
        <w:t>项目</w:t>
      </w:r>
      <w:r>
        <w:rPr>
          <w:rFonts w:asciiTheme="minorEastAsia" w:hAnsiTheme="minorEastAsia" w:cstheme="minorEastAsia"/>
          <w:sz w:val="28"/>
          <w:szCs w:val="28"/>
        </w:rPr>
        <w:t>位于</w:t>
      </w:r>
      <w:r>
        <w:rPr>
          <w:rFonts w:hint="eastAsia" w:asciiTheme="minorEastAsia" w:hAnsiTheme="minorEastAsia" w:cstheme="minorEastAsia"/>
          <w:sz w:val="28"/>
          <w:szCs w:val="28"/>
        </w:rPr>
        <w:t>建安路西侧，杜仲路北侧，</w:t>
      </w:r>
      <w:r>
        <w:rPr>
          <w:rFonts w:asciiTheme="minorEastAsia" w:hAnsiTheme="minorEastAsia" w:cstheme="minorEastAsia"/>
          <w:sz w:val="28"/>
          <w:szCs w:val="28"/>
        </w:rPr>
        <w:t>占地面积</w:t>
      </w:r>
      <w:r>
        <w:rPr>
          <w:rFonts w:hint="eastAsia" w:asciiTheme="minorEastAsia" w:hAnsiTheme="minorEastAsia" w:cstheme="minorEastAsia"/>
          <w:sz w:val="28"/>
          <w:szCs w:val="28"/>
        </w:rPr>
        <w:t>8470.2</w:t>
      </w:r>
      <w:r>
        <w:rPr>
          <w:rFonts w:asciiTheme="minorEastAsia" w:hAnsiTheme="minorEastAsia" w:cstheme="minorEastAsia"/>
          <w:sz w:val="28"/>
          <w:szCs w:val="28"/>
        </w:rPr>
        <w:t>平方米（约</w:t>
      </w:r>
      <w:r>
        <w:rPr>
          <w:rFonts w:hint="eastAsia" w:asciiTheme="minorEastAsia" w:hAnsiTheme="minorEastAsia" w:cstheme="minorEastAsia"/>
          <w:sz w:val="28"/>
          <w:szCs w:val="28"/>
        </w:rPr>
        <w:t>12.705</w:t>
      </w:r>
      <w:r>
        <w:rPr>
          <w:rFonts w:asciiTheme="minorEastAsia" w:hAnsiTheme="minorEastAsia" w:cstheme="minorEastAsia"/>
          <w:sz w:val="28"/>
          <w:szCs w:val="28"/>
        </w:rPr>
        <w:t>亩），总建筑面积约</w:t>
      </w:r>
      <w:r>
        <w:rPr>
          <w:rFonts w:hint="eastAsia" w:asciiTheme="minorEastAsia" w:hAnsiTheme="minorEastAsia" w:cstheme="minorEastAsia"/>
          <w:sz w:val="28"/>
          <w:szCs w:val="28"/>
        </w:rPr>
        <w:t>2000</w:t>
      </w:r>
      <w:r>
        <w:rPr>
          <w:rFonts w:asciiTheme="minorEastAsia" w:hAnsiTheme="minorEastAsia" w:cstheme="minorEastAsia"/>
          <w:sz w:val="28"/>
          <w:szCs w:val="28"/>
        </w:rPr>
        <w:t>平方米，施工内容包含零碳综合楼、72个直流充电终端、2座新能源汽车换电站、屋顶光伏、光伏车棚、储能柜、3台2000KVA变压器、新能源汽车停车位以及景观、道路、照明等附属设施</w:t>
      </w: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控制价预算约为</w:t>
      </w:r>
      <w:r>
        <w:rPr>
          <w:rFonts w:hint="eastAsia" w:asciiTheme="minorEastAsia" w:hAnsiTheme="minorEastAsia" w:cstheme="minorEastAsia"/>
          <w:sz w:val="28"/>
          <w:szCs w:val="28"/>
          <w:lang w:val="en-US" w:eastAsia="zh-CN"/>
        </w:rPr>
        <w:t>200万元</w:t>
      </w:r>
      <w:r>
        <w:rPr>
          <w:rFonts w:hint="eastAsia" w:asciiTheme="minorEastAsia" w:hAnsiTheme="minorEastAsia" w:cstheme="minorEastAsia"/>
          <w:sz w:val="28"/>
          <w:szCs w:val="28"/>
        </w:rPr>
        <w:t>。</w:t>
      </w:r>
      <w:permEnd w:id="7"/>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（二）招标范围：</w:t>
      </w:r>
      <w:permStart w:id="8" w:edGrp="everyone"/>
      <w:r>
        <w:rPr>
          <w:rFonts w:asciiTheme="minorEastAsia" w:hAnsiTheme="minorEastAsia" w:cstheme="minorEastAsia"/>
          <w:sz w:val="28"/>
          <w:szCs w:val="28"/>
        </w:rPr>
        <w:t>按施工图纸及工程量清单范围内，招标项目在达到竣工验收与整体移交状态之前所涉及的全部项目实体资产施工建造的全部劳务作业工作</w:t>
      </w:r>
      <w:r>
        <w:rPr>
          <w:rFonts w:hint="eastAsia" w:asciiTheme="minorEastAsia" w:hAnsiTheme="minorEastAsia" w:cstheme="minorEastAsia"/>
          <w:sz w:val="28"/>
          <w:szCs w:val="28"/>
        </w:rPr>
        <w:t>及辅材</w:t>
      </w:r>
      <w:r>
        <w:rPr>
          <w:rFonts w:asciiTheme="minorEastAsia" w:hAnsiTheme="minorEastAsia" w:cstheme="minorEastAsia"/>
          <w:sz w:val="28"/>
          <w:szCs w:val="28"/>
        </w:rPr>
        <w:t>(</w:t>
      </w:r>
      <w:r>
        <w:rPr>
          <w:rFonts w:hint="eastAsia" w:asciiTheme="minorEastAsia" w:hAnsiTheme="minorEastAsia" w:cstheme="minorEastAsia"/>
          <w:sz w:val="28"/>
          <w:szCs w:val="28"/>
        </w:rPr>
        <w:t>甲方直接分包、专业分包</w:t>
      </w:r>
      <w:r>
        <w:rPr>
          <w:rFonts w:asciiTheme="minorEastAsia" w:hAnsiTheme="minorEastAsia" w:cstheme="minorEastAsia"/>
          <w:sz w:val="28"/>
          <w:szCs w:val="28"/>
        </w:rPr>
        <w:t>除外)。</w:t>
      </w:r>
      <w:r>
        <w:rPr>
          <w:rFonts w:hint="eastAsia" w:asciiTheme="minorEastAsia" w:hAnsiTheme="minorEastAsia" w:cstheme="minorEastAsia"/>
          <w:sz w:val="28"/>
          <w:szCs w:val="28"/>
        </w:rPr>
        <w:t>包含施工图纸及工程量清单范围内人工及辅材，包模板支撑体系的搭设拆除、包二级箱以下的电线电缆及控制箱、施工照明灯具等、包小型机械、包辅助材料、包测量放线、包小型工具和设备、包质量、包工期、包安全、包劳保用品、包赶工费和误工费、包临时设施、包成品保护、包劳务作业人员社会保险、包竣工验收合格且一次性验收通过、包竣工验收后现场保洁及垃圾清运、包自负盈亏等，且不得转包</w:t>
      </w:r>
      <w:r>
        <w:rPr>
          <w:rFonts w:hint="eastAsia" w:asciiTheme="minorEastAsia" w:hAnsiTheme="minorEastAsia" w:cstheme="minorEastAsia"/>
          <w:color w:val="FF0000"/>
          <w:sz w:val="28"/>
          <w:szCs w:val="28"/>
        </w:rPr>
        <w:t>。</w:t>
      </w:r>
      <w:permEnd w:id="8"/>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w:t>
      </w:r>
      <w:permStart w:id="9" w:edGrp="everyone"/>
      <w:r>
        <w:rPr>
          <w:rFonts w:hint="eastAsia" w:ascii="宋体" w:hAnsi="宋体" w:eastAsia="宋体" w:cs="宋体"/>
          <w:sz w:val="28"/>
          <w:szCs w:val="28"/>
          <w:lang w:bidi="ar"/>
        </w:rPr>
        <w:t>符合国家、地方、行业现行相关规范合格标准</w:t>
      </w:r>
      <w:r>
        <w:rPr>
          <w:rFonts w:hint="eastAsia" w:asciiTheme="minorEastAsia" w:hAnsiTheme="minorEastAsia" w:cstheme="minorEastAsia"/>
          <w:sz w:val="28"/>
          <w:szCs w:val="28"/>
        </w:rPr>
        <w:t>。</w:t>
      </w:r>
      <w:permEnd w:id="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（四）计划工期：</w:t>
      </w:r>
      <w:permStart w:id="10" w:edGrp="everyone"/>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自合同签订之日起 6个月</w:t>
      </w:r>
      <w:permEnd w:id="10"/>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1" w:edGrp="everyone"/>
      <w:r>
        <w:rPr>
          <w:rFonts w:hint="eastAsia" w:asciiTheme="minorEastAsia" w:hAnsiTheme="minorEastAsia" w:cstheme="minorEastAsia"/>
          <w:sz w:val="28"/>
          <w:szCs w:val="28"/>
        </w:rPr>
        <w:t>（含税：3%）</w:t>
      </w:r>
      <w:permEnd w:id="11"/>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以后期建设单位编制完成的清单控制价（劳务部分）为基础，最高投标限价为基础的85%。</w:t>
      </w:r>
      <w:r>
        <w:rPr>
          <w:rFonts w:hint="eastAsia" w:asciiTheme="minorEastAsia" w:hAnsiTheme="minorEastAsia" w:cstheme="minorEastAsia"/>
          <w:sz w:val="28"/>
          <w:szCs w:val="28"/>
        </w:rPr>
        <w:t>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2" w:edGrp="everyone"/>
      <w:r>
        <w:rPr>
          <w:rFonts w:hint="eastAsia" w:asciiTheme="minorEastAsia" w:hAnsiTheme="minorEastAsia" w:cstheme="minorEastAsia"/>
          <w:sz w:val="28"/>
          <w:szCs w:val="28"/>
        </w:rPr>
        <w:t>独立法人资格</w:t>
      </w:r>
      <w:permEnd w:id="12"/>
      <w:r>
        <w:rPr>
          <w:rFonts w:hint="eastAsia" w:asciiTheme="minorEastAsia" w:hAnsiTheme="minorEastAsia" w:cstheme="minorEastAsia"/>
          <w:sz w:val="28"/>
          <w:szCs w:val="28"/>
        </w:rPr>
        <w:t>，并在人员、设备、资金等方面具有承担本工程施工的能力；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（二）具有</w:t>
      </w:r>
      <w:permStart w:id="13" w:edGrp="everyone"/>
      <w:r>
        <w:rPr>
          <w:rFonts w:hint="eastAsia" w:asciiTheme="minorEastAsia" w:hAnsiTheme="minorEastAsia" w:cstheme="minorEastAsia"/>
          <w:sz w:val="28"/>
          <w:szCs w:val="28"/>
          <w:u w:val="single"/>
        </w:rPr>
        <w:t xml:space="preserve"> 施工劳务 </w:t>
      </w:r>
      <w:permEnd w:id="13"/>
      <w:r>
        <w:rPr>
          <w:rFonts w:hint="eastAsia" w:asciiTheme="minorEastAsia" w:hAnsiTheme="minorEastAsia" w:cstheme="minorEastAsia"/>
          <w:sz w:val="28"/>
          <w:szCs w:val="28"/>
        </w:rPr>
        <w:t>资质；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（三）项目负责人具备</w:t>
      </w:r>
      <w:r>
        <w:rPr>
          <w:rFonts w:hint="eastAsia" w:asciiTheme="minorEastAsia" w:hAnsiTheme="minorEastAsia" w:cstheme="minorEastAsia"/>
          <w:sz w:val="28"/>
          <w:szCs w:val="28"/>
          <w:u w:val="single"/>
        </w:rPr>
        <w:t xml:space="preserve">  建筑工程相关专业</w:t>
      </w:r>
      <w:r>
        <w:rPr>
          <w:rFonts w:hint="eastAsia" w:asciiTheme="minorEastAsia" w:hAnsiTheme="minorEastAsia" w:cstheme="minorEastAsia"/>
          <w:color w:val="FF0000"/>
          <w:sz w:val="28"/>
          <w:szCs w:val="28"/>
          <w:u w:val="single"/>
        </w:rPr>
        <w:t xml:space="preserve"> </w:t>
      </w:r>
      <w:r>
        <w:rPr>
          <w:rFonts w:hint="eastAsia" w:asciiTheme="minorEastAsia" w:hAnsiTheme="minorEastAsia" w:cstheme="minorEastAsia"/>
          <w:sz w:val="28"/>
          <w:szCs w:val="28"/>
        </w:rPr>
        <w:t>中级专业技术职称资格。</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r>
        <w:rPr>
          <w:rFonts w:hint="eastAsia" w:asciiTheme="minorEastAsia" w:hAnsiTheme="minorEastAsia" w:cstheme="minorEastAsia"/>
          <w:sz w:val="28"/>
          <w:szCs w:val="28"/>
          <w:u w:val="single"/>
        </w:rPr>
        <w:t xml:space="preserve"> 2018</w:t>
      </w:r>
      <w:r>
        <w:rPr>
          <w:rFonts w:hint="eastAsia" w:asciiTheme="minorEastAsia" w:hAnsiTheme="minorEastAsia" w:cstheme="minorEastAsia"/>
          <w:sz w:val="28"/>
          <w:szCs w:val="28"/>
        </w:rPr>
        <w:t>年至今企业类似项目业绩</w:t>
      </w:r>
      <w:r>
        <w:rPr>
          <w:rFonts w:hint="eastAsia" w:asciiTheme="minorEastAsia" w:hAnsiTheme="minorEastAsia" w:cstheme="minorEastAsia"/>
          <w:sz w:val="28"/>
          <w:szCs w:val="28"/>
          <w:u w:val="single"/>
        </w:rPr>
        <w:t xml:space="preserve"> 1 </w:t>
      </w:r>
      <w:r>
        <w:rPr>
          <w:rFonts w:hint="eastAsia" w:asciiTheme="minorEastAsia" w:hAnsiTheme="minorEastAsia" w:cstheme="minorEastAsia"/>
          <w:sz w:val="28"/>
          <w:szCs w:val="28"/>
        </w:rPr>
        <w:t>个，以竣工验收时间为准。类似项目业绩指：</w:t>
      </w:r>
      <w:r>
        <w:rPr>
          <w:rFonts w:hint="eastAsia" w:asciiTheme="minorEastAsia" w:hAnsiTheme="minorEastAsia" w:cstheme="minorEastAsia"/>
          <w:sz w:val="28"/>
          <w:szCs w:val="28"/>
          <w:u w:val="single"/>
        </w:rPr>
        <w:t>单项合同金额不低于200万元的施工劳务（建筑工程类）业绩</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注：提供业绩合同、竣工验收文件（验收报告、验收备案表或业主证明等）</w:t>
      </w:r>
      <w:r>
        <w:rPr>
          <w:rFonts w:hint="eastAsia" w:asciiTheme="minorEastAsia" w:hAnsiTheme="minorEastAsia" w:cstheme="minorEastAsia"/>
          <w:sz w:val="28"/>
          <w:szCs w:val="28"/>
        </w:rPr>
        <w:t>等</w:t>
      </w:r>
      <w:r>
        <w:rPr>
          <w:rFonts w:asciiTheme="minorEastAsia" w:hAnsiTheme="minorEastAsia" w:cstheme="minorEastAsia"/>
          <w:sz w:val="28"/>
          <w:szCs w:val="28"/>
        </w:rPr>
        <w:t>复印件或扫描件装订入投标文件中。</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14" w:edGrp="everyone"/>
      <w:r>
        <w:rPr>
          <w:rFonts w:hint="eastAsia" w:asciiTheme="minorEastAsia" w:hAnsiTheme="minorEastAsia" w:cstheme="minorEastAsia"/>
          <w:color w:val="FF0000"/>
          <w:sz w:val="28"/>
          <w:szCs w:val="28"/>
        </w:rPr>
        <w:t>不接受</w:t>
      </w:r>
      <w:permEnd w:id="14"/>
      <w:r>
        <w:rPr>
          <w:rFonts w:hint="eastAsia" w:asciiTheme="minorEastAsia" w:hAnsiTheme="minorEastAsia" w:cstheme="minorEastAsia"/>
          <w:sz w:val="28"/>
          <w:szCs w:val="28"/>
        </w:rPr>
        <w:t>联合体投标。联合体投标的，应满足下列要求：</w:t>
      </w:r>
      <w:permStart w:id="15" w:edGrp="everyone"/>
      <w:r>
        <w:rPr>
          <w:rFonts w:hint="eastAsia" w:asciiTheme="minorEastAsia" w:hAnsiTheme="minorEastAsia" w:cstheme="minorEastAsia"/>
          <w:sz w:val="28"/>
          <w:szCs w:val="28"/>
        </w:rPr>
        <w:t xml:space="preserve">  / </w:t>
      </w:r>
      <w:permEnd w:id="15"/>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（八）本项目委托代理人必须是投标单位正式人员，须提供投标单位公司为其缴纳的2023</w:t>
      </w:r>
      <w:r>
        <w:rPr>
          <w:rFonts w:hint="eastAsia" w:asciiTheme="minorEastAsia" w:hAnsiTheme="minorEastAsia" w:cstheme="minorEastAsia"/>
          <w:sz w:val="28"/>
          <w:szCs w:val="28"/>
        </w:rPr>
        <w:t>年1月</w:t>
      </w:r>
      <w:r>
        <w:rPr>
          <w:rFonts w:hint="eastAsia" w:asciiTheme="minorEastAsia" w:hAnsiTheme="minorEastAsia" w:cstheme="minorEastAsia"/>
          <w:color w:val="000000" w:themeColor="text1"/>
          <w:sz w:val="28"/>
          <w:szCs w:val="28"/>
          <w14:textFill>
            <w14:solidFill>
              <w14:schemeClr w14:val="tx1"/>
            </w14:solidFill>
          </w14:textFill>
        </w:rPr>
        <w:t>起任意3个月及以上养老保险证明，否则按无效投标处理。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（一）开标时间（投标截止时间）：</w:t>
      </w:r>
      <w:permStart w:id="16" w:edGrp="everyone"/>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2023 </w:t>
      </w:r>
      <w:r>
        <w:rPr>
          <w:rFonts w:hint="eastAsia" w:asciiTheme="minorEastAsia" w:hAnsiTheme="minorEastAsia" w:cstheme="minorEastAsia"/>
          <w:color w:val="000000" w:themeColor="text1"/>
          <w:sz w:val="28"/>
          <w:szCs w:val="28"/>
          <w14:textFill>
            <w14:solidFill>
              <w14:schemeClr w14:val="tx1"/>
            </w14:solidFill>
          </w14:textFill>
        </w:rPr>
        <w:t>年</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11 </w:t>
      </w:r>
      <w:r>
        <w:rPr>
          <w:rFonts w:hint="eastAsia" w:asciiTheme="minorEastAsia" w:hAnsiTheme="minorEastAsia" w:cstheme="minorEastAsia"/>
          <w:color w:val="000000" w:themeColor="text1"/>
          <w:sz w:val="28"/>
          <w:szCs w:val="28"/>
          <w14:textFill>
            <w14:solidFill>
              <w14:schemeClr w14:val="tx1"/>
            </w14:solidFill>
          </w14:textFill>
        </w:rPr>
        <w:t>月</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10</w:t>
      </w:r>
      <w:r>
        <w:rPr>
          <w:rFonts w:hint="eastAsia" w:asciiTheme="minorEastAsia" w:hAnsiTheme="minorEastAsia" w:cstheme="minorEastAsia"/>
          <w:color w:val="000000" w:themeColor="text1"/>
          <w:sz w:val="28"/>
          <w:szCs w:val="28"/>
          <w14:textFill>
            <w14:solidFill>
              <w14:schemeClr w14:val="tx1"/>
            </w14:solidFill>
          </w14:textFill>
        </w:rPr>
        <w:t>日</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9 </w:t>
      </w:r>
      <w:r>
        <w:rPr>
          <w:rFonts w:hint="eastAsia" w:asciiTheme="minorEastAsia" w:hAnsiTheme="minorEastAsia" w:cstheme="minorEastAsia"/>
          <w:color w:val="000000" w:themeColor="text1"/>
          <w:sz w:val="28"/>
          <w:szCs w:val="28"/>
          <w14:textFill>
            <w14:solidFill>
              <w14:schemeClr w14:val="tx1"/>
            </w14:solidFill>
          </w14:textFill>
        </w:rPr>
        <w:t>时</w:t>
      </w:r>
      <w:r>
        <w:rPr>
          <w:rFonts w:hint="eastAsia" w:asciiTheme="minorEastAsia" w:hAnsiTheme="minorEastAsia" w:cstheme="minorEastAsia"/>
          <w:i/>
          <w:iCs/>
          <w:color w:val="000000" w:themeColor="text1"/>
          <w:sz w:val="28"/>
          <w:szCs w:val="28"/>
          <w:u w:val="single"/>
          <w14:textFill>
            <w14:solidFill>
              <w14:schemeClr w14:val="tx1"/>
            </w14:solidFill>
          </w14:textFill>
        </w:rPr>
        <w:t xml:space="preserve">  00 </w:t>
      </w:r>
      <w:r>
        <w:rPr>
          <w:rFonts w:hint="eastAsia" w:asciiTheme="minorEastAsia" w:hAnsiTheme="minorEastAsia" w:cstheme="minorEastAsia"/>
          <w:color w:val="000000" w:themeColor="text1"/>
          <w:sz w:val="28"/>
          <w:szCs w:val="28"/>
          <w14:textFill>
            <w14:solidFill>
              <w14:schemeClr w14:val="tx1"/>
            </w14:solidFill>
          </w14:textFill>
        </w:rPr>
        <w:t>分</w:t>
      </w:r>
      <w:permEnd w:id="16"/>
      <w:r>
        <w:rPr>
          <w:rFonts w:hint="eastAsia" w:asciiTheme="minorEastAsia" w:hAnsiTheme="minorEastAsia" w:cstheme="minorEastAsia"/>
          <w:color w:val="000000" w:themeColor="text1"/>
          <w:sz w:val="28"/>
          <w:szCs w:val="28"/>
          <w14:textFill>
            <w14:solidFill>
              <w14:schemeClr w14:val="tx1"/>
            </w14:solidFill>
          </w14:textFill>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（二）开标地点：</w:t>
      </w:r>
      <w:r>
        <w:rPr>
          <w:rFonts w:hint="eastAsia" w:asciiTheme="minorEastAsia" w:hAnsiTheme="minorEastAsia" w:cstheme="minorEastAsia"/>
          <w:color w:val="000000" w:themeColor="text1"/>
          <w:sz w:val="28"/>
          <w:szCs w:val="28"/>
          <w:u w:val="single"/>
          <w14:textFill>
            <w14:solidFill>
              <w14:schemeClr w14:val="tx1"/>
            </w14:solidFill>
          </w14:textFill>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17" w:edGrp="everyone"/>
      <w:r>
        <w:rPr>
          <w:rFonts w:hint="eastAsia" w:asciiTheme="minorEastAsia" w:hAnsiTheme="minorEastAsia" w:cstheme="minorEastAsia"/>
          <w:color w:val="FF0000"/>
          <w:sz w:val="28"/>
          <w:szCs w:val="28"/>
        </w:rPr>
        <w:t>不允许</w:t>
      </w:r>
      <w:permEnd w:id="17"/>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permStart w:id="18" w:edGrp="everyone"/>
      <w:r>
        <w:rPr>
          <w:rFonts w:asciiTheme="minorEastAsia" w:hAnsiTheme="minorEastAsia" w:cstheme="minorEastAsia"/>
          <w:b/>
          <w:bCs/>
          <w:sz w:val="28"/>
          <w:szCs w:val="28"/>
          <w:u w:val="single"/>
          <w:shd w:val="clear" w:color="FFFFFF" w:fill="D9D9D9"/>
        </w:rPr>
        <w:t>40000</w:t>
      </w:r>
      <w:r>
        <w:rPr>
          <w:rFonts w:hint="eastAsia" w:asciiTheme="minorEastAsia" w:hAnsiTheme="minorEastAsia" w:cstheme="minorEastAsia"/>
          <w:sz w:val="28"/>
          <w:szCs w:val="28"/>
          <w:u w:val="single"/>
          <w:lang w:val="en-US" w:eastAsia="zh-CN"/>
        </w:rPr>
        <w:t>元</w:t>
      </w:r>
      <w:bookmarkStart w:id="574" w:name="_GoBack"/>
      <w:bookmarkEnd w:id="574"/>
      <w:r>
        <w:rPr>
          <w:rFonts w:asciiTheme="minorEastAsia" w:hAnsiTheme="minorEastAsia" w:cstheme="minorEastAsia"/>
          <w:sz w:val="28"/>
          <w:szCs w:val="28"/>
          <w:u w:val="single"/>
        </w:rPr>
        <w:t>（人民币）</w:t>
      </w:r>
      <w:permEnd w:id="18"/>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r>
        <w:rPr>
          <w:rFonts w:hint="eastAsia" w:asciiTheme="minorEastAsia" w:hAnsiTheme="minorEastAsia" w:cstheme="minorEastAsia"/>
          <w:sz w:val="28"/>
          <w:szCs w:val="28"/>
        </w:rPr>
        <w:t xml:space="preserve"> </w:t>
      </w:r>
      <w:r>
        <w:rPr>
          <w:rFonts w:hint="eastAsia" w:ascii="宋体" w:hAnsi="宋体" w:cs="宋体"/>
          <w:sz w:val="28"/>
          <w:szCs w:val="28"/>
        </w:rPr>
        <w:t>安徽通康建设工程有限公司</w:t>
      </w:r>
    </w:p>
    <w:p>
      <w:pPr>
        <w:wordWrap w:val="0"/>
        <w:spacing w:line="480" w:lineRule="exact"/>
        <w:ind w:firstLine="560" w:firstLineChars="200"/>
        <w:rPr>
          <w:rFonts w:ascii="宋体" w:hAnsi="宋体" w:cs="宋体"/>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r>
        <w:rPr>
          <w:rFonts w:hint="eastAsia" w:asciiTheme="minorEastAsia" w:hAnsiTheme="minorEastAsia" w:cstheme="minorEastAsia"/>
          <w:sz w:val="28"/>
          <w:szCs w:val="28"/>
        </w:rPr>
        <w:t xml:space="preserve"> </w:t>
      </w:r>
      <w:r>
        <w:rPr>
          <w:rFonts w:ascii="宋体" w:hAnsi="宋体" w:cs="宋体"/>
          <w:sz w:val="28"/>
          <w:szCs w:val="28"/>
        </w:rPr>
        <w:t>安徽省亳州市谯城区大杨镇省道309线亳州收费</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19" w:edGrp="everyone"/>
      <w:r>
        <w:rPr>
          <w:rFonts w:hint="eastAsia" w:asciiTheme="minorEastAsia" w:hAnsiTheme="minorEastAsia" w:cstheme="minorEastAsia"/>
          <w:sz w:val="28"/>
          <w:szCs w:val="28"/>
        </w:rPr>
        <w:t xml:space="preserve">   李尔康   </w:t>
      </w:r>
      <w:permEnd w:id="1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20" w:edGrp="everyone"/>
      <w:r>
        <w:rPr>
          <w:rFonts w:hint="eastAsia" w:asciiTheme="minorEastAsia" w:hAnsiTheme="minorEastAsia" w:cstheme="minorEastAsia"/>
          <w:sz w:val="28"/>
          <w:szCs w:val="28"/>
        </w:rPr>
        <w:t xml:space="preserve"> 18906343943 </w:t>
      </w:r>
      <w:permEnd w:id="20"/>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电    话：0558-5190035</w:t>
      </w: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permStart w:id="21" w:edGrp="everyone"/>
      <w:r>
        <w:rPr>
          <w:rFonts w:hint="eastAsia" w:asciiTheme="minorEastAsia" w:hAnsiTheme="minorEastAsia" w:cstheme="minorEastAsia"/>
          <w:sz w:val="28"/>
          <w:szCs w:val="28"/>
        </w:rPr>
        <w:t xml:space="preserve"> </w:t>
      </w:r>
      <w:r>
        <w:rPr>
          <w:rFonts w:hint="eastAsia" w:ascii="宋体" w:hAnsi="宋体" w:cs="宋体"/>
          <w:sz w:val="28"/>
          <w:szCs w:val="28"/>
        </w:rPr>
        <w:t>安徽通康建设工程有限公司</w:t>
      </w:r>
    </w:p>
    <w:permEnd w:id="21"/>
    <w:p>
      <w:pPr>
        <w:wordWrap/>
        <w:spacing w:line="480" w:lineRule="exact"/>
        <w:ind w:firstLine="560" w:firstLineChars="2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2023年 11 月</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rPr>
        <w:t xml:space="preserve"> 日</w:t>
      </w: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6"/>
        <w:tblW w:w="8522" w:type="dxa"/>
        <w:tblInd w:w="0" w:type="dxa"/>
        <w:tblLayout w:type="fixed"/>
        <w:tblCellMar>
          <w:top w:w="0" w:type="dxa"/>
          <w:left w:w="108" w:type="dxa"/>
          <w:bottom w:w="0" w:type="dxa"/>
          <w:right w:w="108" w:type="dxa"/>
        </w:tblCellMar>
      </w:tblPr>
      <w:tblGrid>
        <w:gridCol w:w="1008"/>
        <w:gridCol w:w="2695"/>
        <w:gridCol w:w="481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830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8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22" w:edGrp="everyone"/>
          </w:p>
          <w:p>
            <w:pPr>
              <w:autoSpaceDE w:val="0"/>
              <w:autoSpaceDN w:val="0"/>
              <w:adjustRightInd w:val="0"/>
              <w:snapToGrid w:val="0"/>
              <w:spacing w:line="440" w:lineRule="exact"/>
              <w:jc w:val="left"/>
              <w:rPr>
                <w:rFonts w:hAnsi="宋体"/>
                <w:color w:val="FF0000"/>
                <w:szCs w:val="21"/>
              </w:rPr>
            </w:pPr>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2"/>
          <w:p>
            <w:pPr>
              <w:autoSpaceDE w:val="0"/>
              <w:autoSpaceDN w:val="0"/>
              <w:adjustRightInd w:val="0"/>
              <w:snapToGrid w:val="0"/>
              <w:spacing w:line="440" w:lineRule="exact"/>
              <w:jc w:val="left"/>
            </w:pPr>
            <w:r>
              <w:rPr>
                <w:rFonts w:hint="eastAsia"/>
              </w:rPr>
              <w:t>3、其他要求：</w:t>
            </w:r>
          </w:p>
          <w:p>
            <w:pPr>
              <w:autoSpaceDE w:val="0"/>
              <w:autoSpaceDN w:val="0"/>
              <w:adjustRightInd w:val="0"/>
              <w:snapToGrid w:val="0"/>
              <w:spacing w:line="440" w:lineRule="exact"/>
              <w:ind w:firstLine="411" w:firstLineChars="196"/>
              <w:jc w:val="left"/>
              <w:rPr>
                <w:rFonts w:hint="eastAsia" w:hAnsi="宋体"/>
                <w:snapToGrid w:val="0"/>
                <w:spacing w:val="-4"/>
                <w:kern w:val="0"/>
                <w:sz w:val="24"/>
                <w:u w:val="single"/>
              </w:rPr>
            </w:pPr>
            <w:permStart w:id="23" w:edGrp="everyone"/>
            <w:r>
              <w:rPr>
                <w:rFonts w:hint="eastAsia"/>
              </w:rPr>
              <w:t>（1）技术负责人：</w:t>
            </w:r>
            <w:r>
              <w:rPr>
                <w:rFonts w:hint="eastAsia" w:hAnsi="宋体"/>
                <w:snapToGrid w:val="0"/>
                <w:spacing w:val="-4"/>
                <w:kern w:val="0"/>
                <w:sz w:val="24"/>
                <w:u w:val="single"/>
              </w:rPr>
              <w:t xml:space="preserve"> /</w:t>
            </w:r>
          </w:p>
          <w:p>
            <w:pPr>
              <w:autoSpaceDE w:val="0"/>
              <w:autoSpaceDN w:val="0"/>
              <w:adjustRightInd w:val="0"/>
              <w:snapToGrid w:val="0"/>
              <w:spacing w:line="440" w:lineRule="exact"/>
              <w:ind w:firstLine="411" w:firstLineChars="196"/>
              <w:jc w:val="left"/>
            </w:pPr>
          </w:p>
          <w:p>
            <w:pPr>
              <w:spacing w:line="440" w:lineRule="exact"/>
              <w:ind w:firstLine="415" w:firstLineChars="198"/>
              <w:rPr>
                <w:rFonts w:hint="eastAsia" w:ascii="_x000B__x000C_" w:hAnsi="_x000B__x000C_"/>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pPr>
          </w:p>
          <w:p>
            <w:pPr>
              <w:spacing w:line="440" w:lineRule="exact"/>
              <w:ind w:firstLine="415" w:firstLineChars="198"/>
              <w:rPr>
                <w:rFonts w:ascii="_x000B__x000C_" w:hAnsi="_x000B__x000C_"/>
                <w:color w:val="FF0000"/>
                <w:szCs w:val="21"/>
              </w:rPr>
            </w:pPr>
            <w:r>
              <w:rPr>
                <w:rFonts w:hint="eastAsia" w:ascii="_x000B__x000C_" w:hAnsi="_x000B__x000C_"/>
                <w:color w:val="FF0000"/>
                <w:szCs w:val="21"/>
              </w:rPr>
              <w:t>施工员：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1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ascii="_x000B__x000C_" w:hAnsi="_x000B__x000C_"/>
                <w:color w:val="FF0000"/>
                <w:szCs w:val="21"/>
              </w:rPr>
            </w:pPr>
            <w:r>
              <w:rPr>
                <w:rFonts w:hint="eastAsia" w:ascii="_x000B__x000C_" w:hAnsi="_x000B__x000C_"/>
                <w:color w:val="FF0000"/>
                <w:szCs w:val="21"/>
              </w:rPr>
              <w:t>质量员：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1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ascii="_x000B__x000C_" w:hAnsi="_x000B__x000C_"/>
                <w:color w:val="FF0000"/>
                <w:szCs w:val="21"/>
              </w:rPr>
            </w:pPr>
            <w:r>
              <w:rPr>
                <w:rFonts w:hint="eastAsia" w:ascii="_x000B__x000C_" w:hAnsi="_x000B__x000C_"/>
                <w:color w:val="FF0000"/>
                <w:szCs w:val="21"/>
              </w:rPr>
              <w:t>安全员：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1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ascii="宋体" w:hAnsi="宋体"/>
                <w:color w:val="FF0000"/>
                <w:szCs w:val="21"/>
              </w:rPr>
            </w:pPr>
            <w:r>
              <w:rPr>
                <w:rFonts w:hint="eastAsia" w:ascii="_x000B__x000C_" w:hAnsi="_x000B__x000C_"/>
                <w:color w:val="FF0000"/>
                <w:szCs w:val="21"/>
              </w:rPr>
              <w:t>资料员：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1 </w:t>
            </w:r>
            <w:r>
              <w:rPr>
                <w:rFonts w:hint="eastAsia" w:ascii="_x000B__x000C_" w:hAnsi="_x000B__x000C_"/>
                <w:color w:val="FF0000"/>
                <w:szCs w:val="21"/>
                <w:u w:val="single"/>
              </w:rPr>
              <w:t xml:space="preserve">  </w:t>
            </w:r>
            <w:r>
              <w:rPr>
                <w:rFonts w:hint="eastAsia" w:ascii="_x000B__x000C_" w:hAnsi="_x000B__x000C_"/>
                <w:color w:val="FF0000"/>
                <w:szCs w:val="21"/>
              </w:rPr>
              <w:t>人；</w:t>
            </w:r>
          </w:p>
          <w:p>
            <w:pPr>
              <w:spacing w:line="440" w:lineRule="exact"/>
              <w:ind w:firstLine="415" w:firstLineChars="198"/>
              <w:rPr>
                <w:rFonts w:ascii="宋体" w:hAnsi="宋体" w:cs="MingLiU"/>
                <w:color w:val="FF0000"/>
                <w:kern w:val="0"/>
                <w:szCs w:val="21"/>
              </w:rPr>
            </w:pPr>
            <w:r>
              <w:rPr>
                <w:rFonts w:hint="eastAsia" w:ascii="宋体" w:hAnsi="宋体" w:cs="MingLiU"/>
                <w:color w:val="FF0000"/>
                <w:kern w:val="0"/>
                <w:szCs w:val="21"/>
              </w:rPr>
              <w:t>劳资员：</w:t>
            </w:r>
            <w:r>
              <w:rPr>
                <w:rFonts w:hint="eastAsia" w:ascii="_x000B__x000C_" w:hAnsi="_x000B__x000C_"/>
                <w:color w:val="FF0000"/>
                <w:szCs w:val="21"/>
                <w:u w:val="single"/>
              </w:rPr>
              <w:t xml:space="preserve"> </w:t>
            </w:r>
            <w:r>
              <w:rPr>
                <w:rFonts w:hint="eastAsia" w:hAnsi="宋体"/>
                <w:snapToGrid w:val="0"/>
                <w:color w:val="FF0000"/>
                <w:spacing w:val="-4"/>
                <w:kern w:val="0"/>
                <w:sz w:val="24"/>
                <w:u w:val="single"/>
              </w:rPr>
              <w:t xml:space="preserve"> 1 </w:t>
            </w:r>
            <w:r>
              <w:rPr>
                <w:rFonts w:hint="eastAsia" w:ascii="_x000B__x000C_" w:hAnsi="_x000B__x000C_"/>
                <w:color w:val="FF0000"/>
                <w:szCs w:val="21"/>
                <w:u w:val="single"/>
              </w:rPr>
              <w:t xml:space="preserve">  </w:t>
            </w:r>
            <w:r>
              <w:rPr>
                <w:rFonts w:hint="eastAsia" w:ascii="_x000B__x000C_" w:hAnsi="_x000B__x000C_"/>
                <w:color w:val="FF0000"/>
                <w:szCs w:val="21"/>
              </w:rPr>
              <w:t>人</w:t>
            </w:r>
            <w:r>
              <w:rPr>
                <w:rFonts w:hint="eastAsia" w:ascii="宋体" w:hAnsi="宋体"/>
                <w:color w:val="FF0000"/>
                <w:szCs w:val="21"/>
              </w:rPr>
              <w:t>。</w:t>
            </w:r>
          </w:p>
          <w:permEnd w:id="23"/>
          <w:p>
            <w:pPr>
              <w:wordWrap w:val="0"/>
              <w:spacing w:line="430" w:lineRule="exact"/>
              <w:rPr>
                <w:rFonts w:ascii="Times New Roman" w:hAnsi="Times New Roman" w:cs="Times New Roman"/>
                <w:szCs w:val="21"/>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1.9.1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81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imes New Roman" w:hAnsi="Times New Roman" w:cs="Times New Roman"/>
                <w:color w:val="FF0000"/>
                <w:sz w:val="21"/>
                <w:szCs w:val="21"/>
              </w:rPr>
            </w:pPr>
            <w:permStart w:id="24"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p>
            <w:pPr>
              <w:pStyle w:val="7"/>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组织</w:t>
            </w:r>
            <w:r>
              <w:rPr>
                <w:rFonts w:hint="eastAsia" w:ascii="Times New Roman" w:hAnsi="Times New Roman" w:cs="Times New Roman"/>
                <w:color w:val="FF0000"/>
                <w:sz w:val="21"/>
                <w:szCs w:val="21"/>
              </w:rPr>
              <w:t xml:space="preserve">   </w:t>
            </w:r>
            <w:permEnd w:id="2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1.10.1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81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hint="eastAsia" w:ascii="Times New Roman" w:hAnsi="Times New Roman" w:cs="Times New Roman"/>
                <w:color w:val="FF0000"/>
                <w:sz w:val="21"/>
                <w:szCs w:val="21"/>
              </w:rPr>
            </w:pPr>
            <w:permStart w:id="25"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r>
              <w:rPr>
                <w:rFonts w:hint="eastAsia" w:ascii="Times New Roman" w:hAnsi="Times New Roman" w:cs="Times New Roman"/>
                <w:color w:val="FF0000"/>
                <w:sz w:val="21"/>
                <w:szCs w:val="21"/>
              </w:rPr>
              <w:t xml:space="preserve">         </w:t>
            </w:r>
          </w:p>
          <w:p>
            <w:pPr>
              <w:pStyle w:val="7"/>
              <w:wordWrap w:val="0"/>
              <w:spacing w:line="430" w:lineRule="exact"/>
              <w:rPr>
                <w:rFonts w:ascii="Times New Roman" w:hAnsi="Times New Roman" w:cs="Times New Roman"/>
                <w:color w:val="FF0000"/>
                <w:sz w:val="32"/>
                <w:szCs w:val="32"/>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ermEnd w:id="2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偏离</w:t>
            </w:r>
          </w:p>
        </w:tc>
        <w:tc>
          <w:tcPr>
            <w:tcW w:w="4819" w:type="dxa"/>
            <w:tcBorders>
              <w:top w:val="single" w:color="auto" w:sz="4" w:space="0"/>
              <w:left w:val="single" w:color="auto" w:sz="4" w:space="0"/>
              <w:bottom w:val="single" w:color="auto" w:sz="4" w:space="0"/>
              <w:right w:val="single" w:color="auto" w:sz="4" w:space="0"/>
            </w:tcBorders>
            <w:vAlign w:val="center"/>
          </w:tcPr>
          <w:p>
            <w:pPr>
              <w:pStyle w:val="7"/>
              <w:wordWrap w:val="0"/>
              <w:spacing w:line="43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投标人要求澄清招标文件</w:t>
            </w:r>
            <w:r>
              <w:rPr>
                <w:rFonts w:hint="eastAsia" w:ascii="Times New Roman" w:hAnsi="Times New Roman" w:cs="Times New Roman"/>
                <w:szCs w:val="21"/>
              </w:rPr>
              <w:t>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距投标截止时间止</w:t>
            </w:r>
            <w:r>
              <w:rPr>
                <w:rFonts w:hint="eastAsia" w:ascii="Times New Roman" w:hAnsi="Times New Roman" w:cs="Times New Roman"/>
                <w:szCs w:val="21"/>
                <w:u w:val="single"/>
              </w:rPr>
              <w:t>3日</w:t>
            </w:r>
            <w:r>
              <w:rPr>
                <w:rFonts w:hint="eastAsia" w:ascii="Times New Roman" w:hAnsi="Times New Roman" w:cs="Times New Roman"/>
                <w:szCs w:val="21"/>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p>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p>
            <w:pPr>
              <w:wordWrap w:val="0"/>
              <w:spacing w:line="430" w:lineRule="exact"/>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tabs>
                <w:tab w:val="left" w:pos="309"/>
              </w:tabs>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2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26"/>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投标保证金的形式：银行汇款或转账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27" w:edGrp="everyone"/>
            <w:r>
              <w:rPr>
                <w:rFonts w:hint="eastAsia" w:ascii="Times New Roman" w:hAnsi="Times New Roman" w:cs="Times New Roman"/>
                <w:szCs w:val="21"/>
                <w:u w:val="single"/>
              </w:rPr>
              <w:t xml:space="preserve">  40000.00 </w:t>
            </w:r>
            <w:r>
              <w:rPr>
                <w:rFonts w:hint="eastAsia" w:ascii="Times New Roman" w:hAnsi="Times New Roman" w:cs="Times New Roman"/>
                <w:szCs w:val="21"/>
                <w:u w:val="single"/>
                <w:lang w:val="en-US" w:eastAsia="zh-CN"/>
              </w:rPr>
              <w:t>元</w:t>
            </w:r>
            <w:r>
              <w:rPr>
                <w:rFonts w:hint="eastAsia" w:ascii="Times New Roman" w:hAnsi="Times New Roman" w:cs="Times New Roman"/>
                <w:szCs w:val="21"/>
                <w:u w:val="single"/>
              </w:rPr>
              <w:t xml:space="preserve">  </w:t>
            </w:r>
            <w:permEnd w:id="27"/>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28" w:edGrp="everyone"/>
            <w:r>
              <w:rPr>
                <w:rFonts w:hint="eastAsia" w:ascii="Times New Roman" w:hAnsi="Times New Roman" w:cs="Times New Roman"/>
                <w:color w:val="FF0000"/>
                <w:szCs w:val="21"/>
              </w:rPr>
              <w:t>BZJK-2023-36号保证金</w:t>
            </w:r>
            <w:permEnd w:id="28"/>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29" w:edGrp="everyone"/>
            <w:permEnd w:id="29"/>
            <w:r>
              <w:rPr>
                <w:rFonts w:hint="eastAsia" w:ascii="Times New Roman" w:hAnsi="Times New Roman" w:cs="Times New Roman"/>
                <w:szCs w:val="21"/>
              </w:rPr>
              <w:t>3.5.3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正本1份、副本4份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装订要求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pPr>
              <w:wordWrap w:val="0"/>
              <w:spacing w:line="43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30" w:edGrp="everyone"/>
            <w:r>
              <w:rPr>
                <w:rFonts w:hint="eastAsia" w:ascii="Times New Roman" w:hAnsi="Times New Roman" w:cs="Times New Roman"/>
                <w:color w:val="FF0000"/>
                <w:szCs w:val="21"/>
              </w:rPr>
              <w:t>开标地址：</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（项目名称）投标文件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分前不得开启</w:t>
            </w:r>
            <w:permEnd w:id="3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评标委员会构成：</w:t>
            </w:r>
            <w:r>
              <w:rPr>
                <w:rFonts w:hint="eastAsia" w:ascii="Times New Roman" w:hAnsi="Times New Roman" w:cs="Times New Roman"/>
                <w:szCs w:val="21"/>
                <w:u w:val="single"/>
              </w:rPr>
              <w:t>5</w:t>
            </w:r>
            <w:r>
              <w:rPr>
                <w:rFonts w:ascii="Times New Roman" w:hAnsi="Times New Roman" w:cs="Times New Roman"/>
                <w:szCs w:val="21"/>
              </w:rPr>
              <w:t>人，其中招标人代表</w:t>
            </w:r>
            <w:r>
              <w:rPr>
                <w:rFonts w:hint="eastAsia" w:ascii="Times New Roman" w:hAnsi="Times New Roman" w:cs="Times New Roman"/>
                <w:szCs w:val="21"/>
                <w:u w:val="single"/>
              </w:rPr>
              <w:t>1</w:t>
            </w:r>
            <w:r>
              <w:rPr>
                <w:rFonts w:ascii="Times New Roman" w:hAnsi="Times New Roman" w:cs="Times New Roman"/>
                <w:szCs w:val="21"/>
              </w:rPr>
              <w:t>人，专家</w:t>
            </w:r>
            <w:r>
              <w:rPr>
                <w:rFonts w:hint="eastAsia" w:ascii="Times New Roman" w:hAnsi="Times New Roman" w:cs="Times New Roman"/>
                <w:szCs w:val="21"/>
                <w:u w:val="single"/>
              </w:rPr>
              <w:t>4</w:t>
            </w:r>
            <w:r>
              <w:rPr>
                <w:rFonts w:ascii="Times New Roman" w:hAnsi="Times New Roman" w:cs="Times New Roman"/>
                <w:szCs w:val="21"/>
              </w:rPr>
              <w:t>人；</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评标专家确定方式：</w:t>
            </w:r>
            <w:r>
              <w:rPr>
                <w:rFonts w:hint="eastAsia" w:ascii="Times New Roman" w:hAnsi="Times New Roman" w:cs="Times New Roman"/>
                <w:szCs w:val="21"/>
              </w:rPr>
              <w:t>随机抽取</w:t>
            </w:r>
            <w:r>
              <w:rPr>
                <w:rFonts w:ascii="Times New Roman" w:hAnsi="Times New Roman" w:cs="Times New Roman"/>
                <w:szCs w:val="21"/>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r>
              <w:rPr>
                <w:rFonts w:ascii="Times New Roman" w:hAnsi="Times New Roman" w:eastAsia="仿宋_GB2312" w:cs="Times New Roman"/>
                <w:sz w:val="24"/>
              </w:rPr>
              <w:sym w:font="Wingdings" w:char="00FE"/>
            </w:r>
            <w:r>
              <w:rPr>
                <w:rFonts w:ascii="Times New Roman" w:hAnsi="Times New Roman" w:cs="Times New Roman"/>
                <w:szCs w:val="21"/>
              </w:rPr>
              <w:t>否</w:t>
            </w:r>
            <w:r>
              <w:rPr>
                <w:rFonts w:hint="eastAsia" w:ascii="Times New Roman" w:hAnsi="Times New Roman" w:cs="Times New Roman"/>
                <w:szCs w:val="21"/>
              </w:rPr>
              <w:t>，推荐的中标候选人数：1-3人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中标候选人公示媒介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亳州交通投资控股集团有限公司官网（www.bzjkjt.com）、安徽省招标投标信息网（www.ahtba.org.cn）等网站上发布。</w:t>
            </w:r>
          </w:p>
          <w:p>
            <w:pPr>
              <w:wordWrap w:val="0"/>
              <w:spacing w:line="430" w:lineRule="exact"/>
              <w:rPr>
                <w:rFonts w:ascii="Times New Roman" w:hAnsi="Times New Roman" w:cs="Times New Roman"/>
                <w:szCs w:val="21"/>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31"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31"/>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32" w:edGrp="everyone"/>
            <w:r>
              <w:rPr>
                <w:rFonts w:ascii="Times New Roman" w:hAnsi="Times New Roman" w:cs="Times New Roman"/>
                <w:color w:val="FF0000"/>
                <w:szCs w:val="21"/>
              </w:rPr>
              <w:t>中标后，投标保证金自动转为履约保证金，履约保证金不足部分由中标人在收到中标通知书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permEnd w:id="32"/>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33" w:edGrp="everyone"/>
            <w:r>
              <w:rPr>
                <w:rFonts w:hint="eastAsia" w:ascii="Times New Roman" w:hAnsi="Times New Roman" w:cs="Times New Roman"/>
                <w:b/>
                <w:bCs/>
                <w:color w:val="FF0000"/>
                <w:szCs w:val="21"/>
              </w:rPr>
              <w:t>中标价款的 10 %</w:t>
            </w:r>
            <w:permEnd w:id="33"/>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34"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34"/>
          </w:p>
        </w:tc>
      </w:tr>
      <w:tr>
        <w:tblPrEx>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9.1</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pPr>
              <w:wordWrap w:val="0"/>
              <w:spacing w:line="430" w:lineRule="exact"/>
              <w:rPr>
                <w:rFonts w:hint="eastAsia" w:ascii="宋体" w:hAnsi="宋体" w:eastAsiaTheme="minorEastAsia"/>
                <w:szCs w:val="21"/>
                <w:lang w:val="en-US" w:eastAsia="zh-CN"/>
              </w:rPr>
            </w:pPr>
            <w:r>
              <w:rPr>
                <w:rFonts w:hint="eastAsia" w:ascii="宋体" w:hAnsi="宋体"/>
                <w:szCs w:val="21"/>
              </w:rPr>
              <w:t>本招标文件不对上述情况一一进行描</w:t>
            </w:r>
            <w:r>
              <w:rPr>
                <w:rFonts w:hint="eastAsia" w:ascii="宋体" w:hAnsi="宋体"/>
                <w:szCs w:val="21"/>
                <w:lang w:eastAsia="zh-CN"/>
              </w:rPr>
              <w:t>述。</w:t>
            </w:r>
          </w:p>
          <w:p>
            <w:pPr>
              <w:wordWrap w:val="0"/>
              <w:spacing w:line="430" w:lineRule="exact"/>
              <w:rPr>
                <w:rFonts w:ascii="Times New Roman" w:hAnsi="Times New Roman" w:cs="Times New Roman"/>
                <w:b/>
                <w:bCs/>
                <w:szCs w:val="21"/>
              </w:rPr>
            </w:pP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9.2</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b/>
                <w:bCs/>
                <w:szCs w:val="21"/>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10</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电子招标投标</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w:t>
            </w:r>
          </w:p>
        </w:tc>
      </w:tr>
    </w:tbl>
    <w:p>
      <w:pPr>
        <w:wordWrap w:val="0"/>
        <w:spacing w:line="400" w:lineRule="exact"/>
        <w:ind w:firstLine="420" w:firstLineChars="200"/>
        <w:rPr>
          <w:rFonts w:ascii="黑体" w:hAnsi="黑体" w:eastAsia="黑体" w:cs="黑体"/>
          <w:color w:val="000000"/>
        </w:rPr>
      </w:pPr>
      <w:r>
        <w:rPr>
          <w:rFonts w:hint="eastAsia" w:ascii="黑体" w:hAnsi="黑体" w:eastAsia="黑体" w:cs="黑体"/>
          <w:color w:val="000000"/>
        </w:rPr>
        <w:t>说明：</w:t>
      </w:r>
    </w:p>
    <w:p>
      <w:pPr>
        <w:pStyle w:val="4"/>
        <w:spacing w:line="240" w:lineRule="auto"/>
      </w:pPr>
      <w:bookmarkStart w:id="16" w:name="_Toc246996175"/>
      <w:bookmarkStart w:id="17" w:name="_Toc152042305"/>
      <w:bookmarkStart w:id="18" w:name="_Toc246996918"/>
      <w:bookmarkStart w:id="19" w:name="_Toc152045529"/>
      <w:bookmarkStart w:id="20" w:name="_Toc296602420"/>
      <w:bookmarkStart w:id="21" w:name="_Toc179632546"/>
      <w:bookmarkStart w:id="22" w:name="_Toc247085689"/>
      <w:bookmarkStart w:id="23" w:name="_Toc144974497"/>
      <w:r>
        <w:rPr>
          <w:rFonts w:hint="eastAsia"/>
        </w:rPr>
        <w:t>1. 总则</w:t>
      </w:r>
      <w:bookmarkEnd w:id="16"/>
      <w:bookmarkEnd w:id="17"/>
      <w:bookmarkEnd w:id="18"/>
      <w:bookmarkEnd w:id="19"/>
      <w:bookmarkEnd w:id="20"/>
      <w:bookmarkEnd w:id="21"/>
      <w:bookmarkEnd w:id="22"/>
      <w:bookmarkEnd w:id="23"/>
    </w:p>
    <w:p>
      <w:pPr>
        <w:pStyle w:val="5"/>
        <w:spacing w:line="240" w:lineRule="auto"/>
      </w:pPr>
      <w:bookmarkStart w:id="24" w:name="_Toc246996919"/>
      <w:bookmarkStart w:id="25" w:name="_Toc247085690"/>
      <w:bookmarkStart w:id="26" w:name="_Toc179632547"/>
      <w:bookmarkStart w:id="27" w:name="_Toc144974498"/>
      <w:bookmarkStart w:id="28" w:name="_Toc246996176"/>
      <w:bookmarkStart w:id="29" w:name="_Toc152042306"/>
      <w:bookmarkStart w:id="30" w:name="_Toc296602421"/>
      <w:bookmarkStart w:id="31" w:name="_Toc152045530"/>
      <w:r>
        <w:rPr>
          <w:rFonts w:hint="eastAsia"/>
        </w:rPr>
        <w:t>1.1 项目概况</w:t>
      </w:r>
      <w:bookmarkEnd w:id="24"/>
      <w:bookmarkEnd w:id="25"/>
      <w:bookmarkEnd w:id="26"/>
      <w:bookmarkEnd w:id="27"/>
      <w:bookmarkEnd w:id="28"/>
      <w:bookmarkEnd w:id="29"/>
      <w:bookmarkEnd w:id="30"/>
      <w:bookmarkEnd w:id="31"/>
    </w:p>
    <w:p>
      <w:pPr>
        <w:ind w:firstLine="420" w:firstLineChars="200"/>
      </w:pPr>
      <w:r>
        <w:rPr>
          <w:rFonts w:hint="eastAsia"/>
        </w:rPr>
        <w:t>1.1.1根据《中华人民共和国招标投标法》等有关法律、法规和规章的规定，本招标项目已具备招标条件，现对本项目施工进行招标。</w:t>
      </w:r>
    </w:p>
    <w:p>
      <w:pPr>
        <w:ind w:firstLine="420" w:firstLineChars="200"/>
      </w:pPr>
      <w:r>
        <w:rPr>
          <w:rFonts w:hint="eastAsia"/>
        </w:rPr>
        <w:t>1.1.2 本招标项目招标人：见投标人须知前附表。</w:t>
      </w:r>
    </w:p>
    <w:p>
      <w:pPr>
        <w:ind w:firstLine="420" w:firstLineChars="200"/>
      </w:pPr>
      <w:r>
        <w:rPr>
          <w:rFonts w:hint="eastAsia"/>
        </w:rPr>
        <w:t>1.1.3 本招标项目招标代理机构：见投标人须知前附表。</w:t>
      </w:r>
    </w:p>
    <w:p>
      <w:pPr>
        <w:ind w:firstLine="420" w:firstLineChars="200"/>
      </w:pPr>
      <w:r>
        <w:rPr>
          <w:rFonts w:hint="eastAsia"/>
        </w:rPr>
        <w:t>1.1.4 本招标项目名称：见投标人须知前附表。</w:t>
      </w:r>
    </w:p>
    <w:p>
      <w:pPr>
        <w:ind w:firstLine="420" w:firstLineChars="200"/>
      </w:pPr>
      <w:r>
        <w:rPr>
          <w:rFonts w:hint="eastAsia"/>
        </w:rPr>
        <w:t>1.1.5 本招标项目建设地点：见投标人须知前附表。</w:t>
      </w:r>
    </w:p>
    <w:p>
      <w:pPr>
        <w:pStyle w:val="5"/>
        <w:spacing w:line="240" w:lineRule="auto"/>
      </w:pPr>
      <w:bookmarkStart w:id="32" w:name="_Toc144974499"/>
      <w:bookmarkStart w:id="33" w:name="_Toc152042307"/>
      <w:bookmarkStart w:id="34" w:name="_Toc246996177"/>
      <w:bookmarkStart w:id="35" w:name="_Toc247085691"/>
      <w:bookmarkStart w:id="36" w:name="_Toc179632548"/>
      <w:bookmarkStart w:id="37" w:name="_Toc152045531"/>
      <w:bookmarkStart w:id="38" w:name="_Toc296602422"/>
      <w:bookmarkStart w:id="39" w:name="_Toc246996920"/>
      <w:r>
        <w:rPr>
          <w:rFonts w:hint="eastAsia"/>
        </w:rPr>
        <w:t>1.2 资金来源和落实情况</w:t>
      </w:r>
      <w:bookmarkEnd w:id="32"/>
      <w:bookmarkEnd w:id="33"/>
      <w:bookmarkEnd w:id="34"/>
      <w:bookmarkEnd w:id="35"/>
      <w:bookmarkEnd w:id="36"/>
      <w:bookmarkEnd w:id="37"/>
      <w:bookmarkEnd w:id="38"/>
      <w:bookmarkEnd w:id="39"/>
    </w:p>
    <w:p>
      <w:pPr>
        <w:ind w:firstLine="420" w:firstLineChars="200"/>
      </w:pPr>
      <w:r>
        <w:rPr>
          <w:rFonts w:hint="eastAsia"/>
        </w:rPr>
        <w:t>1.2.1 本招标项目的资金来源及出资比例：见投标人须知前附表。</w:t>
      </w:r>
    </w:p>
    <w:p>
      <w:pPr>
        <w:ind w:firstLine="420" w:firstLineChars="200"/>
      </w:pPr>
      <w:r>
        <w:rPr>
          <w:rFonts w:hint="eastAsia"/>
        </w:rPr>
        <w:t>1.2.2 本招标项目的资金落实情况：见投标人须知前附表。</w:t>
      </w:r>
    </w:p>
    <w:p>
      <w:pPr>
        <w:pStyle w:val="5"/>
        <w:spacing w:line="240" w:lineRule="auto"/>
      </w:pPr>
      <w:bookmarkStart w:id="40" w:name="_Toc144974500"/>
      <w:bookmarkStart w:id="41" w:name="_Toc246996178"/>
      <w:bookmarkStart w:id="42" w:name="_Toc152045532"/>
      <w:bookmarkStart w:id="43" w:name="_Toc246996921"/>
      <w:bookmarkStart w:id="44" w:name="_Toc152042308"/>
      <w:bookmarkStart w:id="45" w:name="_Toc247085692"/>
      <w:bookmarkStart w:id="46" w:name="_Toc179632549"/>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ind w:firstLine="420" w:firstLineChars="200"/>
      </w:pPr>
      <w:r>
        <w:rPr>
          <w:rFonts w:hint="eastAsia"/>
        </w:rPr>
        <w:t>1.3.1 本次招标范围：见投标人须知前附表。</w:t>
      </w:r>
    </w:p>
    <w:p>
      <w:pPr>
        <w:ind w:firstLine="420" w:firstLineChars="200"/>
      </w:pPr>
      <w:r>
        <w:rPr>
          <w:rFonts w:hint="eastAsia"/>
        </w:rPr>
        <w:t>1.3.2 本招标项目的计划工期：见投标人须知前附表。</w:t>
      </w:r>
    </w:p>
    <w:p>
      <w:pPr>
        <w:ind w:firstLine="420" w:firstLineChars="200"/>
      </w:pPr>
      <w:r>
        <w:rPr>
          <w:rFonts w:hint="eastAsia"/>
        </w:rPr>
        <w:t>1.3.3 本招标项目的质量要求：见投标人须知前附表。</w:t>
      </w:r>
    </w:p>
    <w:p>
      <w:pPr>
        <w:pStyle w:val="5"/>
        <w:spacing w:line="240" w:lineRule="auto"/>
      </w:pPr>
      <w:bookmarkStart w:id="48" w:name="_Toc152045534"/>
      <w:bookmarkStart w:id="49" w:name="_Toc152042310"/>
      <w:bookmarkStart w:id="50" w:name="_Toc179632551"/>
      <w:bookmarkStart w:id="51" w:name="_Toc246996179"/>
      <w:bookmarkStart w:id="52" w:name="_Toc246996922"/>
      <w:bookmarkStart w:id="53" w:name="_Toc296602424"/>
      <w:bookmarkStart w:id="54" w:name="_Toc247085693"/>
      <w:bookmarkStart w:id="55" w:name="_Toc144974502"/>
      <w:r>
        <w:rPr>
          <w:rFonts w:hint="eastAsia"/>
        </w:rPr>
        <w:t>1.4 投标人资格要求</w:t>
      </w:r>
      <w:bookmarkEnd w:id="48"/>
      <w:bookmarkEnd w:id="49"/>
      <w:bookmarkEnd w:id="50"/>
      <w:bookmarkEnd w:id="51"/>
      <w:bookmarkEnd w:id="52"/>
      <w:bookmarkEnd w:id="53"/>
      <w:bookmarkEnd w:id="54"/>
      <w:bookmarkEnd w:id="55"/>
    </w:p>
    <w:p>
      <w:pPr>
        <w:ind w:firstLine="359" w:firstLineChars="171"/>
      </w:pPr>
      <w:r>
        <w:rPr>
          <w:rFonts w:hint="eastAsia"/>
        </w:rPr>
        <w:t>1.4.1 投标人应具备承担本项目施工的资质条件、能力和信誉。</w:t>
      </w:r>
    </w:p>
    <w:p>
      <w:pPr>
        <w:ind w:firstLine="359" w:firstLineChars="171"/>
      </w:pPr>
      <w:r>
        <w:rPr>
          <w:rFonts w:hint="eastAsia"/>
        </w:rPr>
        <w:t>（1）资质条件：见投标人须知前附表；</w:t>
      </w:r>
    </w:p>
    <w:p>
      <w:pPr>
        <w:ind w:firstLine="359" w:firstLineChars="171"/>
      </w:pPr>
      <w:r>
        <w:rPr>
          <w:rFonts w:hint="eastAsia"/>
        </w:rPr>
        <w:t>（2）项目经理资格：见投标人须知前附表；</w:t>
      </w:r>
    </w:p>
    <w:p>
      <w:pPr>
        <w:ind w:firstLine="359" w:firstLineChars="171"/>
      </w:pPr>
      <w:r>
        <w:rPr>
          <w:rFonts w:hint="eastAsia"/>
        </w:rPr>
        <w:t>（3）财务要求：见投标人须知前附表；</w:t>
      </w:r>
    </w:p>
    <w:p>
      <w:pPr>
        <w:ind w:firstLine="359" w:firstLineChars="171"/>
      </w:pPr>
      <w:r>
        <w:rPr>
          <w:rFonts w:hint="eastAsia"/>
        </w:rPr>
        <w:t>（4）业绩要求：见投标人须知前附表；</w:t>
      </w:r>
    </w:p>
    <w:p>
      <w:pPr>
        <w:ind w:firstLine="359" w:firstLineChars="171"/>
      </w:pPr>
      <w:r>
        <w:rPr>
          <w:rFonts w:hint="eastAsia"/>
        </w:rPr>
        <w:t>（5）其他要求：见投标人须知前附表。</w:t>
      </w:r>
    </w:p>
    <w:p>
      <w:pPr>
        <w:ind w:firstLine="359" w:firstLineChars="171"/>
      </w:pPr>
      <w:r>
        <w:rPr>
          <w:rFonts w:hint="eastAsia"/>
        </w:rPr>
        <w:t>1.4.2 投标人不得存在下列情形之一：</w:t>
      </w:r>
    </w:p>
    <w:p>
      <w:pPr>
        <w:ind w:firstLine="359" w:firstLineChars="171"/>
      </w:pPr>
      <w:r>
        <w:rPr>
          <w:rFonts w:hint="eastAsia"/>
        </w:rPr>
        <w:t>（1）为招标人不具有独立法人资格的附属机构（单位）；</w:t>
      </w:r>
    </w:p>
    <w:p>
      <w:pPr>
        <w:ind w:firstLine="359" w:firstLineChars="171"/>
      </w:pPr>
      <w:r>
        <w:rPr>
          <w:rFonts w:hint="eastAsia"/>
        </w:rPr>
        <w:t xml:space="preserve">（2）为本招标项目前期准备提供设计或咨询服务的； </w:t>
      </w:r>
    </w:p>
    <w:p>
      <w:pPr>
        <w:ind w:firstLine="359" w:firstLineChars="171"/>
      </w:pPr>
      <w:r>
        <w:rPr>
          <w:rFonts w:hint="eastAsia"/>
        </w:rPr>
        <w:t>（3）为本招标项目的监理人；</w:t>
      </w:r>
    </w:p>
    <w:p>
      <w:pPr>
        <w:ind w:firstLine="359" w:firstLineChars="171"/>
      </w:pPr>
      <w:r>
        <w:rPr>
          <w:rFonts w:hint="eastAsia"/>
        </w:rPr>
        <w:t xml:space="preserve">（4）为本招标项目的代建人； </w:t>
      </w:r>
    </w:p>
    <w:p>
      <w:pPr>
        <w:ind w:firstLine="359" w:firstLineChars="171"/>
      </w:pPr>
      <w:r>
        <w:rPr>
          <w:rFonts w:hint="eastAsia"/>
        </w:rPr>
        <w:t xml:space="preserve">（5）为本招标项目提供招标代理服务的； </w:t>
      </w:r>
    </w:p>
    <w:p>
      <w:pPr>
        <w:ind w:firstLine="359" w:firstLineChars="171"/>
      </w:pPr>
      <w:r>
        <w:rPr>
          <w:rFonts w:hint="eastAsia"/>
        </w:rPr>
        <w:t>（6）与本招标项目的监理人或代建人或招标代理机构同为一个法定代表人的；</w:t>
      </w:r>
    </w:p>
    <w:p>
      <w:pPr>
        <w:ind w:firstLine="359" w:firstLineChars="171"/>
      </w:pPr>
      <w:r>
        <w:rPr>
          <w:rFonts w:hint="eastAsia"/>
        </w:rPr>
        <w:t>（7）与本招标项目的监理人或代建人或招标代理机构相互控股或参股的；</w:t>
      </w:r>
    </w:p>
    <w:p>
      <w:pPr>
        <w:ind w:firstLine="359" w:firstLineChars="171"/>
      </w:pPr>
      <w:r>
        <w:rPr>
          <w:rFonts w:hint="eastAsia"/>
        </w:rPr>
        <w:t>（8）与本招标项目的监理人或代建人或招标代理机构相互任职或工作的；</w:t>
      </w:r>
    </w:p>
    <w:p>
      <w:pPr>
        <w:ind w:firstLine="359" w:firstLineChars="171"/>
      </w:pPr>
      <w:r>
        <w:rPr>
          <w:rFonts w:hint="eastAsia"/>
        </w:rPr>
        <w:t xml:space="preserve">（9）被责令停业的； </w:t>
      </w:r>
    </w:p>
    <w:p>
      <w:pPr>
        <w:ind w:firstLine="359" w:firstLineChars="171"/>
      </w:pPr>
      <w:permStart w:id="35" w:edGrp="everyone"/>
      <w:r>
        <w:rPr>
          <w:rFonts w:hint="eastAsia"/>
        </w:rPr>
        <w:t>（10）投标时（以投标截止时间为准），无被亳州市市本级及县区各行业主管部门或公共资源交易监管部门限制投标的不良行为记录（有效期内）</w:t>
      </w:r>
    </w:p>
    <w:p>
      <w:pPr>
        <w:ind w:firstLine="359" w:firstLineChars="171"/>
      </w:pPr>
      <w:r>
        <w:rPr>
          <w:rFonts w:hint="eastAsia"/>
        </w:rPr>
        <w:t>（11）投标时（以投标截止时间为准），投标人存在被人社部门列入拖欠农民工工资黑名单的（有效期内）；</w:t>
      </w:r>
    </w:p>
    <w:p>
      <w:pPr>
        <w:ind w:firstLine="359" w:firstLineChars="171"/>
      </w:pPr>
      <w:r>
        <w:rPr>
          <w:rFonts w:hint="eastAsia"/>
        </w:rPr>
        <w:t>（12）投标时（以投标截止时间为准），因扬尘治理措施不到位被亳州市市本级及县区行业主管部门记不良行为记录的（有效期内）。</w:t>
      </w:r>
    </w:p>
    <w:p>
      <w:pPr>
        <w:ind w:firstLine="359" w:firstLineChars="171"/>
      </w:pPr>
      <w:r>
        <w:rPr>
          <w:rFonts w:hint="eastAsia"/>
        </w:rPr>
        <w:t>（13）  / 。</w:t>
      </w:r>
      <w:permEnd w:id="35"/>
      <w:r>
        <w:rPr>
          <w:rFonts w:hint="eastAsia"/>
        </w:rPr>
        <w:t xml:space="preserve"> </w:t>
      </w:r>
    </w:p>
    <w:p>
      <w:pPr>
        <w:ind w:firstLine="420" w:firstLineChars="200"/>
      </w:pPr>
      <w:r>
        <w:rPr>
          <w:rFonts w:hint="eastAsia"/>
        </w:rPr>
        <w:t>1.4.3 单位负责人为同一人或者存在控股、管理关系的不同单位，不得同时参加本招标项目投标。</w:t>
      </w:r>
    </w:p>
    <w:p>
      <w:pPr>
        <w:ind w:firstLine="420" w:firstLineChars="200"/>
      </w:pPr>
      <w:r>
        <w:rPr>
          <w:rFonts w:hint="eastAsia"/>
        </w:rPr>
        <w:t>1.4.4  投标人须知前附表规定接受联合体投标的，除应符合本章第1.4.1项和投标人须知前附表的要求外，还应遵守以下规定：</w:t>
      </w:r>
    </w:p>
    <w:p>
      <w:pPr>
        <w:ind w:firstLine="420" w:firstLineChars="200"/>
      </w:pPr>
      <w:r>
        <w:rPr>
          <w:rFonts w:hint="eastAsia"/>
        </w:rPr>
        <w:t>（1）联合体各方应按招标文件提供的格式签订联合体协议书，明确联合体牵头人和各方权利义务；</w:t>
      </w:r>
    </w:p>
    <w:p>
      <w:pPr>
        <w:ind w:firstLine="420" w:firstLineChars="200"/>
      </w:pPr>
      <w:r>
        <w:rPr>
          <w:rFonts w:hint="eastAsia"/>
        </w:rPr>
        <w:t>（2）由同一专业的单位组成的联合体，按照资质等级较低的单位确定资质等级；</w:t>
      </w:r>
    </w:p>
    <w:p>
      <w:pPr>
        <w:ind w:firstLine="420" w:firstLineChars="200"/>
      </w:pPr>
      <w:r>
        <w:rPr>
          <w:rFonts w:hint="eastAsia"/>
        </w:rPr>
        <w:t>（3）联合体各方不得再以自己名义单独或参加其他联合体在同一标段中投标；</w:t>
      </w:r>
    </w:p>
    <w:p>
      <w:pPr>
        <w:ind w:firstLine="420" w:firstLineChars="200"/>
      </w:pPr>
      <w:r>
        <w:rPr>
          <w:rFonts w:hint="eastAsia"/>
        </w:rPr>
        <w:t>（4）联合体所有成员数量不得超过投标人须知前附表规定的数量；</w:t>
      </w:r>
    </w:p>
    <w:p>
      <w:pPr>
        <w:ind w:firstLine="420" w:firstLineChars="200"/>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ind w:firstLine="420" w:firstLineChars="200"/>
      </w:pPr>
      <w:r>
        <w:rPr>
          <w:rFonts w:hint="eastAsia"/>
        </w:rPr>
        <w:t>（6）尽管委任了联合体牵头人，但联合体各成员在投标、签约与履行合同过程中，仍负有连带的和各自的法律责任。</w:t>
      </w:r>
    </w:p>
    <w:p>
      <w:pPr>
        <w:pStyle w:val="5"/>
        <w:spacing w:line="240" w:lineRule="auto"/>
      </w:pPr>
      <w:bookmarkStart w:id="56" w:name="_Toc152042311"/>
      <w:bookmarkStart w:id="57" w:name="_Toc246996923"/>
      <w:bookmarkStart w:id="58" w:name="_Toc179632552"/>
      <w:bookmarkStart w:id="59" w:name="_Toc152045535"/>
      <w:bookmarkStart w:id="60" w:name="_Toc247085694"/>
      <w:bookmarkStart w:id="61" w:name="_Toc296602425"/>
      <w:bookmarkStart w:id="62" w:name="_Toc246996180"/>
      <w:bookmarkStart w:id="63" w:name="_Toc144974503"/>
      <w:r>
        <w:rPr>
          <w:rFonts w:hint="eastAsia"/>
        </w:rPr>
        <w:t>1.5 费用承担</w:t>
      </w:r>
      <w:bookmarkEnd w:id="56"/>
      <w:bookmarkEnd w:id="57"/>
      <w:bookmarkEnd w:id="58"/>
      <w:bookmarkEnd w:id="59"/>
      <w:bookmarkEnd w:id="60"/>
      <w:bookmarkEnd w:id="61"/>
      <w:bookmarkEnd w:id="62"/>
      <w:bookmarkEnd w:id="63"/>
    </w:p>
    <w:p>
      <w:pPr>
        <w:ind w:firstLine="420" w:firstLineChars="200"/>
      </w:pPr>
      <w:r>
        <w:rPr>
          <w:rFonts w:hint="eastAsia"/>
        </w:rPr>
        <w:t>投标人准备和参加投标活动发生的费用自理。</w:t>
      </w:r>
    </w:p>
    <w:p>
      <w:pPr>
        <w:pStyle w:val="5"/>
        <w:spacing w:line="240" w:lineRule="auto"/>
      </w:pPr>
      <w:bookmarkStart w:id="64" w:name="_Toc296602426"/>
      <w:bookmarkStart w:id="65" w:name="_Toc246996181"/>
      <w:bookmarkStart w:id="66" w:name="_Toc246996924"/>
      <w:bookmarkStart w:id="67" w:name="_Toc179632553"/>
      <w:bookmarkStart w:id="68" w:name="_Toc152045536"/>
      <w:bookmarkStart w:id="69" w:name="_Toc152042312"/>
      <w:bookmarkStart w:id="70" w:name="_Toc247085695"/>
      <w:bookmarkStart w:id="71" w:name="_Toc144974504"/>
      <w:r>
        <w:rPr>
          <w:rFonts w:hint="eastAsia"/>
        </w:rPr>
        <w:t>1.6 保密</w:t>
      </w:r>
      <w:bookmarkEnd w:id="64"/>
      <w:bookmarkEnd w:id="65"/>
      <w:bookmarkEnd w:id="66"/>
      <w:bookmarkEnd w:id="67"/>
      <w:bookmarkEnd w:id="68"/>
      <w:bookmarkEnd w:id="69"/>
      <w:bookmarkEnd w:id="70"/>
      <w:bookmarkEnd w:id="71"/>
    </w:p>
    <w:p>
      <w:pPr>
        <w:ind w:firstLine="420" w:firstLineChars="200"/>
      </w:pPr>
      <w:r>
        <w:rPr>
          <w:rFonts w:hint="eastAsia"/>
        </w:rPr>
        <w:t xml:space="preserve">参与招标投标活动的各方应对招标文件和投标文件中的商业和技术等秘密保密，违者应对由此造成的后果承担法律责任。 </w:t>
      </w:r>
    </w:p>
    <w:p>
      <w:pPr>
        <w:pStyle w:val="5"/>
        <w:spacing w:line="240" w:lineRule="auto"/>
      </w:pPr>
      <w:bookmarkStart w:id="72" w:name="_Toc144974505"/>
      <w:bookmarkStart w:id="73" w:name="_Toc179632554"/>
      <w:bookmarkStart w:id="74" w:name="_Toc296602427"/>
      <w:bookmarkStart w:id="75" w:name="_Toc152042313"/>
      <w:bookmarkStart w:id="76" w:name="_Toc246996182"/>
      <w:bookmarkStart w:id="77" w:name="_Toc152045537"/>
      <w:bookmarkStart w:id="78" w:name="_Toc246996925"/>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ind w:firstLine="420" w:firstLineChars="200"/>
      </w:pPr>
      <w:bookmarkStart w:id="80" w:name="_Toc179632555"/>
      <w:bookmarkStart w:id="81" w:name="_Toc152042314"/>
      <w:bookmarkStart w:id="82" w:name="_Toc144974506"/>
      <w:bookmarkStart w:id="83" w:name="_Toc246996926"/>
      <w:bookmarkStart w:id="84" w:name="_Toc246996183"/>
      <w:bookmarkStart w:id="85" w:name="_Toc247085697"/>
      <w:bookmarkStart w:id="86" w:name="_Toc152045538"/>
      <w:r>
        <w:rPr>
          <w:rFonts w:hint="eastAsia"/>
        </w:rPr>
        <w:t>招标投标文件使用的语言文字为中文。专用术语使用外文的，应附有中文注释。</w:t>
      </w:r>
    </w:p>
    <w:p>
      <w:pPr>
        <w:pStyle w:val="5"/>
        <w:spacing w:line="240" w:lineRule="auto"/>
      </w:pPr>
      <w:bookmarkStart w:id="87" w:name="_Toc296602428"/>
      <w:r>
        <w:rPr>
          <w:rFonts w:hint="eastAsia"/>
        </w:rPr>
        <w:t>1.8 计量单位</w:t>
      </w:r>
      <w:bookmarkEnd w:id="80"/>
      <w:bookmarkEnd w:id="81"/>
      <w:bookmarkEnd w:id="82"/>
      <w:bookmarkEnd w:id="83"/>
      <w:bookmarkEnd w:id="84"/>
      <w:bookmarkEnd w:id="85"/>
      <w:bookmarkEnd w:id="86"/>
      <w:bookmarkEnd w:id="87"/>
    </w:p>
    <w:p>
      <w:pPr>
        <w:ind w:firstLine="420" w:firstLineChars="200"/>
      </w:pPr>
      <w:r>
        <w:rPr>
          <w:rFonts w:hint="eastAsia"/>
        </w:rPr>
        <w:t>所有计量均采用中华人民共和国法定计量单位。</w:t>
      </w:r>
    </w:p>
    <w:p>
      <w:pPr>
        <w:pStyle w:val="5"/>
        <w:spacing w:line="240" w:lineRule="auto"/>
      </w:pPr>
      <w:bookmarkStart w:id="88" w:name="_Toc247527563"/>
      <w:bookmarkStart w:id="89" w:name="_Toc152042315"/>
      <w:bookmarkStart w:id="90" w:name="_Toc296602429"/>
      <w:bookmarkStart w:id="91" w:name="_Toc144974507"/>
      <w:bookmarkStart w:id="92" w:name="_Toc247592876"/>
      <w:bookmarkStart w:id="93" w:name="_Toc247513962"/>
      <w:bookmarkStart w:id="94" w:name="_Toc152045539"/>
      <w:r>
        <w:rPr>
          <w:rFonts w:hint="eastAsia"/>
        </w:rPr>
        <w:t>1.9 踏勘现场</w:t>
      </w:r>
      <w:bookmarkEnd w:id="88"/>
      <w:bookmarkEnd w:id="89"/>
      <w:bookmarkEnd w:id="90"/>
      <w:bookmarkEnd w:id="91"/>
      <w:bookmarkEnd w:id="92"/>
      <w:bookmarkEnd w:id="93"/>
      <w:bookmarkEnd w:id="94"/>
    </w:p>
    <w:p>
      <w:pPr>
        <w:ind w:firstLine="420" w:firstLineChars="200"/>
      </w:pPr>
      <w:r>
        <w:rPr>
          <w:rFonts w:hint="eastAsia"/>
        </w:rPr>
        <w:t xml:space="preserve">1.9.1 投标人须知前附表规定组织踏勘现场的，招标人按投标人须知前附表规定的时间、地点组织投标人踏勘项目现场。 </w:t>
      </w:r>
    </w:p>
    <w:p>
      <w:pPr>
        <w:ind w:firstLine="420" w:firstLineChars="200"/>
      </w:pPr>
      <w:r>
        <w:rPr>
          <w:rFonts w:hint="eastAsia"/>
        </w:rPr>
        <w:t>1.9.2 投标人踏勘现场发生的费用自理。</w:t>
      </w:r>
    </w:p>
    <w:p>
      <w:pPr>
        <w:ind w:firstLine="420" w:firstLineChars="200"/>
      </w:pPr>
      <w:r>
        <w:rPr>
          <w:rFonts w:hint="eastAsia"/>
        </w:rPr>
        <w:t>1.9.3 除招标人的原因外，投标人自行负责在踏勘现场中所发生的人员伤亡和财产损失。</w:t>
      </w:r>
    </w:p>
    <w:p>
      <w:pPr>
        <w:ind w:firstLine="420" w:firstLineChars="200"/>
      </w:pPr>
      <w:r>
        <w:rPr>
          <w:rFonts w:hint="eastAsia"/>
        </w:rPr>
        <w:t>1.9.4 招标人在踏勘现场中介绍的工程场地和相关的周边环境情况，供投标人在编制投标文件时参考，招标人不对投标人据此作出的判断和决策负责。</w:t>
      </w:r>
    </w:p>
    <w:p>
      <w:pPr>
        <w:pStyle w:val="5"/>
        <w:spacing w:line="240" w:lineRule="auto"/>
      </w:pPr>
      <w:bookmarkStart w:id="95" w:name="_Toc247527564"/>
      <w:bookmarkStart w:id="96" w:name="_Toc247513963"/>
      <w:bookmarkStart w:id="97" w:name="_Toc152045540"/>
      <w:bookmarkStart w:id="98" w:name="_Toc247592877"/>
      <w:bookmarkStart w:id="99" w:name="_Toc296602430"/>
      <w:bookmarkStart w:id="100" w:name="_Toc144974508"/>
      <w:bookmarkStart w:id="101" w:name="_Toc152042316"/>
      <w:r>
        <w:rPr>
          <w:rFonts w:hint="eastAsia"/>
        </w:rPr>
        <w:t>1.10 投标预备会</w:t>
      </w:r>
      <w:bookmarkEnd w:id="95"/>
      <w:bookmarkEnd w:id="96"/>
      <w:bookmarkEnd w:id="97"/>
      <w:bookmarkEnd w:id="98"/>
      <w:bookmarkEnd w:id="99"/>
      <w:bookmarkEnd w:id="100"/>
      <w:bookmarkEnd w:id="101"/>
    </w:p>
    <w:p>
      <w:pPr>
        <w:ind w:firstLine="420" w:firstLineChars="200"/>
      </w:pPr>
      <w:r>
        <w:rPr>
          <w:rFonts w:hint="eastAsia"/>
        </w:rPr>
        <w:t>1.10.1 投标人须知前附表规定召开投标预备会的，招标人按投标人须知前附表规定的时间和地点召开投标预备会，澄清投标人提出的问题。</w:t>
      </w:r>
    </w:p>
    <w:p>
      <w:pPr>
        <w:ind w:firstLine="420" w:firstLineChars="200"/>
      </w:pPr>
      <w:r>
        <w:rPr>
          <w:rFonts w:hint="eastAsia"/>
        </w:rPr>
        <w:t>1.10.2 投标人应在投标人须知前附表规定的时间前，以书面形式将提出的问题送达招标人，以便招标人在会议期间澄清。</w:t>
      </w:r>
    </w:p>
    <w:p>
      <w:pPr>
        <w:ind w:firstLine="420" w:firstLineChars="200"/>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5"/>
        <w:spacing w:line="240" w:lineRule="auto"/>
      </w:pPr>
      <w:bookmarkStart w:id="102" w:name="_Toc296602431"/>
      <w:r>
        <w:rPr>
          <w:rFonts w:hint="eastAsia"/>
        </w:rPr>
        <w:t>1.11 偏离</w:t>
      </w:r>
      <w:bookmarkEnd w:id="102"/>
    </w:p>
    <w:p>
      <w:pPr>
        <w:ind w:firstLine="420" w:firstLineChars="200"/>
      </w:pPr>
      <w:r>
        <w:rPr>
          <w:rFonts w:hint="eastAsia"/>
        </w:rPr>
        <w:t>投标人须知前附表允许投标文件偏离招标文件某些要求的，偏离应当符合招标文件规定的偏离范围和幅度。</w:t>
      </w:r>
    </w:p>
    <w:p>
      <w:pPr>
        <w:pStyle w:val="4"/>
        <w:spacing w:line="240" w:lineRule="auto"/>
      </w:pPr>
      <w:bookmarkStart w:id="103" w:name="_Toc246996930"/>
      <w:bookmarkStart w:id="104" w:name="_Toc179632560"/>
      <w:bookmarkStart w:id="105" w:name="_Toc152042318"/>
      <w:bookmarkStart w:id="106" w:name="_Toc144974510"/>
      <w:bookmarkStart w:id="107" w:name="_Toc296602432"/>
      <w:bookmarkStart w:id="108" w:name="_Toc152045542"/>
      <w:bookmarkStart w:id="109" w:name="_Toc246996187"/>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5"/>
        <w:spacing w:line="240" w:lineRule="auto"/>
      </w:pPr>
      <w:bookmarkStart w:id="111" w:name="_Toc246996188"/>
      <w:bookmarkStart w:id="112" w:name="_Toc296602433"/>
      <w:bookmarkStart w:id="113" w:name="_Toc152042319"/>
      <w:bookmarkStart w:id="114" w:name="_Toc179632561"/>
      <w:bookmarkStart w:id="115" w:name="_Toc246996931"/>
      <w:bookmarkStart w:id="116" w:name="_Toc144974511"/>
      <w:bookmarkStart w:id="117" w:name="_Toc247085702"/>
      <w:bookmarkStart w:id="118" w:name="_Toc152045543"/>
      <w:r>
        <w:rPr>
          <w:rFonts w:hint="eastAsia"/>
        </w:rPr>
        <w:t>2.1 招标文件的组成</w:t>
      </w:r>
      <w:bookmarkEnd w:id="111"/>
      <w:bookmarkEnd w:id="112"/>
      <w:bookmarkEnd w:id="113"/>
      <w:bookmarkEnd w:id="114"/>
      <w:bookmarkEnd w:id="115"/>
      <w:bookmarkEnd w:id="116"/>
      <w:bookmarkEnd w:id="117"/>
      <w:bookmarkEnd w:id="118"/>
    </w:p>
    <w:p>
      <w:r>
        <w:rPr>
          <w:rFonts w:hint="eastAsia"/>
        </w:rPr>
        <w:t>　　2.1.1 本招标文件包括：</w:t>
      </w:r>
    </w:p>
    <w:p>
      <w:pPr>
        <w:ind w:firstLine="359" w:firstLineChars="171"/>
      </w:pPr>
      <w:r>
        <w:rPr>
          <w:rFonts w:hint="eastAsia"/>
        </w:rPr>
        <w:t>（1）招标公告（或投标邀请书）；</w:t>
      </w:r>
    </w:p>
    <w:p>
      <w:pPr>
        <w:ind w:firstLine="359" w:firstLineChars="171"/>
      </w:pPr>
      <w:r>
        <w:rPr>
          <w:rFonts w:hint="eastAsia"/>
        </w:rPr>
        <w:t>（2）投标人须知；</w:t>
      </w:r>
    </w:p>
    <w:p>
      <w:pPr>
        <w:ind w:firstLine="359" w:firstLineChars="171"/>
      </w:pPr>
      <w:r>
        <w:rPr>
          <w:rFonts w:hint="eastAsia"/>
        </w:rPr>
        <w:t>（3）评标办法；</w:t>
      </w:r>
    </w:p>
    <w:p>
      <w:pPr>
        <w:ind w:firstLine="359" w:firstLineChars="171"/>
      </w:pPr>
      <w:r>
        <w:rPr>
          <w:rFonts w:hint="eastAsia"/>
        </w:rPr>
        <w:t>（4）合同条款及格式；</w:t>
      </w:r>
    </w:p>
    <w:p>
      <w:pPr>
        <w:ind w:firstLine="359" w:firstLineChars="171"/>
      </w:pPr>
      <w:r>
        <w:rPr>
          <w:rFonts w:hint="eastAsia"/>
        </w:rPr>
        <w:t xml:space="preserve">（5）工程量清单； </w:t>
      </w:r>
    </w:p>
    <w:p>
      <w:pPr>
        <w:ind w:firstLine="359" w:firstLineChars="171"/>
      </w:pPr>
      <w:r>
        <w:rPr>
          <w:rFonts w:hint="eastAsia"/>
        </w:rPr>
        <w:t>（6）图纸；</w:t>
      </w:r>
    </w:p>
    <w:p>
      <w:pPr>
        <w:ind w:firstLine="359" w:firstLineChars="171"/>
      </w:pPr>
      <w:r>
        <w:rPr>
          <w:rFonts w:hint="eastAsia"/>
        </w:rPr>
        <w:t xml:space="preserve">（7）技术标准和要求； </w:t>
      </w:r>
    </w:p>
    <w:p>
      <w:pPr>
        <w:ind w:firstLine="359" w:firstLineChars="171"/>
      </w:pPr>
      <w:r>
        <w:rPr>
          <w:rFonts w:hint="eastAsia"/>
        </w:rPr>
        <w:t>（8）投标文件格式。</w:t>
      </w:r>
    </w:p>
    <w:p>
      <w:pPr>
        <w:ind w:firstLine="420" w:firstLineChars="200"/>
      </w:pPr>
      <w:r>
        <w:rPr>
          <w:rFonts w:hint="eastAsia"/>
        </w:rPr>
        <w:t>2.1.2 根据本章第1.10款、第2.2款和第2.3款对招标文件所作的澄清、修改，构成招标文件的组成部分。</w:t>
      </w:r>
    </w:p>
    <w:p>
      <w:pPr>
        <w:pStyle w:val="5"/>
        <w:spacing w:line="240" w:lineRule="auto"/>
      </w:pPr>
      <w:bookmarkStart w:id="119" w:name="_Toc152042320"/>
      <w:bookmarkStart w:id="120" w:name="_Toc247085703"/>
      <w:bookmarkStart w:id="121" w:name="_Toc246996932"/>
      <w:bookmarkStart w:id="122" w:name="_Toc179632562"/>
      <w:bookmarkStart w:id="123" w:name="_Toc246996189"/>
      <w:bookmarkStart w:id="124" w:name="_Toc152045544"/>
      <w:bookmarkStart w:id="125" w:name="_Toc296602434"/>
      <w:bookmarkStart w:id="126" w:name="_Toc14497451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ind w:firstLine="420" w:firstLineChars="200"/>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ind w:firstLine="420" w:firstLineChars="200"/>
        <w:rPr>
          <w:rFonts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3天，并且澄清内容影响投标文件编制的，将相应延长投标截止时间。</w:t>
      </w:r>
      <w:r>
        <w:rPr>
          <w:rFonts w:hint="eastAsia" w:ascii="仿宋_GB2312" w:hAnsi="仿宋_GB2312" w:eastAsia="仿宋_GB2312"/>
          <w:sz w:val="32"/>
          <w:szCs w:val="32"/>
        </w:rPr>
        <w:t xml:space="preserve"> </w:t>
      </w:r>
    </w:p>
    <w:p>
      <w:pPr>
        <w:ind w:firstLine="420" w:firstLineChars="200"/>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spacing w:line="240" w:lineRule="auto"/>
      </w:pPr>
      <w:bookmarkStart w:id="127" w:name="_Toc246996933"/>
      <w:bookmarkStart w:id="128" w:name="_Toc246996190"/>
      <w:bookmarkStart w:id="129" w:name="_Toc247085704"/>
      <w:bookmarkStart w:id="130" w:name="_Toc296602435"/>
      <w:bookmarkStart w:id="131" w:name="_Toc152045545"/>
      <w:bookmarkStart w:id="132" w:name="_Toc152042321"/>
      <w:bookmarkStart w:id="133" w:name="_Toc179632563"/>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ind w:firstLine="420" w:firstLineChars="200"/>
      </w:pPr>
      <w:r>
        <w:rPr>
          <w:rFonts w:hint="eastAsia"/>
        </w:rPr>
        <w:t>2.3.1招标人可以书面形式修改招标文件，并通知所有已购买招标文件的投标人。但如果修改招标文件的时间距投标截止时间不足3天，并且修改内容影响投标文件编制的，将相应延长投标截止时间。</w:t>
      </w:r>
    </w:p>
    <w:p>
      <w:pPr>
        <w:ind w:firstLine="420" w:firstLineChars="200"/>
      </w:pPr>
      <w:r>
        <w:rPr>
          <w:rFonts w:hint="eastAsia"/>
        </w:rPr>
        <w:t>2.3.2 投标人收到修改内容后，应在投标人须知前附表规定的时间内以书面形式通知招标人，确认已收到该修改。</w:t>
      </w:r>
    </w:p>
    <w:p>
      <w:pPr>
        <w:pStyle w:val="4"/>
        <w:spacing w:line="240" w:lineRule="auto"/>
      </w:pPr>
      <w:bookmarkStart w:id="135" w:name="_Toc296602436"/>
      <w:bookmarkStart w:id="136" w:name="_Toc246996191"/>
      <w:bookmarkStart w:id="137" w:name="_Toc152042322"/>
      <w:bookmarkStart w:id="138" w:name="_Toc247085705"/>
      <w:bookmarkStart w:id="139" w:name="_Toc246996934"/>
      <w:bookmarkStart w:id="140" w:name="_Toc179632564"/>
      <w:bookmarkStart w:id="141" w:name="_Toc152045546"/>
      <w:bookmarkStart w:id="142" w:name="_Toc144974514"/>
      <w:r>
        <w:rPr>
          <w:rFonts w:hint="eastAsia"/>
        </w:rPr>
        <w:t>3. 投标文件</w:t>
      </w:r>
      <w:bookmarkEnd w:id="135"/>
      <w:bookmarkEnd w:id="136"/>
      <w:bookmarkEnd w:id="137"/>
      <w:bookmarkEnd w:id="138"/>
      <w:bookmarkEnd w:id="139"/>
      <w:bookmarkEnd w:id="140"/>
      <w:bookmarkEnd w:id="141"/>
      <w:bookmarkEnd w:id="142"/>
    </w:p>
    <w:p>
      <w:pPr>
        <w:pStyle w:val="5"/>
        <w:spacing w:line="240" w:lineRule="auto"/>
      </w:pPr>
      <w:bookmarkStart w:id="143" w:name="_Toc247085706"/>
      <w:bookmarkStart w:id="144" w:name="_Toc152045547"/>
      <w:bookmarkStart w:id="145" w:name="_Toc179632565"/>
      <w:bookmarkStart w:id="146" w:name="_Toc296602437"/>
      <w:bookmarkStart w:id="147" w:name="_Toc144974515"/>
      <w:bookmarkStart w:id="148" w:name="_Toc152042323"/>
      <w:bookmarkStart w:id="149" w:name="_Toc246996935"/>
      <w:bookmarkStart w:id="150" w:name="_Toc246996192"/>
      <w:r>
        <w:rPr>
          <w:rFonts w:hint="eastAsia"/>
        </w:rPr>
        <w:t>3.1 投标文件的组成</w:t>
      </w:r>
      <w:bookmarkEnd w:id="143"/>
      <w:bookmarkEnd w:id="144"/>
      <w:bookmarkEnd w:id="145"/>
      <w:bookmarkEnd w:id="146"/>
      <w:bookmarkEnd w:id="147"/>
      <w:bookmarkEnd w:id="148"/>
      <w:bookmarkEnd w:id="149"/>
      <w:bookmarkEnd w:id="150"/>
    </w:p>
    <w:p>
      <w:pPr>
        <w:ind w:firstLine="420" w:firstLineChars="200"/>
      </w:pPr>
      <w:r>
        <w:rPr>
          <w:rFonts w:hint="eastAsia"/>
        </w:rPr>
        <w:t>投标文件应包括下列内容：</w:t>
      </w:r>
    </w:p>
    <w:p>
      <w:pPr>
        <w:ind w:firstLine="359" w:firstLineChars="171"/>
      </w:pPr>
      <w:r>
        <w:rPr>
          <w:rFonts w:hint="eastAsia"/>
        </w:rPr>
        <w:t>（1）投标函及投标函附录；</w:t>
      </w:r>
    </w:p>
    <w:p>
      <w:pPr>
        <w:ind w:firstLine="359" w:firstLineChars="171"/>
      </w:pPr>
      <w:r>
        <w:rPr>
          <w:rFonts w:hint="eastAsia"/>
        </w:rPr>
        <w:t>（2）法定代表人身份证明或附有法定代表人身份证明的授权委托书；</w:t>
      </w:r>
    </w:p>
    <w:p>
      <w:pPr>
        <w:ind w:firstLine="359" w:firstLineChars="171"/>
      </w:pPr>
      <w:r>
        <w:rPr>
          <w:rFonts w:hint="eastAsia"/>
        </w:rPr>
        <w:t>（3）投标保证金；</w:t>
      </w:r>
    </w:p>
    <w:p>
      <w:pPr>
        <w:ind w:firstLine="359" w:firstLineChars="171"/>
      </w:pPr>
      <w:r>
        <w:rPr>
          <w:rFonts w:hint="eastAsia"/>
        </w:rPr>
        <w:t>（4）已标价工程量清单；</w:t>
      </w:r>
    </w:p>
    <w:p>
      <w:pPr>
        <w:ind w:firstLine="359" w:firstLineChars="171"/>
      </w:pPr>
      <w:r>
        <w:rPr>
          <w:rFonts w:hint="eastAsia"/>
        </w:rPr>
        <w:t>（5）施工组织设计；</w:t>
      </w:r>
    </w:p>
    <w:p>
      <w:pPr>
        <w:ind w:firstLine="359" w:firstLineChars="171"/>
      </w:pPr>
      <w:r>
        <w:rPr>
          <w:rFonts w:hint="eastAsia"/>
        </w:rPr>
        <w:t>（6）项目管理机构；</w:t>
      </w:r>
    </w:p>
    <w:p>
      <w:pPr>
        <w:ind w:firstLine="359" w:firstLineChars="171"/>
      </w:pPr>
      <w:r>
        <w:rPr>
          <w:rFonts w:hint="eastAsia"/>
        </w:rPr>
        <w:t>（7）资格审查资料；</w:t>
      </w:r>
    </w:p>
    <w:p>
      <w:pPr>
        <w:ind w:firstLine="359" w:firstLineChars="171"/>
      </w:pPr>
      <w:r>
        <w:rPr>
          <w:rFonts w:hint="eastAsia"/>
        </w:rPr>
        <w:t>（8）其他材料。</w:t>
      </w:r>
    </w:p>
    <w:p>
      <w:pPr>
        <w:pStyle w:val="5"/>
        <w:spacing w:line="240" w:lineRule="auto"/>
        <w:rPr>
          <w:rFonts w:ascii="宋体" w:hAnsi="宋体"/>
          <w:sz w:val="21"/>
          <w:szCs w:val="21"/>
        </w:rPr>
      </w:pPr>
      <w:bookmarkStart w:id="151" w:name="_Toc179632566"/>
      <w:bookmarkStart w:id="152" w:name="_Toc296602438"/>
      <w:bookmarkStart w:id="153" w:name="_Toc152042324"/>
      <w:bookmarkStart w:id="154" w:name="_Toc247085707"/>
      <w:bookmarkStart w:id="155" w:name="_Toc152045548"/>
      <w:bookmarkStart w:id="156" w:name="_Toc246996193"/>
      <w:bookmarkStart w:id="157" w:name="_Toc144974516"/>
      <w:bookmarkStart w:id="158" w:name="_Toc246996936"/>
      <w:r>
        <w:rPr>
          <w:rFonts w:hint="eastAsia"/>
        </w:rPr>
        <w:t>3.2 投标报价</w:t>
      </w:r>
      <w:bookmarkEnd w:id="151"/>
      <w:bookmarkEnd w:id="152"/>
      <w:bookmarkEnd w:id="153"/>
      <w:bookmarkEnd w:id="154"/>
      <w:bookmarkEnd w:id="155"/>
      <w:bookmarkEnd w:id="156"/>
      <w:bookmarkEnd w:id="157"/>
      <w:bookmarkEnd w:id="158"/>
    </w:p>
    <w:p>
      <w:pPr>
        <w:ind w:firstLine="420" w:firstLineChars="200"/>
      </w:pPr>
      <w:r>
        <w:rPr>
          <w:rFonts w:hint="eastAsia"/>
        </w:rPr>
        <w:t>3.2.1 投标人应按第五章“工程量清单”的要求填写相应表格。</w:t>
      </w:r>
    </w:p>
    <w:p>
      <w:pPr>
        <w:ind w:firstLine="420" w:firstLineChars="200"/>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52042325"/>
      <w:bookmarkStart w:id="161" w:name="_Toc144974517"/>
      <w:bookmarkStart w:id="162" w:name="_Toc179632567"/>
    </w:p>
    <w:p>
      <w:pPr>
        <w:ind w:firstLine="420" w:firstLineChars="200"/>
      </w:pPr>
      <w:r>
        <w:rPr>
          <w:rFonts w:hint="eastAsia"/>
        </w:rPr>
        <w:t>3.2.3 招标人设有最高投标限价的，投标人的投标报价不得超过最高投标限价，最高投标限价或其计算方法在投标人须知前附表中载明。</w:t>
      </w:r>
    </w:p>
    <w:p>
      <w:pPr>
        <w:pStyle w:val="5"/>
        <w:spacing w:line="240" w:lineRule="auto"/>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ind w:firstLine="420" w:firstLineChars="200"/>
      </w:pPr>
      <w:r>
        <w:rPr>
          <w:rFonts w:hint="eastAsia"/>
        </w:rPr>
        <w:t>3.3.1 除投标人须知前附表另有规定外，投标有效期为60天。</w:t>
      </w:r>
    </w:p>
    <w:p>
      <w:pPr>
        <w:ind w:firstLine="420" w:firstLineChars="200"/>
      </w:pPr>
      <w:r>
        <w:rPr>
          <w:rFonts w:hint="eastAsia"/>
        </w:rPr>
        <w:t>3.3.2在投标有效期内，投标人撤销或修改其投标文件的，应承担招标文件和法律规定的责任。</w:t>
      </w:r>
    </w:p>
    <w:p>
      <w:pPr>
        <w:ind w:firstLine="420" w:firstLineChars="200"/>
        <w:rPr>
          <w:rFonts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spacing w:line="240" w:lineRule="auto"/>
      </w:pPr>
      <w:bookmarkStart w:id="167" w:name="_Toc247085709"/>
      <w:bookmarkStart w:id="168" w:name="_Toc144974518"/>
      <w:bookmarkStart w:id="169" w:name="_Toc152045550"/>
      <w:bookmarkStart w:id="170" w:name="_Toc246996938"/>
      <w:bookmarkStart w:id="171" w:name="_Toc246996195"/>
      <w:bookmarkStart w:id="172" w:name="_Toc296602440"/>
      <w:bookmarkStart w:id="173" w:name="_Toc152042326"/>
      <w:bookmarkStart w:id="174" w:name="_Toc179632568"/>
      <w:r>
        <w:rPr>
          <w:rFonts w:hint="eastAsia"/>
        </w:rPr>
        <w:t>3.4 投标保证金</w:t>
      </w:r>
      <w:bookmarkEnd w:id="167"/>
      <w:bookmarkEnd w:id="168"/>
      <w:bookmarkEnd w:id="169"/>
      <w:bookmarkEnd w:id="170"/>
      <w:bookmarkEnd w:id="171"/>
      <w:bookmarkEnd w:id="172"/>
      <w:bookmarkEnd w:id="173"/>
      <w:bookmarkEnd w:id="174"/>
    </w:p>
    <w:p>
      <w:pPr>
        <w:ind w:firstLine="420" w:firstLineChars="200"/>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ind w:firstLine="420" w:firstLineChars="200"/>
      </w:pPr>
      <w:r>
        <w:rPr>
          <w:rFonts w:hint="eastAsia"/>
        </w:rPr>
        <w:t>3.4.2 投标人不按本章第3.4.1项要求提交投标保证金的，评标委员会将否决其投标。</w:t>
      </w:r>
    </w:p>
    <w:p>
      <w:pPr>
        <w:ind w:firstLine="420" w:firstLineChars="200"/>
        <w:rPr>
          <w:b/>
        </w:rPr>
      </w:pPr>
      <w:r>
        <w:rPr>
          <w:rFonts w:hint="eastAsia"/>
        </w:rPr>
        <w:t xml:space="preserve">3.4.3 </w:t>
      </w:r>
      <w:r>
        <w:rPr>
          <w:rFonts w:hint="eastAsia" w:ascii="宋体" w:hAnsi="宋体" w:cs="宋体"/>
          <w:b/>
          <w:kern w:val="0"/>
          <w:szCs w:val="21"/>
        </w:rPr>
        <w:t>退还投标保证金的具体要求详见投标须知前附表。</w:t>
      </w:r>
    </w:p>
    <w:p>
      <w:pPr>
        <w:ind w:firstLine="420" w:firstLineChars="200"/>
      </w:pPr>
      <w:r>
        <w:rPr>
          <w:rFonts w:hint="eastAsia"/>
        </w:rPr>
        <w:t>3.4.4 有下列情形之一的，投标保证金将不予退还：</w:t>
      </w:r>
    </w:p>
    <w:p>
      <w:pPr>
        <w:ind w:firstLine="420" w:firstLineChars="200"/>
      </w:pPr>
      <w:r>
        <w:rPr>
          <w:rFonts w:hint="eastAsia"/>
        </w:rPr>
        <w:t>（1）投标人在规定的投标有效期内撤销或修改其投标文件；</w:t>
      </w:r>
    </w:p>
    <w:p>
      <w:pPr>
        <w:ind w:firstLine="420" w:firstLineChars="200"/>
      </w:pPr>
      <w:r>
        <w:rPr>
          <w:rFonts w:hint="eastAsia"/>
        </w:rPr>
        <w:t>（2）中标人在收到中标通知书后，无正当理由拒签合同协议书或未按招标文件规定提交履约担保；</w:t>
      </w:r>
    </w:p>
    <w:p>
      <w:pPr>
        <w:ind w:firstLine="420" w:firstLineChars="200"/>
      </w:pPr>
      <w:r>
        <w:rPr>
          <w:rFonts w:hint="eastAsia"/>
        </w:rPr>
        <w:t>（3）其他不予退还投标保证金的情形。</w:t>
      </w:r>
    </w:p>
    <w:p>
      <w:pPr>
        <w:pStyle w:val="5"/>
        <w:spacing w:line="240" w:lineRule="auto"/>
      </w:pPr>
      <w:bookmarkStart w:id="175" w:name="_Toc247085710"/>
      <w:bookmarkStart w:id="176" w:name="_Toc152045552"/>
      <w:bookmarkStart w:id="177" w:name="_Toc296602441"/>
      <w:bookmarkStart w:id="178" w:name="_Toc179632570"/>
      <w:bookmarkStart w:id="179" w:name="_Toc144974520"/>
      <w:bookmarkStart w:id="180" w:name="_Toc152042328"/>
      <w:bookmarkStart w:id="181" w:name="_Toc246996196"/>
      <w:bookmarkStart w:id="182" w:name="_Toc246996939"/>
      <w:r>
        <w:rPr>
          <w:rFonts w:hint="eastAsia"/>
        </w:rPr>
        <w:t>3.5 资格审查资料</w:t>
      </w:r>
      <w:bookmarkEnd w:id="175"/>
      <w:bookmarkEnd w:id="176"/>
      <w:bookmarkEnd w:id="177"/>
      <w:bookmarkEnd w:id="178"/>
      <w:bookmarkEnd w:id="179"/>
      <w:bookmarkEnd w:id="180"/>
      <w:bookmarkEnd w:id="181"/>
      <w:bookmarkEnd w:id="182"/>
    </w:p>
    <w:p>
      <w:pPr>
        <w:ind w:firstLine="420" w:firstLineChars="200"/>
      </w:pPr>
      <w:r>
        <w:rPr>
          <w:rFonts w:hint="eastAsia"/>
        </w:rPr>
        <w:t>3.5.1 “投标人基本情况表”应附投标人营业执照（统一社会信用代码）、资质证书和安全生产许可证等材料的复印件。</w:t>
      </w:r>
    </w:p>
    <w:p>
      <w:pPr>
        <w:ind w:firstLine="420" w:firstLineChars="200"/>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ind w:firstLine="420" w:firstLineChars="200"/>
      </w:pPr>
      <w:r>
        <w:rPr>
          <w:rFonts w:hint="eastAsia"/>
        </w:rPr>
        <w:t>3.5.3 “近年完成的类似项目情况表”应附中标通知书和（或）合同协议书、工程竣工验收证书（或工程接收证书或工程竣工验收备案表）的复印件（如要求），具体要求见投标人须知前附表。每张表格只填写一个项目，并标明序号。</w:t>
      </w:r>
    </w:p>
    <w:p>
      <w:pPr>
        <w:ind w:firstLine="420" w:firstLineChars="200"/>
      </w:pPr>
      <w:r>
        <w:rPr>
          <w:rFonts w:hint="eastAsia"/>
        </w:rPr>
        <w:t>3.5.4 “正在施工和新承接的项目情况表”应附中标通知书和（或）合同协议书复印件。每张表格只填写一个项目，并标明序号。</w:t>
      </w:r>
    </w:p>
    <w:p>
      <w:pPr>
        <w:pStyle w:val="5"/>
        <w:spacing w:line="240" w:lineRule="auto"/>
      </w:pPr>
      <w:bookmarkStart w:id="183" w:name="_Toc296602442"/>
      <w:bookmarkStart w:id="184" w:name="_Toc144974521"/>
      <w:bookmarkStart w:id="185" w:name="_Toc179632571"/>
      <w:bookmarkStart w:id="186" w:name="_Toc247085711"/>
      <w:bookmarkStart w:id="187" w:name="_Toc246996940"/>
      <w:bookmarkStart w:id="188" w:name="_Toc152045553"/>
      <w:bookmarkStart w:id="189" w:name="_Toc152042329"/>
      <w:bookmarkStart w:id="190" w:name="_Toc246996197"/>
      <w:r>
        <w:rPr>
          <w:rFonts w:hint="eastAsia"/>
        </w:rPr>
        <w:t>3.6投标文件的编制</w:t>
      </w:r>
      <w:bookmarkEnd w:id="183"/>
    </w:p>
    <w:p>
      <w:pPr>
        <w:ind w:firstLine="420" w:firstLineChars="200"/>
      </w:pPr>
      <w:r>
        <w:rPr>
          <w:rFonts w:hint="eastAsia"/>
        </w:rPr>
        <w:t>3.6.1投标文件应按第八章“投标文件格式”进行编写，如有必要，可以增加附页，作为投标文件的组成部分。其中，投标函附录（如要求）在满足招标文件实质性要求的基础上，可以提出比招标文件要求更有利于招标人的承诺。</w:t>
      </w:r>
    </w:p>
    <w:p>
      <w:pPr>
        <w:ind w:firstLine="420" w:firstLineChars="200"/>
        <w:rPr>
          <w:szCs w:val="21"/>
        </w:rPr>
      </w:pPr>
      <w:r>
        <w:rPr>
          <w:rFonts w:hint="eastAsia"/>
        </w:rPr>
        <w:t>3.6.2 投标文件应当对招标文件有关</w:t>
      </w:r>
      <w:r>
        <w:rPr>
          <w:rFonts w:hint="eastAsia"/>
          <w:szCs w:val="21"/>
        </w:rPr>
        <w:t>工期、投标有效期、质量要求、技术标准和要求、招标范围等实质性内容作出响应。</w:t>
      </w:r>
    </w:p>
    <w:p>
      <w:pPr>
        <w:ind w:firstLine="420" w:firstLineChars="200"/>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ind w:firstLine="420" w:firstLineChars="200"/>
      </w:pPr>
      <w:r>
        <w:rPr>
          <w:rFonts w:hint="eastAsia"/>
        </w:rPr>
        <w:t>3.6.4 投标文件正本一份, 副本份数见投标人须知前附表。正本和副本的封面上应清楚地标记“正本”或“副本”的字样。当副本和正本不一致时，以正本为准。</w:t>
      </w:r>
    </w:p>
    <w:p>
      <w:pPr>
        <w:ind w:firstLine="420" w:firstLineChars="200"/>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44974523"/>
      <w:bookmarkStart w:id="192" w:name="_Toc179632573"/>
      <w:bookmarkStart w:id="193" w:name="_Toc246996942"/>
      <w:bookmarkStart w:id="194" w:name="_Toc152045555"/>
      <w:bookmarkStart w:id="195" w:name="_Toc247085713"/>
      <w:bookmarkStart w:id="196" w:name="_Toc246996199"/>
      <w:bookmarkStart w:id="197" w:name="_Toc152042331"/>
    </w:p>
    <w:p>
      <w:pPr>
        <w:pStyle w:val="4"/>
        <w:spacing w:line="240" w:lineRule="auto"/>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5"/>
        <w:spacing w:line="240" w:lineRule="auto"/>
      </w:pPr>
      <w:bookmarkStart w:id="199" w:name="_Toc247085714"/>
      <w:bookmarkStart w:id="200" w:name="_Toc144974524"/>
      <w:bookmarkStart w:id="201" w:name="_Toc152042332"/>
      <w:bookmarkStart w:id="202" w:name="_Toc179632574"/>
      <w:bookmarkStart w:id="203" w:name="_Toc246996200"/>
      <w:bookmarkStart w:id="204" w:name="_Toc152045556"/>
      <w:bookmarkStart w:id="205" w:name="_Toc246996943"/>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ind w:firstLine="420" w:firstLineChars="200"/>
      </w:pPr>
      <w:bookmarkStart w:id="207" w:name="_Toc179632575"/>
      <w:bookmarkStart w:id="208" w:name="_Toc247085715"/>
      <w:bookmarkStart w:id="209" w:name="_Toc144974525"/>
      <w:bookmarkStart w:id="210" w:name="_Toc152042333"/>
      <w:bookmarkStart w:id="211" w:name="_Toc152045557"/>
      <w:bookmarkStart w:id="212" w:name="_Toc246996201"/>
      <w:bookmarkStart w:id="213" w:name="_Toc246996944"/>
      <w:r>
        <w:rPr>
          <w:rFonts w:hint="eastAsia"/>
        </w:rPr>
        <w:t>4.1.1 投标文件应进行包装、加贴封条，并在封套的封口处加盖投标人单位章。</w:t>
      </w:r>
    </w:p>
    <w:p>
      <w:pPr>
        <w:ind w:firstLine="420" w:firstLineChars="200"/>
      </w:pPr>
      <w:r>
        <w:rPr>
          <w:rFonts w:hint="eastAsia"/>
        </w:rPr>
        <w:t>4.1.2 投标文件封套上应写明的内容见投标人须知前附表。</w:t>
      </w:r>
    </w:p>
    <w:p>
      <w:pPr>
        <w:ind w:firstLine="420" w:firstLineChars="200"/>
      </w:pPr>
      <w:r>
        <w:rPr>
          <w:rFonts w:hint="eastAsia"/>
        </w:rPr>
        <w:t>4.1.3 未按本章第4.1.1项或第4.1.2项要求密封和加写标记的投标文件，招标人应予拒收。</w:t>
      </w:r>
    </w:p>
    <w:p>
      <w:pPr>
        <w:pStyle w:val="5"/>
        <w:spacing w:line="240" w:lineRule="auto"/>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ind w:firstLine="420" w:firstLineChars="200"/>
      </w:pPr>
      <w:r>
        <w:rPr>
          <w:rFonts w:hint="eastAsia"/>
        </w:rPr>
        <w:t>4.2.1 投标人应在本章第2.2.2项规定的投标截止时间前递交投标文件。</w:t>
      </w:r>
    </w:p>
    <w:p>
      <w:pPr>
        <w:ind w:firstLine="420" w:firstLineChars="200"/>
      </w:pPr>
      <w:r>
        <w:rPr>
          <w:rFonts w:hint="eastAsia"/>
        </w:rPr>
        <w:t>4.2.2 投标人递交投标文件的地点：见投标人须知前附表。</w:t>
      </w:r>
    </w:p>
    <w:p>
      <w:pPr>
        <w:ind w:firstLine="420" w:firstLineChars="200"/>
      </w:pPr>
      <w:r>
        <w:rPr>
          <w:rFonts w:hint="eastAsia"/>
        </w:rPr>
        <w:t>4.2.3 除投标人须知前附表另有规定外，投标人所递交的投标文件不予退还。</w:t>
      </w:r>
    </w:p>
    <w:p>
      <w:pPr>
        <w:ind w:firstLine="420" w:firstLineChars="200"/>
      </w:pPr>
      <w:r>
        <w:rPr>
          <w:rFonts w:hint="eastAsia"/>
        </w:rPr>
        <w:t>4.2.4 逾期送达的或者未送达指定地点的投标文件，招标人不予受理。</w:t>
      </w:r>
    </w:p>
    <w:p>
      <w:pPr>
        <w:pStyle w:val="5"/>
        <w:spacing w:line="240" w:lineRule="auto"/>
      </w:pPr>
      <w:bookmarkStart w:id="215" w:name="_Toc247085716"/>
      <w:bookmarkStart w:id="216" w:name="_Toc144974526"/>
      <w:bookmarkStart w:id="217" w:name="_Toc152045558"/>
      <w:bookmarkStart w:id="218" w:name="_Toc152042334"/>
      <w:bookmarkStart w:id="219" w:name="_Toc246996202"/>
      <w:bookmarkStart w:id="220" w:name="_Toc296602446"/>
      <w:bookmarkStart w:id="221" w:name="_Toc17963257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ind w:firstLine="420" w:firstLineChars="200"/>
      </w:pPr>
      <w:r>
        <w:rPr>
          <w:rFonts w:hint="eastAsia"/>
        </w:rPr>
        <w:t>4.3.1 在本章第2.2.2项规定的投标截止时间前，投标人可以修改或撤回已递交的投标文件，但应以书面形式通知招标人。</w:t>
      </w:r>
    </w:p>
    <w:p>
      <w:pPr>
        <w:ind w:firstLine="420" w:firstLineChars="200"/>
      </w:pPr>
      <w:r>
        <w:rPr>
          <w:rFonts w:hint="eastAsia"/>
        </w:rPr>
        <w:t>4.3.2 投标人修改或撤回已递交投标文件的书面通知应按照本章第3.6.3项的要求签字或盖章。</w:t>
      </w:r>
    </w:p>
    <w:p>
      <w:pPr>
        <w:ind w:firstLine="420" w:firstLineChars="200"/>
      </w:pPr>
      <w:r>
        <w:rPr>
          <w:rFonts w:hint="eastAsia"/>
        </w:rPr>
        <w:t>4.3.3 投标人撤回投标文件的，招标人自收到投标人书面撤回通知之日起5日内退还已收取的投标保证金。</w:t>
      </w:r>
    </w:p>
    <w:p>
      <w:pPr>
        <w:ind w:firstLine="420" w:firstLineChars="200"/>
      </w:pPr>
      <w:r>
        <w:rPr>
          <w:rFonts w:hint="eastAsia"/>
        </w:rPr>
        <w:t>4.3.4 修改的内容为投标文件的组成部分。修改的投标文件应按照本章第3条、第4条规定进行编制、密封、标记和递交，并标明“修改”字样。</w:t>
      </w:r>
    </w:p>
    <w:p>
      <w:pPr>
        <w:pStyle w:val="4"/>
        <w:spacing w:line="240" w:lineRule="auto"/>
      </w:pPr>
      <w:bookmarkStart w:id="223" w:name="_Toc152042335"/>
      <w:bookmarkStart w:id="224" w:name="_Toc296602447"/>
      <w:bookmarkStart w:id="225" w:name="_Toc179632577"/>
      <w:bookmarkStart w:id="226" w:name="_Toc246996946"/>
      <w:bookmarkStart w:id="227" w:name="_Toc144974527"/>
      <w:bookmarkStart w:id="228" w:name="_Toc152045559"/>
      <w:bookmarkStart w:id="229" w:name="_Toc246996203"/>
      <w:bookmarkStart w:id="230" w:name="_Toc247085717"/>
      <w:r>
        <w:rPr>
          <w:rFonts w:hint="eastAsia"/>
        </w:rPr>
        <w:t>5. 开标</w:t>
      </w:r>
      <w:bookmarkEnd w:id="223"/>
      <w:bookmarkEnd w:id="224"/>
      <w:bookmarkEnd w:id="225"/>
      <w:bookmarkEnd w:id="226"/>
      <w:bookmarkEnd w:id="227"/>
      <w:bookmarkEnd w:id="228"/>
      <w:bookmarkEnd w:id="229"/>
      <w:bookmarkEnd w:id="230"/>
    </w:p>
    <w:p>
      <w:pPr>
        <w:pStyle w:val="5"/>
        <w:spacing w:line="240" w:lineRule="auto"/>
      </w:pPr>
      <w:bookmarkStart w:id="231" w:name="_Toc296602448"/>
      <w:bookmarkStart w:id="232" w:name="_Toc179632578"/>
      <w:bookmarkStart w:id="233" w:name="_Toc246996947"/>
      <w:bookmarkStart w:id="234" w:name="_Toc152042336"/>
      <w:bookmarkStart w:id="235" w:name="_Toc247085718"/>
      <w:bookmarkStart w:id="236" w:name="_Toc144974528"/>
      <w:bookmarkStart w:id="237" w:name="_Toc152045560"/>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ind w:firstLine="420" w:firstLineChars="200"/>
      </w:pPr>
      <w:r>
        <w:rPr>
          <w:rFonts w:hint="eastAsia"/>
        </w:rPr>
        <w:t>招标人在本章第2.2.2项规定的投标截止时间（开标时间）和投标人须知前附表规定的地点公开开标，并邀请所有投标人的法定代表人或其委托代理人准时参加。</w:t>
      </w:r>
    </w:p>
    <w:p>
      <w:pPr>
        <w:pStyle w:val="5"/>
        <w:spacing w:line="240" w:lineRule="auto"/>
      </w:pPr>
      <w:bookmarkStart w:id="239" w:name="_Toc144974529"/>
      <w:bookmarkStart w:id="240" w:name="_Toc296602449"/>
      <w:bookmarkStart w:id="241" w:name="_Toc246996948"/>
      <w:bookmarkStart w:id="242" w:name="_Toc152045561"/>
      <w:bookmarkStart w:id="243" w:name="_Toc179632579"/>
      <w:bookmarkStart w:id="244" w:name="_Toc246996205"/>
      <w:bookmarkStart w:id="245" w:name="_Toc152042337"/>
      <w:bookmarkStart w:id="246" w:name="_Toc247085719"/>
      <w:r>
        <w:rPr>
          <w:rFonts w:hint="eastAsia"/>
        </w:rPr>
        <w:t>5.2 开标程序</w:t>
      </w:r>
      <w:bookmarkEnd w:id="239"/>
      <w:bookmarkEnd w:id="240"/>
      <w:bookmarkEnd w:id="241"/>
      <w:bookmarkEnd w:id="242"/>
      <w:bookmarkEnd w:id="243"/>
      <w:bookmarkEnd w:id="244"/>
      <w:bookmarkEnd w:id="245"/>
      <w:bookmarkEnd w:id="246"/>
    </w:p>
    <w:p>
      <w:pPr>
        <w:ind w:firstLine="420" w:firstLineChars="200"/>
      </w:pPr>
      <w:r>
        <w:rPr>
          <w:rFonts w:hint="eastAsia"/>
        </w:rPr>
        <w:t>5.2.1主持人按下列程序进行开标：</w:t>
      </w:r>
    </w:p>
    <w:p>
      <w:pPr>
        <w:ind w:firstLine="359" w:firstLineChars="171"/>
      </w:pPr>
      <w:r>
        <w:rPr>
          <w:rFonts w:hint="eastAsia"/>
        </w:rPr>
        <w:t>（1）宣布开标纪律；</w:t>
      </w:r>
    </w:p>
    <w:p>
      <w:pPr>
        <w:ind w:firstLine="359" w:firstLineChars="171"/>
      </w:pPr>
      <w:r>
        <w:rPr>
          <w:rFonts w:hint="eastAsia"/>
        </w:rPr>
        <w:t>（2）公布在投标截止时间前递交投标文件的投标人名称，并点名确认投标人是否派人到场；</w:t>
      </w:r>
    </w:p>
    <w:p>
      <w:pPr>
        <w:ind w:firstLine="359" w:firstLineChars="171"/>
      </w:pPr>
      <w:r>
        <w:rPr>
          <w:rFonts w:hint="eastAsia"/>
        </w:rPr>
        <w:t>（3）宣布开标人、唱标人、记录人、监标人等有关人员（如有）姓名；</w:t>
      </w:r>
    </w:p>
    <w:p>
      <w:pPr>
        <w:ind w:firstLine="359" w:firstLineChars="171"/>
      </w:pPr>
      <w:r>
        <w:rPr>
          <w:rFonts w:hint="eastAsia"/>
        </w:rPr>
        <w:t>（4）按照投标人须知前附表规定检查投标文件的密封情况；</w:t>
      </w:r>
    </w:p>
    <w:p>
      <w:pPr>
        <w:ind w:firstLine="359" w:firstLineChars="171"/>
      </w:pPr>
      <w:r>
        <w:rPr>
          <w:rFonts w:hint="eastAsia"/>
        </w:rPr>
        <w:t>（5）按照投标人须知前附表的规定确定并宣布投标文件开标顺序；</w:t>
      </w:r>
    </w:p>
    <w:p>
      <w:pPr>
        <w:ind w:firstLine="359" w:firstLineChars="171"/>
      </w:pPr>
      <w:r>
        <w:rPr>
          <w:rFonts w:hint="eastAsia"/>
        </w:rPr>
        <w:t>（6）设有标底的，公布标底；</w:t>
      </w:r>
    </w:p>
    <w:p>
      <w:pPr>
        <w:ind w:firstLine="359" w:firstLineChars="171"/>
      </w:pPr>
      <w:r>
        <w:rPr>
          <w:rFonts w:hint="eastAsia"/>
        </w:rPr>
        <w:t>（7）按照宣布的开标顺序当众开标，公布投标人名称、投标保证金的递交情况、投标报价、质量目标、工期及其他内容，并记录在案；</w:t>
      </w:r>
    </w:p>
    <w:p>
      <w:pPr>
        <w:ind w:firstLine="359" w:firstLineChars="171"/>
      </w:pPr>
      <w:r>
        <w:rPr>
          <w:rFonts w:hint="eastAsia"/>
        </w:rPr>
        <w:t>（8）规定最高投标限价计算方法的，计算并公布最高投标限价；</w:t>
      </w:r>
    </w:p>
    <w:p>
      <w:pPr>
        <w:ind w:firstLine="359" w:firstLineChars="171"/>
      </w:pPr>
      <w:r>
        <w:rPr>
          <w:rFonts w:hint="eastAsia"/>
        </w:rPr>
        <w:t>（9）投标人代表、招标人代表、监标人、记录人等有关人员（如有）在开标记录上签字确认；</w:t>
      </w:r>
    </w:p>
    <w:p>
      <w:pPr>
        <w:ind w:firstLine="359" w:firstLineChars="171"/>
      </w:pPr>
      <w:r>
        <w:rPr>
          <w:rFonts w:hint="eastAsia"/>
        </w:rPr>
        <w:t>（10）开标结束。</w:t>
      </w:r>
    </w:p>
    <w:p>
      <w:pPr>
        <w:ind w:firstLine="359" w:firstLineChars="171"/>
      </w:pPr>
      <w:r>
        <w:rPr>
          <w:rFonts w:hint="eastAsia"/>
        </w:rPr>
        <w:t>5.2.2如有询标事宜，评标委员会向投标人发起询标。投标人应在规定的时间内（从评标委员会发起询标起不超过30分钟）对询标内容进行答复，否则视为放弃答复。</w:t>
      </w:r>
    </w:p>
    <w:p>
      <w:pPr>
        <w:pStyle w:val="5"/>
        <w:spacing w:line="240" w:lineRule="auto"/>
      </w:pPr>
      <w:bookmarkStart w:id="247" w:name="_Toc296602450"/>
      <w:r>
        <w:rPr>
          <w:rFonts w:hint="eastAsia"/>
        </w:rPr>
        <w:t>5.3 开标异议</w:t>
      </w:r>
      <w:bookmarkEnd w:id="247"/>
    </w:p>
    <w:p>
      <w:pPr>
        <w:ind w:firstLine="359" w:firstLineChars="171"/>
      </w:pPr>
      <w:r>
        <w:rPr>
          <w:rFonts w:hint="eastAsia"/>
        </w:rPr>
        <w:t>投标人对开标有异议的，应当在开标现场提出，招标人当场作出答复，并制作记录。</w:t>
      </w:r>
    </w:p>
    <w:p>
      <w:pPr>
        <w:pStyle w:val="4"/>
        <w:spacing w:line="240" w:lineRule="auto"/>
      </w:pPr>
      <w:bookmarkStart w:id="248" w:name="_Toc152042338"/>
      <w:bookmarkStart w:id="249" w:name="_Toc246996949"/>
      <w:bookmarkStart w:id="250" w:name="_Toc296602451"/>
      <w:bookmarkStart w:id="251" w:name="_Toc144974530"/>
      <w:bookmarkStart w:id="252" w:name="_Toc246996206"/>
      <w:bookmarkStart w:id="253" w:name="_Toc179632580"/>
      <w:bookmarkStart w:id="254" w:name="_Toc152045562"/>
      <w:bookmarkStart w:id="255" w:name="_Toc247085720"/>
      <w:r>
        <w:rPr>
          <w:rFonts w:hint="eastAsia"/>
        </w:rPr>
        <w:t>6. 评标</w:t>
      </w:r>
      <w:bookmarkEnd w:id="248"/>
      <w:bookmarkEnd w:id="249"/>
      <w:bookmarkEnd w:id="250"/>
      <w:bookmarkEnd w:id="251"/>
      <w:bookmarkEnd w:id="252"/>
      <w:bookmarkEnd w:id="253"/>
      <w:bookmarkEnd w:id="254"/>
      <w:bookmarkEnd w:id="255"/>
    </w:p>
    <w:p>
      <w:pPr>
        <w:pStyle w:val="5"/>
        <w:spacing w:line="240" w:lineRule="auto"/>
      </w:pPr>
      <w:bookmarkStart w:id="256" w:name="_Toc144974531"/>
      <w:bookmarkStart w:id="257" w:name="_Toc296602452"/>
      <w:bookmarkStart w:id="258" w:name="_Toc152042339"/>
      <w:bookmarkStart w:id="259" w:name="_Toc152045563"/>
      <w:bookmarkStart w:id="260" w:name="_Toc246996950"/>
      <w:bookmarkStart w:id="261" w:name="_Toc246996207"/>
      <w:bookmarkStart w:id="262" w:name="_Toc179632581"/>
      <w:bookmarkStart w:id="263" w:name="_Toc247085721"/>
      <w:r>
        <w:rPr>
          <w:rFonts w:hint="eastAsia"/>
        </w:rPr>
        <w:t>6.1 评标委员会</w:t>
      </w:r>
      <w:bookmarkEnd w:id="256"/>
      <w:bookmarkEnd w:id="257"/>
      <w:bookmarkEnd w:id="258"/>
      <w:bookmarkEnd w:id="259"/>
      <w:bookmarkEnd w:id="260"/>
      <w:bookmarkEnd w:id="261"/>
      <w:bookmarkEnd w:id="262"/>
      <w:bookmarkEnd w:id="263"/>
    </w:p>
    <w:p>
      <w:pPr>
        <w:ind w:firstLine="420" w:firstLineChars="200"/>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ind w:firstLine="420" w:firstLineChars="200"/>
      </w:pPr>
      <w:r>
        <w:rPr>
          <w:rFonts w:hint="eastAsia"/>
        </w:rPr>
        <w:t>6.1.2 评标委员会成员有下列情形之一的，应当回避：</w:t>
      </w:r>
    </w:p>
    <w:p>
      <w:pPr>
        <w:ind w:firstLine="359" w:firstLineChars="171"/>
      </w:pPr>
      <w:r>
        <w:rPr>
          <w:rFonts w:hint="eastAsia"/>
        </w:rPr>
        <w:t>（1）投标人或投标人主要负责人的近亲属；</w:t>
      </w:r>
    </w:p>
    <w:p>
      <w:pPr>
        <w:ind w:firstLine="359" w:firstLineChars="171"/>
      </w:pPr>
      <w:r>
        <w:rPr>
          <w:rFonts w:hint="eastAsia"/>
        </w:rPr>
        <w:t>（2）项目主管部门或者行政监督部门的人员；</w:t>
      </w:r>
    </w:p>
    <w:p>
      <w:pPr>
        <w:ind w:firstLine="359" w:firstLineChars="171"/>
      </w:pPr>
      <w:r>
        <w:rPr>
          <w:rFonts w:hint="eastAsia"/>
        </w:rPr>
        <w:t>（3）与投标人有经济利益关系；</w:t>
      </w:r>
    </w:p>
    <w:p>
      <w:pPr>
        <w:ind w:firstLine="359" w:firstLineChars="171"/>
      </w:pPr>
      <w:r>
        <w:rPr>
          <w:rFonts w:hint="eastAsia"/>
        </w:rPr>
        <w:t>（4）曾因在招标、评标以及其他与招标投标有关活动中从事违法行为而受过行政处罚或刑事处罚的；</w:t>
      </w:r>
    </w:p>
    <w:p>
      <w:pPr>
        <w:ind w:firstLine="359" w:firstLineChars="171"/>
      </w:pPr>
      <w:r>
        <w:rPr>
          <w:rFonts w:hint="eastAsia"/>
        </w:rPr>
        <w:t>（5）与投标人有其他利害关系。</w:t>
      </w:r>
    </w:p>
    <w:p>
      <w:pPr>
        <w:pStyle w:val="5"/>
        <w:spacing w:line="240" w:lineRule="auto"/>
      </w:pPr>
      <w:bookmarkStart w:id="264" w:name="_Toc247085722"/>
      <w:bookmarkStart w:id="265" w:name="_Toc144974532"/>
      <w:bookmarkStart w:id="266" w:name="_Toc152042340"/>
      <w:bookmarkStart w:id="267" w:name="_Toc152045564"/>
      <w:bookmarkStart w:id="268" w:name="_Toc246996208"/>
      <w:bookmarkStart w:id="269" w:name="_Toc246996951"/>
      <w:bookmarkStart w:id="270" w:name="_Toc179632582"/>
      <w:bookmarkStart w:id="271" w:name="_Toc296602453"/>
      <w:r>
        <w:rPr>
          <w:rFonts w:hint="eastAsia"/>
        </w:rPr>
        <w:t>6.2 评标原则</w:t>
      </w:r>
      <w:bookmarkEnd w:id="264"/>
      <w:bookmarkEnd w:id="265"/>
      <w:bookmarkEnd w:id="266"/>
      <w:bookmarkEnd w:id="267"/>
      <w:bookmarkEnd w:id="268"/>
      <w:bookmarkEnd w:id="269"/>
      <w:bookmarkEnd w:id="270"/>
      <w:bookmarkEnd w:id="271"/>
    </w:p>
    <w:p>
      <w:pPr>
        <w:ind w:firstLine="420" w:firstLineChars="200"/>
      </w:pPr>
      <w:r>
        <w:rPr>
          <w:rFonts w:hint="eastAsia"/>
        </w:rPr>
        <w:t>评标活动遵循公平、公正、科学和择优的原则。</w:t>
      </w:r>
    </w:p>
    <w:p>
      <w:pPr>
        <w:pStyle w:val="5"/>
        <w:spacing w:line="240" w:lineRule="auto"/>
      </w:pPr>
      <w:bookmarkStart w:id="272" w:name="_Toc296602454"/>
      <w:bookmarkStart w:id="273" w:name="_Toc247085723"/>
      <w:bookmarkStart w:id="274" w:name="_Toc246996209"/>
      <w:bookmarkStart w:id="275" w:name="_Toc246996952"/>
      <w:bookmarkStart w:id="276" w:name="_Toc152042341"/>
      <w:bookmarkStart w:id="277" w:name="_Toc152045565"/>
      <w:bookmarkStart w:id="278" w:name="_Toc179632583"/>
      <w:bookmarkStart w:id="279" w:name="_Toc144974533"/>
      <w:r>
        <w:rPr>
          <w:rFonts w:hint="eastAsia"/>
        </w:rPr>
        <w:t>6.3 评标</w:t>
      </w:r>
      <w:bookmarkEnd w:id="272"/>
      <w:bookmarkEnd w:id="273"/>
      <w:bookmarkEnd w:id="274"/>
      <w:bookmarkEnd w:id="275"/>
      <w:bookmarkEnd w:id="276"/>
      <w:bookmarkEnd w:id="277"/>
      <w:bookmarkEnd w:id="278"/>
      <w:bookmarkEnd w:id="279"/>
    </w:p>
    <w:p>
      <w:pPr>
        <w:ind w:firstLine="420" w:firstLineChars="200"/>
      </w:pPr>
      <w:r>
        <w:rPr>
          <w:rFonts w:hint="eastAsia"/>
        </w:rPr>
        <w:t>评标委员会按照第三章“评标办法”规定的方法、评审因素、标准和程序对投标文件进行评审。第三章“评标办法”没有规定的方法、评审因素和标准，不作为评标依据。</w:t>
      </w:r>
    </w:p>
    <w:p>
      <w:pPr>
        <w:pStyle w:val="4"/>
        <w:spacing w:line="240" w:lineRule="auto"/>
      </w:pPr>
      <w:bookmarkStart w:id="280" w:name="_Toc144974534"/>
      <w:bookmarkStart w:id="281" w:name="_Toc246996210"/>
      <w:bookmarkStart w:id="282" w:name="_Toc152042342"/>
      <w:bookmarkStart w:id="283" w:name="_Toc152045566"/>
      <w:bookmarkStart w:id="284" w:name="_Toc296602455"/>
      <w:bookmarkStart w:id="285" w:name="_Toc247085724"/>
      <w:bookmarkStart w:id="286" w:name="_Toc179632584"/>
      <w:bookmarkStart w:id="287" w:name="_Toc246996953"/>
      <w:r>
        <w:rPr>
          <w:rFonts w:hint="eastAsia"/>
        </w:rPr>
        <w:t>7. 合同授予</w:t>
      </w:r>
      <w:bookmarkEnd w:id="280"/>
      <w:bookmarkEnd w:id="281"/>
      <w:bookmarkEnd w:id="282"/>
      <w:bookmarkEnd w:id="283"/>
      <w:bookmarkEnd w:id="284"/>
      <w:bookmarkEnd w:id="285"/>
      <w:bookmarkEnd w:id="286"/>
      <w:bookmarkEnd w:id="287"/>
    </w:p>
    <w:p>
      <w:pPr>
        <w:pStyle w:val="5"/>
        <w:spacing w:line="240" w:lineRule="auto"/>
      </w:pPr>
      <w:bookmarkStart w:id="288" w:name="_Toc152042343"/>
      <w:bookmarkStart w:id="289" w:name="_Toc144974535"/>
      <w:bookmarkStart w:id="290" w:name="_Toc247085725"/>
      <w:bookmarkStart w:id="291" w:name="_Toc179632585"/>
      <w:bookmarkStart w:id="292" w:name="_Toc296602456"/>
      <w:bookmarkStart w:id="293" w:name="_Toc246996954"/>
      <w:bookmarkStart w:id="294" w:name="_Toc246996211"/>
      <w:bookmarkStart w:id="295" w:name="_Toc152045567"/>
      <w:r>
        <w:rPr>
          <w:rFonts w:hint="eastAsia"/>
        </w:rPr>
        <w:t>7.1 定标方式</w:t>
      </w:r>
      <w:bookmarkEnd w:id="288"/>
      <w:bookmarkEnd w:id="289"/>
      <w:bookmarkEnd w:id="290"/>
      <w:bookmarkEnd w:id="291"/>
      <w:bookmarkEnd w:id="292"/>
      <w:bookmarkEnd w:id="293"/>
      <w:bookmarkEnd w:id="294"/>
      <w:bookmarkEnd w:id="295"/>
    </w:p>
    <w:p>
      <w:pPr>
        <w:ind w:firstLine="420" w:firstLineChars="200"/>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5"/>
        <w:spacing w:line="240" w:lineRule="auto"/>
      </w:pPr>
      <w:bookmarkStart w:id="296" w:name="_Toc296602457"/>
      <w:r>
        <w:rPr>
          <w:rFonts w:hint="eastAsia"/>
        </w:rPr>
        <w:t>7.2 中标候选人公示</w:t>
      </w:r>
      <w:bookmarkEnd w:id="296"/>
    </w:p>
    <w:p>
      <w:pPr>
        <w:ind w:firstLine="420" w:firstLineChars="200"/>
      </w:pPr>
      <w:r>
        <w:rPr>
          <w:rFonts w:hint="eastAsia"/>
        </w:rPr>
        <w:t>招标人在投标人须知前附表规定的媒介公示中标候选人。</w:t>
      </w:r>
    </w:p>
    <w:p>
      <w:pPr>
        <w:pStyle w:val="5"/>
        <w:spacing w:line="240" w:lineRule="auto"/>
      </w:pPr>
      <w:bookmarkStart w:id="297" w:name="_Toc246996955"/>
      <w:bookmarkStart w:id="298" w:name="_Toc152045568"/>
      <w:bookmarkStart w:id="299" w:name="_Toc246996212"/>
      <w:bookmarkStart w:id="300" w:name="_Toc296602458"/>
      <w:bookmarkStart w:id="301" w:name="_Toc144974536"/>
      <w:bookmarkStart w:id="302" w:name="_Toc152042344"/>
      <w:bookmarkStart w:id="303" w:name="_Toc247085726"/>
      <w:bookmarkStart w:id="304" w:name="_Toc179632586"/>
      <w:r>
        <w:rPr>
          <w:rFonts w:hint="eastAsia"/>
        </w:rPr>
        <w:t>7.3 中标通知</w:t>
      </w:r>
      <w:bookmarkEnd w:id="297"/>
      <w:bookmarkEnd w:id="298"/>
      <w:bookmarkEnd w:id="299"/>
      <w:bookmarkEnd w:id="300"/>
      <w:bookmarkEnd w:id="301"/>
      <w:bookmarkEnd w:id="302"/>
      <w:bookmarkEnd w:id="303"/>
      <w:bookmarkEnd w:id="304"/>
    </w:p>
    <w:p>
      <w:pPr>
        <w:ind w:firstLine="420" w:firstLineChars="200"/>
      </w:pPr>
      <w:r>
        <w:rPr>
          <w:rFonts w:hint="eastAsia"/>
        </w:rPr>
        <w:t>在本章第3.3款规定的投标有效期内，招标人以书面形式向中标人发出中标通知书，同时将中标结果通知未中标的投标人。</w:t>
      </w:r>
    </w:p>
    <w:p>
      <w:pPr>
        <w:pStyle w:val="5"/>
        <w:spacing w:line="240" w:lineRule="auto"/>
      </w:pPr>
      <w:bookmarkStart w:id="305" w:name="_Toc246996956"/>
      <w:bookmarkStart w:id="306" w:name="_Toc152045569"/>
      <w:bookmarkStart w:id="307" w:name="_Toc152042345"/>
      <w:bookmarkStart w:id="308" w:name="_Toc247085727"/>
      <w:bookmarkStart w:id="309" w:name="_Toc296602459"/>
      <w:bookmarkStart w:id="310" w:name="_Toc144974537"/>
      <w:bookmarkStart w:id="311" w:name="_Toc179632587"/>
      <w:bookmarkStart w:id="312" w:name="_Toc246996213"/>
      <w:r>
        <w:rPr>
          <w:rFonts w:hint="eastAsia"/>
        </w:rPr>
        <w:t>7.4 履约担保</w:t>
      </w:r>
      <w:bookmarkEnd w:id="305"/>
      <w:bookmarkEnd w:id="306"/>
      <w:bookmarkEnd w:id="307"/>
      <w:bookmarkEnd w:id="308"/>
      <w:bookmarkEnd w:id="309"/>
      <w:bookmarkEnd w:id="310"/>
      <w:bookmarkEnd w:id="311"/>
      <w:bookmarkEnd w:id="312"/>
    </w:p>
    <w:p>
      <w:pPr>
        <w:ind w:firstLine="420" w:firstLineChars="200"/>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ind w:firstLine="420" w:firstLineChars="200"/>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5"/>
        <w:spacing w:line="240" w:lineRule="auto"/>
      </w:pPr>
      <w:bookmarkStart w:id="313" w:name="_Toc179632588"/>
      <w:bookmarkStart w:id="314" w:name="_Toc152045570"/>
      <w:bookmarkStart w:id="315" w:name="_Toc144974538"/>
      <w:bookmarkStart w:id="316" w:name="_Toc152042346"/>
      <w:bookmarkStart w:id="317" w:name="_Toc247085728"/>
      <w:bookmarkStart w:id="318" w:name="_Toc296602460"/>
      <w:bookmarkStart w:id="319" w:name="_Toc246996214"/>
      <w:bookmarkStart w:id="320" w:name="_Toc246996957"/>
      <w:r>
        <w:rPr>
          <w:rFonts w:hint="eastAsia"/>
        </w:rPr>
        <w:t>7.5 签订合同</w:t>
      </w:r>
      <w:bookmarkEnd w:id="313"/>
      <w:bookmarkEnd w:id="314"/>
      <w:bookmarkEnd w:id="315"/>
      <w:bookmarkEnd w:id="316"/>
      <w:bookmarkEnd w:id="317"/>
      <w:bookmarkEnd w:id="318"/>
      <w:bookmarkEnd w:id="319"/>
      <w:bookmarkEnd w:id="320"/>
    </w:p>
    <w:p>
      <w:pPr>
        <w:ind w:firstLine="420" w:firstLineChars="200"/>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ind w:firstLine="420" w:firstLineChars="200"/>
      </w:pPr>
      <w:r>
        <w:rPr>
          <w:rFonts w:hint="eastAsia"/>
        </w:rPr>
        <w:t>7.5.2 发出中标通知书后，招标人无正当理由拒签合同的，招标人向中标人退还投标保证金；给中标人造成损失的，还应当赔偿损失。</w:t>
      </w:r>
    </w:p>
    <w:p>
      <w:pPr>
        <w:pStyle w:val="4"/>
        <w:spacing w:line="240" w:lineRule="auto"/>
      </w:pPr>
      <w:bookmarkStart w:id="321" w:name="_Toc296602461"/>
      <w:r>
        <w:rPr>
          <w:rFonts w:hint="eastAsia"/>
        </w:rPr>
        <w:t>8. 纪律和监督</w:t>
      </w:r>
      <w:bookmarkEnd w:id="321"/>
    </w:p>
    <w:p>
      <w:pPr>
        <w:pStyle w:val="5"/>
        <w:spacing w:line="240" w:lineRule="auto"/>
      </w:pPr>
      <w:bookmarkStart w:id="322" w:name="_Toc152045575"/>
      <w:bookmarkStart w:id="323" w:name="_Toc296590983"/>
      <w:bookmarkStart w:id="324" w:name="_Toc296602462"/>
      <w:bookmarkStart w:id="325" w:name="_Toc247085733"/>
      <w:bookmarkStart w:id="326" w:name="_Toc246996219"/>
      <w:bookmarkStart w:id="327" w:name="_Toc246996962"/>
      <w:bookmarkStart w:id="328" w:name="_Toc144974543"/>
      <w:bookmarkStart w:id="329" w:name="_Toc179632593"/>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ind w:firstLine="420" w:firstLineChars="200"/>
      </w:pPr>
      <w:r>
        <w:rPr>
          <w:rFonts w:hint="eastAsia"/>
        </w:rPr>
        <w:t>招标人不得泄漏招标投标活动中应当保密的情况和资料，不得与投标人串通损害国家利益、社会公共利益或者他人合法权益。</w:t>
      </w:r>
    </w:p>
    <w:p>
      <w:pPr>
        <w:pStyle w:val="4"/>
      </w:pPr>
      <w:bookmarkStart w:id="331" w:name="_Toc152045576"/>
      <w:bookmarkStart w:id="332" w:name="_Toc152042352"/>
      <w:bookmarkStart w:id="333" w:name="_Toc247085734"/>
      <w:bookmarkStart w:id="334" w:name="_Toc246996220"/>
      <w:bookmarkStart w:id="335" w:name="_Toc144974544"/>
      <w:bookmarkStart w:id="336" w:name="_Toc179632594"/>
      <w:bookmarkStart w:id="337" w:name="_Toc296602463"/>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ind w:firstLine="420" w:firstLineChars="20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spacing w:line="240" w:lineRule="auto"/>
      </w:pPr>
      <w:bookmarkStart w:id="339" w:name="_Toc296602464"/>
      <w:bookmarkStart w:id="340" w:name="_Toc152042353"/>
      <w:bookmarkStart w:id="341" w:name="_Toc179632595"/>
      <w:bookmarkStart w:id="342" w:name="_Toc247085735"/>
      <w:bookmarkStart w:id="343" w:name="_Toc246996221"/>
      <w:bookmarkStart w:id="344" w:name="_Toc144974545"/>
      <w:bookmarkStart w:id="345" w:name="_Toc152045577"/>
      <w:bookmarkStart w:id="346" w:name="_Toc246996964"/>
      <w:r>
        <w:rPr>
          <w:rFonts w:hint="eastAsia"/>
        </w:rPr>
        <w:t>8.3 对评标委员会成员的纪律要求</w:t>
      </w:r>
      <w:bookmarkEnd w:id="339"/>
      <w:bookmarkEnd w:id="340"/>
      <w:bookmarkEnd w:id="341"/>
      <w:bookmarkEnd w:id="342"/>
      <w:bookmarkEnd w:id="343"/>
      <w:bookmarkEnd w:id="344"/>
      <w:bookmarkEnd w:id="345"/>
      <w:bookmarkEnd w:id="346"/>
    </w:p>
    <w:p>
      <w:pPr>
        <w:ind w:firstLine="420" w:firstLineChars="20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spacing w:line="240" w:lineRule="auto"/>
      </w:pPr>
      <w:bookmarkStart w:id="347" w:name="_Toc152042354"/>
      <w:bookmarkStart w:id="348" w:name="_Toc246996965"/>
      <w:bookmarkStart w:id="349" w:name="_Toc179632596"/>
      <w:bookmarkStart w:id="350" w:name="_Toc246996222"/>
      <w:bookmarkStart w:id="351" w:name="_Toc152045578"/>
      <w:bookmarkStart w:id="352" w:name="_Toc247085736"/>
      <w:bookmarkStart w:id="353" w:name="_Toc296602465"/>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ind w:firstLine="420" w:firstLineChars="200"/>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5"/>
        <w:spacing w:line="240" w:lineRule="auto"/>
      </w:pPr>
      <w:bookmarkStart w:id="356" w:name="_Toc296602466"/>
      <w:bookmarkStart w:id="357" w:name="_Toc246996223"/>
      <w:bookmarkStart w:id="358" w:name="_Toc246996966"/>
      <w:bookmarkStart w:id="359" w:name="_Toc179632597"/>
      <w:bookmarkStart w:id="360" w:name="_Toc247085737"/>
      <w:bookmarkStart w:id="361" w:name="_Toc152045579"/>
      <w:bookmarkStart w:id="362" w:name="_Toc152042356"/>
      <w:r>
        <w:rPr>
          <w:rFonts w:hint="eastAsia"/>
        </w:rPr>
        <w:t>8.5 投诉</w:t>
      </w:r>
      <w:bookmarkEnd w:id="354"/>
      <w:bookmarkEnd w:id="356"/>
      <w:bookmarkEnd w:id="357"/>
      <w:bookmarkEnd w:id="358"/>
      <w:bookmarkEnd w:id="359"/>
      <w:bookmarkEnd w:id="360"/>
      <w:bookmarkEnd w:id="361"/>
      <w:bookmarkEnd w:id="362"/>
    </w:p>
    <w:p>
      <w:pPr>
        <w:ind w:firstLine="420" w:firstLineChars="200"/>
      </w:pPr>
      <w:r>
        <w:rPr>
          <w:rFonts w:hint="eastAsia"/>
        </w:rPr>
        <w:t>投标人和其他利害关系人认为本次招标活动违反法律、法规和规章规定的，有权向有关行政监督部门投诉。</w:t>
      </w:r>
    </w:p>
    <w:p>
      <w:pPr>
        <w:pStyle w:val="4"/>
        <w:spacing w:line="240" w:lineRule="auto"/>
      </w:pPr>
      <w:bookmarkStart w:id="363" w:name="_Toc179632598"/>
      <w:bookmarkStart w:id="364" w:name="_Toc247085738"/>
      <w:bookmarkStart w:id="365" w:name="_Toc246996967"/>
      <w:bookmarkStart w:id="366" w:name="_Toc296602467"/>
      <w:bookmarkStart w:id="367" w:name="_Toc144974547"/>
      <w:bookmarkStart w:id="368" w:name="_Toc152042357"/>
      <w:bookmarkStart w:id="369" w:name="_Toc152045580"/>
      <w:bookmarkStart w:id="370" w:name="_Toc246996224"/>
      <w:r>
        <w:rPr>
          <w:rFonts w:hint="eastAsia"/>
        </w:rPr>
        <w:t>9. 需要补充的其他内容</w:t>
      </w:r>
      <w:bookmarkEnd w:id="363"/>
      <w:bookmarkEnd w:id="364"/>
      <w:bookmarkEnd w:id="365"/>
      <w:bookmarkEnd w:id="366"/>
      <w:bookmarkEnd w:id="367"/>
      <w:bookmarkEnd w:id="368"/>
      <w:bookmarkEnd w:id="369"/>
      <w:bookmarkEnd w:id="370"/>
    </w:p>
    <w:p>
      <w:pPr>
        <w:ind w:firstLine="420" w:firstLineChars="200"/>
      </w:pPr>
      <w:r>
        <w:rPr>
          <w:rFonts w:hint="eastAsia"/>
        </w:rPr>
        <w:t>需要补充的其他内容：见投标人须知前附表。</w:t>
      </w:r>
    </w:p>
    <w:p>
      <w:pPr>
        <w:pStyle w:val="4"/>
        <w:spacing w:line="240" w:lineRule="auto"/>
      </w:pPr>
      <w:bookmarkStart w:id="371" w:name="_Toc296602468"/>
      <w:r>
        <w:rPr>
          <w:rFonts w:hint="eastAsia"/>
        </w:rPr>
        <w:t>10．电子招标投标</w:t>
      </w:r>
      <w:bookmarkEnd w:id="371"/>
    </w:p>
    <w:p>
      <w:pPr>
        <w:wordWrap w:val="0"/>
        <w:spacing w:line="400" w:lineRule="exact"/>
        <w:ind w:firstLine="420" w:firstLineChars="200"/>
        <w:rPr>
          <w:rFonts w:ascii="黑体" w:hAnsi="黑体" w:eastAsia="黑体" w:cs="黑体"/>
          <w:color w:val="000000"/>
        </w:rPr>
      </w:pPr>
      <w:r>
        <w:rPr>
          <w:rFonts w:hint="eastAsia"/>
        </w:rPr>
        <w:t>采用电子招标投标，对投标文件的编制、密封和标记、递交、开标、评标等的具体要求，见投标人须知前附表。</w:t>
      </w:r>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lang w:val="en-US" w:eastAsia="zh-CN"/>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36"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3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3"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w:t>
            </w:r>
            <w:r>
              <w:rPr>
                <w:rFonts w:hint="eastAsia" w:ascii="Times New Roman" w:hAnsi="Times New Roman" w:cs="Times New Roman"/>
                <w:kern w:val="0"/>
                <w:sz w:val="24"/>
                <w:lang w:val="en-US" w:eastAsia="zh-CN"/>
              </w:rPr>
              <w:t>五</w:t>
            </w:r>
            <w:r>
              <w:rPr>
                <w:rFonts w:hint="eastAsia" w:ascii="Times New Roman" w:hAnsi="Times New Roman" w:cs="Times New Roman"/>
                <w:kern w:val="0"/>
                <w:sz w:val="24"/>
              </w:rPr>
              <w:t>章“技术标准和要求”规定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372" w:name="_Toc246996232"/>
            <w:bookmarkStart w:id="373" w:name="_Toc179632607"/>
            <w:bookmarkStart w:id="374" w:name="_Toc247085747"/>
            <w:bookmarkStart w:id="375" w:name="_Toc152042366"/>
            <w:bookmarkStart w:id="376" w:name="_Toc296602477"/>
            <w:bookmarkStart w:id="377" w:name="_Toc152045589"/>
            <w:bookmarkStart w:id="378" w:name="_Toc246996975"/>
            <w:bookmarkStart w:id="379" w:name="_Toc144974556"/>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施工方案：</w:t>
            </w:r>
            <w:r>
              <w:rPr>
                <w:rFonts w:hint="eastAsia" w:ascii="Times New Roman" w:hAnsi="Times New Roman" w:cs="Times New Roman"/>
                <w:kern w:val="0"/>
                <w:sz w:val="24"/>
                <w:u w:val="single"/>
              </w:rPr>
              <w:t>40</w:t>
            </w:r>
            <w:r>
              <w:rPr>
                <w:rFonts w:hint="eastAsia"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rPr>
              <w:t>30</w:t>
            </w:r>
            <w:r>
              <w:rPr>
                <w:rFonts w:hint="eastAsia" w:ascii="Times New Roman" w:hAnsi="Times New Roman" w:cs="Times New Roman"/>
                <w:kern w:val="0"/>
                <w:sz w:val="24"/>
              </w:rPr>
              <w:t>分</w:t>
            </w:r>
          </w:p>
          <w:p>
            <w:pPr>
              <w:wordWrap w:val="0"/>
              <w:spacing w:line="440" w:lineRule="exact"/>
              <w:rPr>
                <w:rFonts w:ascii="Times New Roman" w:hAnsi="Times New Roman" w:cs="Times New Roman"/>
                <w:kern w:val="0"/>
                <w:sz w:val="24"/>
                <w:highlight w:val="yellow"/>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rPr>
              <w:t>30分</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kern w:val="0"/>
                <w:sz w:val="24"/>
              </w:rPr>
              <w:t>取所有有效投标报价的算术平均值作为评标基准价。</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4"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napToGrid w:val="0"/>
              <w:spacing w:line="240" w:lineRule="auto"/>
              <w:ind w:firstLine="0" w:firstLineChars="0"/>
              <w:jc w:val="center"/>
              <w:rPr>
                <w:rFonts w:hint="eastAsia" w:ascii="Times New Roman" w:hAnsi="Times New Roman" w:cs="Times New Roman" w:eastAsiaTheme="minorEastAsia"/>
                <w:kern w:val="0"/>
                <w:sz w:val="24"/>
                <w:lang w:val="en-US" w:eastAsia="zh-CN"/>
              </w:rPr>
            </w:pPr>
            <w:permStart w:id="53" w:edGrp="everyone"/>
            <w:r>
              <w:rPr>
                <w:rFonts w:hint="eastAsia" w:ascii="Times New Roman" w:hAnsi="Times New Roman" w:cs="Times New Roman"/>
                <w:color w:val="0000FF"/>
                <w:kern w:val="0"/>
                <w:sz w:val="24"/>
                <w:lang w:val="en-US" w:eastAsia="zh-CN"/>
              </w:rPr>
              <w:t>/</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1" w:colLast="1"/>
            <w:permStart w:id="55" w:edGrp="everyone" w:colFirst="2" w:colLast="2"/>
            <w:permStart w:id="56"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施工方案评分标准（40分）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质量管理体系及措施（10分）</w:t>
            </w:r>
          </w:p>
          <w:p>
            <w:pPr>
              <w:wordWrap w:val="0"/>
              <w:spacing w:line="440" w:lineRule="exact"/>
              <w:jc w:val="center"/>
              <w:rPr>
                <w:rFonts w:ascii="Times New Roman" w:hAnsi="Times New Roman" w:cs="Times New Roman"/>
                <w:color w:val="FF0000"/>
                <w:kern w:val="0"/>
                <w:sz w:val="24"/>
                <w:highlight w:val="yellow"/>
              </w:rPr>
            </w:pP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宋体" w:hAnsi="宋体" w:eastAsia="宋体" w:cs="宋体"/>
                <w:kern w:val="0"/>
                <w:sz w:val="24"/>
              </w:rPr>
            </w:pPr>
            <w:r>
              <w:rPr>
                <w:rFonts w:hint="eastAsia" w:ascii="Times New Roman" w:hAnsi="Times New Roman" w:cs="Times New Roman"/>
                <w:kern w:val="0"/>
                <w:sz w:val="24"/>
              </w:rPr>
              <w:t>施工项目质量技术管理制度健全，主要工序有质量技术保证措施和手段，自控体系完整，能有效保证技术质量，达到承诺的质量标准。</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cs="宋体"/>
                <w:kern w:val="0"/>
                <w:sz w:val="24"/>
              </w:rPr>
              <w:t>7</w:t>
            </w:r>
            <w:r>
              <w:rPr>
                <w:rFonts w:hint="eastAsia" w:ascii="宋体" w:hAnsi="宋体" w:eastAsia="宋体" w:cs="宋体"/>
                <w:kern w:val="0"/>
                <w:sz w:val="24"/>
              </w:rPr>
              <w:t>-</w:t>
            </w:r>
            <w:r>
              <w:rPr>
                <w:rFonts w:hint="eastAsia" w:ascii="宋体" w:hAnsi="宋体" w:cs="宋体"/>
                <w:kern w:val="0"/>
                <w:sz w:val="24"/>
              </w:rPr>
              <w:t>10</w:t>
            </w:r>
            <w:r>
              <w:rPr>
                <w:rFonts w:hint="eastAsia" w:ascii="宋体" w:hAnsi="宋体" w:eastAsia="宋体" w:cs="宋体"/>
                <w:kern w:val="0"/>
                <w:sz w:val="24"/>
              </w:rPr>
              <w:t>分，良：</w:t>
            </w:r>
            <w:r>
              <w:rPr>
                <w:rFonts w:hint="eastAsia" w:ascii="宋体" w:hAnsi="宋体" w:cs="宋体"/>
                <w:kern w:val="0"/>
                <w:sz w:val="24"/>
              </w:rPr>
              <w:t>4</w:t>
            </w:r>
            <w:r>
              <w:rPr>
                <w:rFonts w:hint="eastAsia" w:ascii="宋体" w:hAnsi="宋体" w:eastAsia="宋体" w:cs="宋体"/>
                <w:kern w:val="0"/>
                <w:sz w:val="24"/>
              </w:rPr>
              <w:t>-</w:t>
            </w:r>
            <w:r>
              <w:rPr>
                <w:rFonts w:hint="eastAsia" w:ascii="宋体" w:hAnsi="宋体" w:cs="宋体"/>
                <w:kern w:val="0"/>
                <w:sz w:val="24"/>
              </w:rPr>
              <w:t>7</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cs="宋体"/>
                <w:kern w:val="0"/>
                <w:sz w:val="24"/>
              </w:rPr>
              <w:t>4</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54"/>
      <w:permEnd w:id="55"/>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1" w:colLast="1"/>
            <w:permStart w:id="58" w:edGrp="everyone" w:colFirst="2" w:colLast="2"/>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安全管理体系及措施（10分）</w:t>
            </w:r>
          </w:p>
          <w:p>
            <w:pPr>
              <w:wordWrap w:val="0"/>
              <w:spacing w:line="440" w:lineRule="exact"/>
              <w:jc w:val="center"/>
              <w:rPr>
                <w:rFonts w:ascii="Times New Roman" w:hAnsi="Times New Roman" w:cs="Times New Roman"/>
                <w:kern w:val="0"/>
                <w:sz w:val="24"/>
              </w:rPr>
            </w:pP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cs="宋体"/>
                <w:kern w:val="0"/>
                <w:sz w:val="24"/>
              </w:rPr>
              <w:t>7</w:t>
            </w:r>
            <w:r>
              <w:rPr>
                <w:rFonts w:hint="eastAsia" w:ascii="宋体" w:hAnsi="宋体" w:eastAsia="宋体" w:cs="宋体"/>
                <w:kern w:val="0"/>
                <w:sz w:val="24"/>
              </w:rPr>
              <w:t>-</w:t>
            </w:r>
            <w:r>
              <w:rPr>
                <w:rFonts w:hint="eastAsia" w:ascii="宋体" w:hAnsi="宋体" w:cs="宋体"/>
                <w:kern w:val="0"/>
                <w:sz w:val="24"/>
              </w:rPr>
              <w:t>10</w:t>
            </w:r>
            <w:r>
              <w:rPr>
                <w:rFonts w:hint="eastAsia" w:ascii="宋体" w:hAnsi="宋体" w:eastAsia="宋体" w:cs="宋体"/>
                <w:kern w:val="0"/>
                <w:sz w:val="24"/>
              </w:rPr>
              <w:t>分，良：</w:t>
            </w:r>
            <w:r>
              <w:rPr>
                <w:rFonts w:hint="eastAsia" w:ascii="宋体" w:hAnsi="宋体" w:cs="宋体"/>
                <w:kern w:val="0"/>
                <w:sz w:val="24"/>
              </w:rPr>
              <w:t>4</w:t>
            </w:r>
            <w:r>
              <w:rPr>
                <w:rFonts w:hint="eastAsia" w:ascii="宋体" w:hAnsi="宋体" w:eastAsia="宋体" w:cs="宋体"/>
                <w:kern w:val="0"/>
                <w:sz w:val="24"/>
              </w:rPr>
              <w:t>-</w:t>
            </w:r>
            <w:r>
              <w:rPr>
                <w:rFonts w:hint="eastAsia" w:ascii="宋体" w:hAnsi="宋体" w:cs="宋体"/>
                <w:kern w:val="0"/>
                <w:sz w:val="24"/>
              </w:rPr>
              <w:t>7</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cs="宋体"/>
                <w:kern w:val="0"/>
                <w:sz w:val="24"/>
              </w:rPr>
              <w:t>4</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57"/>
      <w:permEnd w:id="58"/>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1" w:colLast="1"/>
            <w:permStart w:id="61" w:edGrp="everyone" w:colFirst="2" w:colLast="2"/>
            <w:permStart w:id="6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宋体" w:hAnsi="宋体" w:eastAsia="宋体" w:cs="宋体"/>
                <w:kern w:val="0"/>
                <w:sz w:val="24"/>
              </w:rPr>
            </w:pPr>
            <w:r>
              <w:rPr>
                <w:rFonts w:hint="eastAsia" w:ascii="宋体" w:hAnsi="宋体" w:eastAsia="宋体" w:cs="宋体"/>
                <w:kern w:val="0"/>
                <w:sz w:val="24"/>
              </w:rPr>
              <w:t>工程进度计划与措施（ 10 分）</w:t>
            </w:r>
          </w:p>
          <w:p>
            <w:pPr>
              <w:wordWrap w:val="0"/>
              <w:spacing w:line="440" w:lineRule="exact"/>
              <w:jc w:val="center"/>
              <w:rPr>
                <w:rFonts w:ascii="Times New Roman" w:hAnsi="Times New Roman" w:cs="Times New Roman"/>
                <w:kern w:val="0"/>
                <w:sz w:val="24"/>
              </w:rPr>
            </w:pP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在施工工艺、施工方法、劳动力安排、技术等方面有保证工期的具体措施且措施得当，有控制工期的施工进度计划，有施工总进度，各项计划图表编制完善、安排科学合理，符合本项目施工实际要求。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cs="宋体"/>
                <w:kern w:val="0"/>
                <w:sz w:val="24"/>
              </w:rPr>
              <w:t>7</w:t>
            </w:r>
            <w:r>
              <w:rPr>
                <w:rFonts w:hint="eastAsia" w:ascii="宋体" w:hAnsi="宋体" w:eastAsia="宋体" w:cs="宋体"/>
                <w:kern w:val="0"/>
                <w:sz w:val="24"/>
              </w:rPr>
              <w:t>-10分，良：</w:t>
            </w:r>
            <w:r>
              <w:rPr>
                <w:rFonts w:hint="eastAsia" w:ascii="宋体" w:hAnsi="宋体" w:cs="宋体"/>
                <w:kern w:val="0"/>
                <w:sz w:val="24"/>
              </w:rPr>
              <w:t>4</w:t>
            </w:r>
            <w:r>
              <w:rPr>
                <w:rFonts w:hint="eastAsia" w:ascii="宋体" w:hAnsi="宋体" w:eastAsia="宋体" w:cs="宋体"/>
                <w:kern w:val="0"/>
                <w:sz w:val="24"/>
              </w:rPr>
              <w:t>-</w:t>
            </w:r>
            <w:r>
              <w:rPr>
                <w:rFonts w:hint="eastAsia" w:ascii="宋体" w:hAnsi="宋体" w:cs="宋体"/>
                <w:kern w:val="0"/>
                <w:sz w:val="24"/>
              </w:rPr>
              <w:t>7</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cs="宋体"/>
                <w:kern w:val="0"/>
                <w:sz w:val="24"/>
              </w:rPr>
              <w:t>4</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0"/>
      <w:permEnd w:id="61"/>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02"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1" w:colLast="1"/>
            <w:permStart w:id="64" w:edGrp="everyone" w:colFirst="2" w:colLast="2"/>
            <w:permStart w:id="6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宋体" w:hAnsi="宋体" w:eastAsia="宋体" w:cs="宋体"/>
                <w:kern w:val="0"/>
                <w:sz w:val="24"/>
              </w:rPr>
              <w:t>资源配备计划（ 10分）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劳动力、机械设备投入计划及其保证措施，满足施工需要，调配投入计划合理、准确，满足施工需要。</w:t>
            </w:r>
          </w:p>
          <w:p>
            <w:pPr>
              <w:wordWrap w:val="0"/>
              <w:spacing w:line="440" w:lineRule="exact"/>
              <w:ind w:firstLine="480" w:firstLineChars="200"/>
              <w:rPr>
                <w:rFonts w:ascii="Times New Roman" w:hAnsi="Times New Roman" w:cs="Times New Roman"/>
                <w:kern w:val="0"/>
                <w:sz w:val="24"/>
              </w:rPr>
            </w:pPr>
            <w:r>
              <w:rPr>
                <w:rFonts w:hint="eastAsia" w:ascii="宋体" w:hAnsi="宋体" w:eastAsia="宋体" w:cs="宋体"/>
                <w:kern w:val="0"/>
                <w:sz w:val="24"/>
              </w:rPr>
              <w:t>优：</w:t>
            </w:r>
            <w:r>
              <w:rPr>
                <w:rFonts w:hint="eastAsia" w:ascii="宋体" w:hAnsi="宋体" w:cs="宋体"/>
                <w:kern w:val="0"/>
                <w:sz w:val="24"/>
              </w:rPr>
              <w:t>7</w:t>
            </w:r>
            <w:r>
              <w:rPr>
                <w:rFonts w:hint="eastAsia" w:ascii="宋体" w:hAnsi="宋体" w:eastAsia="宋体" w:cs="宋体"/>
                <w:kern w:val="0"/>
                <w:sz w:val="24"/>
              </w:rPr>
              <w:t>-</w:t>
            </w:r>
            <w:r>
              <w:rPr>
                <w:rFonts w:hint="eastAsia" w:ascii="宋体" w:hAnsi="宋体" w:cs="宋体"/>
                <w:kern w:val="0"/>
                <w:sz w:val="24"/>
              </w:rPr>
              <w:t>10</w:t>
            </w:r>
            <w:r>
              <w:rPr>
                <w:rFonts w:hint="eastAsia" w:ascii="宋体" w:hAnsi="宋体" w:eastAsia="宋体" w:cs="宋体"/>
                <w:kern w:val="0"/>
                <w:sz w:val="24"/>
              </w:rPr>
              <w:t>分，良：</w:t>
            </w:r>
            <w:r>
              <w:rPr>
                <w:rFonts w:hint="eastAsia" w:ascii="宋体" w:hAnsi="宋体" w:cs="宋体"/>
                <w:kern w:val="0"/>
                <w:sz w:val="24"/>
              </w:rPr>
              <w:t>4</w:t>
            </w:r>
            <w:r>
              <w:rPr>
                <w:rFonts w:hint="eastAsia" w:ascii="宋体" w:hAnsi="宋体" w:eastAsia="宋体" w:cs="宋体"/>
                <w:kern w:val="0"/>
                <w:sz w:val="24"/>
              </w:rPr>
              <w:t>-</w:t>
            </w:r>
            <w:r>
              <w:rPr>
                <w:rFonts w:hint="eastAsia" w:ascii="宋体" w:hAnsi="宋体" w:cs="宋体"/>
                <w:kern w:val="0"/>
                <w:sz w:val="24"/>
              </w:rPr>
              <w:t>7</w:t>
            </w:r>
            <w:r>
              <w:rPr>
                <w:rFonts w:hint="eastAsia" w:ascii="宋体" w:hAnsi="宋体" w:eastAsia="宋体" w:cs="宋体"/>
                <w:kern w:val="0"/>
                <w:sz w:val="24"/>
              </w:rPr>
              <w:t>分，一般：</w:t>
            </w:r>
            <w:r>
              <w:rPr>
                <w:rFonts w:hint="eastAsia" w:ascii="宋体" w:hAnsi="宋体" w:cs="宋体"/>
                <w:kern w:val="0"/>
                <w:sz w:val="24"/>
              </w:rPr>
              <w:t>1</w:t>
            </w:r>
            <w:r>
              <w:rPr>
                <w:rFonts w:hint="eastAsia" w:ascii="宋体" w:hAnsi="宋体" w:eastAsia="宋体" w:cs="宋体"/>
                <w:kern w:val="0"/>
                <w:sz w:val="24"/>
              </w:rPr>
              <w:t>-</w:t>
            </w:r>
            <w:r>
              <w:rPr>
                <w:rFonts w:hint="eastAsia" w:ascii="宋体" w:hAnsi="宋体" w:cs="宋体"/>
                <w:kern w:val="0"/>
                <w:sz w:val="24"/>
              </w:rPr>
              <w:t>4</w:t>
            </w:r>
            <w:r>
              <w:rPr>
                <w:rFonts w:hint="eastAsia" w:ascii="宋体" w:hAnsi="宋体" w:eastAsia="宋体" w:cs="宋体"/>
                <w:kern w:val="0"/>
                <w:sz w:val="24"/>
              </w:rPr>
              <w:t>分，差：0-</w:t>
            </w:r>
            <w:r>
              <w:rPr>
                <w:rFonts w:hint="eastAsia" w:ascii="宋体" w:hAnsi="宋体" w:cs="宋体"/>
                <w:kern w:val="0"/>
                <w:sz w:val="24"/>
              </w:rPr>
              <w:t>1</w:t>
            </w:r>
            <w:r>
              <w:rPr>
                <w:rFonts w:hint="eastAsia" w:ascii="宋体" w:hAnsi="宋体" w:eastAsia="宋体" w:cs="宋体"/>
                <w:kern w:val="0"/>
                <w:sz w:val="24"/>
              </w:rPr>
              <w:t>分。</w:t>
            </w:r>
          </w:p>
        </w:tc>
      </w:tr>
      <w:permEnd w:id="63"/>
      <w:permEnd w:id="64"/>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1" w:colLast="1"/>
            <w:permStart w:id="67" w:edGrp="everyone" w:colFirst="2" w:colLast="2"/>
            <w:permStart w:id="68"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hint="eastAsia" w:ascii="宋体" w:hAnsi="宋体" w:eastAsia="宋体" w:cs="宋体"/>
                <w:kern w:val="0"/>
                <w:sz w:val="24"/>
              </w:rPr>
            </w:pPr>
            <w:r>
              <w:rPr>
                <w:rFonts w:hint="eastAsia" w:ascii="宋体" w:hAnsi="宋体" w:eastAsia="宋体" w:cs="宋体"/>
                <w:kern w:val="0"/>
                <w:sz w:val="24"/>
              </w:rPr>
              <w:t>企业荣誉评分标准</w:t>
            </w:r>
          </w:p>
          <w:p>
            <w:pPr>
              <w:wordWrap w:val="0"/>
              <w:spacing w:line="440" w:lineRule="exact"/>
              <w:jc w:val="center"/>
              <w:rPr>
                <w:rFonts w:ascii="Times New Roman" w:hAnsi="Times New Roman" w:cs="Times New Roman"/>
                <w:kern w:val="0"/>
                <w:sz w:val="24"/>
              </w:rPr>
            </w:pPr>
            <w:r>
              <w:rPr>
                <w:rFonts w:hint="eastAsia" w:ascii="宋体" w:hAnsi="宋体" w:eastAsia="宋体" w:cs="宋体"/>
                <w:i w:val="0"/>
                <w:iCs w:val="0"/>
                <w:color w:val="auto"/>
                <w:kern w:val="0"/>
                <w:sz w:val="24"/>
                <w:u w:val="none"/>
              </w:rPr>
              <w:t>（ 30分）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企业业绩</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（10分）</w:t>
            </w:r>
          </w:p>
        </w:tc>
        <w:tc>
          <w:tcPr>
            <w:tcW w:w="4836" w:type="dxa"/>
            <w:tcBorders>
              <w:top w:val="single" w:color="auto" w:sz="4" w:space="0"/>
              <w:left w:val="single" w:color="auto" w:sz="4" w:space="0"/>
              <w:bottom w:val="single" w:color="auto" w:sz="4" w:space="0"/>
              <w:right w:val="single" w:color="auto" w:sz="4" w:space="0"/>
            </w:tcBorders>
            <w:vAlign w:val="center"/>
          </w:tcPr>
          <w:p>
            <w:pPr>
              <w:widowControl/>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在符合招标公告投标人资格要求的基础上，投标人每额外提供1个类似项目业绩，得5分，本项满分10分。</w:t>
            </w:r>
          </w:p>
          <w:p>
            <w:pPr>
              <w:widowControl/>
              <w:ind w:firstLine="480" w:firstLineChars="200"/>
              <w:rPr>
                <w:rFonts w:hint="eastAsia" w:eastAsia="楷体_GB2312"/>
                <w:lang w:eastAsia="zh-CN"/>
              </w:rPr>
            </w:pPr>
            <w:r>
              <w:rPr>
                <w:rFonts w:hint="eastAsia" w:ascii="Times New Roman" w:hAnsi="Times New Roman" w:eastAsia="楷体_GB2312" w:cs="Times New Roman"/>
                <w:color w:val="FF0000"/>
                <w:kern w:val="0"/>
                <w:sz w:val="24"/>
                <w:lang w:eastAsia="zh-CN"/>
              </w:rPr>
              <w:t>注：</w:t>
            </w:r>
            <w:r>
              <w:rPr>
                <w:rFonts w:hint="eastAsia" w:ascii="Times New Roman" w:hAnsi="Times New Roman" w:eastAsia="楷体_GB2312" w:cs="Times New Roman"/>
                <w:color w:val="FF0000"/>
                <w:kern w:val="0"/>
                <w:sz w:val="24"/>
              </w:rPr>
              <w:t>投标人须提供相关</w:t>
            </w:r>
            <w:r>
              <w:rPr>
                <w:rFonts w:hint="eastAsia" w:ascii="Times New Roman" w:hAnsi="Times New Roman" w:eastAsia="楷体_GB2312" w:cs="Times New Roman"/>
                <w:color w:val="FF0000"/>
                <w:kern w:val="0"/>
                <w:sz w:val="24"/>
                <w:lang w:eastAsia="zh-CN"/>
              </w:rPr>
              <w:t>业绩</w:t>
            </w:r>
            <w:r>
              <w:rPr>
                <w:rFonts w:hint="eastAsia" w:ascii="Times New Roman" w:hAnsi="Times New Roman" w:eastAsia="楷体_GB2312" w:cs="Times New Roman"/>
                <w:color w:val="FF0000"/>
                <w:kern w:val="0"/>
                <w:sz w:val="24"/>
                <w:lang w:val="en-US" w:eastAsia="zh-CN"/>
              </w:rPr>
              <w:t>的</w:t>
            </w:r>
            <w:r>
              <w:rPr>
                <w:rFonts w:hint="eastAsia" w:ascii="Times New Roman" w:hAnsi="Times New Roman" w:eastAsia="楷体_GB2312" w:cs="Times New Roman"/>
                <w:color w:val="FF0000"/>
                <w:kern w:val="0"/>
                <w:sz w:val="24"/>
              </w:rPr>
              <w:t>合同复印件（或扫描件），并装订入投标文件中</w:t>
            </w:r>
            <w:r>
              <w:rPr>
                <w:rFonts w:hint="eastAsia" w:ascii="Times New Roman" w:hAnsi="Times New Roman" w:eastAsia="楷体_GB2312" w:cs="Times New Roman"/>
                <w:color w:val="FF0000"/>
                <w:kern w:val="0"/>
                <w:sz w:val="24"/>
                <w:lang w:eastAsia="zh-CN"/>
              </w:rPr>
              <w:t>。</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58" w:hRule="atLeast"/>
        </w:trPr>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i/>
                <w:iCs/>
                <w:color w:val="FF0000"/>
                <w:kern w:val="0"/>
                <w:sz w:val="24"/>
                <w:u w:val="single"/>
              </w:rPr>
            </w:pPr>
            <w:r>
              <w:rPr>
                <w:rFonts w:hint="eastAsia" w:ascii="Times New Roman" w:hAnsi="Times New Roman" w:cs="Times New Roman"/>
                <w:kern w:val="0"/>
                <w:sz w:val="24"/>
              </w:rPr>
              <w:t>拟派项目负责人业绩（10分）</w:t>
            </w:r>
          </w:p>
        </w:tc>
        <w:tc>
          <w:tcPr>
            <w:tcW w:w="48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拟派项目负责人以项目负责人身份完成1个</w:t>
            </w:r>
            <w:r>
              <w:rPr>
                <w:rFonts w:hint="eastAsia" w:ascii="Times New Roman" w:hAnsi="Times New Roman"/>
                <w:kern w:val="0"/>
                <w:sz w:val="24"/>
              </w:rPr>
              <w:t>已完成单项合同金额不低于200万元的施工劳务（建筑工程类）业绩</w:t>
            </w:r>
            <w:r>
              <w:rPr>
                <w:rFonts w:hint="eastAsia" w:ascii="Times New Roman" w:hAnsi="Times New Roman" w:cs="Times New Roman"/>
                <w:kern w:val="0"/>
                <w:sz w:val="24"/>
              </w:rPr>
              <w:t>得5分； 满分10分。</w:t>
            </w:r>
          </w:p>
          <w:p>
            <w:pPr>
              <w:spacing w:line="440" w:lineRule="exact"/>
              <w:ind w:firstLine="480" w:firstLineChars="200"/>
              <w:rPr>
                <w:rFonts w:hint="default" w:ascii="Times New Roman" w:hAnsi="Times New Roman" w:cs="Times New Roman"/>
                <w:i/>
                <w:iCs/>
                <w:color w:val="FF0000"/>
                <w:kern w:val="0"/>
                <w:sz w:val="24"/>
                <w:u w:val="single"/>
                <w:lang w:val="en-US"/>
              </w:rPr>
            </w:pPr>
            <w:r>
              <w:rPr>
                <w:rFonts w:hint="eastAsia" w:ascii="Times New Roman" w:hAnsi="Times New Roman" w:eastAsia="楷体_GB2312" w:cs="Times New Roman"/>
                <w:color w:val="FF0000"/>
                <w:kern w:val="0"/>
                <w:sz w:val="24"/>
                <w:lang w:eastAsia="zh-CN"/>
              </w:rPr>
              <w:t>注：</w:t>
            </w:r>
            <w:r>
              <w:rPr>
                <w:rFonts w:hint="eastAsia" w:ascii="Times New Roman" w:hAnsi="Times New Roman" w:eastAsia="楷体_GB2312" w:cs="Times New Roman"/>
                <w:color w:val="FF0000"/>
                <w:kern w:val="0"/>
                <w:sz w:val="24"/>
              </w:rPr>
              <w:t>投标人须提供相关</w:t>
            </w:r>
            <w:r>
              <w:rPr>
                <w:rFonts w:hint="eastAsia" w:ascii="Times New Roman" w:hAnsi="Times New Roman" w:eastAsia="楷体_GB2312" w:cs="Times New Roman"/>
                <w:color w:val="FF0000"/>
                <w:kern w:val="0"/>
                <w:sz w:val="24"/>
                <w:lang w:val="en-US" w:eastAsia="zh-CN"/>
              </w:rPr>
              <w:t>业绩的</w:t>
            </w:r>
            <w:r>
              <w:rPr>
                <w:rFonts w:hint="eastAsia" w:ascii="Times New Roman" w:hAnsi="Times New Roman" w:eastAsia="楷体_GB2312" w:cs="Times New Roman"/>
                <w:color w:val="FF0000"/>
                <w:kern w:val="0"/>
                <w:sz w:val="24"/>
              </w:rPr>
              <w:t>合同复印件（或扫描件），并装订入投标文件中；</w:t>
            </w:r>
            <w:r>
              <w:rPr>
                <w:rFonts w:hint="eastAsia" w:ascii="Times New Roman" w:hAnsi="Times New Roman" w:eastAsia="楷体_GB2312" w:cs="Times New Roman"/>
                <w:color w:val="FF0000"/>
                <w:kern w:val="0"/>
                <w:sz w:val="24"/>
                <w:lang w:val="en-US" w:eastAsia="zh-CN"/>
              </w:rPr>
              <w:t>业绩合同应当体现项目负责人身份信息，否则不予计分。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1" w:colLast="1"/>
            <w:permStart w:id="70" w:edGrp="everyone" w:colFirst="2" w:colLast="2"/>
            <w:permStart w:id="71"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本项满分10分，多分不计。</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1" w:colLast="1"/>
            <w:permStart w:id="73" w:edGrp="everyone" w:colFirst="2" w:colLast="2"/>
            <w:permStart w:id="74"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val="0"/>
                <w:iCs w:val="0"/>
                <w:color w:val="auto"/>
                <w:kern w:val="0"/>
                <w:sz w:val="24"/>
                <w:u w:val="none"/>
              </w:rPr>
              <w:t>（</w:t>
            </w:r>
            <w:r>
              <w:rPr>
                <w:rFonts w:hint="default" w:ascii="Times New Roman" w:hAnsi="Times New Roman" w:cs="Times New Roman"/>
                <w:i w:val="0"/>
                <w:iCs w:val="0"/>
                <w:color w:val="auto"/>
                <w:kern w:val="0"/>
                <w:sz w:val="24"/>
                <w:u w:val="none"/>
              </w:rPr>
              <w:t>30</w:t>
            </w:r>
            <w:r>
              <w:rPr>
                <w:rFonts w:ascii="Times New Roman" w:hAnsi="Times New Roman" w:cs="Times New Roman"/>
                <w:i w:val="0"/>
                <w:iCs w:val="0"/>
                <w:color w:val="auto"/>
                <w:kern w:val="0"/>
                <w:sz w:val="24"/>
                <w:u w:val="non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宋体" w:hAnsi="宋体" w:eastAsia="宋体" w:cs="宋体"/>
                <w:kern w:val="0"/>
                <w:sz w:val="24"/>
              </w:rPr>
            </w:pPr>
            <w:r>
              <w:rPr>
                <w:rFonts w:hint="eastAsia" w:ascii="宋体" w:hAnsi="宋体" w:eastAsia="宋体" w:cs="宋体"/>
                <w:kern w:val="0"/>
                <w:sz w:val="24"/>
              </w:rPr>
              <w:t>投标报价评审</w:t>
            </w:r>
          </w:p>
          <w:p>
            <w:pPr>
              <w:wordWrap w:val="0"/>
              <w:spacing w:line="440" w:lineRule="exact"/>
              <w:jc w:val="center"/>
              <w:rPr>
                <w:rFonts w:ascii="Times New Roman" w:hAnsi="Times New Roman" w:cs="Times New Roman"/>
                <w:kern w:val="0"/>
                <w:sz w:val="24"/>
              </w:rPr>
            </w:pPr>
            <w:r>
              <w:rPr>
                <w:rFonts w:hint="eastAsia" w:ascii="宋体" w:hAnsi="宋体" w:eastAsia="宋体" w:cs="宋体"/>
                <w:kern w:val="0"/>
                <w:sz w:val="24"/>
              </w:rPr>
              <w:t>（30分）</w:t>
            </w:r>
          </w:p>
        </w:tc>
        <w:tc>
          <w:tcPr>
            <w:tcW w:w="4836" w:type="dxa"/>
            <w:tcBorders>
              <w:top w:val="single" w:color="auto" w:sz="4" w:space="0"/>
              <w:left w:val="single" w:color="auto" w:sz="4" w:space="0"/>
              <w:bottom w:val="single" w:color="auto" w:sz="4" w:space="0"/>
              <w:right w:val="single" w:color="auto" w:sz="4" w:space="0"/>
            </w:tcBorders>
            <w:vAlign w:val="center"/>
          </w:tcPr>
          <w:p>
            <w:pPr>
              <w:pStyle w:val="28"/>
              <w:ind w:right="-44" w:firstLine="480" w:firstLineChars="200"/>
              <w:jc w:val="left"/>
              <w:rPr>
                <w:sz w:val="24"/>
              </w:rPr>
            </w:pPr>
            <w:r>
              <w:rPr>
                <w:rFonts w:hint="eastAsia"/>
                <w:kern w:val="0"/>
                <w:sz w:val="24"/>
              </w:rPr>
              <w:t>取所有有效投标报价的算术平均值作为评标基准价（5家及以上去掉一个最高价和最低价），各投标人的投标报价得分按以下公式计算：</w:t>
            </w:r>
          </w:p>
          <w:p>
            <w:pPr>
              <w:pStyle w:val="28"/>
              <w:numPr>
                <w:ilvl w:val="255"/>
                <w:numId w:val="0"/>
              </w:numPr>
              <w:ind w:left="128" w:right="-44"/>
              <w:jc w:val="left"/>
              <w:rPr>
                <w:sz w:val="24"/>
              </w:rPr>
            </w:pPr>
            <w:r>
              <w:rPr>
                <w:rFonts w:hint="eastAsia"/>
                <w:spacing w:val="-3"/>
                <w:sz w:val="24"/>
              </w:rPr>
              <w:t>（1）</w:t>
            </w:r>
            <w:r>
              <w:rPr>
                <w:spacing w:val="-3"/>
                <w:sz w:val="24"/>
              </w:rPr>
              <w:t xml:space="preserve">投标人的投标报价等于评标基准价得 </w:t>
            </w:r>
            <w:r>
              <w:rPr>
                <w:rFonts w:hint="eastAsia" w:ascii="Times New Roman"/>
                <w:sz w:val="24"/>
              </w:rPr>
              <w:t>30分</w:t>
            </w:r>
            <w:r>
              <w:rPr>
                <w:sz w:val="24"/>
              </w:rPr>
              <w:t>；</w:t>
            </w:r>
          </w:p>
          <w:p>
            <w:pPr>
              <w:pStyle w:val="28"/>
              <w:numPr>
                <w:ilvl w:val="255"/>
                <w:numId w:val="0"/>
              </w:numPr>
              <w:ind w:left="128" w:right="-44"/>
              <w:jc w:val="left"/>
              <w:rPr>
                <w:sz w:val="24"/>
              </w:rPr>
            </w:pPr>
            <w:r>
              <w:rPr>
                <w:rFonts w:hint="eastAsia"/>
                <w:spacing w:val="-3"/>
                <w:sz w:val="24"/>
              </w:rPr>
              <w:t>（2）</w:t>
            </w:r>
            <w:r>
              <w:rPr>
                <w:sz w:val="24"/>
              </w:rPr>
              <w:t>投标人的投标报价高于评标基准价：</w:t>
            </w:r>
            <w:r>
              <w:rPr>
                <w:rFonts w:hint="eastAsia" w:ascii="Times New Roman"/>
                <w:sz w:val="24"/>
              </w:rPr>
              <w:t>30</w:t>
            </w:r>
            <w:r>
              <w:rPr>
                <w:rFonts w:ascii="Times New Roman" w:eastAsia="Times New Roman"/>
                <w:sz w:val="24"/>
              </w:rPr>
              <w:t>-</w:t>
            </w:r>
            <w:r>
              <w:rPr>
                <w:sz w:val="24"/>
              </w:rPr>
              <w:t>（投标人投标报价</w:t>
            </w:r>
            <w:r>
              <w:rPr>
                <w:rFonts w:ascii="Times New Roman" w:eastAsia="Times New Roman"/>
                <w:spacing w:val="5"/>
                <w:sz w:val="24"/>
              </w:rPr>
              <w:t>-</w:t>
            </w:r>
            <w:r>
              <w:rPr>
                <w:sz w:val="24"/>
              </w:rPr>
              <w:t>评标基准价）</w:t>
            </w:r>
            <w:r>
              <w:rPr>
                <w:rFonts w:ascii="Times New Roman" w:eastAsia="Times New Roman"/>
                <w:sz w:val="24"/>
              </w:rPr>
              <w:t>/</w:t>
            </w:r>
            <w:r>
              <w:rPr>
                <w:sz w:val="24"/>
              </w:rPr>
              <w:t>评标基准价</w:t>
            </w:r>
            <w:r>
              <w:rPr>
                <w:rFonts w:ascii="Times New Roman" w:eastAsia="Times New Roman"/>
                <w:sz w:val="24"/>
              </w:rPr>
              <w:t>*100*</w:t>
            </w:r>
            <w:r>
              <w:rPr>
                <w:rFonts w:hint="eastAsia" w:ascii="Times New Roman" w:eastAsia="Times New Roman"/>
                <w:sz w:val="24"/>
              </w:rPr>
              <w:t>0.3</w:t>
            </w:r>
            <w:r>
              <w:rPr>
                <w:rFonts w:ascii="Times New Roman" w:eastAsia="Times New Roman"/>
                <w:sz w:val="24"/>
              </w:rPr>
              <w:t>；</w:t>
            </w:r>
          </w:p>
          <w:p>
            <w:pPr>
              <w:pStyle w:val="28"/>
              <w:numPr>
                <w:ilvl w:val="255"/>
                <w:numId w:val="0"/>
              </w:numPr>
              <w:ind w:left="128" w:right="-44"/>
              <w:jc w:val="left"/>
              <w:rPr>
                <w:sz w:val="24"/>
              </w:rPr>
            </w:pPr>
            <w:r>
              <w:rPr>
                <w:rFonts w:hint="eastAsia"/>
                <w:spacing w:val="-3"/>
                <w:sz w:val="24"/>
              </w:rPr>
              <w:t>（3）</w:t>
            </w:r>
            <w:r>
              <w:rPr>
                <w:sz w:val="24"/>
              </w:rPr>
              <w:t>投标人的投标报价低于评标基准价：</w:t>
            </w:r>
            <w:r>
              <w:rPr>
                <w:rFonts w:hint="eastAsia"/>
                <w:sz w:val="24"/>
              </w:rPr>
              <w:t>30</w:t>
            </w:r>
            <w:r>
              <w:rPr>
                <w:rFonts w:ascii="Times New Roman" w:eastAsia="Times New Roman"/>
                <w:sz w:val="24"/>
              </w:rPr>
              <w:t>+</w:t>
            </w:r>
            <w:r>
              <w:rPr>
                <w:sz w:val="24"/>
              </w:rPr>
              <w:t>（投标人投标报价</w:t>
            </w:r>
            <w:r>
              <w:rPr>
                <w:rFonts w:ascii="Times New Roman" w:eastAsia="Times New Roman"/>
                <w:spacing w:val="5"/>
                <w:sz w:val="24"/>
              </w:rPr>
              <w:t>-</w:t>
            </w:r>
            <w:r>
              <w:rPr>
                <w:sz w:val="24"/>
              </w:rPr>
              <w:t>评标基准价）</w:t>
            </w:r>
            <w:r>
              <w:rPr>
                <w:rFonts w:ascii="Times New Roman" w:eastAsia="Times New Roman"/>
                <w:sz w:val="24"/>
              </w:rPr>
              <w:t>/</w:t>
            </w:r>
            <w:r>
              <w:rPr>
                <w:sz w:val="24"/>
              </w:rPr>
              <w:t>评标基准价</w:t>
            </w:r>
            <w:r>
              <w:rPr>
                <w:rFonts w:ascii="Times New Roman" w:eastAsia="Times New Roman"/>
                <w:sz w:val="24"/>
              </w:rPr>
              <w:t>*100</w:t>
            </w:r>
            <w:r>
              <w:rPr>
                <w:rFonts w:ascii="Times New Roman" w:eastAsia="Times New Roman"/>
                <w:color w:val="000000"/>
                <w:sz w:val="24"/>
              </w:rPr>
              <w:t>*0.</w:t>
            </w:r>
            <w:r>
              <w:rPr>
                <w:rFonts w:hint="eastAsia" w:ascii="Times New Roman"/>
                <w:color w:val="000000"/>
                <w:sz w:val="24"/>
              </w:rPr>
              <w:t>2</w:t>
            </w:r>
            <w:r>
              <w:rPr>
                <w:color w:val="000000"/>
                <w:sz w:val="24"/>
              </w:rPr>
              <w:t>；</w:t>
            </w:r>
          </w:p>
          <w:p>
            <w:pPr>
              <w:pStyle w:val="28"/>
              <w:ind w:left="128" w:right="-44"/>
              <w:rPr>
                <w:rFonts w:ascii="Times New Roman" w:hAnsi="Times New Roman" w:cs="Times New Roman"/>
                <w:kern w:val="0"/>
                <w:sz w:val="24"/>
              </w:rPr>
            </w:pPr>
            <w:r>
              <w:rPr>
                <w:sz w:val="24"/>
              </w:rPr>
              <w:t>最终计算结果四舍五入保留两位小数。</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75" w:edGrp="everyone" w:colFirst="1" w:colLast="1"/>
            <w:permStart w:id="76" w:edGrp="everyone" w:colFirst="2" w:colLast="2"/>
            <w:permStart w:id="77"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i w:val="0"/>
                <w:iCs w:val="0"/>
                <w:color w:val="auto"/>
                <w:kern w:val="0"/>
                <w:sz w:val="24"/>
                <w:u w:val="none"/>
              </w:rPr>
              <w:t>（  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lang w:val="en-US" w:eastAsia="zh-CN"/>
              </w:rPr>
              <w:t>/</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jc w:val="center"/>
              <w:rPr>
                <w:rFonts w:hint="eastAsia" w:ascii="Times New Roman" w:hAnsi="Times New Roman" w:cs="Times New Roman" w:eastAsiaTheme="minorEastAsia"/>
                <w:kern w:val="0"/>
                <w:sz w:val="24"/>
                <w:lang w:eastAsia="zh-CN"/>
              </w:rPr>
            </w:pPr>
            <w:r>
              <w:rPr>
                <w:rFonts w:hint="eastAsia" w:ascii="Times New Roman" w:hAnsi="Times New Roman" w:cs="Times New Roman"/>
                <w:i w:val="0"/>
                <w:iCs w:val="0"/>
                <w:color w:val="auto"/>
                <w:kern w:val="0"/>
                <w:sz w:val="24"/>
                <w:u w:val="none"/>
                <w:lang w:eastAsia="zh-CN"/>
              </w:rPr>
              <w:t>/</w:t>
            </w:r>
          </w:p>
        </w:tc>
      </w:tr>
      <w:permEnd w:id="75"/>
      <w:permEnd w:id="76"/>
      <w:permEnd w:id="77"/>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380" w:name="_Toc144974557"/>
      <w:bookmarkStart w:id="381" w:name="_Toc152042367"/>
      <w:bookmarkStart w:id="382" w:name="_Toc246996976"/>
      <w:bookmarkStart w:id="383" w:name="_Toc296602478"/>
      <w:bookmarkStart w:id="384" w:name="_Toc247085748"/>
      <w:bookmarkStart w:id="385" w:name="_Toc246996233"/>
      <w:bookmarkStart w:id="386" w:name="_Toc179632608"/>
      <w:bookmarkStart w:id="387" w:name="_Toc152045590"/>
      <w:r>
        <w:rPr>
          <w:rFonts w:ascii="Times New Roman" w:hAnsi="Times New Roman" w:cs="Times New Roman"/>
          <w:b/>
          <w:bCs/>
          <w:kern w:val="0"/>
          <w:sz w:val="28"/>
          <w:szCs w:val="28"/>
        </w:rPr>
        <w:t>2. 评审标准</w:t>
      </w:r>
      <w:bookmarkEnd w:id="380"/>
      <w:bookmarkEnd w:id="381"/>
      <w:bookmarkEnd w:id="382"/>
      <w:bookmarkEnd w:id="383"/>
      <w:bookmarkEnd w:id="384"/>
      <w:bookmarkEnd w:id="385"/>
      <w:bookmarkEnd w:id="386"/>
      <w:bookmarkEnd w:id="387"/>
    </w:p>
    <w:p>
      <w:pPr>
        <w:wordWrap w:val="0"/>
        <w:spacing w:line="440" w:lineRule="exact"/>
        <w:rPr>
          <w:rFonts w:ascii="Times New Roman" w:hAnsi="Times New Roman" w:cs="Times New Roman"/>
          <w:b/>
          <w:bCs/>
          <w:kern w:val="0"/>
          <w:sz w:val="28"/>
          <w:szCs w:val="28"/>
        </w:rPr>
      </w:pPr>
      <w:bookmarkStart w:id="388" w:name="_Toc246996977"/>
      <w:bookmarkStart w:id="389" w:name="_Toc246996234"/>
      <w:bookmarkStart w:id="390" w:name="_Toc296602479"/>
      <w:bookmarkStart w:id="391" w:name="_Toc144974558"/>
      <w:bookmarkStart w:id="392" w:name="_Toc152042368"/>
      <w:bookmarkStart w:id="393" w:name="_Toc247085749"/>
      <w:bookmarkStart w:id="394" w:name="_Toc152045591"/>
      <w:bookmarkStart w:id="395" w:name="_Toc179632609"/>
      <w:r>
        <w:rPr>
          <w:rFonts w:ascii="Times New Roman" w:hAnsi="Times New Roman" w:cs="Times New Roman"/>
          <w:b/>
          <w:bCs/>
          <w:kern w:val="0"/>
          <w:sz w:val="28"/>
          <w:szCs w:val="28"/>
        </w:rPr>
        <w:t>2.1 初步评审标准</w:t>
      </w:r>
      <w:bookmarkEnd w:id="388"/>
      <w:bookmarkEnd w:id="389"/>
      <w:bookmarkEnd w:id="390"/>
      <w:bookmarkEnd w:id="391"/>
      <w:bookmarkEnd w:id="392"/>
      <w:bookmarkEnd w:id="393"/>
      <w:bookmarkEnd w:id="394"/>
      <w:bookmarkEnd w:id="39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396" w:name="_Toc246996236"/>
      <w:bookmarkStart w:id="397" w:name="_Toc152045593"/>
      <w:bookmarkStart w:id="398" w:name="_Toc179632611"/>
      <w:bookmarkStart w:id="399" w:name="_Toc144974560"/>
      <w:bookmarkStart w:id="400" w:name="_Toc247085751"/>
      <w:bookmarkStart w:id="401" w:name="_Toc246996979"/>
      <w:bookmarkStart w:id="402" w:name="_Toc152042370"/>
      <w:bookmarkStart w:id="403" w:name="_Toc296602481"/>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78" w:edGrp="everyone"/>
      <w:r>
        <w:rPr>
          <w:rFonts w:hint="eastAsia" w:ascii="Times New Roman" w:hAnsi="Times New Roman" w:cs="Times New Roman"/>
          <w:kern w:val="0"/>
          <w:sz w:val="24"/>
        </w:rPr>
        <w:t>施工组织设计</w:t>
      </w:r>
      <w:permEnd w:id="78"/>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79" w:edGrp="everyone"/>
      <w:r>
        <w:rPr>
          <w:rFonts w:hint="eastAsia" w:ascii="Times New Roman" w:hAnsi="Times New Roman" w:cs="Times New Roman"/>
          <w:kern w:val="0"/>
          <w:sz w:val="24"/>
        </w:rPr>
        <w:t>企业荣誉</w:t>
      </w:r>
      <w:permEnd w:id="79"/>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80" w:edGrp="everyone"/>
      <w:r>
        <w:rPr>
          <w:rFonts w:hint="eastAsia" w:ascii="Times New Roman" w:hAnsi="Times New Roman" w:cs="Times New Roman"/>
          <w:kern w:val="0"/>
          <w:sz w:val="24"/>
        </w:rPr>
        <w:t>投标报价</w:t>
      </w:r>
      <w:permEnd w:id="80"/>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81" w:edGrp="everyone"/>
      <w:r>
        <w:rPr>
          <w:rFonts w:hint="eastAsia" w:ascii="Times New Roman" w:hAnsi="Times New Roman" w:cs="Times New Roman"/>
          <w:kern w:val="0"/>
          <w:sz w:val="24"/>
        </w:rPr>
        <w:t>其他评分因素</w:t>
      </w:r>
      <w:permEnd w:id="81"/>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（1）</w:t>
      </w:r>
      <w:permStart w:id="82" w:edGrp="everyone"/>
      <w:r>
        <w:rPr>
          <w:rFonts w:hint="eastAsia" w:ascii="Times New Roman" w:hAnsi="Times New Roman" w:cs="Times New Roman"/>
          <w:color w:val="000000" w:themeColor="text1"/>
          <w:kern w:val="0"/>
          <w:sz w:val="24"/>
          <w14:textFill>
            <w14:solidFill>
              <w14:schemeClr w14:val="tx1"/>
            </w14:solidFill>
          </w14:textFill>
        </w:rPr>
        <w:t>施工组织设计评分标准</w:t>
      </w:r>
      <w:permEnd w:id="82"/>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w:t>
      </w:r>
      <w:permStart w:id="83" w:edGrp="everyone"/>
      <w:r>
        <w:rPr>
          <w:rFonts w:hint="eastAsia" w:ascii="Times New Roman" w:hAnsi="Times New Roman" w:cs="Times New Roman"/>
          <w:color w:val="000000" w:themeColor="text1"/>
          <w:kern w:val="0"/>
          <w:sz w:val="24"/>
          <w14:textFill>
            <w14:solidFill>
              <w14:schemeClr w14:val="tx1"/>
            </w14:solidFill>
          </w14:textFill>
        </w:rPr>
        <w:t>企业荣誉评分标准</w:t>
      </w:r>
      <w:permEnd w:id="83"/>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w:t>
      </w:r>
      <w:permStart w:id="84" w:edGrp="everyone"/>
      <w:r>
        <w:rPr>
          <w:rFonts w:hint="eastAsia" w:ascii="Times New Roman" w:hAnsi="Times New Roman" w:cs="Times New Roman"/>
          <w:color w:val="000000" w:themeColor="text1"/>
          <w:kern w:val="0"/>
          <w:sz w:val="24"/>
          <w14:textFill>
            <w14:solidFill>
              <w14:schemeClr w14:val="tx1"/>
            </w14:solidFill>
          </w14:textFill>
        </w:rPr>
        <w:t>投标报价评分标准</w:t>
      </w:r>
      <w:permEnd w:id="84"/>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14:textFill>
            <w14:solidFill>
              <w14:schemeClr w14:val="tx1"/>
            </w14:solidFill>
          </w14:textFill>
        </w:rPr>
        <w:t>（4）</w:t>
      </w:r>
      <w:permStart w:id="85" w:edGrp="everyone"/>
      <w:r>
        <w:rPr>
          <w:rFonts w:hint="eastAsia" w:ascii="Times New Roman" w:hAnsi="Times New Roman" w:cs="Times New Roman"/>
          <w:color w:val="000000" w:themeColor="text1"/>
          <w:kern w:val="0"/>
          <w:sz w:val="24"/>
          <w14:textFill>
            <w14:solidFill>
              <w14:schemeClr w14:val="tx1"/>
            </w14:solidFill>
          </w14:textFill>
        </w:rPr>
        <w:t>其他因素评分标准</w:t>
      </w:r>
      <w:permEnd w:id="85"/>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396"/>
      <w:bookmarkEnd w:id="397"/>
      <w:bookmarkEnd w:id="398"/>
      <w:bookmarkEnd w:id="399"/>
      <w:bookmarkEnd w:id="400"/>
      <w:bookmarkEnd w:id="401"/>
      <w:bookmarkEnd w:id="402"/>
      <w:bookmarkEnd w:id="403"/>
    </w:p>
    <w:p>
      <w:pPr>
        <w:wordWrap w:val="0"/>
        <w:spacing w:line="440" w:lineRule="exact"/>
        <w:rPr>
          <w:rFonts w:ascii="Times New Roman" w:hAnsi="Times New Roman" w:cs="Times New Roman"/>
          <w:b/>
          <w:bCs/>
          <w:kern w:val="0"/>
          <w:sz w:val="28"/>
          <w:szCs w:val="28"/>
        </w:rPr>
      </w:pPr>
      <w:bookmarkStart w:id="404" w:name="_Toc144974561"/>
      <w:bookmarkStart w:id="405" w:name="_Toc246996980"/>
      <w:bookmarkStart w:id="406" w:name="_Toc152045594"/>
      <w:bookmarkStart w:id="407" w:name="_Toc152042371"/>
      <w:bookmarkStart w:id="408" w:name="_Toc296602482"/>
      <w:bookmarkStart w:id="409" w:name="_Toc179632612"/>
      <w:bookmarkStart w:id="410" w:name="_Toc246996237"/>
      <w:bookmarkStart w:id="411" w:name="_Toc247085752"/>
      <w:r>
        <w:rPr>
          <w:rFonts w:ascii="Times New Roman" w:hAnsi="Times New Roman" w:cs="Times New Roman"/>
          <w:b/>
          <w:bCs/>
          <w:kern w:val="0"/>
          <w:sz w:val="28"/>
          <w:szCs w:val="28"/>
        </w:rPr>
        <w:t>3.1 初步评审</w:t>
      </w:r>
      <w:bookmarkEnd w:id="404"/>
      <w:bookmarkEnd w:id="405"/>
      <w:bookmarkEnd w:id="406"/>
      <w:bookmarkEnd w:id="407"/>
      <w:bookmarkEnd w:id="408"/>
      <w:bookmarkEnd w:id="409"/>
      <w:bookmarkEnd w:id="410"/>
      <w:bookmarkEnd w:id="41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412" w:name="_Toc179632613"/>
      <w:bookmarkStart w:id="413" w:name="_Toc247085753"/>
      <w:bookmarkStart w:id="414" w:name="_Toc152045595"/>
      <w:bookmarkStart w:id="415" w:name="_Toc246996981"/>
      <w:bookmarkStart w:id="416" w:name="_Toc152042372"/>
      <w:bookmarkStart w:id="417" w:name="_Toc144974562"/>
      <w:bookmarkStart w:id="418" w:name="_Toc296602483"/>
      <w:bookmarkStart w:id="419" w:name="_Toc246996238"/>
      <w:r>
        <w:rPr>
          <w:rFonts w:ascii="Times New Roman" w:hAnsi="Times New Roman" w:cs="Times New Roman"/>
          <w:b/>
          <w:bCs/>
          <w:kern w:val="0"/>
          <w:sz w:val="28"/>
          <w:szCs w:val="28"/>
        </w:rPr>
        <w:t>3.2 详细评审</w:t>
      </w:r>
      <w:bookmarkEnd w:id="412"/>
      <w:bookmarkEnd w:id="413"/>
      <w:bookmarkEnd w:id="414"/>
      <w:bookmarkEnd w:id="415"/>
      <w:bookmarkEnd w:id="416"/>
      <w:bookmarkEnd w:id="417"/>
      <w:bookmarkEnd w:id="418"/>
      <w:bookmarkEnd w:id="419"/>
    </w:p>
    <w:p>
      <w:pPr>
        <w:wordWrap w:val="0"/>
        <w:spacing w:line="420" w:lineRule="exact"/>
        <w:ind w:firstLine="480" w:firstLineChars="200"/>
        <w:rPr>
          <w:rFonts w:ascii="Times New Roman" w:hAnsi="Times New Roman" w:cs="Times New Roman"/>
          <w:kern w:val="0"/>
          <w:sz w:val="24"/>
        </w:rPr>
      </w:pPr>
      <w:bookmarkStart w:id="420" w:name="_Toc144974563"/>
      <w:bookmarkStart w:id="421" w:name="_Toc152045596"/>
      <w:bookmarkStart w:id="422" w:name="_Toc296602484"/>
      <w:bookmarkStart w:id="423" w:name="_Toc179632614"/>
      <w:bookmarkStart w:id="424" w:name="_Toc246996982"/>
      <w:bookmarkStart w:id="425" w:name="_Toc247085754"/>
      <w:bookmarkStart w:id="426" w:name="_Toc246996239"/>
      <w:bookmarkStart w:id="427" w:name="_Toc152042373"/>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86" w:edGrp="everyone"/>
      <w:r>
        <w:rPr>
          <w:rFonts w:hint="eastAsia" w:ascii="Times New Roman" w:hAnsi="Times New Roman" w:cs="Times New Roman"/>
          <w:color w:val="000000" w:themeColor="text1"/>
          <w:kern w:val="0"/>
          <w:sz w:val="24"/>
          <w14:textFill>
            <w14:solidFill>
              <w14:schemeClr w14:val="tx1"/>
            </w14:solidFill>
          </w14:textFill>
        </w:rPr>
        <w:t>施工组织设计</w:t>
      </w:r>
      <w:permEnd w:id="86"/>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permStart w:id="87" w:edGrp="everyone"/>
      <w:r>
        <w:rPr>
          <w:rFonts w:hint="eastAsia" w:ascii="Times New Roman" w:hAnsi="Times New Roman" w:cs="Times New Roman"/>
          <w:color w:val="000000" w:themeColor="text1"/>
          <w:kern w:val="0"/>
          <w:sz w:val="24"/>
          <w14:textFill>
            <w14:solidFill>
              <w14:schemeClr w14:val="tx1"/>
            </w14:solidFill>
          </w14:textFill>
        </w:rPr>
        <w:t>企业荣誉</w:t>
      </w:r>
      <w:permEnd w:id="87"/>
      <w:r>
        <w:rPr>
          <w:rFonts w:hint="eastAsia" w:ascii="Times New Roman" w:hAnsi="Times New Roman" w:cs="Times New Roman"/>
          <w:color w:val="000000" w:themeColor="text1"/>
          <w:kern w:val="0"/>
          <w:sz w:val="24"/>
          <w14:textFill>
            <w14:solidFill>
              <w14:schemeClr w14:val="tx1"/>
            </w14:solidFill>
          </w14:textFill>
        </w:rPr>
        <w:t>计算出得分B；</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第2.2.4（3）目规定的评审因素和分值对</w:t>
      </w:r>
      <w:permStart w:id="88" w:edGrp="everyone"/>
      <w:r>
        <w:rPr>
          <w:rFonts w:hint="eastAsia" w:ascii="Times New Roman" w:hAnsi="Times New Roman" w:cs="Times New Roman"/>
          <w:color w:val="000000" w:themeColor="text1"/>
          <w:kern w:val="0"/>
          <w:sz w:val="24"/>
          <w14:textFill>
            <w14:solidFill>
              <w14:schemeClr w14:val="tx1"/>
            </w14:solidFill>
          </w14:textFill>
        </w:rPr>
        <w:t>投标报价</w:t>
      </w:r>
      <w:permEnd w:id="88"/>
      <w:r>
        <w:rPr>
          <w:rFonts w:hint="eastAsia" w:ascii="Times New Roman" w:hAnsi="Times New Roman" w:cs="Times New Roman"/>
          <w:color w:val="000000" w:themeColor="text1"/>
          <w:kern w:val="0"/>
          <w:sz w:val="24"/>
          <w14:textFill>
            <w14:solidFill>
              <w14:schemeClr w14:val="tx1"/>
            </w14:solidFill>
          </w14:textFill>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4</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第2.2.4（4）目规定的评审因素和分值对</w:t>
      </w:r>
      <w:permStart w:id="89" w:edGrp="everyone"/>
      <w:r>
        <w:rPr>
          <w:rFonts w:hint="eastAsia" w:ascii="Times New Roman" w:hAnsi="Times New Roman" w:cs="Times New Roman"/>
          <w:color w:val="000000" w:themeColor="text1"/>
          <w:kern w:val="0"/>
          <w:sz w:val="24"/>
          <w14:textFill>
            <w14:solidFill>
              <w14:schemeClr w14:val="tx1"/>
            </w14:solidFill>
          </w14:textFill>
        </w:rPr>
        <w:t>其他部分</w:t>
      </w:r>
      <w:permEnd w:id="89"/>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420"/>
      <w:r>
        <w:rPr>
          <w:rFonts w:ascii="Times New Roman" w:hAnsi="Times New Roman" w:cs="Times New Roman"/>
          <w:b/>
          <w:bCs/>
          <w:kern w:val="0"/>
          <w:sz w:val="28"/>
          <w:szCs w:val="28"/>
        </w:rPr>
        <w:t>和补正</w:t>
      </w:r>
      <w:bookmarkEnd w:id="421"/>
      <w:bookmarkEnd w:id="422"/>
      <w:bookmarkEnd w:id="423"/>
      <w:bookmarkEnd w:id="424"/>
      <w:bookmarkEnd w:id="425"/>
      <w:bookmarkEnd w:id="426"/>
      <w:bookmarkEnd w:id="427"/>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90" w:edGrp="everyone"/>
            <w:r>
              <w:rPr>
                <w:rFonts w:hint="eastAsia" w:ascii="Times New Roman" w:hAnsi="Times New Roman" w:cs="Times New Roman"/>
                <w:kern w:val="0"/>
                <w:sz w:val="24"/>
              </w:rPr>
              <w:t xml:space="preserve">   安徽通康建设工程有限公司   </w:t>
            </w:r>
            <w:perm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jc w:val="left"/>
              <w:rPr>
                <w:rFonts w:ascii="Times New Roman" w:hAnsi="Times New Roman" w:cs="Times New Roman"/>
                <w:color w:val="FF0000"/>
                <w:kern w:val="0"/>
                <w:sz w:val="24"/>
              </w:rPr>
            </w:pPr>
            <w:r>
              <w:rPr>
                <w:rFonts w:hint="eastAsia" w:ascii="Times New Roman" w:hAnsi="Times New Roman" w:cs="Times New Roman"/>
                <w:kern w:val="0"/>
                <w:sz w:val="24"/>
              </w:rPr>
              <w:t>根据每月工程形象进度，</w:t>
            </w:r>
            <w:r>
              <w:rPr>
                <w:rFonts w:hint="eastAsia" w:ascii="Times New Roman" w:hAnsi="Times New Roman" w:cs="Times New Roman"/>
                <w:kern w:val="0"/>
                <w:sz w:val="24"/>
                <w:lang w:val="en-US" w:eastAsia="zh-CN"/>
              </w:rPr>
              <w:t>招标人</w:t>
            </w:r>
            <w:r>
              <w:rPr>
                <w:rFonts w:hint="eastAsia" w:ascii="Times New Roman" w:hAnsi="Times New Roman" w:cs="Times New Roman"/>
                <w:kern w:val="0"/>
                <w:sz w:val="24"/>
              </w:rPr>
              <w:t>按月</w:t>
            </w:r>
            <w:r>
              <w:rPr>
                <w:rFonts w:hint="eastAsia" w:ascii="Times New Roman" w:hAnsi="Times New Roman" w:cs="Times New Roman"/>
                <w:kern w:val="0"/>
                <w:sz w:val="24"/>
                <w:lang w:val="en-US" w:eastAsia="zh-CN"/>
              </w:rPr>
              <w:t>向中标人</w:t>
            </w:r>
            <w:r>
              <w:rPr>
                <w:rFonts w:hint="eastAsia" w:ascii="Times New Roman" w:hAnsi="Times New Roman" w:cs="Times New Roman"/>
                <w:kern w:val="0"/>
                <w:sz w:val="24"/>
              </w:rPr>
              <w:t>支付</w:t>
            </w:r>
            <w:r>
              <w:rPr>
                <w:rFonts w:hint="eastAsia" w:ascii="Times New Roman" w:hAnsi="Times New Roman" w:cs="Times New Roman"/>
                <w:kern w:val="0"/>
                <w:sz w:val="24"/>
                <w:lang w:val="en-US" w:eastAsia="zh-CN"/>
              </w:rPr>
              <w:t>其</w:t>
            </w:r>
            <w:r>
              <w:rPr>
                <w:rFonts w:hint="eastAsia" w:ascii="Times New Roman" w:hAnsi="Times New Roman" w:cs="Times New Roman"/>
                <w:kern w:val="0"/>
                <w:sz w:val="24"/>
              </w:rPr>
              <w:t>完成合格工程量</w:t>
            </w:r>
            <w:r>
              <w:rPr>
                <w:rFonts w:hint="eastAsia" w:ascii="Times New Roman" w:hAnsi="Times New Roman" w:cs="Times New Roman"/>
                <w:kern w:val="0"/>
                <w:sz w:val="24"/>
                <w:lang w:val="en-US" w:eastAsia="zh-CN"/>
              </w:rPr>
              <w:t>对应</w:t>
            </w:r>
            <w:r>
              <w:rPr>
                <w:rFonts w:hint="eastAsia" w:ascii="Times New Roman" w:hAnsi="Times New Roman" w:cs="Times New Roman"/>
                <w:kern w:val="0"/>
                <w:sz w:val="24"/>
              </w:rPr>
              <w:t>价款的80%</w:t>
            </w:r>
            <w:r>
              <w:rPr>
                <w:rFonts w:hint="eastAsia" w:ascii="Times New Roman" w:hAnsi="Times New Roman" w:cs="Times New Roman"/>
                <w:kern w:val="0"/>
                <w:sz w:val="24"/>
                <w:lang w:eastAsia="zh-CN"/>
              </w:rPr>
              <w:t>，</w:t>
            </w:r>
            <w:r>
              <w:rPr>
                <w:rFonts w:hint="eastAsia" w:ascii="Times New Roman" w:hAnsi="Times New Roman" w:cs="Times New Roman"/>
                <w:color w:val="0000FF"/>
                <w:kern w:val="0"/>
                <w:sz w:val="24"/>
                <w:lang w:eastAsia="zh-CN"/>
              </w:rPr>
              <w:t>合格工程量</w:t>
            </w:r>
            <w:r>
              <w:rPr>
                <w:rFonts w:hint="eastAsia" w:ascii="Times New Roman" w:hAnsi="Times New Roman" w:cs="Times New Roman"/>
                <w:color w:val="0000FF"/>
                <w:kern w:val="0"/>
                <w:sz w:val="24"/>
                <w:lang w:val="en-US" w:eastAsia="zh-CN"/>
              </w:rPr>
              <w:t>对应</w:t>
            </w:r>
            <w:r>
              <w:rPr>
                <w:rFonts w:hint="eastAsia" w:ascii="Times New Roman" w:hAnsi="Times New Roman" w:cs="Times New Roman"/>
                <w:color w:val="0000FF"/>
                <w:kern w:val="0"/>
                <w:sz w:val="24"/>
                <w:lang w:eastAsia="zh-CN"/>
              </w:rPr>
              <w:t>价款由招标人审核</w:t>
            </w:r>
            <w:r>
              <w:rPr>
                <w:rFonts w:hint="eastAsia" w:ascii="Times New Roman" w:hAnsi="Times New Roman" w:cs="Times New Roman"/>
                <w:color w:val="0000FF"/>
                <w:kern w:val="0"/>
                <w:sz w:val="24"/>
                <w:lang w:val="en-US" w:eastAsia="zh-CN"/>
              </w:rPr>
              <w:t>确认</w:t>
            </w:r>
            <w:r>
              <w:rPr>
                <w:rFonts w:hint="eastAsia" w:ascii="Times New Roman" w:hAnsi="Times New Roman" w:cs="Times New Roman"/>
                <w:kern w:val="0"/>
                <w:sz w:val="24"/>
              </w:rPr>
              <w:t>；竣工验收通过后（五方责任主体验收通过），付至实际完成合同价款的85%；工程竣工备案完成、竣工资料移交发包人、承包人报送本项目竣工结算资料并经建设单位委托的第三方协审单位审核完成后，支付至审定金额的 97%；</w:t>
            </w:r>
            <w:r>
              <w:rPr>
                <w:rFonts w:hint="eastAsia" w:ascii="Times New Roman" w:hAnsi="Times New Roman" w:cs="Times New Roman"/>
                <w:color w:val="0000FF"/>
                <w:kern w:val="0"/>
                <w:sz w:val="24"/>
              </w:rPr>
              <w:t>余款3%</w:t>
            </w:r>
            <w:r>
              <w:rPr>
                <w:rFonts w:hint="eastAsia" w:ascii="Times New Roman" w:hAnsi="Times New Roman" w:cs="Times New Roman"/>
                <w:color w:val="0000FF"/>
                <w:kern w:val="0"/>
                <w:sz w:val="24"/>
                <w:lang w:eastAsia="zh-CN"/>
              </w:rPr>
              <w:t>于</w:t>
            </w:r>
            <w:r>
              <w:rPr>
                <w:rFonts w:hint="eastAsia" w:ascii="Times New Roman" w:hAnsi="Times New Roman" w:cs="Times New Roman"/>
                <w:color w:val="0000FF"/>
                <w:kern w:val="0"/>
                <w:sz w:val="24"/>
              </w:rPr>
              <w:t>2年</w:t>
            </w:r>
            <w:r>
              <w:rPr>
                <w:rFonts w:hint="eastAsia" w:ascii="Times New Roman" w:hAnsi="Times New Roman" w:cs="Times New Roman"/>
                <w:color w:val="0000FF"/>
                <w:kern w:val="0"/>
                <w:sz w:val="24"/>
                <w:lang w:eastAsia="zh-CN"/>
              </w:rPr>
              <w:t>后无息退还</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hint="eastAsia" w:ascii="Times New Roman" w:hAnsi="Times New Roman" w:cs="Times New Roman" w:eastAsiaTheme="minorEastAsia"/>
                <w:kern w:val="0"/>
                <w:sz w:val="24"/>
                <w:lang w:eastAsia="zh-CN"/>
              </w:rPr>
            </w:pPr>
            <w:r>
              <w:rPr>
                <w:rFonts w:hint="eastAsia" w:ascii="Times New Roman" w:hAnsi="Times New Roman" w:cs="Times New Roman"/>
                <w:kern w:val="0"/>
                <w:sz w:val="24"/>
                <w:lang w:val="en-US" w:eastAsia="zh-CN"/>
              </w:rPr>
              <w:t>3</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91" w:edGrp="everyone"/>
            <w:r>
              <w:rPr>
                <w:rFonts w:hint="eastAsia" w:ascii="Times New Roman" w:hAnsi="Times New Roman" w:cs="Times New Roman"/>
                <w:kern w:val="0"/>
                <w:sz w:val="24"/>
              </w:rPr>
              <w:t xml:space="preserve"> 中标人对工程质量缺陷承担返修责任。如因劳务作业不规范等原因导致的工程质量缺陷，中标人应无偿进行返修，直至工程质量达到合格标准；中标人拒绝承担返修责任的，招标人有权自行进行返修，返修发生的费用从其履约保证金及工程价款中据实扣除。</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因中标人劳务作业不规范等原因，给招标人造成经济损失的，中标人应当据实赔偿；中标人拒绝承担赔偿责任的，招标人有权从其履约保证金及工程价款中据实扣除。</w:t>
            </w:r>
          </w:p>
          <w:p>
            <w:pPr>
              <w:wordWrap w:val="0"/>
              <w:spacing w:line="440" w:lineRule="exact"/>
              <w:ind w:firstLine="480" w:firstLineChars="200"/>
              <w:rPr>
                <w:rFonts w:hint="eastAsia" w:ascii="Times New Roman" w:hAnsi="Times New Roman" w:cs="Times New Roman"/>
                <w:kern w:val="0"/>
                <w:sz w:val="24"/>
              </w:rPr>
            </w:pPr>
            <w:r>
              <w:rPr>
                <w:rFonts w:hint="eastAsia" w:ascii="Times New Roman" w:hAnsi="Times New Roman" w:cs="Times New Roman"/>
                <w:kern w:val="0"/>
                <w:sz w:val="24"/>
              </w:rPr>
              <w:t>工程返修责任：自竣工验收合格之日起</w:t>
            </w:r>
            <w:r>
              <w:rPr>
                <w:rFonts w:hint="eastAsia" w:ascii="Times New Roman" w:hAnsi="Times New Roman" w:cs="Times New Roman"/>
                <w:kern w:val="0"/>
                <w:sz w:val="24"/>
                <w:u w:val="single"/>
              </w:rPr>
              <w:t xml:space="preserve"> 2 </w:t>
            </w:r>
            <w:r>
              <w:rPr>
                <w:rFonts w:hint="eastAsia" w:ascii="Times New Roman" w:hAnsi="Times New Roman" w:cs="Times New Roman"/>
                <w:kern w:val="0"/>
                <w:sz w:val="24"/>
              </w:rPr>
              <w:t xml:space="preserve">年。  </w:t>
            </w:r>
          </w:p>
          <w:permEnd w:id="91"/>
          <w:p>
            <w:pPr>
              <w:wordWrap w:val="0"/>
              <w:spacing w:line="440" w:lineRule="exact"/>
              <w:ind w:firstLine="480" w:firstLineChars="200"/>
            </w:pPr>
            <w:r>
              <w:rPr>
                <w:rFonts w:ascii="Times New Roman" w:hAnsi="Times New Roman" w:cs="Times New Roman"/>
                <w:kern w:val="0"/>
                <w:sz w:val="24"/>
              </w:rPr>
              <w:t xml:space="preserve">拟派人员每月在劳务作业现场的时间，每月在工地不少于24天，每少一天，劳务分包人应承担1000元/天的违约金。 </w:t>
            </w:r>
            <w:r>
              <w:t xml:space="preserve">       </w:t>
            </w:r>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bookmarkEnd w:id="372"/>
    <w:bookmarkEnd w:id="373"/>
    <w:bookmarkEnd w:id="374"/>
    <w:bookmarkEnd w:id="375"/>
    <w:bookmarkEnd w:id="376"/>
    <w:bookmarkEnd w:id="377"/>
    <w:bookmarkEnd w:id="378"/>
    <w:bookmarkEnd w:id="379"/>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lang w:val="en-US" w:eastAsia="zh-CN"/>
        </w:rPr>
        <w:t>五</w:t>
      </w:r>
      <w:r>
        <w:rPr>
          <w:rFonts w:hint="eastAsia" w:asciiTheme="majorEastAsia" w:hAnsiTheme="majorEastAsia" w:eastAsiaTheme="majorEastAsia" w:cstheme="majorEastAsia"/>
          <w:b/>
          <w:bCs/>
          <w:sz w:val="32"/>
          <w:szCs w:val="32"/>
        </w:rPr>
        <w:t>章 技术标准和要求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ind w:firstLine="480" w:firstLineChars="200"/>
        <w:rPr>
          <w:rFonts w:asciiTheme="minorEastAsia" w:hAnsiTheme="minorEastAsia" w:cstheme="minorEastAsia"/>
          <w:sz w:val="28"/>
          <w:szCs w:val="28"/>
        </w:rPr>
      </w:pPr>
      <w:permStart w:id="92"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符合国家、地方、行业现行相关规范合格标准，符合施工图纸、工程量清单要求，按招标人要求完成劳务作业。</w:t>
      </w:r>
      <w:r>
        <w:rPr>
          <w:rFonts w:hint="eastAsia" w:ascii="Times New Roman" w:hAnsi="Times New Roman" w:cs="Times New Roman"/>
          <w:kern w:val="0"/>
          <w:sz w:val="24"/>
        </w:rPr>
        <w:t xml:space="preserve">  </w:t>
      </w:r>
      <w:permEnd w:id="92"/>
    </w:p>
    <w:p>
      <w:pPr>
        <w:wordWrap w:val="0"/>
        <w:spacing w:line="440" w:lineRule="exact"/>
        <w:rPr>
          <w:rFonts w:ascii="Times New Roman" w:hAnsi="Times New Roman" w:cs="Times New Roman"/>
          <w:kern w:val="0"/>
          <w:sz w:val="24"/>
        </w:rPr>
      </w:pPr>
    </w:p>
    <w:p>
      <w:pPr>
        <w:wordWrap w:val="0"/>
        <w:spacing w:line="440" w:lineRule="exact"/>
        <w:ind w:firstLine="643" w:firstLineChars="20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lang w:val="en-US" w:eastAsia="zh-CN"/>
        </w:rPr>
        <w:t>六</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u w:val="single"/>
        </w:rPr>
        <w:t xml:space="preserve">            </w:t>
      </w:r>
      <w:r>
        <w:rPr>
          <w:rFonts w:hint="eastAsia" w:ascii="Times New Roman" w:hAnsi="Times New Roman" w:eastAsia="黑体" w:cs="Times New Roman"/>
          <w:kern w:val="0"/>
          <w:sz w:val="32"/>
          <w:szCs w:val="32"/>
        </w:rPr>
        <w:t>（项目名称）施工招标</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4"/>
        <w:jc w:val="center"/>
        <w:rPr>
          <w:rFonts w:ascii="Times New Roman" w:hAnsi="Times New Roman" w:cs="Times New Roman"/>
        </w:rPr>
      </w:pPr>
      <w:bookmarkStart w:id="428" w:name="_Toc152045787"/>
      <w:bookmarkStart w:id="429" w:name="_Toc144974856"/>
      <w:bookmarkStart w:id="430" w:name="_Toc152042576"/>
      <w:bookmarkStart w:id="431" w:name="_Toc300835209"/>
      <w:bookmarkStart w:id="432" w:name="_Toc247514246"/>
      <w:bookmarkStart w:id="433" w:name="_Toc247527827"/>
      <w:r>
        <w:rPr>
          <w:rFonts w:ascii="Times New Roman" w:hAnsi="Times New Roman" w:cs="Times New Roman"/>
        </w:rPr>
        <w:t>目    录</w:t>
      </w:r>
      <w:bookmarkEnd w:id="428"/>
      <w:bookmarkEnd w:id="429"/>
      <w:bookmarkEnd w:id="430"/>
      <w:bookmarkEnd w:id="431"/>
      <w:bookmarkEnd w:id="432"/>
      <w:bookmarkEnd w:id="433"/>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一、投标函及投标函附录</w:t>
      </w:r>
    </w:p>
    <w:p>
      <w:pPr>
        <w:spacing w:line="540" w:lineRule="exact"/>
        <w:rPr>
          <w:rFonts w:ascii="Times New Roman" w:hAnsi="Times New Roman" w:cs="Times New Roman"/>
        </w:rPr>
      </w:pPr>
      <w:r>
        <w:rPr>
          <w:rFonts w:ascii="Times New Roman" w:hAnsi="Times New Roman" w:cs="Times New Roman"/>
        </w:rPr>
        <w:t>二、法定代表人身份证明</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p>
    <w:p>
      <w:pPr>
        <w:spacing w:line="540" w:lineRule="exact"/>
        <w:rPr>
          <w:rFonts w:ascii="Times New Roman" w:hAnsi="Times New Roman" w:cs="Times New Roman"/>
        </w:rPr>
      </w:pPr>
      <w:r>
        <w:rPr>
          <w:rFonts w:ascii="Times New Roman" w:hAnsi="Times New Roman" w:cs="Times New Roman"/>
        </w:rPr>
        <w:t xml:space="preserve">三、投标保证金 </w:t>
      </w:r>
    </w:p>
    <w:p>
      <w:pPr>
        <w:spacing w:line="540" w:lineRule="exact"/>
        <w:rPr>
          <w:rFonts w:ascii="Times New Roman" w:hAnsi="Times New Roman" w:cs="Times New Roman"/>
        </w:rPr>
      </w:pPr>
      <w:r>
        <w:rPr>
          <w:rFonts w:hint="eastAsia" w:ascii="Times New Roman" w:hAnsi="Times New Roman" w:cs="Times New Roman"/>
          <w:lang w:val="en-US" w:eastAsia="zh-CN"/>
        </w:rPr>
        <w:t>四</w:t>
      </w:r>
      <w:r>
        <w:rPr>
          <w:rFonts w:hint="eastAsia" w:ascii="Times New Roman" w:hAnsi="Times New Roman" w:cs="Times New Roman"/>
        </w:rPr>
        <w:t>、施工组织设计</w:t>
      </w:r>
    </w:p>
    <w:p>
      <w:pPr>
        <w:spacing w:line="540" w:lineRule="exact"/>
        <w:rPr>
          <w:rFonts w:ascii="Times New Roman" w:hAnsi="Times New Roman" w:cs="Times New Roman"/>
        </w:rPr>
      </w:pPr>
      <w:r>
        <w:rPr>
          <w:rFonts w:hint="eastAsia" w:ascii="Times New Roman" w:hAnsi="Times New Roman" w:cs="Times New Roman"/>
          <w:lang w:val="en-US" w:eastAsia="zh-CN"/>
        </w:rPr>
        <w:t>五</w:t>
      </w:r>
      <w:r>
        <w:rPr>
          <w:rFonts w:ascii="Times New Roman" w:hAnsi="Times New Roman" w:cs="Times New Roman"/>
        </w:rPr>
        <w:t>、</w:t>
      </w:r>
      <w:r>
        <w:rPr>
          <w:rFonts w:hint="eastAsia" w:ascii="Times New Roman" w:hAnsi="Times New Roman" w:cs="Times New Roman"/>
        </w:rPr>
        <w:t>项目管理机构</w:t>
      </w:r>
    </w:p>
    <w:p>
      <w:pPr>
        <w:spacing w:line="540" w:lineRule="exact"/>
        <w:rPr>
          <w:rFonts w:ascii="Times New Roman" w:hAnsi="Times New Roman" w:cs="Times New Roman"/>
        </w:rPr>
      </w:pPr>
      <w:r>
        <w:rPr>
          <w:rFonts w:hint="eastAsia" w:ascii="Times New Roman" w:hAnsi="Times New Roman" w:cs="Times New Roman"/>
          <w:lang w:val="en-US" w:eastAsia="zh-CN"/>
        </w:rPr>
        <w:t>六</w:t>
      </w:r>
      <w:r>
        <w:rPr>
          <w:rFonts w:ascii="Times New Roman" w:hAnsi="Times New Roman" w:cs="Times New Roman"/>
        </w:rPr>
        <w:t>、</w:t>
      </w:r>
      <w:r>
        <w:rPr>
          <w:rFonts w:hint="eastAsia" w:ascii="Times New Roman" w:hAnsi="Times New Roman" w:cs="Times New Roman"/>
        </w:rPr>
        <w:t>资格审查资料</w:t>
      </w:r>
    </w:p>
    <w:p>
      <w:pPr>
        <w:spacing w:line="540" w:lineRule="exact"/>
        <w:rPr>
          <w:rFonts w:ascii="Times New Roman" w:hAnsi="Times New Roman" w:cs="Times New Roman"/>
        </w:rPr>
      </w:pPr>
      <w:r>
        <w:rPr>
          <w:rFonts w:hint="eastAsia" w:ascii="Times New Roman" w:hAnsi="Times New Roman" w:cs="Times New Roman"/>
          <w:lang w:val="en-US" w:eastAsia="zh-CN"/>
        </w:rPr>
        <w:t>七</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4"/>
        <w:jc w:val="center"/>
        <w:rPr>
          <w:rFonts w:ascii="Times New Roman" w:hAnsi="Times New Roman" w:cs="Times New Roman"/>
        </w:rPr>
      </w:pPr>
      <w:bookmarkStart w:id="434" w:name="_Toc247514247"/>
      <w:bookmarkStart w:id="435" w:name="_Toc300835210"/>
      <w:bookmarkStart w:id="436" w:name="_Toc144974857"/>
      <w:bookmarkStart w:id="437" w:name="_Toc152042577"/>
      <w:bookmarkStart w:id="438" w:name="_Toc247527828"/>
      <w:bookmarkStart w:id="439" w:name="_Toc152045788"/>
      <w:r>
        <w:rPr>
          <w:rFonts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ascii="Times New Roman" w:hAnsi="Times New Roman" w:eastAsia="黑体" w:cs="Times New Roman"/>
          <w:sz w:val="20"/>
          <w:szCs w:val="20"/>
        </w:rPr>
      </w:pPr>
    </w:p>
    <w:p>
      <w:pPr>
        <w:pStyle w:val="5"/>
        <w:rPr>
          <w:rFonts w:ascii="Times New Roman" w:hAnsi="Times New Roman" w:cs="Times New Roman"/>
        </w:rPr>
      </w:pPr>
      <w:bookmarkStart w:id="440" w:name="_Toc300835211"/>
      <w:bookmarkStart w:id="441" w:name="_Toc152045789"/>
      <w:bookmarkStart w:id="442" w:name="_Toc144974858"/>
      <w:bookmarkStart w:id="443" w:name="_Toc247527829"/>
      <w:bookmarkStart w:id="444" w:name="_Toc152042578"/>
      <w:bookmarkStart w:id="445" w:name="_Toc247514248"/>
      <w:r>
        <w:rPr>
          <w:rFonts w:ascii="Times New Roman" w:hAnsi="Times New Roman" w:cs="Times New Roman"/>
        </w:rPr>
        <w:t>（一）投标函</w:t>
      </w:r>
      <w:bookmarkEnd w:id="440"/>
      <w:bookmarkEnd w:id="441"/>
      <w:bookmarkEnd w:id="442"/>
      <w:bookmarkEnd w:id="443"/>
      <w:bookmarkEnd w:id="444"/>
      <w:bookmarkEnd w:id="44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（招标人名称）：</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1．我方已仔细研究了</w:t>
      </w:r>
      <w:r>
        <w:rPr>
          <w:rFonts w:ascii="Times New Roman" w:hAnsi="Times New Roman" w:cs="Times New Roman"/>
          <w:szCs w:val="21"/>
          <w:u w:val="single"/>
        </w:rPr>
        <w:t xml:space="preserve">               </w:t>
      </w:r>
      <w:r>
        <w:rPr>
          <w:rFonts w:ascii="Times New Roman" w:hAnsi="Times New Roman" w:cs="Times New Roman"/>
          <w:szCs w:val="21"/>
        </w:rPr>
        <w:t>（项目名称）招标文件的全部内容，愿意以</w:t>
      </w:r>
      <w:permStart w:id="93" w:edGrp="everyone"/>
      <w:r>
        <w:rPr>
          <w:rFonts w:hint="eastAsia" w:ascii="Times New Roman" w:hAnsi="Times New Roman" w:cs="Times New Roman"/>
          <w:szCs w:val="21"/>
        </w:rPr>
        <w:t>清单控制</w:t>
      </w:r>
      <w:r>
        <w:rPr>
          <w:rFonts w:hint="eastAsia" w:ascii="Times New Roman" w:hAnsi="Times New Roman" w:cs="Times New Roman"/>
          <w:szCs w:val="21"/>
          <w:u w:val="none"/>
        </w:rPr>
        <w:t>价（费率）：</w:t>
      </w:r>
      <w:r>
        <w:rPr>
          <w:rFonts w:hint="eastAsia" w:ascii="Times New Roman" w:hAnsi="Times New Roman" w:cs="Times New Roman"/>
          <w:szCs w:val="21"/>
          <w:u w:val="single"/>
        </w:rPr>
        <w:t xml:space="preserve">       </w:t>
      </w:r>
      <w:r>
        <w:rPr>
          <w:rFonts w:hint="eastAsia" w:ascii="Times New Roman" w:hAnsi="Times New Roman" w:cs="Times New Roman"/>
          <w:szCs w:val="21"/>
        </w:rPr>
        <w:t xml:space="preserve"> 的投标总报价（其中增值税税率：    ）</w:t>
      </w:r>
      <w:permEnd w:id="93"/>
      <w:r>
        <w:rPr>
          <w:rFonts w:hint="eastAsia" w:ascii="Times New Roman" w:hAnsi="Times New Roman" w:cs="Times New Roman"/>
          <w:szCs w:val="21"/>
        </w:rPr>
        <w:t>，工期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hint="eastAsia" w:ascii="Times New Roman" w:hAnsi="Times New Roman" w:cs="Times New Roman"/>
          <w:szCs w:val="21"/>
        </w:rPr>
        <w:t>，按合同约定实施和完成</w:t>
      </w:r>
      <w:r>
        <w:rPr>
          <w:rFonts w:hint="eastAsia" w:ascii="Times New Roman" w:hAnsi="Times New Roman" w:cs="Times New Roman"/>
          <w:szCs w:val="21"/>
          <w:lang w:eastAsia="zh-CN"/>
        </w:rPr>
        <w:t>劳务作业</w:t>
      </w:r>
      <w:r>
        <w:rPr>
          <w:rFonts w:hint="eastAsia" w:ascii="Times New Roman" w:hAnsi="Times New Roman" w:cs="Times New Roman"/>
          <w:szCs w:val="21"/>
        </w:rPr>
        <w:t>，修补工程中的任何缺陷，工程质量达到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2．我方承诺在招标文件规定的投标有效期内不修改、撤销投标文件。</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3．随同本投标函提交投标保证金一份，金额为人民币（大写）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（2）随同本投标函递交的投标函附录属于合同文件的组成部分。</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（3）我方承诺按照招标文件规定向你方递交履约担保。</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（4）我方承诺在合同约定的期限内完成并移交全部合同工程。</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2</w:t>
      </w:r>
      <w:r>
        <w:rPr>
          <w:rFonts w:ascii="Times New Roman" w:hAnsi="Times New Roman" w:cs="Times New Roman"/>
        </w:rPr>
        <w:t>项和第1.4.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电话：</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pStyle w:val="5"/>
        <w:rPr>
          <w:rFonts w:ascii="Times New Roman" w:hAnsi="Times New Roman" w:cs="Times New Roman"/>
        </w:rPr>
      </w:pPr>
      <w:bookmarkStart w:id="446" w:name="_Toc247527830"/>
      <w:bookmarkStart w:id="447" w:name="_Toc152042579"/>
      <w:bookmarkStart w:id="448" w:name="_Toc300835212"/>
      <w:bookmarkStart w:id="449" w:name="_Toc144974859"/>
      <w:bookmarkStart w:id="450" w:name="_Toc247514249"/>
      <w:bookmarkStart w:id="451" w:name="_Toc152045790"/>
    </w:p>
    <w:p>
      <w:pPr>
        <w:pStyle w:val="5"/>
        <w:rPr>
          <w:rFonts w:ascii="Times New Roman" w:hAnsi="Times New Roman" w:cs="Times New Roman"/>
        </w:rPr>
      </w:pPr>
      <w:r>
        <w:rPr>
          <w:rFonts w:ascii="Times New Roman" w:hAnsi="Times New Roman" w:cs="Times New Roman"/>
        </w:rPr>
        <w:t>（二）投标函附录</w:t>
      </w:r>
      <w:bookmarkEnd w:id="446"/>
      <w:bookmarkEnd w:id="447"/>
      <w:bookmarkEnd w:id="448"/>
      <w:bookmarkEnd w:id="449"/>
      <w:bookmarkEnd w:id="450"/>
      <w:bookmarkEnd w:id="451"/>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序号</w:t>
            </w:r>
          </w:p>
        </w:tc>
        <w:tc>
          <w:tcPr>
            <w:tcW w:w="1701"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条款名称</w:t>
            </w:r>
          </w:p>
        </w:tc>
        <w:tc>
          <w:tcPr>
            <w:tcW w:w="1701" w:type="dxa"/>
            <w:vAlign w:val="center"/>
          </w:tcPr>
          <w:p>
            <w:pPr>
              <w:spacing w:line="440" w:lineRule="exact"/>
              <w:jc w:val="center"/>
              <w:rPr>
                <w:rFonts w:ascii="Times New Roman" w:hAnsi="Times New Roman" w:cs="Times New Roman"/>
                <w:b/>
                <w:bCs/>
                <w:szCs w:val="21"/>
              </w:rPr>
            </w:pPr>
            <w:r>
              <w:rPr>
                <w:rFonts w:hint="eastAsia" w:ascii="Times New Roman" w:hAnsi="Times New Roman" w:cs="Times New Roman"/>
                <w:b/>
                <w:bCs/>
                <w:szCs w:val="21"/>
              </w:rPr>
              <w:t>合同条款号</w:t>
            </w:r>
          </w:p>
        </w:tc>
        <w:tc>
          <w:tcPr>
            <w:tcW w:w="2835"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约定内容</w:t>
            </w:r>
          </w:p>
        </w:tc>
        <w:tc>
          <w:tcPr>
            <w:tcW w:w="1434"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1</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负责人</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姓名：</w:t>
            </w:r>
          </w:p>
          <w:p>
            <w:pPr>
              <w:spacing w:line="440" w:lineRule="exact"/>
              <w:rPr>
                <w:rFonts w:ascii="Times New Roman" w:hAnsi="Times New Roman" w:cs="Times New Roman"/>
                <w:szCs w:val="21"/>
              </w:rPr>
            </w:pPr>
            <w:r>
              <w:rPr>
                <w:rFonts w:ascii="Times New Roman" w:hAnsi="Times New Roman" w:cs="Times New Roman"/>
                <w:szCs w:val="21"/>
              </w:rPr>
              <w:t>身份证号：</w:t>
            </w: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2</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p>
        </w:tc>
        <w:tc>
          <w:tcPr>
            <w:tcW w:w="1434" w:type="dxa"/>
            <w:vAlign w:val="center"/>
          </w:tcPr>
          <w:p>
            <w:pPr>
              <w:spacing w:line="440" w:lineRule="exact"/>
              <w:ind w:firstLine="718" w:firstLineChars="342"/>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3</w:t>
            </w:r>
          </w:p>
        </w:tc>
        <w:tc>
          <w:tcPr>
            <w:tcW w:w="1701" w:type="dxa"/>
            <w:vAlign w:val="center"/>
          </w:tcPr>
          <w:p>
            <w:pPr>
              <w:spacing w:line="440" w:lineRule="exact"/>
              <w:jc w:val="center"/>
              <w:rPr>
                <w:rFonts w:ascii="Times New Roman" w:hAnsi="Times New Roman" w:cs="Times New Roman"/>
                <w:szCs w:val="21"/>
              </w:rPr>
            </w:pPr>
            <w:r>
              <w:rPr>
                <w:rFonts w:hint="eastAsia" w:ascii="Times New Roman" w:hAnsi="Times New Roman" w:cs="Times New Roman"/>
                <w:szCs w:val="21"/>
                <w:lang w:val="en-US" w:eastAsia="zh-CN"/>
              </w:rPr>
              <w:t>工程返修</w:t>
            </w:r>
            <w:r>
              <w:rPr>
                <w:rFonts w:ascii="Times New Roman" w:hAnsi="Times New Roman" w:cs="Times New Roman"/>
                <w:szCs w:val="21"/>
              </w:rPr>
              <w:t>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jc w:val="center"/>
              <w:rPr>
                <w:rFonts w:ascii="Times New Roman" w:hAnsi="Times New Roman" w:cs="Times New Roman"/>
                <w:szCs w:val="21"/>
              </w:rPr>
            </w:pP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w:t>
            </w:r>
          </w:p>
        </w:tc>
        <w:tc>
          <w:tcPr>
            <w:tcW w:w="1434" w:type="dxa"/>
            <w:vAlign w:val="center"/>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r>
        <w:rPr>
          <w:rFonts w:ascii="Times New Roman" w:hAnsi="Times New Roman" w:cs="Times New Roman"/>
          <w:szCs w:val="21"/>
        </w:rPr>
        <w:br w:type="page"/>
      </w:r>
    </w:p>
    <w:p>
      <w:pPr>
        <w:pStyle w:val="4"/>
        <w:jc w:val="center"/>
        <w:rPr>
          <w:rFonts w:ascii="Times New Roman" w:hAnsi="Times New Roman" w:cs="Times New Roman"/>
        </w:rPr>
      </w:pPr>
      <w:bookmarkStart w:id="452" w:name="_Toc247514283"/>
      <w:bookmarkStart w:id="453" w:name="_Toc152045791"/>
      <w:bookmarkStart w:id="454" w:name="_Toc144974860"/>
      <w:bookmarkStart w:id="455" w:name="_Toc247527831"/>
      <w:bookmarkStart w:id="456" w:name="_Toc152042580"/>
      <w:bookmarkStart w:id="457" w:name="_Toc300835213"/>
      <w:r>
        <w:rPr>
          <w:rFonts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单位性质：</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成立时间：</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Cs w:val="21"/>
        </w:rPr>
      </w:pPr>
      <w:r>
        <w:rPr>
          <w:rFonts w:ascii="Times New Roman" w:hAnsi="Times New Roman" w:cs="Times New Roman"/>
          <w:szCs w:val="21"/>
        </w:rPr>
        <w:t>经营期限：</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4"/>
        <w:jc w:val="center"/>
        <w:rPr>
          <w:rFonts w:ascii="Times New Roman" w:hAnsi="Times New Roman" w:cs="Times New Roman"/>
        </w:rPr>
      </w:pPr>
      <w:bookmarkStart w:id="458" w:name="_Toc144974861"/>
      <w:bookmarkStart w:id="459" w:name="_Toc152045792"/>
      <w:bookmarkStart w:id="460" w:name="_Toc300835214"/>
      <w:bookmarkStart w:id="461" w:name="_Toc152042581"/>
      <w:bookmarkStart w:id="462" w:name="_Toc247527832"/>
      <w:bookmarkStart w:id="463" w:name="_Toc247514284"/>
      <w:r>
        <w:rPr>
          <w:rFonts w:ascii="Times New Roman" w:hAnsi="Times New Roman" w:cs="Times New Roman"/>
        </w:rPr>
        <w:t>二、授权委托书</w:t>
      </w:r>
      <w:bookmarkEnd w:id="458"/>
      <w:bookmarkEnd w:id="459"/>
      <w:bookmarkEnd w:id="460"/>
      <w:bookmarkEnd w:id="461"/>
      <w:bookmarkEnd w:id="462"/>
      <w:bookmarkEnd w:id="463"/>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（姓名）为我方代理人。代理人根据授权，以我方名义签署、澄清、说明、补正、递交、撤回、修改</w:t>
      </w:r>
      <w:r>
        <w:rPr>
          <w:rFonts w:ascii="Times New Roman" w:hAnsi="Times New Roman" w:cs="Times New Roman"/>
          <w:szCs w:val="21"/>
          <w:u w:val="single"/>
        </w:rPr>
        <w:t xml:space="preserve">           </w:t>
      </w:r>
      <w:r>
        <w:rPr>
          <w:rFonts w:ascii="Times New Roman" w:hAnsi="Times New Roman" w:cs="Times New Roman"/>
          <w:szCs w:val="21"/>
        </w:rPr>
        <w:t>（项目名称）投标文件、签订合同和处理有关事宜，其法律后果由我方承担。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1575" w:firstLineChars="7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4"/>
        <w:jc w:val="center"/>
        <w:rPr>
          <w:rFonts w:ascii="Times New Roman" w:hAnsi="Times New Roman" w:cs="Times New Roman"/>
        </w:rPr>
      </w:pPr>
      <w:bookmarkStart w:id="464" w:name="_Toc152042583"/>
      <w:bookmarkStart w:id="465" w:name="_Toc144974862"/>
      <w:bookmarkStart w:id="466" w:name="_Toc300835216"/>
      <w:bookmarkStart w:id="467" w:name="_Toc247527834"/>
      <w:bookmarkStart w:id="468" w:name="_Toc152045794"/>
      <w:bookmarkStart w:id="469" w:name="_Toc247514286"/>
      <w:r>
        <w:rPr>
          <w:rFonts w:ascii="Times New Roman" w:hAnsi="Times New Roman" w:cs="Times New Roman"/>
        </w:rPr>
        <w:t>三、投标保证金</w:t>
      </w:r>
      <w:bookmarkEnd w:id="464"/>
      <w:bookmarkEnd w:id="465"/>
      <w:bookmarkEnd w:id="466"/>
      <w:bookmarkEnd w:id="467"/>
      <w:bookmarkEnd w:id="468"/>
      <w:bookmarkEnd w:id="469"/>
    </w:p>
    <w:p>
      <w:pPr>
        <w:wordWrap w:val="0"/>
        <w:snapToGrid w:val="0"/>
        <w:spacing w:line="520" w:lineRule="exact"/>
        <w:ind w:firstLine="460" w:firstLineChars="192"/>
        <w:rPr>
          <w:rFonts w:ascii="Times New Roman" w:hAnsi="Times New Roman" w:cs="Times New Roman"/>
          <w:bCs/>
          <w:color w:val="000000"/>
          <w:kern w:val="0"/>
          <w:sz w:val="24"/>
        </w:rPr>
      </w:pPr>
      <w:bookmarkStart w:id="470"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470"/>
    <w:p>
      <w:pPr>
        <w:rPr>
          <w:rFonts w:ascii="Times New Roman" w:hAnsi="Times New Roman" w:cs="Times New Roman"/>
        </w:rPr>
      </w:pPr>
      <w:bookmarkStart w:id="471" w:name="_Toc247514287"/>
      <w:bookmarkStart w:id="472" w:name="_Toc152042584"/>
      <w:bookmarkStart w:id="473" w:name="_Toc247527835"/>
      <w:bookmarkStart w:id="474" w:name="_Toc144974863"/>
      <w:bookmarkStart w:id="475" w:name="_Toc300835218"/>
      <w:bookmarkStart w:id="476" w:name="_Toc152045795"/>
      <w:r>
        <w:rPr>
          <w:rFonts w:ascii="Times New Roman" w:hAnsi="Times New Roman" w:cs="Times New Roman"/>
        </w:rPr>
        <w:br w:type="page"/>
      </w:r>
    </w:p>
    <w:bookmarkEnd w:id="471"/>
    <w:bookmarkEnd w:id="472"/>
    <w:bookmarkEnd w:id="473"/>
    <w:bookmarkEnd w:id="474"/>
    <w:bookmarkEnd w:id="475"/>
    <w:bookmarkEnd w:id="476"/>
    <w:p>
      <w:pPr>
        <w:pStyle w:val="4"/>
        <w:jc w:val="center"/>
        <w:rPr>
          <w:rFonts w:ascii="Times New Roman" w:hAnsi="Times New Roman" w:cs="Times New Roman"/>
        </w:rPr>
      </w:pPr>
      <w:bookmarkStart w:id="477" w:name="_Toc144974864"/>
      <w:bookmarkStart w:id="478" w:name="_Toc247514288"/>
      <w:bookmarkStart w:id="479" w:name="_Toc152045796"/>
      <w:bookmarkStart w:id="480" w:name="_Toc247527836"/>
      <w:bookmarkStart w:id="481" w:name="_Toc152042585"/>
      <w:bookmarkStart w:id="482" w:name="_Toc300835221"/>
      <w:r>
        <w:rPr>
          <w:rFonts w:hint="eastAsia" w:ascii="Times New Roman" w:hAnsi="Times New Roman" w:cs="Times New Roman"/>
          <w:lang w:val="en-US" w:eastAsia="zh-CN"/>
        </w:rPr>
        <w:t>四</w:t>
      </w:r>
      <w:r>
        <w:rPr>
          <w:rFonts w:ascii="Times New Roman" w:hAnsi="Times New Roman" w:cs="Times New Roman"/>
        </w:rPr>
        <w:t>、</w:t>
      </w:r>
      <w:bookmarkEnd w:id="477"/>
      <w:bookmarkEnd w:id="478"/>
      <w:bookmarkEnd w:id="479"/>
      <w:bookmarkEnd w:id="480"/>
      <w:bookmarkEnd w:id="481"/>
      <w:bookmarkEnd w:id="482"/>
      <w:r>
        <w:rPr>
          <w:rFonts w:hint="eastAsia" w:ascii="Times New Roman" w:hAnsi="Times New Roman" w:cs="Times New Roman"/>
        </w:rPr>
        <w:t>施工组织设计</w:t>
      </w:r>
    </w:p>
    <w:p>
      <w:pPr>
        <w:spacing w:line="440" w:lineRule="exact"/>
        <w:rPr>
          <w:rFonts w:ascii="Times New Roman" w:hAnsi="Times New Roman" w:eastAsia="黑体" w:cs="Times New Roman"/>
          <w:szCs w:val="21"/>
          <w:highlight w:val="green"/>
        </w:rPr>
      </w:pPr>
    </w:p>
    <w:p>
      <w:pPr>
        <w:tabs>
          <w:tab w:val="left" w:pos="720"/>
        </w:tabs>
        <w:spacing w:line="440" w:lineRule="exact"/>
        <w:ind w:firstLine="420" w:firstLineChars="200"/>
        <w:rPr>
          <w:rFonts w:ascii="Times New Roman" w:hAnsi="Times New Roman" w:cs="Times New Roman"/>
          <w:szCs w:val="21"/>
        </w:rPr>
      </w:pPr>
      <w:bookmarkStart w:id="483" w:name="_Toc300835223"/>
      <w:r>
        <w:rPr>
          <w:rFonts w:ascii="Times New Roman" w:hAnsi="Times New Roman" w:cs="Times New Roman"/>
          <w:szCs w:val="21"/>
        </w:rPr>
        <w:t xml:space="preserve">1. </w:t>
      </w:r>
      <w:r>
        <w:rPr>
          <w:rFonts w:ascii="Times New Roman" w:hAnsi="Times New Roman" w:cs="Times New Roman"/>
          <w:szCs w:val="21"/>
        </w:rPr>
        <w:tab/>
      </w:r>
      <w:r>
        <w:rPr>
          <w:rFonts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2. 图表及格式要求：</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附表一  拟投入的主要施工设备表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附表二  劳动力计划表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附表三  进度计划</w:t>
      </w:r>
    </w:p>
    <w:p>
      <w:pPr>
        <w:rPr>
          <w:rFonts w:ascii="Times New Roman" w:hAnsi="Times New Roman" w:cs="Times New Roman"/>
          <w:szCs w:val="21"/>
        </w:rPr>
      </w:pPr>
      <w:r>
        <w:rPr>
          <w:rFonts w:ascii="Times New Roman" w:hAnsi="Times New Roman" w:cs="Times New Roman"/>
          <w:szCs w:val="21"/>
        </w:rPr>
        <w:br w:type="page"/>
      </w:r>
    </w:p>
    <w:p>
      <w:pPr>
        <w:pStyle w:val="5"/>
        <w:rPr>
          <w:rFonts w:ascii="Times New Roman" w:hAnsi="Times New Roman" w:cs="Times New Roman"/>
        </w:rPr>
      </w:pPr>
      <w:bookmarkStart w:id="484" w:name="_Toc152042586"/>
      <w:bookmarkStart w:id="485" w:name="_Toc179632817"/>
      <w:bookmarkStart w:id="486" w:name="_Toc246996365"/>
      <w:bookmarkStart w:id="487" w:name="_Toc152045797"/>
      <w:bookmarkStart w:id="488" w:name="_Toc144974865"/>
      <w:bookmarkStart w:id="489" w:name="_Toc247085883"/>
      <w:bookmarkStart w:id="490" w:name="_Toc246997108"/>
      <w:bookmarkStart w:id="491" w:name="_Toc296602610"/>
      <w:r>
        <w:rPr>
          <w:rFonts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rPr>
                <w:rFonts w:ascii="Times New Roman" w:hAnsi="Times New Roman" w:cs="Times New Roman"/>
                <w:szCs w:val="21"/>
              </w:rPr>
            </w:pPr>
            <w:r>
              <w:rPr>
                <w:rFonts w:ascii="Times New Roman" w:hAnsi="Times New Roman" w:cs="Times New Roman"/>
                <w:szCs w:val="21"/>
              </w:rPr>
              <w:t>序号</w:t>
            </w:r>
          </w:p>
        </w:tc>
        <w:tc>
          <w:tcPr>
            <w:tcW w:w="1086"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设备名称</w:t>
            </w:r>
          </w:p>
        </w:tc>
        <w:tc>
          <w:tcPr>
            <w:tcW w:w="76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型号</w:t>
            </w:r>
          </w:p>
          <w:p>
            <w:pPr>
              <w:spacing w:line="440" w:lineRule="exact"/>
              <w:jc w:val="center"/>
              <w:rPr>
                <w:rFonts w:ascii="Times New Roman" w:hAnsi="Times New Roman" w:cs="Times New Roman"/>
                <w:szCs w:val="21"/>
              </w:rPr>
            </w:pPr>
            <w:r>
              <w:rPr>
                <w:rFonts w:ascii="Times New Roman" w:hAnsi="Times New Roman" w:cs="Times New Roman"/>
                <w:szCs w:val="21"/>
              </w:rPr>
              <w:t>规格</w:t>
            </w:r>
          </w:p>
        </w:tc>
        <w:tc>
          <w:tcPr>
            <w:tcW w:w="99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数量</w:t>
            </w:r>
          </w:p>
        </w:tc>
        <w:tc>
          <w:tcPr>
            <w:tcW w:w="67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国别</w:t>
            </w:r>
          </w:p>
          <w:p>
            <w:pPr>
              <w:spacing w:line="440" w:lineRule="exact"/>
              <w:jc w:val="center"/>
              <w:rPr>
                <w:rFonts w:ascii="Times New Roman" w:hAnsi="Times New Roman" w:cs="Times New Roman"/>
                <w:szCs w:val="21"/>
              </w:rPr>
            </w:pPr>
            <w:r>
              <w:rPr>
                <w:rFonts w:ascii="Times New Roman" w:hAnsi="Times New Roman" w:cs="Times New Roman"/>
                <w:szCs w:val="21"/>
              </w:rPr>
              <w:t>产地</w:t>
            </w:r>
          </w:p>
        </w:tc>
        <w:tc>
          <w:tcPr>
            <w:tcW w:w="738"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制造</w:t>
            </w:r>
          </w:p>
          <w:p>
            <w:pPr>
              <w:spacing w:line="440" w:lineRule="exact"/>
              <w:jc w:val="center"/>
              <w:rPr>
                <w:rFonts w:ascii="Times New Roman" w:hAnsi="Times New Roman" w:cs="Times New Roman"/>
                <w:szCs w:val="21"/>
              </w:rPr>
            </w:pPr>
            <w:r>
              <w:rPr>
                <w:rFonts w:ascii="Times New Roman" w:hAnsi="Times New Roman" w:cs="Times New Roman"/>
                <w:szCs w:val="21"/>
              </w:rPr>
              <w:t>年份</w:t>
            </w:r>
          </w:p>
        </w:tc>
        <w:tc>
          <w:tcPr>
            <w:tcW w:w="121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额定功率（kW）</w:t>
            </w:r>
          </w:p>
        </w:tc>
        <w:tc>
          <w:tcPr>
            <w:tcW w:w="874"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生产</w:t>
            </w:r>
          </w:p>
          <w:p>
            <w:pPr>
              <w:spacing w:line="440" w:lineRule="exact"/>
              <w:jc w:val="center"/>
              <w:rPr>
                <w:rFonts w:ascii="Times New Roman" w:hAnsi="Times New Roman" w:cs="Times New Roman"/>
                <w:szCs w:val="21"/>
              </w:rPr>
            </w:pPr>
            <w:r>
              <w:rPr>
                <w:rFonts w:ascii="Times New Roman" w:hAnsi="Times New Roman" w:cs="Times New Roman"/>
                <w:szCs w:val="21"/>
              </w:rPr>
              <w:t>能力</w:t>
            </w:r>
          </w:p>
        </w:tc>
        <w:tc>
          <w:tcPr>
            <w:tcW w:w="1055"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用于施工部位</w:t>
            </w:r>
          </w:p>
        </w:tc>
        <w:tc>
          <w:tcPr>
            <w:tcW w:w="69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5"/>
        <w:rPr>
          <w:rFonts w:ascii="Times New Roman" w:hAnsi="Times New Roman" w:cs="Times New Roman"/>
        </w:rPr>
      </w:pPr>
      <w:bookmarkStart w:id="492" w:name="_Toc246996366"/>
      <w:bookmarkStart w:id="493" w:name="_Toc179632819"/>
      <w:bookmarkStart w:id="494" w:name="_Toc152042588"/>
      <w:bookmarkStart w:id="495" w:name="_Toc152045799"/>
      <w:bookmarkStart w:id="496" w:name="_Toc296602611"/>
      <w:bookmarkStart w:id="497" w:name="_Toc246997109"/>
      <w:bookmarkStart w:id="498" w:name="_Toc247085884"/>
      <w:bookmarkStart w:id="499" w:name="_Toc144974867"/>
      <w:r>
        <w:rPr>
          <w:rFonts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ascii="Times New Roman" w:hAnsi="Times New Roman" w:eastAsia="黑体" w:cs="Times New Roman"/>
          <w:szCs w:val="21"/>
        </w:rPr>
      </w:pPr>
      <w:r>
        <w:rPr>
          <w:rFonts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工种</w:t>
            </w:r>
          </w:p>
        </w:tc>
        <w:tc>
          <w:tcPr>
            <w:tcW w:w="7693" w:type="dxa"/>
            <w:gridSpan w:val="7"/>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bl>
    <w:p>
      <w:pPr>
        <w:pStyle w:val="10"/>
        <w:rPr>
          <w:rFonts w:ascii="Times New Roman" w:hAnsi="Times New Roman" w:cs="Times New Roman"/>
        </w:rPr>
      </w:pPr>
      <w:bookmarkStart w:id="500" w:name="_Toc152042589"/>
      <w:bookmarkStart w:id="501" w:name="_Toc179632820"/>
      <w:bookmarkStart w:id="502" w:name="_Toc144974868"/>
      <w:bookmarkStart w:id="503" w:name="_Toc152045800"/>
      <w:bookmarkStart w:id="504" w:name="_Toc246996367"/>
      <w:bookmarkStart w:id="505" w:name="_Toc246997110"/>
    </w:p>
    <w:p>
      <w:pPr>
        <w:pStyle w:val="10"/>
        <w:rPr>
          <w:rFonts w:ascii="Times New Roman" w:hAnsi="Times New Roman" w:cs="Times New Roman"/>
        </w:rPr>
      </w:pPr>
      <w:r>
        <w:rPr>
          <w:rFonts w:ascii="Times New Roman" w:hAnsi="Times New Roman" w:cs="Times New Roman"/>
        </w:rPr>
        <w:br w:type="page"/>
      </w:r>
    </w:p>
    <w:p>
      <w:pPr>
        <w:pStyle w:val="5"/>
        <w:rPr>
          <w:rFonts w:ascii="Times New Roman" w:hAnsi="Times New Roman" w:cs="Times New Roman"/>
        </w:rPr>
      </w:pPr>
      <w:bookmarkStart w:id="506" w:name="_Toc296602612"/>
      <w:bookmarkStart w:id="507" w:name="_Toc247085885"/>
      <w:r>
        <w:rPr>
          <w:rFonts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ascii="Times New Roman" w:hAnsi="Times New Roman" w:eastAsia="黑体" w:cs="Times New Roman"/>
          <w:sz w:val="20"/>
          <w:szCs w:val="20"/>
        </w:rPr>
      </w:pP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 施工进度表可采用网络图或横道图表示。</w:t>
      </w:r>
    </w:p>
    <w:p>
      <w:pPr>
        <w:spacing w:line="440" w:lineRule="exact"/>
        <w:rPr>
          <w:rFonts w:ascii="Times New Roman" w:hAnsi="Times New Roman"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cs="Times New Roman"/>
          <w:szCs w:val="21"/>
        </w:rPr>
      </w:pPr>
      <w:r>
        <w:rPr>
          <w:sz w:val="20"/>
        </w:rPr>
        <w:br w:type="page"/>
      </w:r>
    </w:p>
    <w:bookmarkEnd w:id="483"/>
    <w:p>
      <w:pPr>
        <w:pStyle w:val="4"/>
        <w:jc w:val="center"/>
        <w:rPr>
          <w:szCs w:val="21"/>
        </w:rPr>
      </w:pPr>
      <w:bookmarkStart w:id="508" w:name="_Toc246997112"/>
      <w:bookmarkStart w:id="509" w:name="_Toc247085887"/>
      <w:bookmarkStart w:id="510" w:name="_Toc152045803"/>
      <w:bookmarkStart w:id="511" w:name="_Toc246996369"/>
      <w:bookmarkStart w:id="512" w:name="_Toc179632823"/>
      <w:bookmarkStart w:id="513" w:name="_Toc144974871"/>
      <w:bookmarkStart w:id="514" w:name="_Toc296602614"/>
      <w:bookmarkStart w:id="515" w:name="_Toc152042592"/>
      <w:bookmarkStart w:id="516" w:name="_Toc300835224"/>
      <w:bookmarkStart w:id="517" w:name="_Toc152045808"/>
      <w:bookmarkStart w:id="518" w:name="_Toc152042597"/>
      <w:bookmarkStart w:id="519" w:name="_Toc247514300"/>
      <w:bookmarkStart w:id="520" w:name="_Toc247527848"/>
      <w:bookmarkStart w:id="521" w:name="_Toc144974876"/>
      <w:r>
        <w:rPr>
          <w:rFonts w:hint="eastAsia"/>
          <w:lang w:val="en-US" w:eastAsia="zh-CN"/>
        </w:rPr>
        <w:t>五</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5"/>
      </w:pPr>
      <w:bookmarkStart w:id="522" w:name="_Toc247085888"/>
      <w:bookmarkStart w:id="523" w:name="_Toc246996370"/>
      <w:bookmarkStart w:id="524" w:name="_Toc246997113"/>
      <w:bookmarkStart w:id="525" w:name="_Toc296602615"/>
      <w:r>
        <w:t>（一）项目管理机构组成表</w:t>
      </w:r>
      <w:bookmarkEnd w:id="522"/>
      <w:bookmarkEnd w:id="523"/>
      <w:bookmarkEnd w:id="524"/>
      <w:bookmarkEnd w:id="525"/>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restart"/>
            <w:vAlign w:val="center"/>
          </w:tcPr>
          <w:p>
            <w:pPr>
              <w:spacing w:line="440" w:lineRule="exact"/>
              <w:jc w:val="center"/>
              <w:rPr>
                <w:szCs w:val="21"/>
              </w:rPr>
            </w:pPr>
            <w:r>
              <w:rPr>
                <w:szCs w:val="21"/>
              </w:rPr>
              <w:t>职务</w:t>
            </w:r>
          </w:p>
        </w:tc>
        <w:tc>
          <w:tcPr>
            <w:tcW w:w="721" w:type="dxa"/>
            <w:vMerge w:val="restart"/>
            <w:vAlign w:val="center"/>
          </w:tcPr>
          <w:p>
            <w:pPr>
              <w:spacing w:line="440" w:lineRule="exact"/>
              <w:jc w:val="center"/>
              <w:rPr>
                <w:szCs w:val="21"/>
              </w:rPr>
            </w:pPr>
            <w:r>
              <w:rPr>
                <w:szCs w:val="21"/>
              </w:rPr>
              <w:t>姓名</w:t>
            </w:r>
          </w:p>
        </w:tc>
        <w:tc>
          <w:tcPr>
            <w:tcW w:w="719" w:type="dxa"/>
            <w:vMerge w:val="restart"/>
            <w:vAlign w:val="center"/>
          </w:tcPr>
          <w:p>
            <w:pPr>
              <w:spacing w:line="440" w:lineRule="exact"/>
              <w:jc w:val="center"/>
              <w:rPr>
                <w:szCs w:val="21"/>
              </w:rPr>
            </w:pPr>
            <w:r>
              <w:rPr>
                <w:szCs w:val="21"/>
              </w:rPr>
              <w:t>职称</w:t>
            </w:r>
          </w:p>
        </w:tc>
        <w:tc>
          <w:tcPr>
            <w:tcW w:w="5763" w:type="dxa"/>
            <w:gridSpan w:val="5"/>
            <w:vAlign w:val="center"/>
          </w:tcPr>
          <w:p>
            <w:pPr>
              <w:spacing w:line="440" w:lineRule="exact"/>
              <w:jc w:val="center"/>
              <w:rPr>
                <w:szCs w:val="21"/>
              </w:rPr>
            </w:pPr>
            <w:r>
              <w:rPr>
                <w:szCs w:val="21"/>
              </w:rPr>
              <w:t>执业或职业资格证明</w:t>
            </w:r>
          </w:p>
        </w:tc>
        <w:tc>
          <w:tcPr>
            <w:tcW w:w="672"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continue"/>
            <w:vAlign w:val="center"/>
          </w:tcPr>
          <w:p>
            <w:pPr>
              <w:spacing w:line="440" w:lineRule="exact"/>
              <w:jc w:val="center"/>
              <w:rPr>
                <w:szCs w:val="21"/>
              </w:rPr>
            </w:pPr>
          </w:p>
        </w:tc>
        <w:tc>
          <w:tcPr>
            <w:tcW w:w="721" w:type="dxa"/>
            <w:vMerge w:val="continue"/>
            <w:vAlign w:val="center"/>
          </w:tcPr>
          <w:p>
            <w:pPr>
              <w:spacing w:line="440" w:lineRule="exact"/>
              <w:jc w:val="center"/>
              <w:rPr>
                <w:szCs w:val="21"/>
              </w:rPr>
            </w:pPr>
          </w:p>
        </w:tc>
        <w:tc>
          <w:tcPr>
            <w:tcW w:w="719" w:type="dxa"/>
            <w:vMerge w:val="continue"/>
            <w:vAlign w:val="center"/>
          </w:tcPr>
          <w:p>
            <w:pPr>
              <w:spacing w:line="440" w:lineRule="exact"/>
              <w:jc w:val="center"/>
              <w:rPr>
                <w:szCs w:val="21"/>
              </w:rPr>
            </w:pPr>
          </w:p>
        </w:tc>
        <w:tc>
          <w:tcPr>
            <w:tcW w:w="1081" w:type="dxa"/>
            <w:vAlign w:val="center"/>
          </w:tcPr>
          <w:p>
            <w:pPr>
              <w:spacing w:line="440" w:lineRule="exact"/>
              <w:jc w:val="center"/>
              <w:rPr>
                <w:szCs w:val="21"/>
              </w:rPr>
            </w:pPr>
            <w:r>
              <w:rPr>
                <w:szCs w:val="21"/>
              </w:rPr>
              <w:t>证书名称</w:t>
            </w:r>
          </w:p>
        </w:tc>
        <w:tc>
          <w:tcPr>
            <w:tcW w:w="719" w:type="dxa"/>
            <w:vAlign w:val="center"/>
          </w:tcPr>
          <w:p>
            <w:pPr>
              <w:spacing w:line="440" w:lineRule="exact"/>
              <w:jc w:val="center"/>
              <w:rPr>
                <w:szCs w:val="21"/>
              </w:rPr>
            </w:pPr>
            <w:r>
              <w:rPr>
                <w:szCs w:val="21"/>
              </w:rPr>
              <w:t>级别</w:t>
            </w:r>
          </w:p>
        </w:tc>
        <w:tc>
          <w:tcPr>
            <w:tcW w:w="721" w:type="dxa"/>
            <w:vAlign w:val="center"/>
          </w:tcPr>
          <w:p>
            <w:pPr>
              <w:spacing w:line="440" w:lineRule="exact"/>
              <w:jc w:val="center"/>
              <w:rPr>
                <w:szCs w:val="21"/>
              </w:rPr>
            </w:pPr>
            <w:r>
              <w:rPr>
                <w:szCs w:val="21"/>
              </w:rPr>
              <w:t>证号</w:t>
            </w:r>
          </w:p>
        </w:tc>
        <w:tc>
          <w:tcPr>
            <w:tcW w:w="719" w:type="dxa"/>
            <w:vAlign w:val="center"/>
          </w:tcPr>
          <w:p>
            <w:pPr>
              <w:spacing w:line="440" w:lineRule="exact"/>
              <w:jc w:val="center"/>
              <w:rPr>
                <w:szCs w:val="21"/>
              </w:rPr>
            </w:pPr>
            <w:r>
              <w:rPr>
                <w:szCs w:val="21"/>
              </w:rPr>
              <w:t>专业</w:t>
            </w:r>
          </w:p>
        </w:tc>
        <w:tc>
          <w:tcPr>
            <w:tcW w:w="2523" w:type="dxa"/>
            <w:vAlign w:val="center"/>
          </w:tcPr>
          <w:p>
            <w:pPr>
              <w:spacing w:line="440" w:lineRule="exact"/>
              <w:jc w:val="center"/>
              <w:rPr>
                <w:szCs w:val="21"/>
              </w:rPr>
            </w:pPr>
            <w:r>
              <w:rPr>
                <w:szCs w:val="21"/>
              </w:rPr>
              <w:t>养老保险</w:t>
            </w: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108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2523" w:type="dxa"/>
            <w:vAlign w:val="center"/>
          </w:tcPr>
          <w:p>
            <w:pPr>
              <w:spacing w:line="440" w:lineRule="exact"/>
              <w:jc w:val="center"/>
              <w:rPr>
                <w:szCs w:val="21"/>
              </w:rPr>
            </w:pP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sz w:val="20"/>
        </w:rPr>
      </w:pPr>
      <w:r>
        <w:rPr>
          <w:sz w:val="20"/>
        </w:rPr>
        <w:br w:type="page"/>
      </w:r>
    </w:p>
    <w:p>
      <w:pPr>
        <w:pStyle w:val="5"/>
      </w:pPr>
      <w:bookmarkStart w:id="526" w:name="_Toc246996371"/>
      <w:bookmarkStart w:id="527" w:name="_Toc246997114"/>
      <w:bookmarkStart w:id="528" w:name="_Toc247085889"/>
      <w:bookmarkStart w:id="529" w:name="_Toc296602616"/>
      <w:r>
        <w:t>（二）</w:t>
      </w:r>
      <w:r>
        <w:rPr>
          <w:rFonts w:hint="eastAsia"/>
        </w:rPr>
        <w:t>项目负责人</w:t>
      </w:r>
      <w:r>
        <w:t>简历表</w:t>
      </w:r>
      <w:bookmarkEnd w:id="526"/>
      <w:bookmarkEnd w:id="527"/>
      <w:bookmarkEnd w:id="528"/>
      <w:bookmarkEnd w:id="529"/>
    </w:p>
    <w:p>
      <w:pPr>
        <w:spacing w:line="400" w:lineRule="exact"/>
        <w:ind w:firstLine="420" w:firstLineChars="200"/>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姓  名</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年 龄</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学历</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职  称</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职 务</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拟在本合同任职</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宋体" w:hAnsi="宋体"/>
                <w:szCs w:val="21"/>
              </w:rPr>
            </w:pPr>
            <w:r>
              <w:rPr>
                <w:rFonts w:ascii="宋体" w:hAnsi="宋体"/>
                <w:szCs w:val="21"/>
              </w:rPr>
              <w:t>毕业学校</w:t>
            </w:r>
          </w:p>
        </w:tc>
        <w:tc>
          <w:tcPr>
            <w:tcW w:w="7336" w:type="dxa"/>
            <w:gridSpan w:val="8"/>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宋体" w:hAnsi="宋体"/>
                <w:szCs w:val="21"/>
              </w:rPr>
            </w:pPr>
            <w:r>
              <w:rPr>
                <w:rFonts w:ascii="宋体" w:hAnsi="宋体"/>
                <w:szCs w:val="21"/>
              </w:rPr>
              <w:t>时  间</w:t>
            </w:r>
          </w:p>
        </w:tc>
        <w:tc>
          <w:tcPr>
            <w:tcW w:w="3420" w:type="dxa"/>
            <w:gridSpan w:val="4"/>
            <w:vAlign w:val="center"/>
          </w:tcPr>
          <w:p>
            <w:pPr>
              <w:spacing w:line="440" w:lineRule="exact"/>
              <w:rPr>
                <w:rFonts w:ascii="宋体" w:hAnsi="宋体"/>
                <w:szCs w:val="21"/>
              </w:rPr>
            </w:pPr>
            <w:r>
              <w:rPr>
                <w:rFonts w:ascii="宋体" w:hAnsi="宋体"/>
                <w:szCs w:val="21"/>
              </w:rPr>
              <w:t>参加过的类似项目</w:t>
            </w:r>
          </w:p>
        </w:tc>
        <w:tc>
          <w:tcPr>
            <w:tcW w:w="1261" w:type="dxa"/>
            <w:vAlign w:val="center"/>
          </w:tcPr>
          <w:p>
            <w:pPr>
              <w:spacing w:line="440" w:lineRule="exact"/>
              <w:rPr>
                <w:rFonts w:ascii="宋体" w:hAnsi="宋体"/>
                <w:szCs w:val="21"/>
              </w:rPr>
            </w:pPr>
            <w:r>
              <w:rPr>
                <w:rFonts w:ascii="宋体" w:hAnsi="宋体"/>
                <w:szCs w:val="21"/>
              </w:rPr>
              <w:t>担任职务</w:t>
            </w:r>
          </w:p>
        </w:tc>
        <w:tc>
          <w:tcPr>
            <w:tcW w:w="2296" w:type="dxa"/>
            <w:gridSpan w:val="2"/>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bl>
    <w:p>
      <w:pPr>
        <w:rPr>
          <w:rFonts w:ascii="Times New Roman" w:hAnsi="Times New Roman" w:cs="Times New Roman"/>
        </w:rPr>
      </w:pPr>
      <w:r>
        <w:rPr>
          <w:rFonts w:ascii="Times New Roman" w:hAnsi="Times New Roman" w:cs="Times New Roman"/>
        </w:rPr>
        <w:br w:type="page"/>
      </w:r>
    </w:p>
    <w:p>
      <w:pPr>
        <w:pStyle w:val="4"/>
        <w:jc w:val="center"/>
      </w:pPr>
      <w:bookmarkStart w:id="530" w:name="_Toc246997115"/>
      <w:bookmarkStart w:id="531" w:name="_Toc296602617"/>
      <w:bookmarkStart w:id="532" w:name="_Toc144974875"/>
      <w:bookmarkStart w:id="533" w:name="_Toc152042596"/>
      <w:bookmarkStart w:id="534" w:name="_Toc152045807"/>
      <w:bookmarkStart w:id="535" w:name="_Toc246996372"/>
      <w:bookmarkStart w:id="536" w:name="_Toc247085890"/>
      <w:bookmarkStart w:id="537" w:name="_Toc179632827"/>
      <w:r>
        <w:rPr>
          <w:rFonts w:hint="eastAsia"/>
          <w:lang w:val="en-US" w:eastAsia="zh-CN"/>
        </w:rPr>
        <w:t>六</w:t>
      </w:r>
      <w:r>
        <w:t>、资格审查资料</w:t>
      </w:r>
      <w:bookmarkEnd w:id="530"/>
      <w:bookmarkEnd w:id="531"/>
      <w:bookmarkEnd w:id="532"/>
      <w:bookmarkEnd w:id="533"/>
      <w:bookmarkEnd w:id="534"/>
      <w:bookmarkEnd w:id="535"/>
      <w:bookmarkEnd w:id="536"/>
      <w:bookmarkEnd w:id="537"/>
    </w:p>
    <w:p>
      <w:pPr>
        <w:pStyle w:val="5"/>
      </w:pPr>
      <w:bookmarkStart w:id="538" w:name="_Toc246996373"/>
      <w:bookmarkStart w:id="539" w:name="_Toc247085891"/>
      <w:bookmarkStart w:id="540" w:name="_Toc296602618"/>
      <w:bookmarkStart w:id="541" w:name="_Toc179632828"/>
      <w:bookmarkStart w:id="542" w:name="_Toc246997116"/>
      <w:r>
        <w:t>（一）投标人基本情况表</w:t>
      </w:r>
      <w:bookmarkEnd w:id="538"/>
      <w:bookmarkEnd w:id="539"/>
      <w:bookmarkEnd w:id="540"/>
      <w:bookmarkEnd w:id="541"/>
      <w:bookmarkEnd w:id="542"/>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项目负责人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bookmarkEnd w:id="516"/>
    <w:bookmarkEnd w:id="517"/>
    <w:bookmarkEnd w:id="518"/>
    <w:bookmarkEnd w:id="519"/>
    <w:bookmarkEnd w:id="520"/>
    <w:bookmarkEnd w:id="521"/>
    <w:p>
      <w:pPr>
        <w:pStyle w:val="5"/>
        <w:rPr>
          <w:rFonts w:ascii="Times New Roman" w:hAnsi="Times New Roman" w:cs="Times New Roman"/>
        </w:rPr>
      </w:pPr>
      <w:bookmarkStart w:id="543" w:name="_Toc152045809"/>
      <w:bookmarkStart w:id="544" w:name="_Toc247527849"/>
      <w:bookmarkStart w:id="545" w:name="_Toc152042598"/>
      <w:bookmarkStart w:id="546" w:name="_Toc300835225"/>
      <w:bookmarkStart w:id="547" w:name="_Toc144974877"/>
      <w:bookmarkStart w:id="548" w:name="_Toc247514301"/>
      <w:r>
        <w:rPr>
          <w:rFonts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ascii="Times New Roman" w:hAnsi="Times New Roman"/>
          <w:color w:val="000000"/>
        </w:rPr>
      </w:pPr>
      <w:r>
        <w:rPr>
          <w:rFonts w:hint="eastAsia" w:ascii="Times New Roman" w:hAnsi="Times New Roman"/>
          <w:color w:val="000000"/>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ascii="Times New Roman" w:hAnsi="Times New Roman" w:eastAsia="黑体" w:cs="Times New Roman"/>
          <w:sz w:val="20"/>
          <w:szCs w:val="20"/>
        </w:rPr>
        <w:br w:type="page"/>
      </w:r>
    </w:p>
    <w:p>
      <w:pPr>
        <w:pStyle w:val="5"/>
        <w:rPr>
          <w:rFonts w:ascii="Times New Roman" w:hAnsi="Times New Roman" w:cs="Times New Roman"/>
        </w:rPr>
      </w:pPr>
      <w:bookmarkStart w:id="549" w:name="_Toc300835226"/>
      <w:bookmarkStart w:id="550" w:name="_Toc144974878"/>
      <w:bookmarkStart w:id="551" w:name="_Toc152045810"/>
      <w:bookmarkStart w:id="552" w:name="_Toc152042599"/>
      <w:bookmarkStart w:id="553" w:name="_Toc247514302"/>
      <w:bookmarkStart w:id="554" w:name="_Toc247527850"/>
      <w:r>
        <w:rPr>
          <w:rFonts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rPr>
              <w:t>竣工</w:t>
            </w:r>
            <w:r>
              <w:rPr>
                <w:rFonts w:ascii="Times New Roman" w:hAnsi="Times New Roman" w:cs="Times New Roman"/>
                <w:szCs w:val="21"/>
              </w:rPr>
              <w:t>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55" w:name="_Toc152045811"/>
      <w:bookmarkStart w:id="556" w:name="_Toc144974879"/>
      <w:bookmarkStart w:id="557" w:name="_Toc247514303"/>
      <w:bookmarkStart w:id="558" w:name="_Toc152042600"/>
      <w:bookmarkStart w:id="559" w:name="_Toc247527851"/>
    </w:p>
    <w:p>
      <w:pPr>
        <w:spacing w:line="440" w:lineRule="exact"/>
        <w:rPr>
          <w:rFonts w:ascii="Times New Roman" w:hAnsi="Times New Roman" w:cs="Times New Roman"/>
        </w:rPr>
      </w:pPr>
    </w:p>
    <w:p>
      <w:pPr>
        <w:pStyle w:val="5"/>
        <w:rPr>
          <w:rFonts w:ascii="Times New Roman" w:hAnsi="Times New Roman" w:cs="Times New Roman"/>
        </w:rPr>
      </w:pPr>
      <w:bookmarkStart w:id="560" w:name="_Toc300835227"/>
      <w:r>
        <w:rPr>
          <w:rFonts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签约合同价</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计划</w:t>
            </w:r>
            <w:r>
              <w:rPr>
                <w:rFonts w:ascii="Times New Roman" w:hAnsi="Times New Roman" w:cs="Times New Roman"/>
              </w:rPr>
              <w:t>竣工</w:t>
            </w:r>
            <w:r>
              <w:rPr>
                <w:rFonts w:ascii="Times New Roman" w:hAnsi="Times New Roman" w:cs="Times New Roman"/>
                <w:szCs w:val="21"/>
              </w:rPr>
              <w:t>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40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40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61" w:name="_Toc247527852"/>
      <w:bookmarkStart w:id="562" w:name="_Toc144974880"/>
      <w:bookmarkStart w:id="563" w:name="_Toc152045812"/>
      <w:bookmarkStart w:id="564" w:name="_Toc247514304"/>
      <w:bookmarkStart w:id="565" w:name="_Toc152042601"/>
    </w:p>
    <w:p>
      <w:pPr>
        <w:spacing w:line="440" w:lineRule="exact"/>
        <w:rPr>
          <w:rFonts w:ascii="Times New Roman" w:hAnsi="Times New Roman" w:cs="Times New Roman"/>
        </w:rPr>
      </w:pPr>
    </w:p>
    <w:bookmarkEnd w:id="561"/>
    <w:bookmarkEnd w:id="562"/>
    <w:bookmarkEnd w:id="563"/>
    <w:bookmarkEnd w:id="564"/>
    <w:bookmarkEnd w:id="565"/>
    <w:p>
      <w:pPr>
        <w:pStyle w:val="5"/>
        <w:rPr>
          <w:rFonts w:ascii="Times New Roman" w:hAnsi="Times New Roman" w:cs="Times New Roman"/>
        </w:rPr>
      </w:pPr>
      <w:r>
        <w:rPr>
          <w:rFonts w:ascii="Times New Roman" w:hAnsi="Times New Roman" w:cs="Times New Roman"/>
        </w:rPr>
        <w:t>（</w:t>
      </w:r>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rPr>
        <w:t>其他资格审查资料</w:t>
      </w:r>
    </w:p>
    <w:p>
      <w:pPr>
        <w:spacing w:line="440" w:lineRule="exact"/>
        <w:ind w:firstLine="420" w:firstLineChars="200"/>
        <w:rPr>
          <w:rFonts w:ascii="Times New Roman" w:hAnsi="Times New Roman"/>
          <w:color w:val="000000"/>
        </w:rPr>
      </w:pPr>
      <w:permStart w:id="94" w:edGrp="everyone"/>
      <w:r>
        <w:rPr>
          <w:rFonts w:ascii="Times New Roman" w:hAnsi="Times New Roman"/>
        </w:rPr>
        <w:t>注：</w:t>
      </w:r>
      <w:r>
        <w:rPr>
          <w:rFonts w:hint="eastAsia" w:ascii="Times New Roman" w:hAnsi="Times New Roman"/>
        </w:rPr>
        <w:t>如有，按招标文件要求提供。</w:t>
      </w:r>
    </w:p>
    <w:permEnd w:id="94"/>
    <w:p>
      <w:pPr>
        <w:spacing w:line="440" w:lineRule="exact"/>
        <w:rPr>
          <w:rFonts w:ascii="Times New Roman" w:hAnsi="Times New Roman" w:cs="Times New Roman"/>
        </w:rPr>
      </w:pPr>
      <w:r>
        <w:rPr>
          <w:rFonts w:ascii="Times New Roman" w:hAnsi="Times New Roman" w:cs="Times New Roman"/>
        </w:rPr>
        <w:br w:type="page"/>
      </w:r>
      <w:bookmarkStart w:id="566" w:name="_Toc247527853"/>
      <w:bookmarkStart w:id="567" w:name="_Toc247514305"/>
      <w:bookmarkStart w:id="568" w:name="_Toc152042602"/>
      <w:bookmarkStart w:id="569" w:name="_Toc247530162"/>
      <w:bookmarkStart w:id="570" w:name="_Toc152045813"/>
      <w:bookmarkStart w:id="571" w:name="_Toc144974881"/>
    </w:p>
    <w:bookmarkEnd w:id="566"/>
    <w:bookmarkEnd w:id="567"/>
    <w:bookmarkEnd w:id="568"/>
    <w:bookmarkEnd w:id="569"/>
    <w:bookmarkEnd w:id="570"/>
    <w:bookmarkEnd w:id="571"/>
    <w:p>
      <w:pPr>
        <w:pStyle w:val="4"/>
        <w:jc w:val="center"/>
        <w:rPr>
          <w:rFonts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七</w:t>
      </w:r>
      <w:r>
        <w:rPr>
          <w:rFonts w:ascii="Times New Roman" w:hAnsi="Times New Roman" w:cs="Times New Roman"/>
        </w:rPr>
        <w:t>、其他资料</w:t>
      </w:r>
      <w:bookmarkEnd w:id="572"/>
      <w:bookmarkEnd w:id="573"/>
    </w:p>
    <w:p>
      <w:pPr>
        <w:ind w:firstLine="420" w:firstLineChars="200"/>
        <w:rPr>
          <w:rFonts w:ascii="Times New Roman" w:hAnsi="Times New Roman"/>
        </w:rPr>
      </w:pPr>
      <w:permStart w:id="95"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章“投标文件格式”未详尽列举，但招标文件要求或投标人认为有必要提供的资料。</w:t>
      </w:r>
    </w:p>
    <w:permEnd w:id="95"/>
    <w:p>
      <w:pPr>
        <w:spacing w:line="400" w:lineRule="exact"/>
        <w:rPr>
          <w:rFonts w:ascii="Times New Roman" w:hAnsi="Times New Roman" w:cs="Times New Roman"/>
        </w:rPr>
      </w:pPr>
    </w:p>
    <w:p>
      <w:pPr>
        <w:pStyle w:val="6"/>
        <w:rPr>
          <w:rFonts w:ascii="Times New Roman" w:hAnsi="Times New Roman" w:cs="Times New Roman"/>
        </w:rPr>
      </w:pPr>
    </w:p>
    <w:p>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20509000000000000"/>
    <w:charset w:val="88"/>
    <w:family w:val="modern"/>
    <w:pitch w:val="default"/>
    <w:sig w:usb0="00000000" w:usb1="00000000" w:usb2="00000016" w:usb3="00000000" w:csb0="00100001" w:csb1="00000000"/>
  </w:font>
  <w:font w:name="Wingdings 2">
    <w:panose1 w:val="05020102010507070707"/>
    <w:charset w:val="02"/>
    <w:family w:val="decorative"/>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D94E33"/>
    <w:rsid w:val="000A4B92"/>
    <w:rsid w:val="002609D3"/>
    <w:rsid w:val="002C069E"/>
    <w:rsid w:val="0040224D"/>
    <w:rsid w:val="00733B0B"/>
    <w:rsid w:val="00764376"/>
    <w:rsid w:val="00766F42"/>
    <w:rsid w:val="00796B76"/>
    <w:rsid w:val="00850CC0"/>
    <w:rsid w:val="00966191"/>
    <w:rsid w:val="00B00F2F"/>
    <w:rsid w:val="00D94E33"/>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7979A5"/>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355C3"/>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0B146C"/>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B5F22"/>
    <w:rsid w:val="18A70256"/>
    <w:rsid w:val="18A944F8"/>
    <w:rsid w:val="18AC1B3A"/>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37147"/>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2E1CA3"/>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6770AC"/>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3C05002"/>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049E4"/>
    <w:rsid w:val="29772B51"/>
    <w:rsid w:val="29791894"/>
    <w:rsid w:val="2984235F"/>
    <w:rsid w:val="29967FD2"/>
    <w:rsid w:val="29A52D8F"/>
    <w:rsid w:val="29C56C3A"/>
    <w:rsid w:val="29D85278"/>
    <w:rsid w:val="29E1380C"/>
    <w:rsid w:val="29E85046"/>
    <w:rsid w:val="2A017BFD"/>
    <w:rsid w:val="2A0A71F8"/>
    <w:rsid w:val="2A196FD7"/>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B09B2"/>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3D45B9"/>
    <w:rsid w:val="366244D5"/>
    <w:rsid w:val="36856DC9"/>
    <w:rsid w:val="36A82C1D"/>
    <w:rsid w:val="36B34449"/>
    <w:rsid w:val="36C342D9"/>
    <w:rsid w:val="370F2E93"/>
    <w:rsid w:val="370F32ED"/>
    <w:rsid w:val="374E35E0"/>
    <w:rsid w:val="37560CC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A21424"/>
    <w:rsid w:val="3BB33F88"/>
    <w:rsid w:val="3BD93153"/>
    <w:rsid w:val="3BDA6996"/>
    <w:rsid w:val="3BFD2535"/>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D50B85"/>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0F6BD1"/>
    <w:rsid w:val="481D4366"/>
    <w:rsid w:val="485803F1"/>
    <w:rsid w:val="4865215C"/>
    <w:rsid w:val="486942C4"/>
    <w:rsid w:val="487B552A"/>
    <w:rsid w:val="48842F37"/>
    <w:rsid w:val="48A34F21"/>
    <w:rsid w:val="48B05292"/>
    <w:rsid w:val="48B971DC"/>
    <w:rsid w:val="48CC18F2"/>
    <w:rsid w:val="48F556EA"/>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605BB1"/>
    <w:rsid w:val="558860B6"/>
    <w:rsid w:val="55A47D96"/>
    <w:rsid w:val="55C94049"/>
    <w:rsid w:val="55DA287E"/>
    <w:rsid w:val="55DD1819"/>
    <w:rsid w:val="55EE6DAD"/>
    <w:rsid w:val="56073162"/>
    <w:rsid w:val="5609127C"/>
    <w:rsid w:val="560C77D2"/>
    <w:rsid w:val="56243B92"/>
    <w:rsid w:val="563D619D"/>
    <w:rsid w:val="56413F2B"/>
    <w:rsid w:val="56537C47"/>
    <w:rsid w:val="569E295B"/>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9408ED"/>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styleId="6">
    <w:name w:val="annotation text"/>
    <w:basedOn w:val="1"/>
    <w:qFormat/>
    <w:uiPriority w:val="0"/>
    <w:pPr>
      <w:jc w:val="left"/>
    </w:pPr>
    <w:rPr>
      <w:rFonts w:eastAsia="宋体"/>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3739</Words>
  <Characters>21314</Characters>
  <Lines>177</Lines>
  <Paragraphs>50</Paragraphs>
  <TotalTime>8</TotalTime>
  <ScaleCrop>false</ScaleCrop>
  <LinksUpToDate>false</LinksUpToDate>
  <CharactersWithSpaces>25003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2023-11-03T08:07:00Z</cp:lastPrinted>
  <dcterms:modified xsi:type="dcterms:W3CDTF">2023-11-03T10:02:02Z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4F65D3E7EA7D43F99435B405D9C4AE3C_13</vt:lpwstr>
  </property>
</Properties>
</file>