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44"/>
          <w:szCs w:val="44"/>
          <w:highlight w:val="none"/>
          <w:shd w:val="clear" w:color="auto" w:fill="auto"/>
          <w:lang w:val="en-US" w:eastAsia="zh-CN"/>
        </w:rPr>
      </w:pPr>
      <w:permStart w:id="0" w:edGrp="everyone"/>
      <w:r>
        <w:rPr>
          <w:rFonts w:hint="eastAsia" w:asciiTheme="minorEastAsia" w:hAnsiTheme="minorEastAsia" w:cstheme="minorEastAsia"/>
          <w:color w:val="000000" w:themeColor="text1"/>
          <w:sz w:val="32"/>
          <w:szCs w:val="32"/>
          <w14:textFill>
            <w14:solidFill>
              <w14:schemeClr w14:val="tx1"/>
            </w14:solidFill>
          </w14:textFill>
        </w:rPr>
        <w:t>道路泊车二期项目运营管理服务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034</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安徽通享商业运营管理有限公司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2023 年 10 </w:t>
      </w:r>
      <w:r>
        <w:rPr>
          <w:rFonts w:hint="eastAsia" w:ascii="Times New Roman" w:hAnsi="Times New Roman" w:eastAsia="楷体" w:cs="Times New Roman"/>
          <w:kern w:val="0"/>
          <w:sz w:val="32"/>
          <w:szCs w:val="32"/>
          <w:highlight w:val="none"/>
          <w:u w:val="none"/>
          <w:shd w:val="clear" w:color="auto" w:fill="auto"/>
          <w:lang w:val="en-US" w:eastAsia="zh-CN"/>
        </w:rPr>
        <w:t>月 30 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38</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heme="minorEastAsia" w:hAnsiTheme="minorEastAsia" w:eastAsiaTheme="minorEastAsia" w:cstheme="minorEastAsia"/>
          <w:sz w:val="28"/>
          <w:szCs w:val="28"/>
          <w:highlight w:val="none"/>
          <w:lang w:val="en-US" w:eastAsia="zh-CN"/>
        </w:rPr>
        <w:t>道路泊车二期项目运营管理服务</w:t>
      </w:r>
      <w:permEnd w:id="5"/>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7085680"/>
      <w:bookmarkStart w:id="2" w:name="_Toc152042295"/>
      <w:bookmarkStart w:id="3" w:name="_Toc296602410"/>
      <w:bookmarkStart w:id="4" w:name="_Toc246996166"/>
      <w:bookmarkStart w:id="5" w:name="_Toc144974487"/>
      <w:bookmarkStart w:id="6" w:name="_Toc152045519"/>
      <w:bookmarkStart w:id="7" w:name="_Toc246996909"/>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179632537"/>
      <w:bookmarkStart w:id="10" w:name="_Toc247085681"/>
      <w:bookmarkStart w:id="11" w:name="_Toc246996167"/>
      <w:bookmarkStart w:id="12" w:name="_Toc152042296"/>
      <w:bookmarkStart w:id="13" w:name="_Toc152045520"/>
      <w:bookmarkStart w:id="14" w:name="_Toc144974488"/>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color w:val="auto"/>
          <w:sz w:val="28"/>
          <w:szCs w:val="28"/>
          <w:highlight w:val="none"/>
        </w:rPr>
        <w:t>道路泊车二期项目运营管理服务</w:t>
      </w:r>
      <w:r>
        <w:rPr>
          <w:rFonts w:hint="eastAsia" w:asciiTheme="minorEastAsia" w:hAnsiTheme="minorEastAsia" w:eastAsiaTheme="minorEastAsia" w:cstheme="minorEastAsia"/>
          <w:sz w:val="28"/>
          <w:szCs w:val="28"/>
          <w:highlight w:val="none"/>
          <w:lang w:val="en-US" w:eastAsia="zh-CN"/>
        </w:rPr>
        <w:t xml:space="preserve">  </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auto"/>
          <w:kern w:val="2"/>
          <w:sz w:val="28"/>
          <w:szCs w:val="28"/>
          <w:highlight w:val="none"/>
          <w:shd w:val="clear"/>
          <w:lang w:val="en-US" w:eastAsia="zh-CN"/>
        </w:rPr>
        <w:t>BZJK-2023-034</w:t>
      </w:r>
      <w:r>
        <w:rPr>
          <w:rFonts w:hint="eastAsia" w:asciiTheme="minorEastAsia" w:hAnsiTheme="minorEastAsia" w:cstheme="minorEastAsia"/>
          <w:color w:val="auto"/>
          <w:kern w:val="2"/>
          <w:sz w:val="28"/>
          <w:szCs w:val="28"/>
          <w:highlight w:val="none"/>
          <w:shd w:val="clear"/>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eastAsiaTheme="minorEastAsia" w:cstheme="minorEastAsia"/>
          <w:sz w:val="28"/>
          <w:szCs w:val="28"/>
          <w:highlight w:val="none"/>
          <w:lang w:val="en-US" w:eastAsia="zh-CN"/>
        </w:rPr>
        <w:t xml:space="preserve"> </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kern w:val="2"/>
          <w:sz w:val="28"/>
          <w:szCs w:val="28"/>
          <w:highlight w:val="none"/>
          <w:shd w:val="clear" w:color="auto" w:fill="auto"/>
          <w:lang w:val="en-US" w:eastAsia="zh-CN"/>
        </w:rPr>
        <w:t>安徽通享商业运营管理有限公司</w:t>
      </w:r>
      <w:r>
        <w:rPr>
          <w:rFonts w:hint="eastAsia" w:asciiTheme="minorEastAsia" w:hAnsiTheme="minorEastAsia" w:eastAsiaTheme="minorEastAsia" w:cstheme="minorEastAsia"/>
          <w:sz w:val="28"/>
          <w:szCs w:val="28"/>
          <w:highlight w:val="none"/>
          <w:lang w:val="en-US" w:eastAsia="zh-CN"/>
        </w:rPr>
        <w:t xml:space="preserve">  </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color w:val="auto"/>
          <w:sz w:val="28"/>
          <w:szCs w:val="28"/>
          <w:highlight w:val="none"/>
        </w:rPr>
        <w:t>为进一步规范城区停车秩序，盘活公共停车资源，拟通过收费管理方式调节停车泊位的供需平衡，项目范围为中心城区杜仲路、紫苑路、文帝街等具备临时停车条件的市政道路周边停车泊位，运营管理的停车泊位约2500个（以采购人具体实施路段实际数量为准）</w:t>
      </w:r>
      <w:r>
        <w:rPr>
          <w:rFonts w:hint="eastAsia" w:asciiTheme="minorEastAsia" w:hAnsiTheme="minorEastAsia" w:cstheme="minorEastAsia"/>
          <w:color w:val="auto"/>
          <w:sz w:val="28"/>
          <w:szCs w:val="28"/>
          <w:highlight w:val="none"/>
          <w:lang w:eastAsia="zh-CN"/>
        </w:rPr>
        <w:t>。</w:t>
      </w:r>
      <w:r>
        <w:rPr>
          <w:rFonts w:hint="eastAsia" w:asciiTheme="minorEastAsia" w:hAnsiTheme="minorEastAsia" w:cstheme="minorEastAsia"/>
          <w:color w:val="auto"/>
          <w:sz w:val="28"/>
          <w:szCs w:val="28"/>
          <w:highlight w:val="none"/>
          <w:lang w:val="en-US" w:eastAsia="zh-CN"/>
        </w:rPr>
        <w:t xml:space="preserve"> </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rPr>
        <w:t>通过采购运营管理服务，负责中心城区约2500个道路停车泊位的现场运营管理、停车秩序维护、欠费追缴、客诉处理、收费系统优化等运营管理工作</w:t>
      </w:r>
      <w:r>
        <w:rPr>
          <w:rFonts w:hint="eastAsia" w:asciiTheme="minorEastAsia" w:hAnsiTheme="minorEastAsia" w:cstheme="minorEastAsia"/>
          <w:sz w:val="28"/>
          <w:szCs w:val="28"/>
          <w:highlight w:val="none"/>
          <w:lang w:eastAsia="zh-CN"/>
        </w:rPr>
        <w:t>。</w:t>
      </w:r>
      <w:r>
        <w:rPr>
          <w:rFonts w:hint="eastAsia" w:asciiTheme="minorEastAsia" w:hAnsiTheme="minorEastAsia" w:cstheme="minorEastAsia"/>
          <w:color w:val="auto"/>
          <w:sz w:val="28"/>
          <w:szCs w:val="28"/>
          <w:highlight w:val="none"/>
          <w:lang w:val="en-US" w:eastAsia="zh-CN"/>
        </w:rPr>
        <w:t>泊位收费标准、收费路段等详见招标文件第五章发包人要求。</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rPr>
        <w:t>符合招标人要求及运营考核标准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5</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年。合同一年一签，如运营考核评价结果连续3次不合格或连续2次低于70分，当年度合同到期后，招标人不再续签。</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eastAsiaTheme="minorEastAsia" w:cstheme="minorEastAsia"/>
          <w:sz w:val="28"/>
          <w:szCs w:val="28"/>
          <w:highlight w:val="none"/>
          <w:lang w:val="en-US" w:eastAsia="zh-CN"/>
        </w:rPr>
        <w:t>年营业收入在400万元以内（含400万元）部分，</w:t>
      </w:r>
      <w:r>
        <w:rPr>
          <w:rFonts w:hint="eastAsia" w:asciiTheme="minorEastAsia" w:hAnsi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lang w:val="en-US" w:eastAsia="zh-CN"/>
        </w:rPr>
        <w:t>按照不高于经营收入的45%支付给运营单位；超过400万元（不含）、不超过600万元（含600万元）部分，</w:t>
      </w:r>
      <w:r>
        <w:rPr>
          <w:rFonts w:hint="eastAsia" w:asciiTheme="minorEastAsia" w:hAnsi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lang w:val="en-US" w:eastAsia="zh-CN"/>
        </w:rPr>
        <w:t>按照</w:t>
      </w:r>
      <w:r>
        <w:rPr>
          <w:rFonts w:hint="eastAsia" w:asciiTheme="minorEastAsia" w:hAnsiTheme="minorEastAsia" w:cstheme="minorEastAsia"/>
          <w:sz w:val="28"/>
          <w:szCs w:val="28"/>
          <w:highlight w:val="none"/>
          <w:lang w:val="en-US" w:eastAsia="zh-CN"/>
        </w:rPr>
        <w:t>不高于</w:t>
      </w:r>
      <w:r>
        <w:rPr>
          <w:rFonts w:hint="eastAsia" w:asciiTheme="minorEastAsia" w:hAnsiTheme="minorEastAsia" w:eastAsiaTheme="minorEastAsia" w:cstheme="minorEastAsia"/>
          <w:sz w:val="28"/>
          <w:szCs w:val="28"/>
          <w:highlight w:val="none"/>
          <w:lang w:val="en-US" w:eastAsia="zh-CN"/>
        </w:rPr>
        <w:t>55%比例支付给运营单位；年营业收入超过600万元部分，</w:t>
      </w:r>
      <w:r>
        <w:rPr>
          <w:rFonts w:hint="eastAsia" w:asciiTheme="minorEastAsia" w:hAnsi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lang w:val="en-US" w:eastAsia="zh-CN"/>
        </w:rPr>
        <w:t>按</w:t>
      </w:r>
      <w:r>
        <w:rPr>
          <w:rFonts w:hint="eastAsia" w:asciiTheme="minorEastAsia" w:hAnsiTheme="minorEastAsia" w:cstheme="minorEastAsia"/>
          <w:sz w:val="28"/>
          <w:szCs w:val="28"/>
          <w:highlight w:val="none"/>
          <w:lang w:val="en-US" w:eastAsia="zh-CN"/>
        </w:rPr>
        <w:t>照不高于</w:t>
      </w:r>
      <w:r>
        <w:rPr>
          <w:rFonts w:hint="eastAsia" w:asciiTheme="minorEastAsia" w:hAnsiTheme="minorEastAsia" w:eastAsiaTheme="minorEastAsia" w:cstheme="minorEastAsia"/>
          <w:sz w:val="28"/>
          <w:szCs w:val="28"/>
          <w:highlight w:val="none"/>
          <w:lang w:val="en-US" w:eastAsia="zh-CN"/>
        </w:rPr>
        <w:t>80%比例支付给运营单位</w:t>
      </w:r>
      <w:permEnd w:id="14"/>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比例</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7" w:edGrp="everyone"/>
      <w:r>
        <w:rPr>
          <w:rFonts w:hint="eastAsia" w:asciiTheme="minorEastAsia" w:hAnsiTheme="minorEastAsia" w:cstheme="minorEastAsia"/>
          <w:color w:val="auto"/>
          <w:sz w:val="28"/>
          <w:szCs w:val="28"/>
          <w:highlight w:val="none"/>
        </w:rPr>
        <w:t>2020</w:t>
      </w:r>
      <w:permEnd w:id="17"/>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8" w:edGrp="everyone"/>
      <w:r>
        <w:rPr>
          <w:rFonts w:hint="eastAsia" w:asciiTheme="minorEastAsia" w:hAnsiTheme="minorEastAsia" w:eastAsiaTheme="minorEastAsia" w:cstheme="minorEastAsia"/>
          <w:sz w:val="28"/>
          <w:szCs w:val="28"/>
          <w:highlight w:val="none"/>
          <w:u w:val="none"/>
          <w:lang w:val="en-US" w:eastAsia="zh-CN"/>
        </w:rPr>
        <w:t xml:space="preserve"> </w:t>
      </w:r>
      <w:r>
        <w:rPr>
          <w:rFonts w:hint="eastAsia" w:asciiTheme="minorEastAsia" w:hAnsiTheme="minorEastAsia" w:cstheme="minorEastAsia"/>
          <w:sz w:val="28"/>
          <w:szCs w:val="28"/>
          <w:highlight w:val="none"/>
          <w:u w:val="none"/>
          <w:lang w:val="en-US" w:eastAsia="zh-CN"/>
        </w:rPr>
        <w:t xml:space="preserve">1 </w:t>
      </w:r>
      <w:permEnd w:id="18"/>
      <w:r>
        <w:rPr>
          <w:rFonts w:hint="eastAsia" w:asciiTheme="minorEastAsia" w:hAnsiTheme="minorEastAsia" w:eastAsiaTheme="minorEastAsia" w:cstheme="minorEastAsia"/>
          <w:sz w:val="28"/>
          <w:szCs w:val="28"/>
          <w:highlight w:val="none"/>
          <w:lang w:val="en-US" w:eastAsia="zh-CN"/>
        </w:rPr>
        <w:t>个，以</w:t>
      </w:r>
      <w:permStart w:id="19"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9"/>
      <w:r>
        <w:rPr>
          <w:rFonts w:hint="eastAsia" w:asciiTheme="minorEastAsia" w:hAnsiTheme="minorEastAsia" w:eastAsiaTheme="minorEastAsia" w:cstheme="minorEastAsia"/>
          <w:sz w:val="28"/>
          <w:szCs w:val="28"/>
          <w:highlight w:val="none"/>
          <w:lang w:val="en-US" w:eastAsia="zh-CN"/>
        </w:rPr>
        <w:t>为准。类似项目业绩指：</w:t>
      </w:r>
      <w:permStart w:id="20" w:edGrp="everyone"/>
      <w:r>
        <w:rPr>
          <w:rFonts w:hint="eastAsia" w:asciiTheme="minorEastAsia" w:hAnsiTheme="minorEastAsia" w:eastAsiaTheme="minorEastAsia" w:cstheme="minorEastAsia"/>
          <w:sz w:val="28"/>
          <w:szCs w:val="28"/>
          <w:highlight w:val="none"/>
          <w:u w:val="none"/>
          <w:lang w:val="en-US" w:eastAsia="zh-CN"/>
        </w:rPr>
        <w:t xml:space="preserve"> </w:t>
      </w:r>
      <w:r>
        <w:rPr>
          <w:rFonts w:hint="eastAsia" w:asciiTheme="minorEastAsia" w:hAnsiTheme="minorEastAsia" w:cstheme="minorEastAsia"/>
          <w:color w:val="auto"/>
          <w:sz w:val="28"/>
          <w:szCs w:val="28"/>
          <w:highlight w:val="none"/>
        </w:rPr>
        <w:t>投标人自2020年1月1日至今承接的单项合同管理道路泊位不低于2000个的城市道路停车泊位运营项目业绩，业绩时间以合同签订时间为准</w:t>
      </w:r>
      <w:r>
        <w:rPr>
          <w:rFonts w:hint="eastAsia" w:asciiTheme="minorEastAsia" w:hAnsiTheme="minorEastAsia" w:cstheme="minorEastAsia"/>
          <w:color w:val="auto"/>
          <w:sz w:val="28"/>
          <w:szCs w:val="28"/>
          <w:highlight w:val="none"/>
          <w:lang w:eastAsia="zh-CN"/>
        </w:rPr>
        <w:t>，</w:t>
      </w:r>
      <w:r>
        <w:rPr>
          <w:rFonts w:hint="eastAsia" w:asciiTheme="minorEastAsia" w:hAnsiTheme="minorEastAsia" w:cstheme="minorEastAsia"/>
          <w:color w:val="auto"/>
          <w:sz w:val="28"/>
          <w:szCs w:val="28"/>
          <w:highlight w:val="none"/>
        </w:rPr>
        <w:t>投标人须提供业绩合同复印件，加盖投标人单位公章，并装订入投标文件中；投标人提交的业绩证明中必须是县区级（及以上）的城市道路停车泊位项目，封闭式停车场案例无效</w:t>
      </w:r>
      <w:r>
        <w:rPr>
          <w:rFonts w:hint="eastAsia" w:asciiTheme="minorEastAsia" w:hAnsiTheme="minorEastAsia" w:cstheme="minorEastAsia"/>
          <w:color w:val="auto"/>
          <w:sz w:val="28"/>
          <w:szCs w:val="28"/>
          <w:highlight w:val="none"/>
          <w:lang w:val="en-US" w:eastAsia="zh-CN"/>
        </w:rPr>
        <w:t xml:space="preserve"> </w:t>
      </w:r>
      <w:permEnd w:id="20"/>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1"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1"/>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2" w:edGrp="everyone"/>
      <w:r>
        <w:rPr>
          <w:rFonts w:hint="eastAsia" w:asciiTheme="minorEastAsia" w:hAnsiTheme="minorEastAsia" w:eastAsiaTheme="minorEastAsia" w:cstheme="minorEastAsia"/>
          <w:color w:val="FF0000"/>
          <w:sz w:val="28"/>
          <w:szCs w:val="28"/>
          <w:highlight w:val="none"/>
          <w:lang w:val="en-US" w:eastAsia="zh-CN"/>
        </w:rPr>
        <w:t>不接受</w:t>
      </w:r>
      <w:permEnd w:id="22"/>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3" w:edGrp="everyone"/>
      <w:r>
        <w:rPr>
          <w:rFonts w:hint="eastAsia" w:asciiTheme="minorEastAsia" w:hAnsiTheme="minorEastAsia" w:cstheme="minorEastAsia"/>
          <w:sz w:val="28"/>
          <w:szCs w:val="28"/>
          <w:highlight w:val="none"/>
          <w:lang w:val="en-US" w:eastAsia="zh-CN"/>
        </w:rPr>
        <w:t xml:space="preserve">   /   </w:t>
      </w:r>
      <w:permEnd w:id="23"/>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4"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2023 </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4"/>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5"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6" w:edGrp="everyone"/>
      <w:r>
        <w:rPr>
          <w:rFonts w:hint="default" w:asciiTheme="minorEastAsia" w:hAnsiTheme="minorEastAsia" w:eastAsiaTheme="minorEastAsia" w:cstheme="minorEastAsia"/>
          <w:color w:val="FF0000"/>
          <w:sz w:val="28"/>
          <w:szCs w:val="28"/>
          <w:highlight w:val="none"/>
          <w:lang w:val="en-US" w:eastAsia="zh-CN"/>
        </w:rPr>
        <w:t>允许</w:t>
      </w:r>
      <w:permEnd w:id="26"/>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7"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20000元 </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w:t>
      </w:r>
      <w:r>
        <w:rPr>
          <w:rFonts w:hint="default" w:asciiTheme="minorEastAsia" w:hAnsiTheme="minorEastAsia" w:cstheme="minorEastAsia"/>
          <w:sz w:val="28"/>
          <w:szCs w:val="28"/>
          <w:highlight w:val="none"/>
          <w:lang w:val="en-US" w:eastAsia="zh-CN"/>
        </w:rPr>
        <w:t xml:space="preserve"> </w:t>
      </w:r>
      <w:r>
        <w:rPr>
          <w:rFonts w:hint="default" w:asciiTheme="minorEastAsia" w:hAnsiTheme="minorEastAsia" w:cstheme="minorEastAsia"/>
          <w:color w:val="auto"/>
          <w:sz w:val="28"/>
          <w:szCs w:val="28"/>
          <w:highlight w:val="none"/>
        </w:rPr>
        <w:t>安徽通享商业运营管理有限公司</w:t>
      </w:r>
      <w:r>
        <w:rPr>
          <w:rFonts w:hint="default" w:asciiTheme="minorEastAsia" w:hAnsiTheme="minorEastAsia" w:cstheme="minorEastAsia"/>
          <w:sz w:val="28"/>
          <w:szCs w:val="28"/>
          <w:highlight w:val="none"/>
          <w:lang w:val="en-US" w:eastAsia="zh-CN"/>
        </w:rPr>
        <w:t xml:space="preserve"> </w:t>
      </w:r>
    </w:p>
    <w:permEnd w:id="2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9" w:edGrp="everyone"/>
      <w:r>
        <w:rPr>
          <w:rFonts w:hint="default" w:asciiTheme="minorEastAsia" w:hAnsiTheme="minorEastAsia" w:cstheme="minorEastAsia"/>
          <w:sz w:val="28"/>
          <w:szCs w:val="28"/>
          <w:highlight w:val="none"/>
          <w:lang w:val="en-US" w:eastAsia="zh-CN"/>
        </w:rPr>
        <w:t xml:space="preserve">  亳州市汽车南站西侧二楼 </w:t>
      </w:r>
      <w:r>
        <w:rPr>
          <w:rFonts w:hint="eastAsia" w:asciiTheme="minorEastAsia" w:hAnsiTheme="minorEastAsia" w:cstheme="minorEastAsia"/>
          <w:sz w:val="28"/>
          <w:szCs w:val="28"/>
          <w:highlight w:val="none"/>
          <w:lang w:val="en-US" w:eastAsia="zh-CN"/>
        </w:rPr>
        <w:t xml:space="preserve"> </w:t>
      </w:r>
      <w:permEnd w:id="2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高旭   </w:t>
      </w:r>
      <w:permEnd w:id="3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1" w:edGrp="everyone"/>
      <w:r>
        <w:rPr>
          <w:rFonts w:hint="eastAsia" w:asciiTheme="minorEastAsia" w:hAnsiTheme="minorEastAsia" w:cstheme="minorEastAsia"/>
          <w:sz w:val="28"/>
          <w:szCs w:val="28"/>
          <w:highlight w:val="none"/>
          <w:lang w:val="en-US" w:eastAsia="zh-CN"/>
        </w:rPr>
        <w:t xml:space="preserve"> 18856789180 </w:t>
      </w:r>
      <w:permEnd w:id="31"/>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2" w:edGrp="everyone"/>
      <w:r>
        <w:rPr>
          <w:rFonts w:hint="eastAsia" w:asciiTheme="minorEastAsia" w:hAnsiTheme="minorEastAsia" w:cstheme="minorEastAsia"/>
          <w:color w:val="auto"/>
          <w:sz w:val="28"/>
          <w:szCs w:val="28"/>
          <w:highlight w:val="none"/>
        </w:rPr>
        <w:t>安徽通享商业运营管理有限公司</w:t>
      </w:r>
    </w:p>
    <w:p>
      <w:pPr>
        <w:keepNext w:val="0"/>
        <w:keepLines w:val="0"/>
        <w:pageBreakBefore w:val="0"/>
        <w:widowControl w:val="0"/>
        <w:kinsoku/>
        <w:wordWrap w:val="0"/>
        <w:overflowPunct/>
        <w:topLinePunct w:val="0"/>
        <w:autoSpaceDE/>
        <w:autoSpaceDN/>
        <w:bidi w:val="0"/>
        <w:adjustRightInd/>
        <w:snapToGrid/>
        <w:spacing w:line="480" w:lineRule="exact"/>
        <w:ind w:firstLine="4760" w:firstLineChars="1700"/>
        <w:jc w:val="both"/>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 xml:space="preserve">年 </w:t>
      </w:r>
      <w:r>
        <w:rPr>
          <w:rFonts w:hint="eastAsia" w:asciiTheme="minorEastAsia" w:hAnsiTheme="minorEastAsia" w:cstheme="minorEastAsia"/>
          <w:color w:val="auto"/>
          <w:sz w:val="28"/>
          <w:szCs w:val="28"/>
          <w:highlight w:val="none"/>
          <w:lang w:val="en-US" w:eastAsia="zh-CN"/>
        </w:rPr>
        <w:t>10</w:t>
      </w:r>
      <w:r>
        <w:rPr>
          <w:rFonts w:hint="eastAsia" w:asciiTheme="minorEastAsia" w:hAnsiTheme="minorEastAsia" w:eastAsiaTheme="minorEastAsia" w:cstheme="minorEastAsia"/>
          <w:color w:val="auto"/>
          <w:sz w:val="28"/>
          <w:szCs w:val="28"/>
          <w:highlight w:val="none"/>
          <w:lang w:val="en-US" w:eastAsia="zh-CN"/>
        </w:rPr>
        <w:t xml:space="preserve"> 月</w:t>
      </w:r>
      <w:r>
        <w:rPr>
          <w:rFonts w:hint="eastAsia" w:asciiTheme="minorEastAsia" w:hAnsiTheme="minorEastAsia" w:cstheme="minorEastAsia"/>
          <w:color w:val="auto"/>
          <w:sz w:val="28"/>
          <w:szCs w:val="28"/>
          <w:highlight w:val="none"/>
          <w:lang w:val="en-US" w:eastAsia="zh-CN"/>
        </w:rPr>
        <w:t>30</w:t>
      </w:r>
      <w:r>
        <w:rPr>
          <w:rFonts w:hint="eastAsia" w:asciiTheme="minorEastAsia" w:hAnsiTheme="minorEastAsia" w:eastAsiaTheme="minorEastAsia" w:cstheme="minorEastAsia"/>
          <w:color w:val="auto"/>
          <w:sz w:val="28"/>
          <w:szCs w:val="28"/>
          <w:highlight w:val="none"/>
          <w:lang w:val="en-US" w:eastAsia="zh-CN"/>
        </w:rPr>
        <w:t>日</w:t>
      </w:r>
      <w:permEnd w:id="32"/>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3"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3"/>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ind w:firstLine="420" w:firstLineChars="200"/>
              <w:rPr>
                <w:rFonts w:hint="default" w:ascii="Times New Roman" w:hAnsi="Times New Roman" w:cs="Times New Roman"/>
                <w:szCs w:val="21"/>
                <w:highlight w:val="none"/>
              </w:rPr>
            </w:pPr>
            <w:permStart w:id="34" w:edGrp="everyone"/>
            <w:r>
              <w:rPr>
                <w:rFonts w:hint="eastAsia" w:hAnsi="宋体"/>
                <w:sz w:val="21"/>
                <w:szCs w:val="21"/>
                <w:lang w:val="en-US" w:eastAsia="zh-CN"/>
              </w:rPr>
              <w:t>/</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6" w:edGrp="everyone"/>
            <w:r>
              <w:rPr>
                <w:rFonts w:hint="eastAsia" w:hAnsi="宋体"/>
                <w:sz w:val="21"/>
                <w:szCs w:val="21"/>
                <w:lang w:val="en-US" w:eastAsia="zh-CN"/>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7"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7"/>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8"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szCs w:val="21"/>
                <w:highlight w:val="none"/>
              </w:rPr>
              <w:t>详见</w:t>
            </w:r>
            <w:r>
              <w:rPr>
                <w:rFonts w:hint="eastAsia" w:ascii="Times New Roman" w:hAnsi="Times New Roman" w:cs="Times New Roman"/>
                <w:szCs w:val="21"/>
                <w:highlight w:val="none"/>
                <w:lang w:val="en-US" w:eastAsia="zh-CN"/>
              </w:rPr>
              <w:t>招标文件第一章招标公告、</w:t>
            </w:r>
            <w:r>
              <w:rPr>
                <w:rFonts w:hint="eastAsia" w:ascii="Times New Roman" w:hAnsi="Times New Roman" w:cs="Times New Roman"/>
                <w:szCs w:val="21"/>
                <w:highlight w:val="none"/>
              </w:rPr>
              <w:t>第四章合同条款及格式、第五章发包人要求</w:t>
            </w:r>
            <w:r>
              <w:rPr>
                <w:rFonts w:hint="eastAsia" w:ascii="Times New Roman" w:hAnsi="Times New Roman" w:cs="Times New Roman"/>
                <w:szCs w:val="21"/>
                <w:highlight w:val="none"/>
                <w:lang w:eastAsia="zh-CN"/>
              </w:rPr>
              <w:t>。</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1" w:edGrp="everyone"/>
            <w:r>
              <w:rPr>
                <w:rFonts w:hint="eastAsia" w:ascii="Times New Roman" w:hAnsi="Times New Roman" w:cs="Times New Roman"/>
                <w:kern w:val="2"/>
                <w:sz w:val="21"/>
                <w:szCs w:val="21"/>
                <w:highlight w:val="none"/>
                <w:u w:val="single"/>
                <w:lang w:val="en-US" w:eastAsia="zh-CN" w:bidi="ar-SA"/>
              </w:rPr>
              <w:t xml:space="preserve">详见第一章招标公告。 </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3" w:edGrp="everyone"/>
            <w:r>
              <w:rPr>
                <w:rFonts w:hint="default" w:ascii="Times New Roman" w:hAnsi="Times New Roman" w:cs="Times New Roman"/>
                <w:color w:val="FF0000"/>
                <w:szCs w:val="21"/>
                <w:highlight w:val="none"/>
              </w:rPr>
              <w:t>银行汇款或转账</w:t>
            </w:r>
            <w:permEnd w:id="43"/>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4" w:edGrp="everyone"/>
            <w:r>
              <w:rPr>
                <w:rFonts w:hint="eastAsia" w:ascii="Times New Roman" w:hAnsi="Times New Roman" w:cs="Times New Roman"/>
                <w:color w:val="FF0000"/>
                <w:szCs w:val="21"/>
                <w:highlight w:val="none"/>
                <w:lang w:val="en-US" w:eastAsia="zh-CN"/>
              </w:rPr>
              <w:t>20000元</w:t>
            </w:r>
            <w:permEnd w:id="4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5" w:edGrp="everyone"/>
            <w:r>
              <w:rPr>
                <w:rFonts w:hint="eastAsia" w:ascii="Times New Roman" w:hAnsi="Times New Roman" w:cs="Times New Roman"/>
                <w:color w:val="FF0000"/>
                <w:szCs w:val="21"/>
                <w:highlight w:val="none"/>
                <w:lang w:val="en-US" w:eastAsia="zh-CN"/>
              </w:rPr>
              <w:t>BZJK-2023-   号保证金</w:t>
            </w:r>
            <w:permEnd w:id="4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spacing w:before="152" w:line="227" w:lineRule="auto"/>
              <w:ind w:left="129"/>
            </w:pPr>
            <w:permStart w:id="46" w:edGrp="everyone"/>
            <w:r>
              <w:rPr>
                <w:rFonts w:hint="eastAsia" w:ascii="Times New Roman" w:hAnsi="Times New Roman" w:eastAsia="宋体" w:cs="Times New Roman"/>
                <w:spacing w:val="-9"/>
                <w:sz w:val="31"/>
                <w:szCs w:val="31"/>
                <w:lang w:eastAsia="zh-CN"/>
              </w:rPr>
              <w:t>☑</w:t>
            </w:r>
            <w:r>
              <w:rPr>
                <w:spacing w:val="-9"/>
              </w:rPr>
              <w:t>无</w:t>
            </w:r>
          </w:p>
          <w:p>
            <w:pPr>
              <w:pStyle w:val="28"/>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28"/>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7" w:edGrp="everyone"/>
            <w:r>
              <w:rPr>
                <w:rFonts w:hint="eastAsia"/>
                <w:u w:val="single" w:color="auto"/>
                <w:lang w:val="en-US" w:eastAsia="zh-CN"/>
              </w:rPr>
              <w:t>/</w:t>
            </w:r>
            <w:r>
              <w:rPr>
                <w:spacing w:val="-3"/>
              </w:rPr>
              <w:t>年至</w:t>
            </w:r>
            <w:r>
              <w:rPr>
                <w:rFonts w:hint="eastAsia"/>
                <w:spacing w:val="6"/>
                <w:u w:val="single" w:color="auto"/>
                <w:lang w:val="en-US" w:eastAsia="zh-CN"/>
              </w:rPr>
              <w:t>/</w:t>
            </w:r>
            <w:r>
              <w:rPr>
                <w:spacing w:val="-92"/>
              </w:rPr>
              <w:t xml:space="preserve"> </w:t>
            </w:r>
            <w:r>
              <w:rPr>
                <w:spacing w:val="-3"/>
              </w:rPr>
              <w:t>年</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8" w:edGrp="everyone"/>
            <w:r>
              <w:rPr>
                <w:rFonts w:hint="eastAsia"/>
                <w:spacing w:val="6"/>
                <w:u w:val="single" w:color="auto"/>
                <w:lang w:val="en-US" w:eastAsia="zh-CN"/>
              </w:rPr>
              <w:t>/</w:t>
            </w:r>
            <w:r>
              <w:rPr>
                <w:spacing w:val="-92"/>
              </w:rPr>
              <w:t xml:space="preserve"> </w:t>
            </w:r>
            <w:r>
              <w:rPr>
                <w:spacing w:val="-3"/>
              </w:rPr>
              <w:t>年至</w:t>
            </w:r>
            <w:r>
              <w:rPr>
                <w:rFonts w:hint="eastAsia"/>
                <w:spacing w:val="6"/>
                <w:u w:val="single" w:color="auto"/>
                <w:lang w:val="en-US" w:eastAsia="zh-CN"/>
              </w:rPr>
              <w:t>/</w:t>
            </w:r>
            <w:r>
              <w:rPr>
                <w:spacing w:val="-92"/>
              </w:rPr>
              <w:t xml:space="preserve"> </w:t>
            </w:r>
            <w:r>
              <w:rPr>
                <w:spacing w:val="-3"/>
              </w:rPr>
              <w:t>年</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0"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0"/>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2"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szCs w:val="21"/>
                <w:highlight w:val="none"/>
                <w:u w:val="none"/>
                <w:lang w:val="en-US" w:eastAsia="zh-CN"/>
              </w:rPr>
              <w:t>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招标人：安徽通享商业运营管理有限公司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000000" w:themeColor="text1"/>
                <w:sz w:val="24"/>
                <w:szCs w:val="24"/>
                <w14:textFill>
                  <w14:solidFill>
                    <w14:schemeClr w14:val="tx1"/>
                  </w14:solidFill>
                </w14:textFill>
              </w:rPr>
              <w:t>道路泊车二期项目运营管理服务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default" w:ascii="Times New Roman" w:hAnsi="Times New Roman" w:cs="Times New Roman"/>
                <w:b/>
                <w:bCs/>
                <w:color w:val="FF0000"/>
                <w:szCs w:val="21"/>
                <w:highlight w:val="none"/>
                <w:lang w:val="en-US" w:eastAsia="zh-CN"/>
              </w:rPr>
              <w:t>：</w:t>
            </w:r>
            <w:r>
              <w:rPr>
                <w:rFonts w:hint="eastAsia" w:ascii="Times New Roman" w:hAnsi="Times New Roman" w:cs="Times New Roman"/>
                <w:b/>
                <w:bCs/>
                <w:color w:val="FF0000"/>
                <w:szCs w:val="21"/>
                <w:highlight w:val="none"/>
                <w:lang w:val="en-US" w:eastAsia="zh-CN"/>
              </w:rPr>
              <w:t>50000元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5"/>
      <w:bookmarkStart w:id="17" w:name="_Toc179632546"/>
      <w:bookmarkStart w:id="18" w:name="_Toc152045529"/>
      <w:bookmarkStart w:id="19" w:name="_Toc246996175"/>
      <w:bookmarkStart w:id="20" w:name="_Toc247085689"/>
      <w:bookmarkStart w:id="21" w:name="_Toc246996918"/>
      <w:bookmarkStart w:id="22" w:name="_Toc296602420"/>
      <w:bookmarkStart w:id="23" w:name="_Toc144974497"/>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6"/>
      <w:bookmarkStart w:id="25" w:name="_Toc144974498"/>
      <w:bookmarkStart w:id="26" w:name="_Toc246996919"/>
      <w:bookmarkStart w:id="27" w:name="_Toc296602421"/>
      <w:bookmarkStart w:id="28" w:name="_Toc179632547"/>
      <w:bookmarkStart w:id="29" w:name="_Toc152042306"/>
      <w:bookmarkStart w:id="30" w:name="_Toc152045530"/>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247085691"/>
      <w:bookmarkStart w:id="34" w:name="_Toc296602422"/>
      <w:bookmarkStart w:id="35" w:name="_Toc152045531"/>
      <w:bookmarkStart w:id="36" w:name="_Toc152042307"/>
      <w:bookmarkStart w:id="37" w:name="_Toc144974499"/>
      <w:bookmarkStart w:id="38" w:name="_Toc246996177"/>
      <w:bookmarkStart w:id="39" w:name="_Toc246996920"/>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247085692"/>
      <w:bookmarkStart w:id="42" w:name="_Toc179632549"/>
      <w:bookmarkStart w:id="43" w:name="_Toc246996921"/>
      <w:bookmarkStart w:id="44" w:name="_Toc246996178"/>
      <w:bookmarkStart w:id="45" w:name="_Toc296602423"/>
      <w:bookmarkStart w:id="46" w:name="_Toc152045532"/>
      <w:bookmarkStart w:id="47" w:name="_Toc144974500"/>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2310"/>
      <w:bookmarkStart w:id="49" w:name="_Toc246996179"/>
      <w:bookmarkStart w:id="50" w:name="_Toc179632551"/>
      <w:bookmarkStart w:id="51" w:name="_Toc152045534"/>
      <w:bookmarkStart w:id="52" w:name="_Toc246996922"/>
      <w:bookmarkStart w:id="53" w:name="_Toc296602424"/>
      <w:bookmarkStart w:id="54" w:name="_Toc144974502"/>
      <w:bookmarkStart w:id="55" w:name="_Toc247085693"/>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6"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6"/>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7085694"/>
      <w:bookmarkStart w:id="57" w:name="_Toc152042311"/>
      <w:bookmarkStart w:id="58" w:name="_Toc152045535"/>
      <w:bookmarkStart w:id="59" w:name="_Toc179632552"/>
      <w:bookmarkStart w:id="60" w:name="_Toc246996180"/>
      <w:bookmarkStart w:id="61" w:name="_Toc144974503"/>
      <w:bookmarkStart w:id="62" w:name="_Toc296602425"/>
      <w:bookmarkStart w:id="63" w:name="_Toc24699692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246996924"/>
      <w:bookmarkStart w:id="66" w:name="_Toc246996181"/>
      <w:bookmarkStart w:id="67" w:name="_Toc179632553"/>
      <w:bookmarkStart w:id="68" w:name="_Toc152042312"/>
      <w:bookmarkStart w:id="69" w:name="_Toc296602426"/>
      <w:bookmarkStart w:id="70" w:name="_Toc152045536"/>
      <w:bookmarkStart w:id="71" w:name="_Toc14497450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246996182"/>
      <w:bookmarkStart w:id="75" w:name="_Toc246996925"/>
      <w:bookmarkStart w:id="76" w:name="_Toc152042313"/>
      <w:bookmarkStart w:id="77" w:name="_Toc152045537"/>
      <w:bookmarkStart w:id="78" w:name="_Toc247085696"/>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52042314"/>
      <w:bookmarkStart w:id="82" w:name="_Toc246996183"/>
      <w:bookmarkStart w:id="83" w:name="_Toc152045538"/>
      <w:bookmarkStart w:id="84" w:name="_Toc179632555"/>
      <w:bookmarkStart w:id="85" w:name="_Toc246996926"/>
      <w:bookmarkStart w:id="86" w:name="_Toc14497450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96602429"/>
      <w:bookmarkStart w:id="89" w:name="_Toc247527563"/>
      <w:bookmarkStart w:id="90" w:name="_Toc152042315"/>
      <w:bookmarkStart w:id="91" w:name="_Toc247513962"/>
      <w:bookmarkStart w:id="92" w:name="_Toc152045539"/>
      <w:bookmarkStart w:id="93" w:name="_Toc247592876"/>
      <w:bookmarkStart w:id="94" w:name="_Toc144974507"/>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247527564"/>
      <w:bookmarkStart w:id="97" w:name="_Toc247592877"/>
      <w:bookmarkStart w:id="98" w:name="_Toc152045540"/>
      <w:bookmarkStart w:id="99" w:name="_Toc296602430"/>
      <w:bookmarkStart w:id="100" w:name="_Toc247513963"/>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w:t>
      </w:r>
      <w:r>
        <w:rPr>
          <w:rFonts w:hint="eastAsia"/>
          <w:lang w:eastAsia="zh-CN"/>
        </w:rPr>
        <w:t>候选</w:t>
      </w:r>
      <w:r>
        <w:rPr>
          <w:rFonts w:hint="eastAsia"/>
        </w:rPr>
        <w:t>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246996187"/>
      <w:bookmarkStart w:id="105" w:name="_Toc296602432"/>
      <w:bookmarkStart w:id="106" w:name="_Toc152045542"/>
      <w:bookmarkStart w:id="107" w:name="_Toc247085701"/>
      <w:bookmarkStart w:id="108" w:name="_Toc144974510"/>
      <w:bookmarkStart w:id="109" w:name="_Toc152042318"/>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46996188"/>
      <w:bookmarkStart w:id="113" w:name="_Toc152042319"/>
      <w:bookmarkStart w:id="114" w:name="_Toc179632561"/>
      <w:bookmarkStart w:id="115" w:name="_Toc247085702"/>
      <w:bookmarkStart w:id="116" w:name="_Toc152045543"/>
      <w:bookmarkStart w:id="117" w:name="_Toc296602433"/>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152042320"/>
      <w:bookmarkStart w:id="121" w:name="_Toc246996189"/>
      <w:bookmarkStart w:id="122" w:name="_Toc152045544"/>
      <w:bookmarkStart w:id="123" w:name="_Toc296602434"/>
      <w:bookmarkStart w:id="124" w:name="_Toc247085703"/>
      <w:bookmarkStart w:id="125" w:name="_Toc144974512"/>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7085704"/>
      <w:bookmarkStart w:id="128" w:name="_Toc246996933"/>
      <w:bookmarkStart w:id="129" w:name="_Toc246996190"/>
      <w:bookmarkStart w:id="130" w:name="_Toc152045545"/>
      <w:bookmarkStart w:id="131" w:name="_Toc296602435"/>
      <w:bookmarkStart w:id="132" w:name="_Toc179632563"/>
      <w:bookmarkStart w:id="133" w:name="_Toc144974513"/>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96602436"/>
      <w:bookmarkStart w:id="137" w:name="_Toc179632564"/>
      <w:bookmarkStart w:id="138" w:name="_Toc152045546"/>
      <w:bookmarkStart w:id="139" w:name="_Toc152042322"/>
      <w:bookmarkStart w:id="140" w:name="_Toc247085705"/>
      <w:bookmarkStart w:id="141" w:name="_Toc246996191"/>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52045547"/>
      <w:bookmarkStart w:id="145" w:name="_Toc144974515"/>
      <w:bookmarkStart w:id="146" w:name="_Toc247085706"/>
      <w:bookmarkStart w:id="147" w:name="_Toc246996935"/>
      <w:bookmarkStart w:id="148" w:name="_Toc179632565"/>
      <w:bookmarkStart w:id="149" w:name="_Toc152042323"/>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2324"/>
      <w:bookmarkStart w:id="152" w:name="_Toc247085707"/>
      <w:bookmarkStart w:id="153" w:name="_Toc296602438"/>
      <w:bookmarkStart w:id="154" w:name="_Toc246996193"/>
      <w:bookmarkStart w:id="155" w:name="_Toc144974516"/>
      <w:bookmarkStart w:id="156" w:name="_Toc246996936"/>
      <w:bookmarkStart w:id="157" w:name="_Toc152045548"/>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79632567"/>
      <w:bookmarkStart w:id="161" w:name="_Toc144974517"/>
      <w:bookmarkStart w:id="162" w:name="_Toc152045549"/>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50"/>
      <w:bookmarkStart w:id="168" w:name="_Toc246996938"/>
      <w:bookmarkStart w:id="169" w:name="_Toc247085709"/>
      <w:bookmarkStart w:id="170" w:name="_Toc179632568"/>
      <w:bookmarkStart w:id="171" w:name="_Toc152042326"/>
      <w:bookmarkStart w:id="172" w:name="_Toc296602440"/>
      <w:bookmarkStart w:id="173" w:name="_Toc246996195"/>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152045552"/>
      <w:bookmarkStart w:id="177" w:name="_Toc296602441"/>
      <w:bookmarkStart w:id="178" w:name="_Toc152042328"/>
      <w:bookmarkStart w:id="179" w:name="_Toc144974520"/>
      <w:bookmarkStart w:id="180" w:name="_Toc179632570"/>
      <w:bookmarkStart w:id="181" w:name="_Toc247085710"/>
      <w:bookmarkStart w:id="182" w:name="_Toc246996939"/>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7085711"/>
      <w:bookmarkStart w:id="184" w:name="_Toc296602442"/>
      <w:bookmarkStart w:id="185" w:name="_Toc246996197"/>
      <w:bookmarkStart w:id="186" w:name="_Toc144974521"/>
      <w:bookmarkStart w:id="187" w:name="_Toc179632571"/>
      <w:bookmarkStart w:id="188" w:name="_Toc246996940"/>
      <w:bookmarkStart w:id="189" w:name="_Toc152042329"/>
      <w:bookmarkStart w:id="190" w:name="_Toc152045553"/>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44974523"/>
      <w:bookmarkStart w:id="192" w:name="_Toc246996942"/>
      <w:bookmarkStart w:id="193" w:name="_Toc179632573"/>
      <w:bookmarkStart w:id="194" w:name="_Toc152042331"/>
      <w:bookmarkStart w:id="195" w:name="_Toc246996199"/>
      <w:bookmarkStart w:id="196" w:name="_Toc152045555"/>
      <w:bookmarkStart w:id="197" w:name="_Toc24708571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200"/>
      <w:bookmarkStart w:id="200" w:name="_Toc179632574"/>
      <w:bookmarkStart w:id="201" w:name="_Toc152045556"/>
      <w:bookmarkStart w:id="202" w:name="_Toc144974524"/>
      <w:bookmarkStart w:id="203" w:name="_Toc246996943"/>
      <w:bookmarkStart w:id="204" w:name="_Toc296602444"/>
      <w:bookmarkStart w:id="205" w:name="_Toc152042332"/>
      <w:bookmarkStart w:id="206" w:name="_Toc24708571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152045557"/>
      <w:bookmarkStart w:id="209" w:name="_Toc246996201"/>
      <w:bookmarkStart w:id="210" w:name="_Toc144974525"/>
      <w:bookmarkStart w:id="211" w:name="_Toc246996944"/>
      <w:bookmarkStart w:id="212" w:name="_Toc152042333"/>
      <w:bookmarkStart w:id="213" w:name="_Toc17963257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152042334"/>
      <w:bookmarkStart w:id="217" w:name="_Toc247085716"/>
      <w:bookmarkStart w:id="218" w:name="_Toc179632576"/>
      <w:bookmarkStart w:id="219" w:name="_Toc144974526"/>
      <w:bookmarkStart w:id="220" w:name="_Toc152045558"/>
      <w:bookmarkStart w:id="221" w:name="_Toc246996202"/>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96602447"/>
      <w:bookmarkStart w:id="224" w:name="_Toc152045559"/>
      <w:bookmarkStart w:id="225" w:name="_Toc246996203"/>
      <w:bookmarkStart w:id="226" w:name="_Toc247085717"/>
      <w:bookmarkStart w:id="227" w:name="_Toc144974527"/>
      <w:bookmarkStart w:id="228" w:name="_Toc246996946"/>
      <w:bookmarkStart w:id="229" w:name="_Toc152042335"/>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7085718"/>
      <w:bookmarkStart w:id="232" w:name="_Toc179632578"/>
      <w:bookmarkStart w:id="233" w:name="_Toc152045560"/>
      <w:bookmarkStart w:id="234" w:name="_Toc152042336"/>
      <w:bookmarkStart w:id="235" w:name="_Toc246996947"/>
      <w:bookmarkStart w:id="236" w:name="_Toc144974528"/>
      <w:bookmarkStart w:id="237" w:name="_Toc296602448"/>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152042337"/>
      <w:bookmarkStart w:id="241" w:name="_Toc152045561"/>
      <w:bookmarkStart w:id="242" w:name="_Toc246996948"/>
      <w:bookmarkStart w:id="243" w:name="_Toc144974529"/>
      <w:bookmarkStart w:id="244" w:name="_Toc246996205"/>
      <w:bookmarkStart w:id="245" w:name="_Toc179632579"/>
      <w:bookmarkStart w:id="246" w:name="_Toc24708571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152045562"/>
      <w:bookmarkStart w:id="250" w:name="_Toc247085720"/>
      <w:bookmarkStart w:id="251" w:name="_Toc296602451"/>
      <w:bookmarkStart w:id="252" w:name="_Toc144974530"/>
      <w:bookmarkStart w:id="253" w:name="_Toc246996949"/>
      <w:bookmarkStart w:id="254" w:name="_Toc152042338"/>
      <w:bookmarkStart w:id="255" w:name="_Toc17963258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247085721"/>
      <w:bookmarkStart w:id="258" w:name="_Toc246996207"/>
      <w:bookmarkStart w:id="259" w:name="_Toc152045563"/>
      <w:bookmarkStart w:id="260" w:name="_Toc179632581"/>
      <w:bookmarkStart w:id="261" w:name="_Toc246996950"/>
      <w:bookmarkStart w:id="262" w:name="_Toc296602452"/>
      <w:bookmarkStart w:id="263" w:name="_Toc152042339"/>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144974532"/>
      <w:bookmarkStart w:id="266" w:name="_Toc152042340"/>
      <w:bookmarkStart w:id="267" w:name="_Toc296602453"/>
      <w:bookmarkStart w:id="268" w:name="_Toc179632582"/>
      <w:bookmarkStart w:id="269" w:name="_Toc247085722"/>
      <w:bookmarkStart w:id="270" w:name="_Toc246996208"/>
      <w:bookmarkStart w:id="271" w:name="_Toc152045564"/>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44974533"/>
      <w:bookmarkStart w:id="274" w:name="_Toc246996952"/>
      <w:bookmarkStart w:id="275" w:name="_Toc152042341"/>
      <w:bookmarkStart w:id="276" w:name="_Toc152045565"/>
      <w:bookmarkStart w:id="277" w:name="_Toc246996209"/>
      <w:bookmarkStart w:id="278" w:name="_Toc179632583"/>
      <w:bookmarkStart w:id="279" w:name="_Toc296602454"/>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152045566"/>
      <w:bookmarkStart w:id="282" w:name="_Toc247085724"/>
      <w:bookmarkStart w:id="283" w:name="_Toc179632584"/>
      <w:bookmarkStart w:id="284" w:name="_Toc144974534"/>
      <w:bookmarkStart w:id="285" w:name="_Toc246996210"/>
      <w:bookmarkStart w:id="286" w:name="_Toc296602455"/>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79632585"/>
      <w:bookmarkStart w:id="289" w:name="_Toc152045567"/>
      <w:bookmarkStart w:id="290" w:name="_Toc144974535"/>
      <w:bookmarkStart w:id="291" w:name="_Toc152042343"/>
      <w:bookmarkStart w:id="292" w:name="_Toc247085725"/>
      <w:bookmarkStart w:id="293" w:name="_Toc246996211"/>
      <w:bookmarkStart w:id="294" w:name="_Toc246996954"/>
      <w:bookmarkStart w:id="295" w:name="_Toc296602456"/>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79632586"/>
      <w:bookmarkStart w:id="297" w:name="_Toc152045568"/>
      <w:bookmarkStart w:id="298" w:name="_Toc296602458"/>
      <w:bookmarkStart w:id="299" w:name="_Toc246996955"/>
      <w:bookmarkStart w:id="300" w:name="_Toc246996212"/>
      <w:bookmarkStart w:id="301" w:name="_Toc152042344"/>
      <w:bookmarkStart w:id="302" w:name="_Toc144974536"/>
      <w:bookmarkStart w:id="303" w:name="_Toc247085726"/>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79632587"/>
      <w:bookmarkStart w:id="305" w:name="_Toc246996213"/>
      <w:bookmarkStart w:id="306" w:name="_Toc246996956"/>
      <w:bookmarkStart w:id="307" w:name="_Toc152042345"/>
      <w:bookmarkStart w:id="308" w:name="_Toc296602459"/>
      <w:bookmarkStart w:id="309" w:name="_Toc247085727"/>
      <w:bookmarkStart w:id="310" w:name="_Toc144974537"/>
      <w:bookmarkStart w:id="311" w:name="_Toc152045569"/>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79632588"/>
      <w:bookmarkStart w:id="313" w:name="_Toc246996214"/>
      <w:bookmarkStart w:id="314" w:name="_Toc296602460"/>
      <w:bookmarkStart w:id="315" w:name="_Toc246996957"/>
      <w:bookmarkStart w:id="316" w:name="_Toc152042346"/>
      <w:bookmarkStart w:id="317" w:name="_Toc144974538"/>
      <w:bookmarkStart w:id="318" w:name="_Toc152045570"/>
      <w:bookmarkStart w:id="319" w:name="_Toc247085728"/>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52045575"/>
      <w:bookmarkStart w:id="322" w:name="_Toc144974543"/>
      <w:bookmarkStart w:id="323" w:name="_Toc246996219"/>
      <w:bookmarkStart w:id="324" w:name="_Toc152042351"/>
      <w:bookmarkStart w:id="325" w:name="_Toc246996962"/>
      <w:bookmarkStart w:id="326" w:name="_Toc179632593"/>
      <w:bookmarkStart w:id="327" w:name="_Toc296602462"/>
      <w:bookmarkStart w:id="328" w:name="_Toc296590983"/>
      <w:bookmarkStart w:id="329" w:name="_Toc247085733"/>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52045576"/>
      <w:bookmarkStart w:id="331" w:name="_Toc144974544"/>
      <w:bookmarkStart w:id="332" w:name="_Toc296602463"/>
      <w:bookmarkStart w:id="333" w:name="_Toc247085734"/>
      <w:bookmarkStart w:id="334" w:name="_Toc152042352"/>
      <w:bookmarkStart w:id="335" w:name="_Toc246996963"/>
      <w:bookmarkStart w:id="336" w:name="_Toc246996220"/>
      <w:bookmarkStart w:id="337" w:name="_Toc179632594"/>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96602464"/>
      <w:bookmarkStart w:id="339" w:name="_Toc246996964"/>
      <w:bookmarkStart w:id="340" w:name="_Toc247085735"/>
      <w:bookmarkStart w:id="341" w:name="_Toc144974545"/>
      <w:bookmarkStart w:id="342" w:name="_Toc246996221"/>
      <w:bookmarkStart w:id="343" w:name="_Toc152045577"/>
      <w:bookmarkStart w:id="344" w:name="_Toc179632595"/>
      <w:bookmarkStart w:id="345" w:name="_Toc152042353"/>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2354"/>
      <w:bookmarkStart w:id="347" w:name="_Toc296602465"/>
      <w:bookmarkStart w:id="348" w:name="_Toc247085736"/>
      <w:bookmarkStart w:id="349" w:name="_Toc179632596"/>
      <w:bookmarkStart w:id="350" w:name="_Toc246996965"/>
      <w:bookmarkStart w:id="351" w:name="_Toc246996222"/>
      <w:bookmarkStart w:id="352" w:name="_Toc152045578"/>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179632597"/>
      <w:bookmarkStart w:id="356" w:name="_Toc246996223"/>
      <w:bookmarkStart w:id="357" w:name="_Toc247085737"/>
      <w:bookmarkStart w:id="358" w:name="_Toc152045579"/>
      <w:bookmarkStart w:id="359" w:name="_Toc152042356"/>
      <w:bookmarkStart w:id="360" w:name="_Toc246996966"/>
      <w:bookmarkStart w:id="361" w:name="_Toc29660246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224"/>
      <w:bookmarkStart w:id="364" w:name="_Toc246996967"/>
      <w:bookmarkStart w:id="365" w:name="_Toc152045580"/>
      <w:bookmarkStart w:id="366" w:name="_Toc179632598"/>
      <w:bookmarkStart w:id="367" w:name="_Toc247085738"/>
      <w:bookmarkStart w:id="368" w:name="_Toc296602467"/>
      <w:bookmarkStart w:id="369" w:name="_Toc144974547"/>
      <w:bookmarkStart w:id="370" w:name="_Toc15204235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val="en-US" w:eastAsia="zh-CN"/>
              </w:rPr>
              <w:t>等</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2" w:edGrp="everyone"/>
            <w:r>
              <w:rPr>
                <w:rFonts w:hint="eastAsia" w:ascii="Times New Roman" w:hAnsi="Times New Roman" w:cs="Times New Roman"/>
                <w:kern w:val="0"/>
                <w:sz w:val="24"/>
                <w:szCs w:val="24"/>
                <w:highlight w:val="none"/>
                <w:lang w:val="en-US" w:eastAsia="zh-CN"/>
              </w:rPr>
              <w:t>符合第二章“投标人须知”第1.4.1项规定</w:t>
            </w:r>
            <w:permEnd w:id="6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6"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4"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28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57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15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 </w:t>
            </w:r>
            <w:r>
              <w:rPr>
                <w:rFonts w:hint="default" w:ascii="Times New Roman" w:hAnsi="Times New Roman" w:cs="Times New Roman" w:eastAsiaTheme="minorEastAsia"/>
                <w:color w:val="auto"/>
                <w:kern w:val="0"/>
                <w:sz w:val="24"/>
                <w:szCs w:val="24"/>
                <w:highlight w:val="none"/>
              </w:rPr>
              <w:t>分</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5"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76" w:edGrp="everyone"/>
            <w:r>
              <w:rPr>
                <w:rFonts w:hint="eastAsia" w:ascii="Times New Roman" w:hAnsi="Times New Roman" w:cs="Times New Roman"/>
                <w:color w:val="auto"/>
                <w:kern w:val="0"/>
                <w:sz w:val="24"/>
                <w:szCs w:val="24"/>
                <w:highlight w:val="none"/>
                <w:lang w:val="en-US" w:eastAsia="zh-CN"/>
              </w:rPr>
              <w:t xml:space="preserve">/ </w:t>
            </w:r>
            <w:permEnd w:id="7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28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color w:val="auto"/>
                <w:kern w:val="0"/>
                <w:sz w:val="24"/>
                <w:szCs w:val="24"/>
                <w:highlight w:val="none"/>
                <w:lang w:val="en-US" w:eastAsia="zh-CN"/>
              </w:rPr>
              <w:t>服务网点</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宋体" w:hAnsi="宋体" w:cs="仿宋"/>
                <w:color w:val="000000"/>
                <w:sz w:val="24"/>
              </w:rPr>
            </w:pPr>
            <w:r>
              <w:rPr>
                <w:rFonts w:hint="eastAsia" w:ascii="宋体" w:hAnsi="宋体" w:cs="仿宋"/>
                <w:color w:val="000000"/>
                <w:sz w:val="24"/>
              </w:rPr>
              <w:t>为保障项目运营质量，投标人承诺中标后</w:t>
            </w:r>
            <w:r>
              <w:rPr>
                <w:rFonts w:ascii="宋体" w:hAnsi="宋体" w:cs="仿宋"/>
                <w:color w:val="000000"/>
                <w:sz w:val="24"/>
              </w:rPr>
              <w:t>10</w:t>
            </w:r>
            <w:r>
              <w:rPr>
                <w:rFonts w:hint="eastAsia" w:ascii="宋体" w:hAnsi="宋体" w:cs="仿宋"/>
                <w:color w:val="000000"/>
                <w:sz w:val="24"/>
              </w:rPr>
              <w:t>日内在亳州设立本地办公网点，专门用于项目运营管理的加</w:t>
            </w:r>
            <w:r>
              <w:rPr>
                <w:rFonts w:ascii="宋体" w:hAnsi="宋体" w:cs="仿宋"/>
                <w:color w:val="000000"/>
                <w:sz w:val="24"/>
              </w:rPr>
              <w:t>6</w:t>
            </w:r>
            <w:r>
              <w:rPr>
                <w:rFonts w:hint="eastAsia" w:ascii="宋体" w:hAnsi="宋体" w:cs="仿宋"/>
                <w:color w:val="000000"/>
                <w:sz w:val="24"/>
              </w:rPr>
              <w:t>分，否则不得分。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仿宋"/>
                <w:color w:val="000000"/>
                <w:sz w:val="24"/>
              </w:rPr>
              <w:t>注：承诺设立的如未按照承诺履行视为放弃，</w:t>
            </w:r>
            <w:r>
              <w:rPr>
                <w:rFonts w:hint="eastAsia" w:ascii="宋体" w:hAnsi="宋体" w:cs="仿宋"/>
                <w:color w:val="000000"/>
                <w:sz w:val="24"/>
                <w:lang w:val="en-US" w:eastAsia="zh-CN"/>
              </w:rPr>
              <w:t>没收投标保证金</w:t>
            </w:r>
            <w:r>
              <w:rPr>
                <w:rFonts w:hint="eastAsia" w:ascii="宋体" w:hAnsi="宋体" w:cs="仿宋"/>
                <w:color w:val="000000"/>
                <w:sz w:val="24"/>
              </w:rPr>
              <w:t>。</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1" w:colLast="1"/>
            <w:permStart w:id="81" w:edGrp="everyone" w:colFirst="2" w:colLast="2"/>
            <w:permStart w:id="8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企业实力</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宋体" w:hAnsi="宋体" w:cs="仿宋"/>
                <w:color w:val="000000"/>
                <w:sz w:val="24"/>
              </w:rPr>
            </w:pPr>
            <w:r>
              <w:rPr>
                <w:rFonts w:ascii="宋体" w:hAnsi="宋体" w:cs="仿宋"/>
                <w:color w:val="000000"/>
                <w:sz w:val="24"/>
              </w:rPr>
              <w:t>1.具有ISO9001质量管理体系认证且证书认证；</w:t>
            </w:r>
          </w:p>
          <w:p>
            <w:pPr>
              <w:spacing w:line="500" w:lineRule="exact"/>
              <w:rPr>
                <w:rFonts w:ascii="宋体" w:hAnsi="宋体" w:cs="仿宋"/>
                <w:color w:val="000000"/>
                <w:sz w:val="24"/>
              </w:rPr>
            </w:pPr>
            <w:r>
              <w:rPr>
                <w:rFonts w:ascii="宋体" w:hAnsi="宋体" w:cs="仿宋"/>
                <w:color w:val="000000"/>
                <w:sz w:val="24"/>
              </w:rPr>
              <w:t>2.具有ISO14001环境管理体系认证且证书认证；</w:t>
            </w:r>
          </w:p>
          <w:p>
            <w:pPr>
              <w:spacing w:line="500" w:lineRule="exact"/>
              <w:rPr>
                <w:rFonts w:ascii="宋体" w:hAnsi="宋体" w:cs="仿宋"/>
                <w:color w:val="000000"/>
                <w:sz w:val="24"/>
              </w:rPr>
            </w:pPr>
            <w:r>
              <w:rPr>
                <w:rFonts w:ascii="宋体" w:hAnsi="宋体" w:cs="仿宋"/>
                <w:color w:val="000000"/>
                <w:sz w:val="24"/>
              </w:rPr>
              <w:t>3.具有ISO45001职业健康安全管理体系认证；</w:t>
            </w:r>
          </w:p>
          <w:p>
            <w:pPr>
              <w:spacing w:line="500" w:lineRule="exact"/>
              <w:rPr>
                <w:rFonts w:ascii="宋体" w:hAnsi="宋体" w:cs="仿宋"/>
                <w:color w:val="000000"/>
                <w:sz w:val="24"/>
              </w:rPr>
            </w:pPr>
            <w:r>
              <w:rPr>
                <w:rFonts w:hint="eastAsia" w:ascii="宋体" w:hAnsi="宋体" w:cs="仿宋"/>
                <w:color w:val="000000"/>
                <w:sz w:val="24"/>
              </w:rPr>
              <w:t>每满足</w:t>
            </w:r>
            <w:r>
              <w:rPr>
                <w:rFonts w:ascii="宋体" w:hAnsi="宋体" w:cs="仿宋"/>
                <w:color w:val="000000"/>
                <w:sz w:val="24"/>
              </w:rPr>
              <w:t>1项得1分，最高3分。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仿宋"/>
                <w:color w:val="000000"/>
                <w:sz w:val="24"/>
              </w:rPr>
              <w:t>注:提供投标人获得的有效期内的认证证书复印件加盖公章作为评审依据，不提供不得分。</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3" w:edGrp="everyone" w:colFirst="1" w:colLast="1"/>
            <w:permStart w:id="84" w:edGrp="everyone" w:colFirst="2" w:colLast="2"/>
            <w:permStart w:id="8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企业信用</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仿宋"/>
                <w:color w:val="000000"/>
                <w:kern w:val="0"/>
                <w:sz w:val="24"/>
              </w:rPr>
              <w:t>投标人获得过市级及以上政府部门颁发的荣誉或奖项（信息化类或科技创新类）的得</w:t>
            </w:r>
            <w:r>
              <w:rPr>
                <w:rFonts w:hint="eastAsia" w:ascii="宋体" w:hAnsi="宋体" w:cs="仿宋"/>
                <w:color w:val="000000"/>
                <w:kern w:val="0"/>
                <w:sz w:val="24"/>
                <w:lang w:val="en-US" w:eastAsia="zh-CN"/>
              </w:rPr>
              <w:t>4</w:t>
            </w:r>
            <w:r>
              <w:rPr>
                <w:rFonts w:hint="eastAsia" w:ascii="宋体" w:hAnsi="宋体" w:cs="仿宋"/>
                <w:color w:val="000000"/>
                <w:kern w:val="0"/>
                <w:sz w:val="24"/>
              </w:rPr>
              <w:t>分，提供荣誉证书或相关证明文件复印件，不提供不得分。</w:t>
            </w:r>
          </w:p>
        </w:tc>
      </w:tr>
      <w:permEnd w:id="83"/>
      <w:permEnd w:id="84"/>
      <w:permEnd w:id="8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6" w:edGrp="everyone" w:colFirst="1" w:colLast="1"/>
            <w:permStart w:id="87" w:edGrp="everyone" w:colFirst="2" w:colLast="2"/>
            <w:permStart w:id="8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wordWrap w:val="0"/>
              <w:adjustRightInd/>
              <w:snapToGrid/>
              <w:spacing w:line="400" w:lineRule="exact"/>
              <w:ind w:firstLine="480" w:firstLineChars="200"/>
              <w:jc w:val="left"/>
              <w:rPr>
                <w:rFonts w:ascii="宋体" w:hAnsi="宋体" w:cs="仿宋"/>
                <w:color w:val="000000"/>
                <w:kern w:val="0"/>
                <w:sz w:val="24"/>
              </w:rPr>
            </w:pPr>
            <w:r>
              <w:rPr>
                <w:rFonts w:hint="eastAsia" w:ascii="宋体" w:hAnsi="宋体" w:cs="仿宋"/>
                <w:color w:val="000000"/>
                <w:kern w:val="0"/>
                <w:sz w:val="24"/>
              </w:rPr>
              <w:t>投标人2020年至今承担过智慧停车运营项目业绩的：</w:t>
            </w:r>
          </w:p>
          <w:p>
            <w:pPr>
              <w:wordWrap w:val="0"/>
              <w:adjustRightInd/>
              <w:snapToGrid/>
              <w:spacing w:line="400" w:lineRule="exact"/>
              <w:ind w:firstLine="480" w:firstLineChars="200"/>
              <w:jc w:val="left"/>
              <w:rPr>
                <w:rFonts w:ascii="宋体" w:hAnsi="宋体" w:cs="仿宋"/>
                <w:color w:val="000000"/>
                <w:kern w:val="0"/>
                <w:sz w:val="24"/>
              </w:rPr>
            </w:pPr>
            <w:r>
              <w:rPr>
                <w:rFonts w:hint="eastAsia" w:ascii="宋体" w:hAnsi="宋体" w:cs="仿宋"/>
                <w:color w:val="000000"/>
                <w:kern w:val="0"/>
                <w:sz w:val="24"/>
              </w:rPr>
              <w:t>提供具有</w:t>
            </w:r>
            <w:r>
              <w:rPr>
                <w:rFonts w:hint="eastAsia" w:ascii="宋体" w:hAnsi="宋体" w:cs="仿宋"/>
                <w:color w:val="000000"/>
                <w:kern w:val="0"/>
                <w:sz w:val="24"/>
                <w:lang w:val="en-US" w:eastAsia="zh-CN"/>
              </w:rPr>
              <w:t>3</w:t>
            </w:r>
            <w:r>
              <w:rPr>
                <w:rFonts w:hint="eastAsia" w:ascii="宋体" w:hAnsi="宋体" w:cs="仿宋"/>
                <w:color w:val="000000"/>
                <w:kern w:val="0"/>
                <w:sz w:val="24"/>
              </w:rPr>
              <w:t>000-5000个泊位运营业绩的，得</w:t>
            </w:r>
            <w:r>
              <w:rPr>
                <w:rFonts w:hint="eastAsia" w:ascii="宋体" w:hAnsi="宋体" w:cs="仿宋"/>
                <w:color w:val="000000"/>
                <w:kern w:val="0"/>
                <w:sz w:val="24"/>
                <w:lang w:val="en-US" w:eastAsia="zh-CN"/>
              </w:rPr>
              <w:t>3</w:t>
            </w:r>
            <w:r>
              <w:rPr>
                <w:rFonts w:hint="eastAsia" w:ascii="宋体" w:hAnsi="宋体" w:cs="仿宋"/>
                <w:color w:val="000000"/>
                <w:kern w:val="0"/>
                <w:sz w:val="24"/>
              </w:rPr>
              <w:t>分；</w:t>
            </w:r>
          </w:p>
          <w:p>
            <w:pPr>
              <w:wordWrap w:val="0"/>
              <w:adjustRightInd/>
              <w:snapToGrid/>
              <w:spacing w:line="400" w:lineRule="exact"/>
              <w:ind w:firstLine="480" w:firstLineChars="200"/>
              <w:jc w:val="left"/>
              <w:rPr>
                <w:rFonts w:ascii="宋体" w:hAnsi="宋体" w:cs="仿宋"/>
                <w:color w:val="000000"/>
                <w:kern w:val="0"/>
                <w:sz w:val="24"/>
              </w:rPr>
            </w:pPr>
            <w:r>
              <w:rPr>
                <w:rFonts w:hint="eastAsia" w:ascii="宋体" w:hAnsi="宋体" w:cs="仿宋"/>
                <w:color w:val="000000"/>
                <w:kern w:val="0"/>
                <w:sz w:val="24"/>
              </w:rPr>
              <w:t>提供具有5000及以上个泊位运营业绩的，得</w:t>
            </w:r>
            <w:r>
              <w:rPr>
                <w:rFonts w:ascii="宋体" w:hAnsi="宋体" w:cs="仿宋"/>
                <w:color w:val="000000"/>
                <w:kern w:val="0"/>
                <w:sz w:val="24"/>
              </w:rPr>
              <w:t>6</w:t>
            </w:r>
            <w:r>
              <w:rPr>
                <w:rFonts w:hint="eastAsia" w:ascii="宋体" w:hAnsi="宋体" w:cs="仿宋"/>
                <w:color w:val="000000"/>
                <w:kern w:val="0"/>
                <w:sz w:val="24"/>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仿宋"/>
                <w:color w:val="000000"/>
                <w:kern w:val="0"/>
                <w:sz w:val="24"/>
              </w:rPr>
              <w:t>上述</w:t>
            </w:r>
            <w:r>
              <w:rPr>
                <w:rFonts w:hint="eastAsia" w:ascii="宋体" w:hAnsi="宋体" w:cs="仿宋"/>
                <w:color w:val="000000"/>
                <w:kern w:val="0"/>
                <w:sz w:val="24"/>
                <w:lang w:val="en-US" w:eastAsia="zh-CN"/>
              </w:rPr>
              <w:t>业绩指单项业绩合同，门槛业绩除外，多项业绩仅取最高分计取，不累计计分，投标人须提供业绩</w:t>
            </w:r>
            <w:r>
              <w:rPr>
                <w:rFonts w:hint="eastAsia" w:ascii="宋体" w:hAnsi="宋体" w:cs="仿宋"/>
                <w:color w:val="000000"/>
                <w:kern w:val="0"/>
                <w:sz w:val="24"/>
              </w:rPr>
              <w:t>合同复印件，合同中需体现泊位数量，否则不得分。</w:t>
            </w:r>
            <w:r>
              <w:rPr>
                <w:rFonts w:ascii="宋体" w:hAnsi="宋体" w:cs="仿宋"/>
                <w:color w:val="000000"/>
                <w:kern w:val="0"/>
                <w:sz w:val="24"/>
              </w:rPr>
              <w:t>注：投标人提交的业绩证明中必须是</w:t>
            </w:r>
            <w:r>
              <w:rPr>
                <w:rFonts w:hint="eastAsia" w:ascii="宋体" w:hAnsi="宋体" w:cs="仿宋"/>
                <w:color w:val="000000"/>
                <w:kern w:val="0"/>
                <w:sz w:val="24"/>
              </w:rPr>
              <w:t>县区级（及以上）的</w:t>
            </w:r>
            <w:r>
              <w:rPr>
                <w:rFonts w:ascii="宋体" w:hAnsi="宋体" w:cs="仿宋"/>
                <w:color w:val="000000"/>
                <w:kern w:val="0"/>
                <w:sz w:val="24"/>
              </w:rPr>
              <w:t>城市道路停车泊位</w:t>
            </w:r>
            <w:r>
              <w:rPr>
                <w:rFonts w:hint="eastAsia" w:ascii="宋体" w:hAnsi="宋体" w:cs="仿宋"/>
                <w:color w:val="000000"/>
                <w:kern w:val="0"/>
                <w:sz w:val="24"/>
              </w:rPr>
              <w:t>项目，</w:t>
            </w:r>
            <w:r>
              <w:rPr>
                <w:rFonts w:ascii="宋体" w:hAnsi="宋体" w:cs="仿宋"/>
                <w:color w:val="000000"/>
                <w:kern w:val="0"/>
                <w:sz w:val="24"/>
              </w:rPr>
              <w:t>封闭式停车场案例无效；</w:t>
            </w:r>
            <w:r>
              <w:rPr>
                <w:rFonts w:hint="eastAsia" w:ascii="宋体" w:hAnsi="宋体" w:cs="仿宋"/>
                <w:color w:val="000000"/>
                <w:kern w:val="0"/>
                <w:sz w:val="24"/>
                <w:lang w:val="en-US" w:eastAsia="zh-CN"/>
              </w:rPr>
              <w:t>业绩合同</w:t>
            </w:r>
            <w:r>
              <w:rPr>
                <w:rFonts w:ascii="宋体" w:hAnsi="宋体" w:cs="仿宋"/>
                <w:color w:val="000000"/>
                <w:kern w:val="0"/>
                <w:sz w:val="24"/>
              </w:rPr>
              <w:t>原件</w:t>
            </w:r>
            <w:r>
              <w:rPr>
                <w:rFonts w:hint="eastAsia" w:ascii="宋体" w:hAnsi="宋体" w:cs="仿宋"/>
                <w:color w:val="000000"/>
                <w:kern w:val="0"/>
                <w:sz w:val="24"/>
              </w:rPr>
              <w:t>中标后</w:t>
            </w:r>
            <w:r>
              <w:rPr>
                <w:rFonts w:ascii="宋体" w:hAnsi="宋体" w:cs="仿宋"/>
                <w:color w:val="000000"/>
                <w:kern w:val="0"/>
                <w:sz w:val="24"/>
              </w:rPr>
              <w:t>备查。</w:t>
            </w:r>
          </w:p>
        </w:tc>
      </w:tr>
      <w:permEnd w:id="86"/>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iCs/>
                <w:color w:val="FF0000"/>
                <w:kern w:val="0"/>
                <w:sz w:val="24"/>
                <w:szCs w:val="24"/>
                <w:highlight w:val="none"/>
                <w:u w:val="single"/>
                <w:lang w:val="en-US" w:eastAsia="zh-CN"/>
              </w:rPr>
              <w:t>履约能力</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9</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s="仿宋"/>
                <w:color w:val="000000"/>
                <w:kern w:val="0"/>
                <w:sz w:val="24"/>
              </w:rPr>
            </w:pPr>
            <w:r>
              <w:rPr>
                <w:rFonts w:hint="eastAsia" w:ascii="宋体" w:hAnsi="宋体" w:cs="仿宋"/>
                <w:color w:val="000000"/>
                <w:kern w:val="0"/>
                <w:sz w:val="24"/>
              </w:rPr>
              <w:t>投标人具有已运营停车项目，其中运营年限至今超过5年的，泊位数量达到1000个及以内的，得</w:t>
            </w:r>
            <w:r>
              <w:rPr>
                <w:rFonts w:ascii="宋体" w:hAnsi="宋体" w:cs="仿宋"/>
                <w:color w:val="000000"/>
                <w:kern w:val="0"/>
                <w:sz w:val="24"/>
              </w:rPr>
              <w:t>2</w:t>
            </w:r>
            <w:r>
              <w:rPr>
                <w:rFonts w:hint="eastAsia" w:ascii="宋体" w:hAnsi="宋体" w:cs="仿宋"/>
                <w:color w:val="000000"/>
                <w:kern w:val="0"/>
                <w:sz w:val="24"/>
              </w:rPr>
              <w:t>分；</w:t>
            </w:r>
          </w:p>
          <w:p>
            <w:pPr>
              <w:spacing w:line="400" w:lineRule="exact"/>
              <w:rPr>
                <w:rFonts w:ascii="宋体" w:hAnsi="宋体" w:cs="仿宋"/>
                <w:color w:val="000000"/>
                <w:kern w:val="0"/>
                <w:sz w:val="24"/>
              </w:rPr>
            </w:pPr>
            <w:r>
              <w:rPr>
                <w:rFonts w:hint="eastAsia" w:ascii="宋体" w:hAnsi="宋体" w:cs="仿宋"/>
                <w:color w:val="000000"/>
                <w:kern w:val="0"/>
                <w:sz w:val="24"/>
              </w:rPr>
              <w:t>泊位数量1</w:t>
            </w:r>
            <w:r>
              <w:rPr>
                <w:rFonts w:ascii="宋体" w:hAnsi="宋体" w:cs="仿宋"/>
                <w:color w:val="000000"/>
                <w:kern w:val="0"/>
                <w:sz w:val="24"/>
              </w:rPr>
              <w:t>000-2</w:t>
            </w:r>
            <w:r>
              <w:rPr>
                <w:rFonts w:hint="eastAsia" w:ascii="宋体" w:hAnsi="宋体" w:cs="仿宋"/>
                <w:color w:val="000000"/>
                <w:kern w:val="0"/>
                <w:sz w:val="24"/>
              </w:rPr>
              <w:t>000个的，得</w:t>
            </w:r>
            <w:r>
              <w:rPr>
                <w:rFonts w:ascii="宋体" w:hAnsi="宋体" w:cs="仿宋"/>
                <w:color w:val="000000"/>
                <w:kern w:val="0"/>
                <w:sz w:val="24"/>
              </w:rPr>
              <w:t>4</w:t>
            </w:r>
            <w:r>
              <w:rPr>
                <w:rFonts w:hint="eastAsia" w:ascii="宋体" w:hAnsi="宋体" w:cs="仿宋"/>
                <w:color w:val="000000"/>
                <w:kern w:val="0"/>
                <w:sz w:val="24"/>
              </w:rPr>
              <w:t>分；</w:t>
            </w:r>
          </w:p>
          <w:p>
            <w:pPr>
              <w:spacing w:line="400" w:lineRule="exact"/>
              <w:rPr>
                <w:rFonts w:ascii="宋体" w:hAnsi="宋体" w:cs="仿宋"/>
                <w:color w:val="000000"/>
                <w:kern w:val="0"/>
                <w:sz w:val="24"/>
              </w:rPr>
            </w:pPr>
            <w:r>
              <w:rPr>
                <w:rFonts w:hint="eastAsia" w:ascii="宋体" w:hAnsi="宋体" w:cs="仿宋"/>
                <w:color w:val="000000"/>
                <w:kern w:val="0"/>
                <w:sz w:val="24"/>
              </w:rPr>
              <w:t>泊位数量达到2</w:t>
            </w:r>
            <w:r>
              <w:rPr>
                <w:rFonts w:ascii="宋体" w:hAnsi="宋体" w:cs="仿宋"/>
                <w:color w:val="000000"/>
                <w:kern w:val="0"/>
                <w:sz w:val="24"/>
              </w:rPr>
              <w:t>000-</w:t>
            </w:r>
            <w:r>
              <w:rPr>
                <w:rFonts w:hint="eastAsia" w:ascii="宋体" w:hAnsi="宋体" w:cs="仿宋"/>
                <w:color w:val="000000"/>
                <w:kern w:val="0"/>
                <w:sz w:val="24"/>
              </w:rPr>
              <w:t>3000个的，得</w:t>
            </w:r>
            <w:r>
              <w:rPr>
                <w:rFonts w:ascii="宋体" w:hAnsi="宋体" w:cs="仿宋"/>
                <w:color w:val="000000"/>
                <w:kern w:val="0"/>
                <w:sz w:val="24"/>
              </w:rPr>
              <w:t>6</w:t>
            </w:r>
            <w:r>
              <w:rPr>
                <w:rFonts w:hint="eastAsia" w:ascii="宋体" w:hAnsi="宋体" w:cs="仿宋"/>
                <w:color w:val="000000"/>
                <w:kern w:val="0"/>
                <w:sz w:val="24"/>
              </w:rPr>
              <w:t>分；</w:t>
            </w:r>
          </w:p>
          <w:p>
            <w:pPr>
              <w:spacing w:line="400" w:lineRule="exact"/>
              <w:rPr>
                <w:rFonts w:ascii="宋体" w:hAnsi="宋体" w:cs="仿宋"/>
                <w:color w:val="000000"/>
                <w:kern w:val="0"/>
                <w:sz w:val="24"/>
              </w:rPr>
            </w:pPr>
            <w:r>
              <w:rPr>
                <w:rFonts w:hint="eastAsia" w:ascii="宋体" w:hAnsi="宋体" w:cs="仿宋"/>
                <w:color w:val="000000"/>
                <w:kern w:val="0"/>
                <w:sz w:val="24"/>
              </w:rPr>
              <w:t>泊位数量达到3000个及以上的，得</w:t>
            </w:r>
            <w:r>
              <w:rPr>
                <w:rFonts w:ascii="宋体" w:hAnsi="宋体" w:cs="仿宋"/>
                <w:color w:val="000000"/>
                <w:kern w:val="0"/>
                <w:sz w:val="24"/>
              </w:rPr>
              <w:t>9</w:t>
            </w:r>
            <w:r>
              <w:rPr>
                <w:rFonts w:hint="eastAsia" w:ascii="宋体" w:hAnsi="宋体" w:cs="仿宋"/>
                <w:color w:val="000000"/>
                <w:kern w:val="0"/>
                <w:sz w:val="24"/>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cs="仿宋"/>
                <w:color w:val="000000"/>
                <w:kern w:val="0"/>
                <w:sz w:val="24"/>
              </w:rPr>
              <w:t>上述</w:t>
            </w:r>
            <w:r>
              <w:rPr>
                <w:rFonts w:hint="eastAsia" w:ascii="宋体" w:hAnsi="宋体" w:cs="仿宋"/>
                <w:color w:val="000000"/>
                <w:kern w:val="0"/>
                <w:sz w:val="24"/>
                <w:lang w:val="en-US" w:eastAsia="zh-CN"/>
              </w:rPr>
              <w:t>业绩指单项业绩合同，多项业绩仅取最高分计取，不累计计分，投标人须</w:t>
            </w:r>
            <w:r>
              <w:rPr>
                <w:rFonts w:hint="eastAsia" w:ascii="宋体" w:hAnsi="宋体" w:cs="仿宋"/>
                <w:color w:val="000000"/>
                <w:kern w:val="0"/>
                <w:sz w:val="24"/>
              </w:rPr>
              <w:t>提供合同复印件、连续5年</w:t>
            </w:r>
            <w:r>
              <w:rPr>
                <w:rFonts w:hint="eastAsia" w:ascii="宋体" w:hAnsi="宋体" w:cs="仿宋"/>
                <w:color w:val="000000"/>
                <w:kern w:val="0"/>
                <w:sz w:val="24"/>
                <w:lang w:val="en-US" w:eastAsia="zh-CN"/>
              </w:rPr>
              <w:t>每年不低于1万元的</w:t>
            </w:r>
            <w:r>
              <w:rPr>
                <w:rFonts w:hint="eastAsia" w:ascii="宋体" w:hAnsi="宋体" w:cs="仿宋"/>
                <w:color w:val="000000"/>
                <w:kern w:val="0"/>
                <w:sz w:val="24"/>
              </w:rPr>
              <w:t>运营服务费用结算票据或凭证，合同中需体现签订日期及泊位数量，否则不得分</w:t>
            </w:r>
            <w:r>
              <w:rPr>
                <w:rFonts w:hint="eastAsia" w:ascii="宋体" w:hAnsi="宋体" w:cs="仿宋"/>
                <w:color w:val="000000"/>
                <w:kern w:val="0"/>
                <w:sz w:val="24"/>
                <w:lang w:eastAsia="zh-CN"/>
              </w:rPr>
              <w:t>，</w:t>
            </w:r>
            <w:r>
              <w:rPr>
                <w:rFonts w:ascii="宋体" w:hAnsi="宋体" w:cs="仿宋"/>
                <w:color w:val="000000"/>
                <w:kern w:val="0"/>
                <w:sz w:val="24"/>
              </w:rPr>
              <w:t>封闭式停车场案例无效</w:t>
            </w:r>
            <w:r>
              <w:rPr>
                <w:rFonts w:hint="eastAsia" w:ascii="宋体" w:hAnsi="宋体" w:cs="仿宋"/>
                <w:color w:val="000000"/>
                <w:kern w:val="0"/>
                <w:sz w:val="24"/>
                <w:lang w:eastAsia="zh-CN"/>
              </w:rPr>
              <w:t>；</w:t>
            </w:r>
            <w:r>
              <w:rPr>
                <w:rFonts w:hint="eastAsia" w:ascii="宋体" w:hAnsi="宋体" w:cs="仿宋"/>
                <w:color w:val="000000"/>
                <w:kern w:val="0"/>
                <w:sz w:val="24"/>
                <w:lang w:val="en-US" w:eastAsia="zh-CN"/>
              </w:rPr>
              <w:t>业绩合同</w:t>
            </w:r>
            <w:r>
              <w:rPr>
                <w:rFonts w:ascii="宋体" w:hAnsi="宋体" w:cs="仿宋"/>
                <w:color w:val="000000"/>
                <w:kern w:val="0"/>
                <w:sz w:val="24"/>
              </w:rPr>
              <w:t>原件</w:t>
            </w:r>
            <w:r>
              <w:rPr>
                <w:rFonts w:hint="eastAsia" w:ascii="宋体" w:hAnsi="宋体" w:cs="仿宋"/>
                <w:color w:val="000000"/>
                <w:kern w:val="0"/>
                <w:sz w:val="24"/>
              </w:rPr>
              <w:t>中标后</w:t>
            </w:r>
            <w:r>
              <w:rPr>
                <w:rFonts w:ascii="宋体" w:hAnsi="宋体" w:cs="仿宋"/>
                <w:color w:val="000000"/>
                <w:kern w:val="0"/>
                <w:sz w:val="24"/>
              </w:rPr>
              <w:t>备查</w:t>
            </w:r>
            <w:r>
              <w:rPr>
                <w:rFonts w:hint="eastAsia" w:ascii="宋体" w:hAnsi="宋体" w:cs="仿宋"/>
                <w:color w:val="000000"/>
                <w:kern w:val="0"/>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57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运营方案</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42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宋体" w:hAnsi="宋体" w:cs="仿宋"/>
                <w:color w:val="000000"/>
                <w:sz w:val="24"/>
              </w:rPr>
            </w:pPr>
            <w:r>
              <w:rPr>
                <w:rFonts w:hint="eastAsia" w:ascii="宋体" w:hAnsi="宋体" w:cs="仿宋"/>
                <w:color w:val="000000"/>
                <w:sz w:val="24"/>
              </w:rPr>
              <w:t>1、总体运营方案（</w:t>
            </w:r>
            <w:r>
              <w:rPr>
                <w:rFonts w:hint="eastAsia" w:ascii="宋体" w:hAnsi="宋体" w:cs="仿宋"/>
                <w:color w:val="000000"/>
                <w:sz w:val="24"/>
                <w:lang w:val="en-US" w:eastAsia="zh-CN"/>
              </w:rPr>
              <w:t>7</w:t>
            </w:r>
            <w:r>
              <w:rPr>
                <w:rFonts w:ascii="宋体" w:hAnsi="宋体" w:cs="仿宋"/>
                <w:color w:val="000000"/>
                <w:sz w:val="24"/>
              </w:rPr>
              <w:t>分）</w:t>
            </w:r>
            <w:r>
              <w:rPr>
                <w:rFonts w:hint="eastAsia" w:ascii="宋体" w:hAnsi="宋体" w:cs="仿宋"/>
                <w:color w:val="000000"/>
                <w:sz w:val="24"/>
              </w:rPr>
              <w:t>：</w:t>
            </w:r>
            <w:r>
              <w:rPr>
                <w:rFonts w:ascii="宋体" w:hAnsi="宋体" w:cs="仿宋"/>
                <w:color w:val="000000"/>
                <w:sz w:val="24"/>
              </w:rPr>
              <w:t>根据各投标人所投项目的总体运营方案对本项目需求理解准确，内容全面完整，</w:t>
            </w:r>
            <w:r>
              <w:rPr>
                <w:rFonts w:hint="eastAsia" w:ascii="宋体" w:hAnsi="宋体" w:cs="仿宋"/>
                <w:color w:val="000000"/>
                <w:sz w:val="24"/>
                <w:lang w:eastAsia="zh-CN"/>
              </w:rPr>
              <w:t>条理清晰</w:t>
            </w:r>
            <w:r>
              <w:rPr>
                <w:rFonts w:ascii="宋体" w:hAnsi="宋体" w:cs="仿宋"/>
                <w:color w:val="000000"/>
                <w:sz w:val="24"/>
              </w:rPr>
              <w:t>，包括不限于：日常运营方案、管理措施、相关管理制度、组织机构等结合项目情况进行分析。提出服务方案的整体设计、管理模式、管理服务理念等</w:t>
            </w:r>
            <w:r>
              <w:rPr>
                <w:rFonts w:hint="eastAsia" w:ascii="宋体" w:hAnsi="宋体" w:cs="仿宋"/>
                <w:color w:val="000000"/>
                <w:sz w:val="24"/>
              </w:rPr>
              <w:t>；方案综合、全面得3-</w:t>
            </w:r>
            <w:r>
              <w:rPr>
                <w:rFonts w:hint="eastAsia" w:ascii="宋体" w:hAnsi="宋体" w:cs="仿宋"/>
                <w:color w:val="000000"/>
                <w:sz w:val="24"/>
                <w:lang w:val="en-US" w:eastAsia="zh-CN"/>
              </w:rPr>
              <w:t>7</w:t>
            </w:r>
            <w:r>
              <w:rPr>
                <w:rFonts w:hint="eastAsia" w:ascii="宋体" w:hAnsi="宋体" w:cs="仿宋"/>
                <w:color w:val="000000"/>
                <w:sz w:val="24"/>
              </w:rPr>
              <w:t>分；方案一般得1-3分；方案不可执行或未提供不得分；</w:t>
            </w:r>
          </w:p>
          <w:p>
            <w:pPr>
              <w:spacing w:line="500" w:lineRule="exact"/>
              <w:rPr>
                <w:rFonts w:ascii="宋体" w:hAnsi="宋体" w:cs="仿宋"/>
                <w:color w:val="000000"/>
                <w:sz w:val="24"/>
              </w:rPr>
            </w:pPr>
            <w:r>
              <w:rPr>
                <w:rFonts w:hint="eastAsia" w:ascii="宋体" w:hAnsi="宋体" w:cs="仿宋"/>
                <w:color w:val="000000"/>
                <w:sz w:val="24"/>
              </w:rPr>
              <w:t>2、人员管理方案（</w:t>
            </w:r>
            <w:r>
              <w:rPr>
                <w:rFonts w:hint="eastAsia" w:ascii="宋体" w:hAnsi="宋体" w:cs="仿宋"/>
                <w:color w:val="000000"/>
                <w:sz w:val="24"/>
                <w:lang w:val="en-US" w:eastAsia="zh-CN"/>
              </w:rPr>
              <w:t>7</w:t>
            </w:r>
            <w:r>
              <w:rPr>
                <w:rFonts w:ascii="宋体" w:hAnsi="宋体" w:cs="仿宋"/>
                <w:color w:val="000000"/>
                <w:sz w:val="24"/>
              </w:rPr>
              <w:t>分）</w:t>
            </w:r>
            <w:r>
              <w:rPr>
                <w:rFonts w:hint="eastAsia" w:ascii="宋体" w:hAnsi="宋体" w:cs="仿宋"/>
                <w:color w:val="000000"/>
                <w:sz w:val="24"/>
              </w:rPr>
              <w:t>：具备完善、科学的人员管理方案，包括但不限于人员的绩效管理考核、岗位职责、规范化运营、风险防控、薪酬制度、福利待遇，方案综合、全面得3-</w:t>
            </w:r>
            <w:r>
              <w:rPr>
                <w:rFonts w:hint="eastAsia" w:ascii="宋体" w:hAnsi="宋体" w:cs="仿宋"/>
                <w:color w:val="000000"/>
                <w:sz w:val="24"/>
                <w:lang w:val="en-US" w:eastAsia="zh-CN"/>
              </w:rPr>
              <w:t>7</w:t>
            </w:r>
            <w:r>
              <w:rPr>
                <w:rFonts w:hint="eastAsia" w:ascii="宋体" w:hAnsi="宋体" w:cs="仿宋"/>
                <w:color w:val="000000"/>
                <w:sz w:val="24"/>
              </w:rPr>
              <w:t>分；方案一般得1-3分；方案不可执行或未提供不得分；</w:t>
            </w:r>
          </w:p>
          <w:p>
            <w:pPr>
              <w:spacing w:line="500" w:lineRule="exact"/>
              <w:rPr>
                <w:rFonts w:ascii="宋体" w:hAnsi="宋体" w:cs="仿宋"/>
                <w:color w:val="000000"/>
                <w:sz w:val="24"/>
              </w:rPr>
            </w:pPr>
            <w:r>
              <w:rPr>
                <w:rFonts w:hint="eastAsia" w:ascii="宋体" w:hAnsi="宋体" w:cs="仿宋"/>
                <w:color w:val="000000"/>
                <w:sz w:val="24"/>
              </w:rPr>
              <w:t>3</w:t>
            </w:r>
            <w:r>
              <w:rPr>
                <w:rFonts w:ascii="宋体" w:hAnsi="宋体" w:cs="仿宋"/>
                <w:color w:val="000000"/>
                <w:sz w:val="24"/>
              </w:rPr>
              <w:t>.</w:t>
            </w:r>
            <w:r>
              <w:rPr>
                <w:rFonts w:hint="eastAsia" w:ascii="宋体" w:hAnsi="宋体" w:cs="仿宋"/>
                <w:color w:val="000000"/>
                <w:sz w:val="24"/>
              </w:rPr>
              <w:t>欠费追缴方案（</w:t>
            </w:r>
            <w:r>
              <w:rPr>
                <w:rFonts w:hint="eastAsia" w:ascii="宋体" w:hAnsi="宋体" w:cs="仿宋"/>
                <w:color w:val="000000"/>
                <w:sz w:val="24"/>
                <w:lang w:val="en-US" w:eastAsia="zh-CN"/>
              </w:rPr>
              <w:t>7</w:t>
            </w:r>
            <w:r>
              <w:rPr>
                <w:rFonts w:hint="eastAsia" w:ascii="宋体" w:hAnsi="宋体" w:cs="仿宋"/>
                <w:color w:val="000000"/>
                <w:sz w:val="24"/>
              </w:rPr>
              <w:t>分）：欠费追缴方案完善、可执行、高效、人性化得3-</w:t>
            </w:r>
            <w:r>
              <w:rPr>
                <w:rFonts w:hint="eastAsia" w:ascii="宋体" w:hAnsi="宋体" w:cs="仿宋"/>
                <w:color w:val="000000"/>
                <w:sz w:val="24"/>
                <w:lang w:val="en-US" w:eastAsia="zh-CN"/>
              </w:rPr>
              <w:t>7</w:t>
            </w:r>
            <w:r>
              <w:rPr>
                <w:rFonts w:hint="eastAsia" w:ascii="宋体" w:hAnsi="宋体" w:cs="仿宋"/>
                <w:color w:val="000000"/>
                <w:sz w:val="24"/>
              </w:rPr>
              <w:t>分，方案设置基本合理、完善后可投入项目使用的，得1-3分；方案设置不够合理、不适合直接投入项目使用的，或未提供不得分；</w:t>
            </w:r>
          </w:p>
          <w:p>
            <w:pPr>
              <w:spacing w:line="500" w:lineRule="exact"/>
              <w:rPr>
                <w:rFonts w:ascii="宋体" w:hAnsi="宋体" w:cs="仿宋"/>
                <w:color w:val="000000"/>
                <w:sz w:val="24"/>
              </w:rPr>
            </w:pPr>
            <w:r>
              <w:rPr>
                <w:rFonts w:hint="eastAsia" w:ascii="宋体" w:hAnsi="宋体" w:cs="仿宋"/>
                <w:color w:val="000000"/>
                <w:sz w:val="24"/>
              </w:rPr>
              <w:t>4</w:t>
            </w:r>
            <w:r>
              <w:rPr>
                <w:rFonts w:ascii="宋体" w:hAnsi="宋体" w:cs="仿宋"/>
                <w:color w:val="000000"/>
                <w:sz w:val="24"/>
              </w:rPr>
              <w:t>.</w:t>
            </w:r>
            <w:r>
              <w:rPr>
                <w:rFonts w:hint="eastAsia" w:ascii="宋体" w:hAnsi="宋体" w:cs="仿宋"/>
                <w:color w:val="000000"/>
                <w:sz w:val="24"/>
              </w:rPr>
              <w:t>商业运营策</w:t>
            </w:r>
            <w:r>
              <w:rPr>
                <w:rFonts w:hint="eastAsia" w:ascii="宋体" w:hAnsi="宋体" w:cs="仿宋"/>
                <w:color w:val="000000"/>
                <w:sz w:val="24"/>
                <w:lang w:val="en-US" w:eastAsia="zh-CN"/>
              </w:rPr>
              <w:t>略</w:t>
            </w:r>
            <w:r>
              <w:rPr>
                <w:rFonts w:hint="eastAsia" w:ascii="宋体" w:hAnsi="宋体" w:cs="仿宋"/>
                <w:color w:val="000000"/>
                <w:sz w:val="24"/>
              </w:rPr>
              <w:t>（</w:t>
            </w:r>
            <w:r>
              <w:rPr>
                <w:rFonts w:hint="eastAsia" w:ascii="宋体" w:hAnsi="宋体" w:cs="仿宋"/>
                <w:color w:val="000000"/>
                <w:sz w:val="24"/>
                <w:lang w:val="en-US" w:eastAsia="zh-CN"/>
              </w:rPr>
              <w:t>7</w:t>
            </w:r>
            <w:r>
              <w:rPr>
                <w:rFonts w:hint="eastAsia" w:ascii="宋体" w:hAnsi="宋体" w:cs="仿宋"/>
                <w:color w:val="000000"/>
                <w:sz w:val="24"/>
              </w:rPr>
              <w:t>分）：围绕道路泊车项目的商业运营，</w:t>
            </w:r>
            <w:r>
              <w:rPr>
                <w:rFonts w:ascii="宋体" w:hAnsi="宋体" w:cs="仿宋"/>
                <w:color w:val="000000"/>
                <w:sz w:val="24"/>
              </w:rPr>
              <w:t>包括不限于：</w:t>
            </w:r>
            <w:r>
              <w:rPr>
                <w:rFonts w:hint="eastAsia" w:ascii="宋体" w:hAnsi="宋体" w:cs="仿宋"/>
                <w:color w:val="000000"/>
                <w:sz w:val="24"/>
              </w:rPr>
              <w:t>app推广、商家合作、大数据商业推广等，提供合理、可执行、完善的商业运营方案，得3-</w:t>
            </w:r>
            <w:r>
              <w:rPr>
                <w:rFonts w:hint="eastAsia" w:ascii="宋体" w:hAnsi="宋体" w:cs="仿宋"/>
                <w:color w:val="000000"/>
                <w:sz w:val="24"/>
                <w:lang w:val="en-US" w:eastAsia="zh-CN"/>
              </w:rPr>
              <w:t>7</w:t>
            </w:r>
            <w:r>
              <w:rPr>
                <w:rFonts w:hint="eastAsia" w:ascii="宋体" w:hAnsi="宋体" w:cs="仿宋"/>
                <w:color w:val="000000"/>
                <w:sz w:val="24"/>
              </w:rPr>
              <w:t>分；基本合理可行，得1-3分，不合理或难以实现，及未提供的不得分；</w:t>
            </w:r>
          </w:p>
          <w:p>
            <w:pPr>
              <w:spacing w:line="500" w:lineRule="exact"/>
              <w:rPr>
                <w:rFonts w:ascii="宋体" w:hAnsi="宋体" w:cs="仿宋"/>
                <w:color w:val="000000"/>
                <w:sz w:val="24"/>
              </w:rPr>
            </w:pPr>
            <w:r>
              <w:rPr>
                <w:rFonts w:ascii="宋体" w:hAnsi="宋体" w:cs="仿宋"/>
                <w:color w:val="000000"/>
                <w:sz w:val="24"/>
              </w:rPr>
              <w:t>5.</w:t>
            </w:r>
            <w:r>
              <w:rPr>
                <w:rFonts w:hint="eastAsia" w:ascii="宋体" w:hAnsi="宋体" w:cs="仿宋"/>
                <w:color w:val="000000"/>
                <w:sz w:val="24"/>
              </w:rPr>
              <w:t>应急响应预案（</w:t>
            </w:r>
            <w:r>
              <w:rPr>
                <w:rFonts w:hint="eastAsia" w:ascii="宋体" w:hAnsi="宋体" w:cs="仿宋"/>
                <w:color w:val="000000"/>
                <w:sz w:val="24"/>
                <w:lang w:val="en-US" w:eastAsia="zh-CN"/>
              </w:rPr>
              <w:t>7</w:t>
            </w:r>
            <w:r>
              <w:rPr>
                <w:rFonts w:hint="eastAsia" w:ascii="宋体" w:hAnsi="宋体" w:cs="仿宋"/>
                <w:color w:val="000000"/>
                <w:sz w:val="24"/>
              </w:rPr>
              <w:t>分）：制定快速、高效、合理的应急预案和处理措施方案，确保在日常经营管理期间，快速响应、应对突击保障任务、突发问题。方案可行、有效、合理得3-</w:t>
            </w:r>
            <w:r>
              <w:rPr>
                <w:rFonts w:hint="eastAsia" w:ascii="宋体" w:hAnsi="宋体" w:cs="仿宋"/>
                <w:color w:val="000000"/>
                <w:sz w:val="24"/>
                <w:lang w:val="en-US" w:eastAsia="zh-CN"/>
              </w:rPr>
              <w:t>7</w:t>
            </w:r>
            <w:r>
              <w:rPr>
                <w:rFonts w:hint="eastAsia" w:ascii="宋体" w:hAnsi="宋体" w:cs="仿宋"/>
                <w:color w:val="000000"/>
                <w:sz w:val="24"/>
              </w:rPr>
              <w:t>分；方案一般得1-3分；方案不可执行不得分；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ascii="宋体" w:hAnsi="宋体" w:cs="仿宋"/>
                <w:color w:val="000000"/>
                <w:sz w:val="24"/>
              </w:rPr>
              <w:t>6.</w:t>
            </w:r>
            <w:r>
              <w:rPr>
                <w:rFonts w:hint="eastAsia" w:ascii="宋体" w:hAnsi="宋体" w:cs="仿宋"/>
                <w:color w:val="000000"/>
                <w:sz w:val="24"/>
              </w:rPr>
              <w:t>投诉处理预案（</w:t>
            </w:r>
            <w:r>
              <w:rPr>
                <w:rFonts w:hint="eastAsia" w:ascii="宋体" w:hAnsi="宋体" w:cs="仿宋"/>
                <w:color w:val="000000"/>
                <w:sz w:val="24"/>
                <w:lang w:val="en-US" w:eastAsia="zh-CN"/>
              </w:rPr>
              <w:t>7</w:t>
            </w:r>
            <w:r>
              <w:rPr>
                <w:rFonts w:hint="eastAsia" w:ascii="宋体" w:hAnsi="宋体" w:cs="仿宋"/>
                <w:color w:val="000000"/>
                <w:sz w:val="24"/>
              </w:rPr>
              <w:t>分）：制定完善、及时、切实可行的处理方案，应对运营过程中的咨询、投诉、舆情等问题，得3-</w:t>
            </w:r>
            <w:r>
              <w:rPr>
                <w:rFonts w:hint="eastAsia" w:ascii="宋体" w:hAnsi="宋体" w:cs="仿宋"/>
                <w:color w:val="000000"/>
                <w:sz w:val="24"/>
                <w:lang w:val="en-US" w:eastAsia="zh-CN"/>
              </w:rPr>
              <w:t>7</w:t>
            </w:r>
            <w:r>
              <w:rPr>
                <w:rFonts w:hint="eastAsia" w:ascii="宋体" w:hAnsi="宋体" w:cs="仿宋"/>
                <w:color w:val="000000"/>
                <w:sz w:val="24"/>
              </w:rPr>
              <w:t>分；方案一般得1-3分；方案不可执行或未提供不得分；</w:t>
            </w:r>
          </w:p>
        </w:tc>
      </w:tr>
      <w:permEnd w:id="89"/>
      <w:permEnd w:id="90"/>
      <w:permEnd w:id="9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2" w:edGrp="everyone" w:colFirst="2" w:colLast="2"/>
            <w:permStart w:id="9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技术能力</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cs="仿宋"/>
                <w:color w:val="000000"/>
                <w:kern w:val="0"/>
                <w:sz w:val="24"/>
              </w:rPr>
              <w:t>投标人具有停车方面的发明专利、计算机软件著作权登记证书，每提供一个得</w:t>
            </w:r>
            <w:r>
              <w:rPr>
                <w:rFonts w:ascii="宋体" w:hAnsi="宋体" w:cs="仿宋"/>
                <w:color w:val="000000"/>
                <w:kern w:val="0"/>
                <w:sz w:val="24"/>
              </w:rPr>
              <w:t>1</w:t>
            </w:r>
            <w:r>
              <w:rPr>
                <w:rFonts w:hint="eastAsia" w:ascii="宋体" w:hAnsi="宋体" w:cs="仿宋"/>
                <w:color w:val="000000"/>
                <w:kern w:val="0"/>
                <w:sz w:val="24"/>
              </w:rPr>
              <w:t>分，满分</w:t>
            </w:r>
            <w:r>
              <w:rPr>
                <w:rFonts w:ascii="宋体" w:hAnsi="宋体" w:cs="仿宋"/>
                <w:color w:val="000000"/>
                <w:kern w:val="0"/>
                <w:sz w:val="24"/>
              </w:rPr>
              <w:t>3</w:t>
            </w:r>
            <w:r>
              <w:rPr>
                <w:rFonts w:hint="eastAsia" w:ascii="宋体" w:hAnsi="宋体" w:cs="仿宋"/>
                <w:color w:val="000000"/>
                <w:kern w:val="0"/>
                <w:sz w:val="24"/>
              </w:rPr>
              <w:t>分；提供复印件，原件中标后备查。</w:t>
            </w:r>
          </w:p>
        </w:tc>
      </w:tr>
      <w:permEnd w:id="92"/>
      <w:permEnd w:id="9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4" w:edGrp="everyone" w:colFirst="2" w:colLast="2"/>
            <w:permStart w:id="9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泊位管理</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12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宋体" w:hAnsi="宋体" w:cs="仿宋"/>
                <w:color w:val="000000"/>
                <w:sz w:val="24"/>
              </w:rPr>
            </w:pPr>
            <w:r>
              <w:rPr>
                <w:rFonts w:hint="eastAsia" w:ascii="宋体" w:hAnsi="宋体" w:cs="仿宋"/>
                <w:color w:val="000000"/>
                <w:sz w:val="24"/>
              </w:rPr>
              <w:t>投标人承诺：</w:t>
            </w:r>
          </w:p>
          <w:p>
            <w:pPr>
              <w:spacing w:line="500" w:lineRule="exact"/>
              <w:rPr>
                <w:rFonts w:ascii="宋体" w:hAnsi="宋体" w:cs="仿宋"/>
                <w:color w:val="000000"/>
                <w:sz w:val="24"/>
              </w:rPr>
            </w:pPr>
            <w:r>
              <w:rPr>
                <w:rFonts w:hint="eastAsia" w:ascii="宋体" w:hAnsi="宋体" w:cs="仿宋"/>
                <w:color w:val="000000"/>
                <w:sz w:val="24"/>
              </w:rPr>
              <w:t>1</w:t>
            </w:r>
            <w:r>
              <w:rPr>
                <w:rFonts w:ascii="宋体" w:hAnsi="宋体" w:cs="仿宋"/>
                <w:color w:val="000000"/>
                <w:sz w:val="24"/>
              </w:rPr>
              <w:t>.</w:t>
            </w:r>
            <w:r>
              <w:rPr>
                <w:rFonts w:hint="eastAsia" w:ascii="宋体" w:hAnsi="宋体" w:cs="仿宋"/>
                <w:color w:val="000000"/>
                <w:sz w:val="24"/>
              </w:rPr>
              <w:t>泊位管理覆盖率在95%的基础上每增加1%加1分，此项最高</w:t>
            </w:r>
            <w:r>
              <w:rPr>
                <w:rFonts w:hint="eastAsia" w:ascii="宋体" w:hAnsi="宋体" w:cs="仿宋"/>
                <w:color w:val="000000"/>
                <w:sz w:val="24"/>
                <w:lang w:eastAsia="zh-CN"/>
              </w:rPr>
              <w:t>得</w:t>
            </w:r>
            <w:r>
              <w:rPr>
                <w:rFonts w:ascii="宋体" w:hAnsi="宋体" w:cs="仿宋"/>
                <w:color w:val="000000"/>
                <w:sz w:val="24"/>
              </w:rPr>
              <w:t>5</w:t>
            </w:r>
            <w:r>
              <w:rPr>
                <w:rFonts w:hint="eastAsia" w:ascii="宋体" w:hAnsi="宋体" w:cs="仿宋"/>
                <w:color w:val="000000"/>
                <w:sz w:val="24"/>
              </w:rPr>
              <w:t>分；（纳入考核）</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cs="仿宋"/>
                <w:color w:val="000000"/>
                <w:sz w:val="24"/>
              </w:rPr>
              <w:t>2</w:t>
            </w:r>
            <w:r>
              <w:rPr>
                <w:rFonts w:ascii="宋体" w:hAnsi="宋体" w:cs="仿宋"/>
                <w:color w:val="000000"/>
                <w:sz w:val="24"/>
              </w:rPr>
              <w:t>.</w:t>
            </w:r>
            <w:r>
              <w:rPr>
                <w:rFonts w:hint="eastAsia" w:ascii="宋体" w:hAnsi="宋体" w:cs="仿宋"/>
                <w:color w:val="000000"/>
                <w:sz w:val="24"/>
              </w:rPr>
              <w:t>承诺月收费率≥</w:t>
            </w:r>
            <w:r>
              <w:rPr>
                <w:rFonts w:ascii="宋体" w:hAnsi="宋体" w:cs="仿宋"/>
                <w:color w:val="000000"/>
                <w:sz w:val="24"/>
              </w:rPr>
              <w:t>80</w:t>
            </w:r>
            <w:r>
              <w:rPr>
                <w:rFonts w:hint="eastAsia" w:ascii="宋体" w:hAnsi="宋体" w:cs="仿宋"/>
                <w:color w:val="000000"/>
                <w:sz w:val="24"/>
              </w:rPr>
              <w:t>%得</w:t>
            </w:r>
            <w:r>
              <w:rPr>
                <w:rFonts w:ascii="宋体" w:hAnsi="宋体" w:cs="仿宋"/>
                <w:color w:val="000000"/>
                <w:sz w:val="24"/>
              </w:rPr>
              <w:t>7</w:t>
            </w:r>
            <w:r>
              <w:rPr>
                <w:rFonts w:hint="eastAsia" w:ascii="宋体" w:hAnsi="宋体" w:cs="仿宋"/>
                <w:color w:val="000000"/>
                <w:sz w:val="24"/>
              </w:rPr>
              <w:t>分，承诺月收费率≥7</w:t>
            </w:r>
            <w:r>
              <w:rPr>
                <w:rFonts w:ascii="宋体" w:hAnsi="宋体" w:cs="仿宋"/>
                <w:color w:val="000000"/>
                <w:sz w:val="24"/>
              </w:rPr>
              <w:t>5</w:t>
            </w:r>
            <w:r>
              <w:rPr>
                <w:rFonts w:hint="eastAsia" w:ascii="宋体" w:hAnsi="宋体" w:cs="仿宋"/>
                <w:color w:val="000000"/>
                <w:sz w:val="24"/>
              </w:rPr>
              <w:t>%得</w:t>
            </w:r>
            <w:r>
              <w:rPr>
                <w:rFonts w:ascii="宋体" w:hAnsi="宋体" w:cs="仿宋"/>
                <w:color w:val="000000"/>
                <w:sz w:val="24"/>
              </w:rPr>
              <w:t>4</w:t>
            </w:r>
            <w:r>
              <w:rPr>
                <w:rFonts w:hint="eastAsia" w:ascii="宋体" w:hAnsi="宋体" w:cs="仿宋"/>
                <w:color w:val="000000"/>
                <w:sz w:val="24"/>
              </w:rPr>
              <w:t>分，承诺月收费率≥7</w:t>
            </w:r>
            <w:r>
              <w:rPr>
                <w:rFonts w:ascii="宋体" w:hAnsi="宋体" w:cs="仿宋"/>
                <w:color w:val="000000"/>
                <w:sz w:val="24"/>
              </w:rPr>
              <w:t>0</w:t>
            </w:r>
            <w:r>
              <w:rPr>
                <w:rFonts w:hint="eastAsia" w:ascii="宋体" w:hAnsi="宋体" w:cs="仿宋"/>
                <w:color w:val="000000"/>
                <w:sz w:val="24"/>
              </w:rPr>
              <w:t>%得</w:t>
            </w:r>
            <w:r>
              <w:rPr>
                <w:rFonts w:ascii="宋体" w:hAnsi="宋体" w:cs="仿宋"/>
                <w:color w:val="000000"/>
                <w:sz w:val="24"/>
              </w:rPr>
              <w:t>2</w:t>
            </w:r>
            <w:r>
              <w:rPr>
                <w:rFonts w:hint="eastAsia" w:ascii="宋体" w:hAnsi="宋体" w:cs="仿宋"/>
                <w:color w:val="000000"/>
                <w:sz w:val="24"/>
              </w:rPr>
              <w:t>分（纳入考核）</w:t>
            </w:r>
          </w:p>
        </w:tc>
      </w:tr>
      <w:permEnd w:id="94"/>
      <w:permEnd w:id="9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6" w:edGrp="everyone" w:colFirst="1" w:colLast="1"/>
            <w:permStart w:id="97" w:edGrp="everyone" w:colFirst="2" w:colLast="2"/>
            <w:permStart w:id="98"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15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分成比例</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00" w:lineRule="exact"/>
              <w:jc w:val="left"/>
              <w:rPr>
                <w:rFonts w:ascii="宋体" w:hAnsi="宋体" w:cs="仿宋"/>
                <w:color w:val="000000"/>
                <w:sz w:val="24"/>
              </w:rPr>
            </w:pPr>
            <w:r>
              <w:rPr>
                <w:rFonts w:hint="eastAsia" w:ascii="宋体" w:hAnsi="宋体" w:cs="仿宋"/>
                <w:color w:val="000000"/>
                <w:sz w:val="24"/>
              </w:rPr>
              <w:t>每年实际营业收入不超过400万元（含4</w:t>
            </w:r>
            <w:r>
              <w:rPr>
                <w:rFonts w:ascii="宋体" w:hAnsi="宋体" w:cs="仿宋"/>
                <w:color w:val="000000"/>
                <w:sz w:val="24"/>
              </w:rPr>
              <w:t>00</w:t>
            </w:r>
            <w:r>
              <w:rPr>
                <w:rFonts w:hint="eastAsia" w:ascii="宋体" w:hAnsi="宋体" w:cs="仿宋"/>
                <w:color w:val="000000"/>
                <w:sz w:val="24"/>
              </w:rPr>
              <w:t>万元）的部分，招标人分成比例在</w:t>
            </w:r>
            <w:r>
              <w:rPr>
                <w:rFonts w:ascii="宋体" w:hAnsi="宋体" w:cs="仿宋"/>
                <w:color w:val="000000"/>
                <w:sz w:val="24"/>
              </w:rPr>
              <w:t>55</w:t>
            </w:r>
            <w:r>
              <w:rPr>
                <w:rFonts w:hint="eastAsia" w:ascii="宋体" w:hAnsi="宋体" w:cs="仿宋"/>
                <w:color w:val="000000"/>
                <w:sz w:val="24"/>
              </w:rPr>
              <w:t>%基础上每增加</w:t>
            </w:r>
            <w:r>
              <w:rPr>
                <w:rFonts w:ascii="宋体" w:hAnsi="宋体" w:cs="仿宋"/>
                <w:color w:val="000000"/>
                <w:sz w:val="24"/>
              </w:rPr>
              <w:t>1</w:t>
            </w:r>
            <w:r>
              <w:rPr>
                <w:rFonts w:hint="eastAsia" w:ascii="宋体" w:hAnsi="宋体" w:cs="仿宋"/>
                <w:color w:val="000000"/>
                <w:sz w:val="24"/>
              </w:rPr>
              <w:t>%，投标人加1分，最高加5分；</w:t>
            </w:r>
          </w:p>
          <w:p>
            <w:pPr>
              <w:adjustRightInd w:val="0"/>
              <w:snapToGrid w:val="0"/>
              <w:spacing w:line="500" w:lineRule="exact"/>
              <w:jc w:val="left"/>
              <w:rPr>
                <w:rFonts w:ascii="宋体" w:hAnsi="宋体" w:cs="仿宋"/>
                <w:color w:val="000000"/>
                <w:sz w:val="24"/>
              </w:rPr>
            </w:pPr>
            <w:r>
              <w:rPr>
                <w:rFonts w:hint="eastAsia" w:ascii="宋体" w:hAnsi="宋体" w:cs="仿宋"/>
                <w:color w:val="000000"/>
                <w:sz w:val="24"/>
              </w:rPr>
              <w:t>每年实际营业收入400万元（不含）-600万元（含600万元）之间部分，招标人分成比例在</w:t>
            </w:r>
            <w:r>
              <w:rPr>
                <w:rFonts w:ascii="宋体" w:hAnsi="宋体" w:cs="仿宋"/>
                <w:color w:val="000000"/>
                <w:sz w:val="24"/>
              </w:rPr>
              <w:t>45</w:t>
            </w:r>
            <w:r>
              <w:rPr>
                <w:rFonts w:hint="eastAsia" w:ascii="宋体" w:hAnsi="宋体" w:cs="仿宋"/>
                <w:color w:val="000000"/>
                <w:sz w:val="24"/>
              </w:rPr>
              <w:t>%基础上每增加</w:t>
            </w:r>
            <w:r>
              <w:rPr>
                <w:rFonts w:ascii="宋体" w:hAnsi="宋体" w:cs="仿宋"/>
                <w:color w:val="000000"/>
                <w:sz w:val="24"/>
              </w:rPr>
              <w:t>1</w:t>
            </w:r>
            <w:r>
              <w:rPr>
                <w:rFonts w:hint="eastAsia" w:ascii="宋体" w:hAnsi="宋体" w:cs="仿宋"/>
                <w:color w:val="000000"/>
                <w:sz w:val="24"/>
              </w:rPr>
              <w:t>%，投标人加1分，最高加5分；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cs="仿宋"/>
                <w:color w:val="000000"/>
                <w:sz w:val="24"/>
              </w:rPr>
              <w:t>每年实际营业收入超过600万元的部分，招标人分成比例在</w:t>
            </w:r>
            <w:r>
              <w:rPr>
                <w:rFonts w:ascii="宋体" w:hAnsi="宋体" w:cs="仿宋"/>
                <w:color w:val="000000"/>
                <w:sz w:val="24"/>
              </w:rPr>
              <w:t>20</w:t>
            </w:r>
            <w:r>
              <w:rPr>
                <w:rFonts w:hint="eastAsia" w:ascii="宋体" w:hAnsi="宋体" w:cs="仿宋"/>
                <w:color w:val="000000"/>
                <w:sz w:val="24"/>
              </w:rPr>
              <w:t>%的基础上每增加1%，投标人加1分，最高加</w:t>
            </w:r>
            <w:r>
              <w:rPr>
                <w:rFonts w:ascii="宋体" w:hAnsi="宋体" w:cs="仿宋"/>
                <w:color w:val="000000"/>
                <w:sz w:val="24"/>
              </w:rPr>
              <w:t>5</w:t>
            </w:r>
            <w:r>
              <w:rPr>
                <w:rFonts w:hint="eastAsia" w:ascii="宋体" w:hAnsi="宋体" w:cs="仿宋"/>
                <w:color w:val="000000"/>
                <w:sz w:val="24"/>
              </w:rPr>
              <w:t>分。</w:t>
            </w:r>
          </w:p>
        </w:tc>
      </w:tr>
      <w:permEnd w:id="96"/>
      <w:permEnd w:id="97"/>
      <w:permEnd w:id="9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9" w:edGrp="everyone" w:colFirst="1" w:colLast="1"/>
            <w:permStart w:id="100" w:edGrp="everyone" w:colFirst="2" w:colLast="2"/>
            <w:permStart w:id="10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 </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  </w:t>
            </w:r>
          </w:p>
        </w:tc>
      </w:tr>
      <w:permEnd w:id="99"/>
      <w:permEnd w:id="100"/>
      <w:permEnd w:id="101"/>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bookmarkStart w:id="371" w:name="_Toc246996975"/>
      <w:bookmarkStart w:id="372" w:name="_Toc296602477"/>
      <w:bookmarkStart w:id="373" w:name="_Toc152045589"/>
      <w:bookmarkStart w:id="374" w:name="_Toc179632607"/>
      <w:bookmarkStart w:id="375" w:name="_Toc246996232"/>
      <w:bookmarkStart w:id="376" w:name="_Toc247085747"/>
      <w:bookmarkStart w:id="377" w:name="_Toc152042366"/>
      <w:bookmarkStart w:id="378" w:name="_Toc144974556"/>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247085748"/>
      <w:bookmarkStart w:id="380" w:name="_Toc296602478"/>
      <w:bookmarkStart w:id="381" w:name="_Toc152045590"/>
      <w:bookmarkStart w:id="382" w:name="_Toc152042367"/>
      <w:bookmarkStart w:id="383" w:name="_Toc179632608"/>
      <w:bookmarkStart w:id="384" w:name="_Toc144974557"/>
      <w:bookmarkStart w:id="385" w:name="_Toc246996976"/>
      <w:bookmarkStart w:id="386" w:name="_Toc246996233"/>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52042368"/>
      <w:bookmarkStart w:id="388" w:name="_Toc152045591"/>
      <w:bookmarkStart w:id="389" w:name="_Toc296602479"/>
      <w:bookmarkStart w:id="390" w:name="_Toc246996977"/>
      <w:bookmarkStart w:id="391" w:name="_Toc247085749"/>
      <w:bookmarkStart w:id="392" w:name="_Toc179632609"/>
      <w:bookmarkStart w:id="393" w:name="_Toc246996234"/>
      <w:bookmarkStart w:id="394"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246996236"/>
      <w:bookmarkStart w:id="396" w:name="_Toc246996979"/>
      <w:bookmarkStart w:id="397" w:name="_Toc247085751"/>
      <w:bookmarkStart w:id="398" w:name="_Toc179632611"/>
      <w:bookmarkStart w:id="399" w:name="_Toc296602481"/>
      <w:bookmarkStart w:id="400" w:name="_Toc152042370"/>
      <w:bookmarkStart w:id="401" w:name="_Toc152045593"/>
      <w:bookmarkStart w:id="402"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2" w:edGrp="everyone"/>
      <w:r>
        <w:rPr>
          <w:rFonts w:hint="eastAsia" w:ascii="Times New Roman" w:hAnsi="Times New Roman" w:cs="Times New Roman"/>
          <w:kern w:val="0"/>
          <w:sz w:val="24"/>
          <w:szCs w:val="24"/>
          <w:highlight w:val="none"/>
          <w:lang w:val="en-US" w:eastAsia="zh-CN"/>
        </w:rPr>
        <w:t>资信业绩</w:t>
      </w:r>
      <w:permEnd w:id="10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3" w:edGrp="everyone"/>
      <w:r>
        <w:rPr>
          <w:rFonts w:hint="eastAsia" w:ascii="Times New Roman" w:hAnsi="Times New Roman" w:cs="Times New Roman"/>
          <w:kern w:val="0"/>
          <w:sz w:val="24"/>
          <w:szCs w:val="24"/>
          <w:highlight w:val="none"/>
          <w:lang w:val="en-US" w:eastAsia="zh-CN"/>
        </w:rPr>
        <w:t>服务方案</w:t>
      </w:r>
      <w:permEnd w:id="10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4" w:edGrp="everyone"/>
      <w:r>
        <w:rPr>
          <w:rFonts w:hint="eastAsia" w:ascii="Times New Roman" w:hAnsi="Times New Roman" w:cs="Times New Roman" w:eastAsiaTheme="minorEastAsia"/>
          <w:kern w:val="0"/>
          <w:sz w:val="24"/>
          <w:szCs w:val="24"/>
          <w:highlight w:val="none"/>
          <w:lang w:val="en-US" w:eastAsia="zh-CN"/>
        </w:rPr>
        <w:t>投标报价</w:t>
      </w:r>
      <w:permEnd w:id="10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5" w:edGrp="everyone"/>
      <w:r>
        <w:rPr>
          <w:rFonts w:hint="eastAsia" w:ascii="Times New Roman" w:hAnsi="Times New Roman" w:cs="Times New Roman" w:eastAsiaTheme="minorEastAsia"/>
          <w:kern w:val="0"/>
          <w:sz w:val="24"/>
          <w:szCs w:val="24"/>
          <w:highlight w:val="none"/>
          <w:lang w:val="en-US" w:eastAsia="zh-CN"/>
        </w:rPr>
        <w:t>其他评分因素</w:t>
      </w:r>
      <w:permEnd w:id="10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152042371"/>
      <w:bookmarkStart w:id="404" w:name="_Toc296602482"/>
      <w:bookmarkStart w:id="405" w:name="_Toc247085752"/>
      <w:bookmarkStart w:id="406" w:name="_Toc179632612"/>
      <w:bookmarkStart w:id="407" w:name="_Toc246996980"/>
      <w:bookmarkStart w:id="408" w:name="_Toc246996237"/>
      <w:bookmarkStart w:id="409" w:name="_Toc152045594"/>
      <w:bookmarkStart w:id="410" w:name="_Toc144974561"/>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296602483"/>
      <w:bookmarkStart w:id="412" w:name="_Toc152042372"/>
      <w:bookmarkStart w:id="413" w:name="_Toc179632613"/>
      <w:bookmarkStart w:id="414" w:name="_Toc152045595"/>
      <w:bookmarkStart w:id="415" w:name="_Toc246996981"/>
      <w:bookmarkStart w:id="416" w:name="_Toc247085753"/>
      <w:bookmarkStart w:id="417" w:name="_Toc144974562"/>
      <w:bookmarkStart w:id="418" w:name="_Toc246996238"/>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247085754"/>
      <w:bookmarkStart w:id="421" w:name="_Toc296602484"/>
      <w:bookmarkStart w:id="422" w:name="_Toc246996239"/>
      <w:bookmarkStart w:id="423" w:name="_Toc152045596"/>
      <w:bookmarkStart w:id="424" w:name="_Toc152042373"/>
      <w:bookmarkStart w:id="425" w:name="_Toc179632614"/>
      <w:bookmarkStart w:id="426"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1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10"/>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1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3"/>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color w:val="auto"/>
                <w:kern w:val="0"/>
                <w:sz w:val="24"/>
                <w:szCs w:val="24"/>
                <w:highlight w:val="none"/>
                <w:shd w:val="clear" w:color="auto" w:fill="auto"/>
              </w:rPr>
              <w:t>安徽通享商业运营管理有限公司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outlineLvl w:val="9"/>
              <w:rPr>
                <w:rFonts w:hint="default" w:ascii="Times New Roman" w:hAnsi="Times New Roman" w:cs="Times New Roman"/>
                <w:kern w:val="0"/>
                <w:sz w:val="24"/>
                <w:szCs w:val="24"/>
                <w:highlight w:val="none"/>
                <w:shd w:val="clear" w:color="auto" w:fill="auto"/>
              </w:rPr>
            </w:pPr>
            <w:permStart w:id="115" w:edGrp="everyone"/>
            <w:r>
              <w:rPr>
                <w:rFonts w:hint="default" w:ascii="Times New Roman" w:hAnsi="Times New Roman" w:cs="Times New Roman"/>
                <w:kern w:val="0"/>
                <w:sz w:val="24"/>
                <w:szCs w:val="24"/>
                <w:highlight w:val="none"/>
                <w:shd w:val="clear" w:color="auto" w:fill="auto"/>
              </w:rPr>
              <w:t>按照先服务后结算方法，根据合同签订分成按月结算。运营合作费用按月结算，招标人每月15号前完成上月度对中标人的运营考核工作，并根据上月营业收入、合同约定的分成比例、运营考核结果向中标人支付运营合作费用</w:t>
            </w:r>
          </w:p>
          <w:permEnd w:id="115"/>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6" w:edGrp="everyone"/>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   </w:t>
            </w:r>
            <w:permEnd w:id="116"/>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000000" w:themeColor="text1"/>
          <w:sz w:val="32"/>
          <w:szCs w:val="32"/>
          <w14:textFill>
            <w14:solidFill>
              <w14:schemeClr w14:val="tx1"/>
            </w14:solidFill>
          </w14:textFill>
        </w:rPr>
      </w:pPr>
      <w:permStart w:id="117" w:edGrp="everyone"/>
      <w:r>
        <w:rPr>
          <w:rFonts w:hint="eastAsia" w:ascii="Times New Roman" w:hAnsi="Times New Roman" w:cs="Times New Roman"/>
          <w:kern w:val="0"/>
          <w:sz w:val="24"/>
          <w:szCs w:val="24"/>
          <w:highlight w:val="none"/>
          <w:lang w:val="en-US" w:eastAsia="zh-CN"/>
        </w:rPr>
        <w:t>一、</w:t>
      </w:r>
      <w:r>
        <w:rPr>
          <w:rFonts w:ascii="Times New Roman" w:hAnsi="Times New Roman" w:cs="Times New Roman"/>
          <w:color w:val="000000" w:themeColor="text1"/>
          <w:sz w:val="32"/>
          <w:szCs w:val="32"/>
          <w14:textFill>
            <w14:solidFill>
              <w14:schemeClr w14:val="tx1"/>
            </w14:solidFill>
          </w14:textFill>
        </w:rPr>
        <w:t>项目概况：</w:t>
      </w:r>
      <w:r>
        <w:rPr>
          <w:rFonts w:hint="eastAsia" w:ascii="Times New Roman" w:hAnsi="Times New Roman" w:cs="Times New Roman"/>
          <w:color w:val="000000" w:themeColor="text1"/>
          <w:sz w:val="32"/>
          <w:szCs w:val="32"/>
          <w14:textFill>
            <w14:solidFill>
              <w14:schemeClr w14:val="tx1"/>
            </w14:solidFill>
          </w14:textFill>
        </w:rPr>
        <w:t>为进一步规范城区停车秩序，盘活公共停车资源，拟通过收费管理方式调节停车泊位的供需平衡，项目范围为中心城区杜仲路、紫苑路、文帝街等具备临时停车条件的市政道路周边停车泊位，运营管理的停车泊位约2</w:t>
      </w:r>
      <w:r>
        <w:rPr>
          <w:rFonts w:ascii="Times New Roman" w:hAnsi="Times New Roman" w:cs="Times New Roman"/>
          <w:color w:val="000000" w:themeColor="text1"/>
          <w:sz w:val="32"/>
          <w:szCs w:val="32"/>
          <w14:textFill>
            <w14:solidFill>
              <w14:schemeClr w14:val="tx1"/>
            </w14:solidFill>
          </w14:textFill>
        </w:rPr>
        <w:t>500</w:t>
      </w:r>
      <w:r>
        <w:rPr>
          <w:rFonts w:hint="eastAsia" w:ascii="Times New Roman" w:hAnsi="Times New Roman" w:cs="Times New Roman"/>
          <w:color w:val="000000" w:themeColor="text1"/>
          <w:sz w:val="32"/>
          <w:szCs w:val="32"/>
          <w14:textFill>
            <w14:solidFill>
              <w14:schemeClr w14:val="tx1"/>
            </w14:solidFill>
          </w14:textFill>
        </w:rPr>
        <w:t>个</w:t>
      </w:r>
    </w:p>
    <w:permEnd w:id="117"/>
    <w:p>
      <w:pPr>
        <w:spacing w:line="520" w:lineRule="exact"/>
        <w:ind w:firstLine="320" w:firstLineChars="1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二、</w:t>
      </w:r>
      <w:r>
        <w:rPr>
          <w:rFonts w:hint="eastAsia" w:ascii="Times New Roman" w:hAnsi="Times New Roman" w:cs="Times New Roman"/>
          <w:color w:val="000000" w:themeColor="text1"/>
          <w:sz w:val="32"/>
          <w:szCs w:val="32"/>
          <w14:textFill>
            <w14:solidFill>
              <w14:schemeClr w14:val="tx1"/>
            </w14:solidFill>
          </w14:textFill>
        </w:rPr>
        <w:t>停车收费管理工作执行的收费标准为：</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cs="Times New Roman"/>
          <w:color w:val="000000" w:themeColor="text1"/>
          <w:sz w:val="32"/>
          <w:szCs w:val="32"/>
          <w:lang w:val="en-US" w:eastAsia="zh-CN"/>
          <w14:textFill>
            <w14:solidFill>
              <w14:schemeClr w14:val="tx1"/>
            </w14:solidFill>
          </w14:textFill>
        </w:rPr>
      </w:pPr>
    </w:p>
    <w:p>
      <w:pP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74310" cy="1868805"/>
            <wp:effectExtent l="0" t="0" r="25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74310" cy="1868805"/>
                    </a:xfrm>
                    <a:prstGeom prst="rect">
                      <a:avLst/>
                    </a:prstGeom>
                  </pic:spPr>
                </pic:pic>
              </a:graphicData>
            </a:graphic>
          </wp:inline>
        </w:drawing>
      </w:r>
    </w:p>
    <w:p>
      <w:pPr>
        <w:rPr>
          <w:rFonts w:hint="eastAsia" w:ascii="仿宋" w:hAnsi="仿宋" w:eastAsia="仿宋" w:cs="仿宋"/>
          <w:bCs/>
          <w:color w:val="000000" w:themeColor="text1"/>
          <w:sz w:val="32"/>
          <w:szCs w:val="32"/>
          <w14:textFill>
            <w14:solidFill>
              <w14:schemeClr w14:val="tx1"/>
            </w14:solidFill>
          </w14:textFill>
        </w:rPr>
      </w:pPr>
    </w:p>
    <w:p>
      <w:pPr>
        <w:rPr>
          <w:rFonts w:hint="eastAsia" w:ascii="仿宋" w:hAnsi="仿宋" w:eastAsia="仿宋" w:cs="仿宋"/>
          <w:bCs/>
          <w:color w:val="000000" w:themeColor="text1"/>
          <w:sz w:val="32"/>
          <w:szCs w:val="32"/>
          <w14:textFill>
            <w14:solidFill>
              <w14:schemeClr w14:val="tx1"/>
            </w14:solidFill>
          </w14:textFill>
        </w:rPr>
      </w:pPr>
    </w:p>
    <w:p>
      <w:pPr>
        <w:rPr>
          <w:rFonts w:hint="eastAsia" w:ascii="仿宋" w:hAnsi="仿宋" w:eastAsia="仿宋" w:cs="仿宋"/>
          <w:bCs/>
          <w:color w:val="000000" w:themeColor="text1"/>
          <w:sz w:val="32"/>
          <w:szCs w:val="32"/>
          <w14:textFill>
            <w14:solidFill>
              <w14:schemeClr w14:val="tx1"/>
            </w14:solidFill>
          </w14:textFill>
        </w:rPr>
      </w:pPr>
    </w:p>
    <w:p>
      <w:pPr>
        <w:rPr>
          <w:rFonts w:hint="eastAsia" w:ascii="仿宋" w:hAnsi="仿宋" w:eastAsia="仿宋" w:cs="仿宋"/>
          <w:bCs/>
          <w:color w:val="000000" w:themeColor="text1"/>
          <w:sz w:val="32"/>
          <w:szCs w:val="32"/>
          <w14:textFill>
            <w14:solidFill>
              <w14:schemeClr w14:val="tx1"/>
            </w14:solidFill>
          </w14:textFill>
        </w:rPr>
      </w:pPr>
    </w:p>
    <w:p>
      <w:pPr>
        <w:rPr>
          <w:rFonts w:hint="eastAsia" w:ascii="仿宋" w:hAnsi="仿宋" w:eastAsia="仿宋" w:cs="仿宋"/>
          <w:bCs/>
          <w:color w:val="000000" w:themeColor="text1"/>
          <w:sz w:val="32"/>
          <w:szCs w:val="32"/>
          <w14:textFill>
            <w14:solidFill>
              <w14:schemeClr w14:val="tx1"/>
            </w14:solidFill>
          </w14:textFill>
        </w:rPr>
      </w:pPr>
    </w:p>
    <w:p>
      <w:pPr>
        <w:rPr>
          <w:rFonts w:hint="eastAsia" w:ascii="仿宋" w:hAnsi="仿宋" w:eastAsia="仿宋" w:cs="仿宋"/>
          <w:bCs/>
          <w:color w:val="000000" w:themeColor="text1"/>
          <w:sz w:val="32"/>
          <w:szCs w:val="32"/>
          <w14:textFill>
            <w14:solidFill>
              <w14:schemeClr w14:val="tx1"/>
            </w14:solidFill>
          </w14:textFill>
        </w:rPr>
      </w:pPr>
    </w:p>
    <w:p>
      <w:pPr>
        <w:rPr>
          <w:rFonts w:hint="eastAsia" w:ascii="仿宋" w:hAnsi="仿宋" w:eastAsia="仿宋" w:cs="仿宋"/>
          <w:bCs/>
          <w:color w:val="000000" w:themeColor="text1"/>
          <w:sz w:val="32"/>
          <w:szCs w:val="32"/>
          <w14:textFill>
            <w14:solidFill>
              <w14:schemeClr w14:val="tx1"/>
            </w14:solidFill>
          </w14:textFill>
        </w:rPr>
      </w:pPr>
    </w:p>
    <w:p>
      <w:pPr>
        <w:rPr>
          <w:rFonts w:hint="eastAsia" w:ascii="仿宋" w:hAnsi="仿宋" w:eastAsia="仿宋" w:cs="仿宋"/>
          <w:bCs/>
          <w:color w:val="000000" w:themeColor="text1"/>
          <w:sz w:val="32"/>
          <w:szCs w:val="32"/>
          <w14:textFill>
            <w14:solidFill>
              <w14:schemeClr w14:val="tx1"/>
            </w14:solidFill>
          </w14:textFill>
        </w:rPr>
      </w:pPr>
    </w:p>
    <w:p>
      <w:pPr>
        <w:rPr>
          <w:rFonts w:hint="eastAsia" w:ascii="仿宋" w:hAnsi="仿宋" w:eastAsia="仿宋" w:cs="仿宋"/>
          <w:bCs/>
          <w:color w:val="000000" w:themeColor="text1"/>
          <w:sz w:val="32"/>
          <w:szCs w:val="32"/>
          <w14:textFill>
            <w14:solidFill>
              <w14:schemeClr w14:val="tx1"/>
            </w14:solidFill>
          </w14:textFill>
        </w:rPr>
      </w:pPr>
    </w:p>
    <w:p>
      <w:pPr>
        <w:rPr>
          <w:rFonts w:hint="eastAsia" w:ascii="仿宋" w:hAnsi="仿宋" w:eastAsia="仿宋" w:cs="仿宋"/>
          <w:bCs/>
          <w:color w:val="000000" w:themeColor="text1"/>
          <w:sz w:val="32"/>
          <w:szCs w:val="32"/>
          <w14:textFill>
            <w14:solidFill>
              <w14:schemeClr w14:val="tx1"/>
            </w14:solidFill>
          </w14:textFill>
        </w:rPr>
      </w:pPr>
    </w:p>
    <w:p>
      <w:pPr>
        <w:rPr>
          <w:rFonts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三、</w:t>
      </w:r>
      <w:r>
        <w:rPr>
          <w:rFonts w:hint="eastAsia" w:ascii="仿宋" w:hAnsi="仿宋" w:eastAsia="仿宋" w:cs="仿宋"/>
          <w:bCs/>
          <w:color w:val="000000" w:themeColor="text1"/>
          <w:sz w:val="32"/>
          <w:szCs w:val="32"/>
          <w14:textFill>
            <w14:solidFill>
              <w14:schemeClr w14:val="tx1"/>
            </w14:solidFill>
          </w14:textFill>
        </w:rPr>
        <w:t>实施路段为：</w:t>
      </w:r>
    </w:p>
    <w:p>
      <w:r>
        <w:drawing>
          <wp:inline distT="0" distB="0" distL="0" distR="0">
            <wp:extent cx="4876800" cy="68294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4876800" cy="6829425"/>
                    </a:xfrm>
                    <a:prstGeom prst="rect">
                      <a:avLst/>
                    </a:prstGeom>
                  </pic:spPr>
                </pic:pic>
              </a:graphicData>
            </a:graphic>
          </wp:inline>
        </w:drawing>
      </w:r>
    </w:p>
    <w:p>
      <w:pPr>
        <w:spacing w:line="520" w:lineRule="exact"/>
        <w:ind w:firstLine="0" w:firstLineChars="0"/>
        <w:jc w:val="both"/>
        <w:rPr>
          <w:rFonts w:hint="default" w:ascii="Times New Roman" w:hAnsi="Times New Roman" w:cs="Times New Roman"/>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四、发包人要求</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1</w:t>
      </w:r>
      <w:r>
        <w:rPr>
          <w:rFonts w:ascii="Times New Roman" w:hAnsi="Times New Roman" w:cs="Times New Roman"/>
          <w:color w:val="000000" w:themeColor="text1"/>
          <w:sz w:val="32"/>
          <w:szCs w:val="32"/>
          <w14:textFill>
            <w14:solidFill>
              <w14:schemeClr w14:val="tx1"/>
            </w14:solidFill>
          </w14:textFill>
        </w:rPr>
        <w:t>.</w:t>
      </w:r>
      <w:r>
        <w:rPr>
          <w:rFonts w:hint="eastAsia" w:ascii="Times New Roman" w:hAnsi="Times New Roman" w:cs="Times New Roman"/>
          <w:color w:val="000000" w:themeColor="text1"/>
          <w:sz w:val="32"/>
          <w:szCs w:val="32"/>
          <w14:textFill>
            <w14:solidFill>
              <w14:schemeClr w14:val="tx1"/>
            </w14:solidFill>
          </w14:textFill>
        </w:rPr>
        <w:t xml:space="preserve"> 招标人</w:t>
      </w:r>
      <w:r>
        <w:rPr>
          <w:rFonts w:ascii="Times New Roman" w:hAnsi="Times New Roman" w:cs="Times New Roman"/>
          <w:color w:val="000000" w:themeColor="text1"/>
          <w:sz w:val="32"/>
          <w:szCs w:val="32"/>
          <w14:textFill>
            <w14:solidFill>
              <w14:schemeClr w14:val="tx1"/>
            </w14:solidFill>
          </w14:textFill>
        </w:rPr>
        <w:t>按照</w:t>
      </w:r>
      <w:r>
        <w:rPr>
          <w:rFonts w:hint="eastAsia" w:ascii="Times New Roman" w:hAnsi="Times New Roman" w:cs="Times New Roman"/>
          <w:color w:val="000000" w:themeColor="text1"/>
          <w:sz w:val="32"/>
          <w:szCs w:val="32"/>
          <w14:textFill>
            <w14:solidFill>
              <w14:schemeClr w14:val="tx1"/>
            </w14:solidFill>
          </w14:textFill>
        </w:rPr>
        <w:t>25</w:t>
      </w:r>
      <w:r>
        <w:rPr>
          <w:rFonts w:ascii="Times New Roman" w:hAnsi="Times New Roman" w:cs="Times New Roman"/>
          <w:color w:val="000000" w:themeColor="text1"/>
          <w:sz w:val="32"/>
          <w:szCs w:val="32"/>
          <w14:textFill>
            <w14:solidFill>
              <w14:schemeClr w14:val="tx1"/>
            </w14:solidFill>
          </w14:textFill>
        </w:rPr>
        <w:t>00</w:t>
      </w:r>
      <w:r>
        <w:rPr>
          <w:rFonts w:hint="eastAsia" w:ascii="Times New Roman" w:hAnsi="Times New Roman" w:cs="Times New Roman"/>
          <w:color w:val="000000" w:themeColor="text1"/>
          <w:sz w:val="32"/>
          <w:szCs w:val="32"/>
          <w14:textFill>
            <w14:solidFill>
              <w14:schemeClr w14:val="tx1"/>
            </w14:solidFill>
          </w14:textFill>
        </w:rPr>
        <w:t>个</w:t>
      </w:r>
      <w:r>
        <w:rPr>
          <w:rFonts w:ascii="Times New Roman" w:hAnsi="Times New Roman" w:cs="Times New Roman"/>
          <w:color w:val="000000" w:themeColor="text1"/>
          <w:sz w:val="32"/>
          <w:szCs w:val="32"/>
          <w14:textFill>
            <w14:solidFill>
              <w14:schemeClr w14:val="tx1"/>
            </w14:solidFill>
          </w14:textFill>
        </w:rPr>
        <w:t>泊位数量为基数，设定</w:t>
      </w:r>
      <w:r>
        <w:rPr>
          <w:rFonts w:hint="eastAsia" w:ascii="Times New Roman" w:hAnsi="Times New Roman" w:cs="Times New Roman"/>
          <w:color w:val="000000" w:themeColor="text1"/>
          <w:sz w:val="32"/>
          <w:szCs w:val="32"/>
          <w14:textFill>
            <w14:solidFill>
              <w14:schemeClr w14:val="tx1"/>
            </w14:solidFill>
          </w14:textFill>
        </w:rPr>
        <w:t>分成</w:t>
      </w:r>
      <w:r>
        <w:rPr>
          <w:rFonts w:ascii="Times New Roman" w:hAnsi="Times New Roman" w:cs="Times New Roman"/>
          <w:color w:val="000000" w:themeColor="text1"/>
          <w:sz w:val="32"/>
          <w:szCs w:val="32"/>
          <w14:textFill>
            <w14:solidFill>
              <w14:schemeClr w14:val="tx1"/>
            </w14:solidFill>
          </w14:textFill>
        </w:rPr>
        <w:t>比例的区间数值</w:t>
      </w:r>
      <w:r>
        <w:rPr>
          <w:rFonts w:hint="eastAsia" w:ascii="Times New Roman" w:hAnsi="Times New Roman" w:cs="Times New Roman"/>
          <w:color w:val="000000" w:themeColor="text1"/>
          <w:sz w:val="32"/>
          <w:szCs w:val="32"/>
          <w14:textFill>
            <w14:solidFill>
              <w14:schemeClr w14:val="tx1"/>
            </w14:solidFill>
          </w14:textFill>
        </w:rPr>
        <w:t>，</w:t>
      </w:r>
      <w:r>
        <w:rPr>
          <w:rFonts w:ascii="Times New Roman" w:hAnsi="Times New Roman" w:cs="Times New Roman"/>
          <w:color w:val="000000" w:themeColor="text1"/>
          <w:sz w:val="32"/>
          <w:szCs w:val="32"/>
          <w14:textFill>
            <w14:solidFill>
              <w14:schemeClr w14:val="tx1"/>
            </w14:solidFill>
          </w14:textFill>
        </w:rPr>
        <w:t>具体</w:t>
      </w:r>
      <w:r>
        <w:rPr>
          <w:rFonts w:hint="eastAsia" w:ascii="Times New Roman" w:hAnsi="Times New Roman" w:cs="Times New Roman"/>
          <w:color w:val="000000" w:themeColor="text1"/>
          <w:sz w:val="32"/>
          <w:szCs w:val="32"/>
          <w14:textFill>
            <w14:solidFill>
              <w14:schemeClr w14:val="tx1"/>
            </w14:solidFill>
          </w14:textFill>
        </w:rPr>
        <w:t>运营</w:t>
      </w:r>
      <w:r>
        <w:rPr>
          <w:rFonts w:ascii="Times New Roman" w:hAnsi="Times New Roman" w:cs="Times New Roman"/>
          <w:color w:val="000000" w:themeColor="text1"/>
          <w:sz w:val="32"/>
          <w:szCs w:val="32"/>
          <w14:textFill>
            <w14:solidFill>
              <w14:schemeClr w14:val="tx1"/>
            </w14:solidFill>
          </w14:textFill>
        </w:rPr>
        <w:t>泊位数量</w:t>
      </w:r>
      <w:r>
        <w:rPr>
          <w:rFonts w:hint="eastAsia" w:ascii="Times New Roman" w:hAnsi="Times New Roman" w:cs="Times New Roman"/>
          <w:color w:val="000000" w:themeColor="text1"/>
          <w:sz w:val="32"/>
          <w:szCs w:val="32"/>
          <w14:textFill>
            <w14:solidFill>
              <w14:schemeClr w14:val="tx1"/>
            </w14:solidFill>
          </w14:textFill>
        </w:rPr>
        <w:t>以</w:t>
      </w:r>
      <w:r>
        <w:rPr>
          <w:rFonts w:ascii="Times New Roman" w:hAnsi="Times New Roman" w:cs="Times New Roman"/>
          <w:color w:val="000000" w:themeColor="text1"/>
          <w:sz w:val="32"/>
          <w:szCs w:val="32"/>
          <w14:textFill>
            <w14:solidFill>
              <w14:schemeClr w14:val="tx1"/>
            </w14:solidFill>
          </w14:textFill>
        </w:rPr>
        <w:t>招标人实际提供泊位数量为准，</w:t>
      </w:r>
      <w:r>
        <w:rPr>
          <w:rFonts w:hint="eastAsia" w:ascii="Times New Roman" w:hAnsi="Times New Roman" w:cs="Times New Roman"/>
          <w:color w:val="000000" w:themeColor="text1"/>
          <w:sz w:val="32"/>
          <w:szCs w:val="32"/>
          <w14:textFill>
            <w14:solidFill>
              <w14:schemeClr w14:val="tx1"/>
            </w14:solidFill>
          </w14:textFill>
        </w:rPr>
        <w:t>后期如运营管理泊位数量发生变动，发包人、投标人参照约定</w:t>
      </w:r>
      <w:r>
        <w:rPr>
          <w:rFonts w:ascii="Times New Roman" w:hAnsi="Times New Roman" w:cs="Times New Roman"/>
          <w:color w:val="000000" w:themeColor="text1"/>
          <w:sz w:val="32"/>
          <w:szCs w:val="32"/>
          <w14:textFill>
            <w14:solidFill>
              <w14:schemeClr w14:val="tx1"/>
            </w14:solidFill>
          </w14:textFill>
        </w:rPr>
        <w:t>的</w:t>
      </w:r>
      <w:r>
        <w:rPr>
          <w:rFonts w:hint="eastAsia" w:ascii="Times New Roman" w:hAnsi="Times New Roman" w:cs="Times New Roman"/>
          <w:color w:val="000000" w:themeColor="text1"/>
          <w:sz w:val="32"/>
          <w:szCs w:val="32"/>
          <w14:textFill>
            <w14:solidFill>
              <w14:schemeClr w14:val="tx1"/>
            </w14:solidFill>
          </w14:textFill>
        </w:rPr>
        <w:t>分成比例协商</w:t>
      </w:r>
      <w:r>
        <w:rPr>
          <w:rFonts w:ascii="Times New Roman" w:hAnsi="Times New Roman" w:cs="Times New Roman"/>
          <w:color w:val="000000" w:themeColor="text1"/>
          <w:sz w:val="32"/>
          <w:szCs w:val="32"/>
          <w14:textFill>
            <w14:solidFill>
              <w14:schemeClr w14:val="tx1"/>
            </w14:solidFill>
          </w14:textFill>
        </w:rPr>
        <w:t>执行</w:t>
      </w:r>
      <w:r>
        <w:rPr>
          <w:rFonts w:hint="eastAsia" w:ascii="Times New Roman" w:hAnsi="Times New Roman" w:cs="Times New Roman"/>
          <w:color w:val="000000" w:themeColor="text1"/>
          <w:sz w:val="32"/>
          <w:szCs w:val="32"/>
          <w14:textFill>
            <w14:solidFill>
              <w14:schemeClr w14:val="tx1"/>
            </w14:solidFill>
          </w14:textFill>
        </w:rPr>
        <w:t>。</w:t>
      </w:r>
    </w:p>
    <w:p>
      <w:pPr>
        <w:spacing w:line="520" w:lineRule="exact"/>
        <w:ind w:firstLine="640" w:firstLineChars="200"/>
        <w:jc w:val="both"/>
        <w:rPr>
          <w:rFonts w:hint="eastAsia"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2</w:t>
      </w:r>
      <w:r>
        <w:rPr>
          <w:rFonts w:ascii="Times New Roman" w:hAnsi="Times New Roman" w:cs="Times New Roman"/>
          <w:color w:val="000000" w:themeColor="text1"/>
          <w:sz w:val="32"/>
          <w:szCs w:val="32"/>
          <w14:textFill>
            <w14:solidFill>
              <w14:schemeClr w14:val="tx1"/>
            </w14:solidFill>
          </w14:textFill>
        </w:rPr>
        <w:t>.</w:t>
      </w:r>
      <w:r>
        <w:rPr>
          <w:rFonts w:hint="eastAsia" w:ascii="Times New Roman" w:hAnsi="Times New Roman" w:cs="Times New Roman"/>
          <w:color w:val="000000" w:themeColor="text1"/>
          <w:sz w:val="32"/>
          <w:szCs w:val="32"/>
          <w14:textFill>
            <w14:solidFill>
              <w14:schemeClr w14:val="tx1"/>
            </w14:solidFill>
          </w14:textFill>
        </w:rPr>
        <w:t>项目运营期间，投标人需保证泊位管理覆盖率不低于</w:t>
      </w:r>
      <w:r>
        <w:rPr>
          <w:rFonts w:ascii="Times New Roman" w:hAnsi="Times New Roman" w:cs="Times New Roman"/>
          <w:color w:val="000000" w:themeColor="text1"/>
          <w:sz w:val="32"/>
          <w:szCs w:val="32"/>
          <w14:textFill>
            <w14:solidFill>
              <w14:schemeClr w14:val="tx1"/>
            </w14:solidFill>
          </w14:textFill>
        </w:rPr>
        <w:t>95</w:t>
      </w:r>
      <w:r>
        <w:rPr>
          <w:rFonts w:hint="eastAsia" w:ascii="Times New Roman" w:hAnsi="Times New Roman" w:cs="Times New Roman"/>
          <w:color w:val="000000" w:themeColor="text1"/>
          <w:sz w:val="32"/>
          <w:szCs w:val="32"/>
          <w14:textFill>
            <w14:solidFill>
              <w14:schemeClr w14:val="tx1"/>
            </w14:solidFill>
          </w14:textFill>
        </w:rPr>
        <w:t>%，泊管员配置人数比例不低于6</w:t>
      </w:r>
      <w:r>
        <w:rPr>
          <w:rFonts w:ascii="Times New Roman" w:hAnsi="Times New Roman" w:cs="Times New Roman"/>
          <w:color w:val="000000" w:themeColor="text1"/>
          <w:sz w:val="32"/>
          <w:szCs w:val="32"/>
          <w14:textFill>
            <w14:solidFill>
              <w14:schemeClr w14:val="tx1"/>
            </w14:solidFill>
          </w14:textFill>
        </w:rPr>
        <w:t>0</w:t>
      </w:r>
      <w:r>
        <w:rPr>
          <w:rFonts w:hint="eastAsia" w:ascii="Times New Roman" w:hAnsi="Times New Roman" w:cs="Times New Roman"/>
          <w:color w:val="000000" w:themeColor="text1"/>
          <w:sz w:val="32"/>
          <w:szCs w:val="32"/>
          <w14:textFill>
            <w14:solidFill>
              <w14:schemeClr w14:val="tx1"/>
            </w14:solidFill>
          </w14:textFill>
        </w:rPr>
        <w:t>泊位</w:t>
      </w:r>
      <w:r>
        <w:rPr>
          <w:rFonts w:ascii="Times New Roman" w:hAnsi="Times New Roman" w:cs="Times New Roman"/>
          <w:color w:val="000000" w:themeColor="text1"/>
          <w:sz w:val="32"/>
          <w:szCs w:val="32"/>
          <w14:textFill>
            <w14:solidFill>
              <w14:schemeClr w14:val="tx1"/>
            </w14:solidFill>
          </w14:textFill>
        </w:rPr>
        <w:t>/</w:t>
      </w:r>
      <w:r>
        <w:rPr>
          <w:rFonts w:hint="eastAsia" w:ascii="Times New Roman" w:hAnsi="Times New Roman" w:cs="Times New Roman"/>
          <w:color w:val="000000" w:themeColor="text1"/>
          <w:sz w:val="32"/>
          <w:szCs w:val="32"/>
          <w14:textFill>
            <w14:solidFill>
              <w14:schemeClr w14:val="tx1"/>
            </w14:solidFill>
          </w14:textFill>
        </w:rPr>
        <w:t>人，平均月收费率不低于7</w:t>
      </w:r>
      <w:r>
        <w:rPr>
          <w:rFonts w:ascii="Times New Roman" w:hAnsi="Times New Roman" w:cs="Times New Roman"/>
          <w:color w:val="000000" w:themeColor="text1"/>
          <w:sz w:val="32"/>
          <w:szCs w:val="32"/>
          <w14:textFill>
            <w14:solidFill>
              <w14:schemeClr w14:val="tx1"/>
            </w14:solidFill>
          </w14:textFill>
        </w:rPr>
        <w:t>0</w:t>
      </w:r>
      <w:r>
        <w:rPr>
          <w:rFonts w:hint="eastAsia" w:ascii="Times New Roman" w:hAnsi="Times New Roman" w:cs="Times New Roman"/>
          <w:color w:val="000000" w:themeColor="text1"/>
          <w:sz w:val="32"/>
          <w:szCs w:val="32"/>
          <w14:textFill>
            <w14:solidFill>
              <w14:schemeClr w14:val="tx1"/>
            </w14:solidFill>
          </w14:textFill>
        </w:rPr>
        <w:t>%，每年有效投诉次数不高于2</w:t>
      </w:r>
      <w:r>
        <w:rPr>
          <w:rFonts w:ascii="Times New Roman" w:hAnsi="Times New Roman" w:cs="Times New Roman"/>
          <w:color w:val="000000" w:themeColor="text1"/>
          <w:sz w:val="32"/>
          <w:szCs w:val="32"/>
          <w14:textFill>
            <w14:solidFill>
              <w14:schemeClr w14:val="tx1"/>
            </w14:solidFill>
          </w14:textFill>
        </w:rPr>
        <w:t>0</w:t>
      </w:r>
      <w:r>
        <w:rPr>
          <w:rFonts w:hint="eastAsia" w:ascii="Times New Roman" w:hAnsi="Times New Roman" w:cs="Times New Roman"/>
          <w:color w:val="000000" w:themeColor="text1"/>
          <w:sz w:val="32"/>
          <w:szCs w:val="32"/>
          <w14:textFill>
            <w14:solidFill>
              <w14:schemeClr w14:val="tx1"/>
            </w14:solidFill>
          </w14:textFill>
        </w:rPr>
        <w:t>次，投诉处理满意率10</w:t>
      </w:r>
      <w:r>
        <w:rPr>
          <w:rFonts w:ascii="Times New Roman" w:hAnsi="Times New Roman" w:cs="Times New Roman"/>
          <w:color w:val="000000" w:themeColor="text1"/>
          <w:sz w:val="32"/>
          <w:szCs w:val="32"/>
          <w14:textFill>
            <w14:solidFill>
              <w14:schemeClr w14:val="tx1"/>
            </w14:solidFill>
          </w14:textFill>
        </w:rPr>
        <w:t>0</w:t>
      </w:r>
      <w:r>
        <w:rPr>
          <w:rFonts w:hint="eastAsia" w:ascii="Times New Roman" w:hAnsi="Times New Roman" w:cs="Times New Roman"/>
          <w:color w:val="000000" w:themeColor="text1"/>
          <w:sz w:val="32"/>
          <w:szCs w:val="32"/>
          <w14:textFill>
            <w14:solidFill>
              <w14:schemeClr w14:val="tx1"/>
            </w14:solidFill>
          </w14:textFill>
        </w:rPr>
        <w:t>%，并制定科学、完善的人员考勤、运营服务应急处理要求等体系。</w:t>
      </w:r>
    </w:p>
    <w:p>
      <w:pPr>
        <w:spacing w:line="520" w:lineRule="exact"/>
        <w:ind w:firstLine="640" w:firstLineChars="200"/>
        <w:rPr>
          <w:rFonts w:hint="default" w:ascii="Times New Roman" w:hAnsi="Times New Roman" w:cs="Times New Roman" w:eastAsiaTheme="minorEastAsia"/>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3.中标人应该积极配合发包人，结合项目运营实际情况，联合开展系列优惠促销活动，实现项目运营推广、信息宣传、舆论风险化解等。</w:t>
      </w:r>
    </w:p>
    <w:p>
      <w:pPr>
        <w:spacing w:line="520" w:lineRule="exact"/>
        <w:ind w:firstLine="0" w:firstLineChars="0"/>
        <w:jc w:val="both"/>
        <w:rPr>
          <w:rFonts w:hint="eastAsia" w:ascii="Times New Roman" w:hAnsi="Times New Roman" w:cs="Times New Roman"/>
          <w:color w:val="000000" w:themeColor="text1"/>
          <w:sz w:val="32"/>
          <w:szCs w:val="32"/>
          <w:lang w:val="en-US" w:eastAsia="zh-CN"/>
          <w14:textFill>
            <w14:solidFill>
              <w14:schemeClr w14:val="tx1"/>
            </w14:solidFill>
          </w14:textFill>
        </w:rPr>
      </w:pPr>
    </w:p>
    <w:p>
      <w:pPr>
        <w:numPr>
          <w:ilvl w:val="0"/>
          <w:numId w:val="2"/>
        </w:numPr>
        <w:spacing w:line="520" w:lineRule="exact"/>
        <w:ind w:firstLine="640" w:firstLineChars="200"/>
        <w:jc w:val="both"/>
        <w:rPr>
          <w:rFonts w:hint="eastAsia" w:ascii="Times New Roman" w:hAnsi="Times New Roman" w:cs="Times New Roman"/>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附件</w:t>
      </w:r>
    </w:p>
    <w:p>
      <w:pPr>
        <w:numPr>
          <w:ilvl w:val="-1"/>
          <w:numId w:val="0"/>
        </w:numPr>
        <w:spacing w:line="520" w:lineRule="exact"/>
        <w:ind w:firstLine="0" w:firstLineChars="0"/>
        <w:jc w:val="both"/>
        <w:rPr>
          <w:rFonts w:hint="default" w:ascii="Times New Roman" w:hAnsi="Times New Roman" w:cs="Times New Roman"/>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具体考核标准见道路泊车项目运营考核实施细则，若后期招标人进行修订完善则以修订完善后的版本为准</w:t>
      </w:r>
    </w:p>
    <w:p>
      <w:pPr>
        <w:spacing w:line="520" w:lineRule="exact"/>
        <w:ind w:firstLine="640" w:firstLineChars="200"/>
        <w:jc w:val="center"/>
        <w:rPr>
          <w:rFonts w:hint="eastAsia" w:ascii="Times New Roman" w:hAnsi="Times New Roman" w:cs="Times New Roman"/>
          <w:color w:val="000000" w:themeColor="text1"/>
          <w:sz w:val="32"/>
          <w:szCs w:val="32"/>
          <w:lang w:val="en-US" w:eastAsia="zh-CN"/>
          <w14:textFill>
            <w14:solidFill>
              <w14:schemeClr w14:val="tx1"/>
            </w14:solidFill>
          </w14:textFill>
        </w:rPr>
      </w:pPr>
    </w:p>
    <w:p>
      <w:pPr>
        <w:spacing w:line="520" w:lineRule="exact"/>
        <w:ind w:firstLine="720" w:firstLineChars="200"/>
        <w:jc w:val="center"/>
        <w:rPr>
          <w:rFonts w:ascii="方正小标宋简体" w:hAnsi="Times New Roman" w:eastAsia="方正小标宋简体" w:cs="Times New Roman"/>
          <w:color w:val="000000" w:themeColor="text1"/>
          <w:sz w:val="36"/>
          <w:szCs w:val="32"/>
          <w14:textFill>
            <w14:solidFill>
              <w14:schemeClr w14:val="tx1"/>
            </w14:solidFill>
          </w14:textFill>
        </w:rPr>
      </w:pPr>
      <w:r>
        <w:rPr>
          <w:rFonts w:hint="eastAsia" w:ascii="方正小标宋简体" w:hAnsi="Times New Roman" w:eastAsia="方正小标宋简体" w:cs="Times New Roman"/>
          <w:color w:val="000000" w:themeColor="text1"/>
          <w:sz w:val="36"/>
          <w:szCs w:val="32"/>
          <w14:textFill>
            <w14:solidFill>
              <w14:schemeClr w14:val="tx1"/>
            </w14:solidFill>
          </w14:textFill>
        </w:rPr>
        <w:t>道路泊车项目运营考核实施细则</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为全面提升停车收费服务水平，完善长效管理机制，结合实际，特制定本实施细则。</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一、实施范围</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亳州市城区（甲方指定地点）。</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二、实施主体</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考核由甲方成立考核小组负责具体实施，每季度考核一次，平时以日常巡查为主，每次由考核小组进行评分后得出考核得分。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三、考核内容</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（一）收费率（40分）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实际收费率低于中标承诺收费比例（根据中标方承诺比例进行考核）</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每低于1个基点，扣</w:t>
      </w:r>
      <w:r>
        <w:rPr>
          <w:rFonts w:ascii="Times New Roman" w:hAnsi="Times New Roman" w:cs="Times New Roman"/>
          <w:color w:val="000000" w:themeColor="text1"/>
          <w:sz w:val="32"/>
          <w:szCs w:val="32"/>
          <w14:textFill>
            <w14:solidFill>
              <w14:schemeClr w14:val="tx1"/>
            </w14:solidFill>
          </w14:textFill>
        </w:rPr>
        <w:t>2</w:t>
      </w:r>
      <w:r>
        <w:rPr>
          <w:rFonts w:hint="eastAsia" w:ascii="Times New Roman" w:hAnsi="Times New Roman" w:cs="Times New Roman"/>
          <w:color w:val="000000" w:themeColor="text1"/>
          <w:sz w:val="32"/>
          <w:szCs w:val="32"/>
          <w14:textFill>
            <w14:solidFill>
              <w14:schemeClr w14:val="tx1"/>
            </w14:solidFill>
          </w14:textFill>
        </w:rPr>
        <w:t>分。（不可抗力因素除外）</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（二）泊位管理覆盖率（10分）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实际收费率低于中标承诺收费比例（根据中标方承诺比例进行考核）每低于1个基点，扣1分。（不可抗力因素除外）</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（三）服务投诉（15分）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1、内部设立投诉、监督电话，及时有效的处理各种投诉，并做好投诉回访记录。未及时处理的，每次扣0.5分。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2、市民（车主）通过12345公开电话、公开热线、举报等渠道，反映停车管理存在的问题。有责投诉成立的。每次有效投诉扣1分。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4.现场检查（20分）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（1）现场检查存在以下违规行为的，每件扣1分：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1.所有收费人员应准时上下班，不得迟到、早退，经核查发现收费员迟到、早退超过15分钟或离岗超过15分钟的；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2.停车收费人员及管理人员的人数未按要求配置的；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3.车辆未驶离泊位，但后台发现有30分钟免费离开记录的；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4.收费管理人员与车主相互唾骂、打架等不文明行为的；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5.道路公共停车泊位未按规定收费，不统一使用财政（或税务）部门印制的合法收费票据的；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6.在暗访及现场检查中发现其他严重违规行为的。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（2）现场检查发现以下违规行为的，每件扣0.5分：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1.未按要求统一着装、未佩带工作牌、穿拖鞋上班等影响职业形象的；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2.停车收费人员及管理人员在工作期间，出现离岗、脱岗、串岗、玩手机、下棋、打牌、饮酒、睡觉、闲谈等与工作无关行为且影响整体形象的；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3.收费员现场用的坐凳、遮阳（雨）伞、包等用品破旧、脏乱等影响城市形象的；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4.未按要求做好车辆引导、提醒等服务规范操作的；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5.其他现场停放车辆信息与系统平台不相符的；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6.停车泊位内卫生脏乱、出现白色垃圾或收费员乱丢垃圾等现象的；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7.停车泊位内出现机动车一车停两位或一车停半位的。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8.停车泊位被非机动车、摩托车或其他可移动小件物品占用的；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9.在暗访及现场检查中发现存在收费异常行为及其他违规行为的。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（3）在日常巡查和监督过程中发现以下违规行为的，视情况严重性每件扣1～3分：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1.未按规定上报停车泊位车辆出入和收费情况（财务报表）统计报表的；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2.通过POS机在收费工作点实际收取的金额与信息平台记录的金额收入不相符的；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3.每日收取到的现金费用未在当天汇总并如数上交给招标方专人；</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4.停车泊位内出现长期停放的车辆或存在安全隐患或其他可疑车辆，不上报也不做相应处置的；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5.擅自改变停车泊位使用功能或未经批准利用停车泊位从事其他经营活动的；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6.不及时接待处理有关停车收费的社会投诉、信访事件的；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7.发生重大安全事故、重大不良社会影响事件或发生集体上诉、越级上访事件的。</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（四）拒付费（7分）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因取证不充分而导致的无法催缴或催缴不成功，每件扣0.5分。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（五）停车设施管理（8分）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1.道路与公共停车位泊位标线、标号淡化、存在明显不完整、不清晰的，标志牌等辅助设施缺失、破损，人行道道板松动、破损等，未及时上报维修处理的，每件扣0.2分。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2.停车收费相关设施设备、管理系统出现故障或安全隐患却不及时上报维修处理的，影响停车收费工作开展或人身安全的（如网关掉落、地磁异常等），每件扣0.5分。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3.确保停车泊位设施完好，未按要求定期维护保养的，每件扣0.2分。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四、计分方法</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（一）得分（满分100分）＝未收费率得分+服务投诉得分+现场检查得分+拒付费得分+停车设施管理得分。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（二）考核结果与经费挂钩，考核结果满分为100分。</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1、≥90分（含）以上为合格，支付全额款项。</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2、小于90分以下为不合格。小于90分以下每分扣2000元，在支付款项中扣除，并按要求限期整改，</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3、如连续3次考核不合格或连续2次低于70分的，甲方有权终止合同。</w:t>
      </w:r>
    </w:p>
    <w:p>
      <w:pPr>
        <w:wordWrap w:val="0"/>
        <w:spacing w:line="440" w:lineRule="exact"/>
        <w:ind w:firstLine="0" w:firstLineChars="0"/>
        <w:rPr>
          <w:rFonts w:hint="eastAsia" w:ascii="Times New Roman" w:hAnsi="Times New Roman" w:cs="Times New Roman" w:eastAsiaTheme="minorEastAsia"/>
          <w:color w:val="000000" w:themeColor="text1"/>
          <w:sz w:val="32"/>
          <w:szCs w:val="32"/>
          <w:lang w:val="en-US" w:eastAsia="zh-CN"/>
          <w14:textFill>
            <w14:solidFill>
              <w14:schemeClr w14:val="tx1"/>
            </w14:solidFill>
          </w14:textFill>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7" w:name="_Toc144974856"/>
      <w:bookmarkStart w:id="428" w:name="_Toc247527827"/>
      <w:bookmarkStart w:id="429" w:name="_Toc152045787"/>
      <w:bookmarkStart w:id="430" w:name="_Toc247514246"/>
      <w:bookmarkStart w:id="431" w:name="_Toc152042576"/>
      <w:bookmarkStart w:id="432" w:name="_Toc300835209"/>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433" w:name="_Toc247527828"/>
      <w:bookmarkStart w:id="434" w:name="_Toc152042577"/>
      <w:bookmarkStart w:id="435" w:name="_Toc300835210"/>
      <w:bookmarkStart w:id="436" w:name="_Toc144974857"/>
      <w:bookmarkStart w:id="437" w:name="_Toc152045788"/>
      <w:bookmarkStart w:id="438" w:name="_Toc247514247"/>
      <w:r>
        <w:rPr>
          <w:rFonts w:hint="default"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sz w:val="20"/>
          <w:szCs w:val="20"/>
          <w:lang w:val="en-US" w:eastAsia="zh-CN"/>
        </w:rPr>
      </w:pPr>
      <w:bookmarkStart w:id="439" w:name="_Toc144974859"/>
      <w:bookmarkStart w:id="440" w:name="_Toc247514249"/>
      <w:bookmarkStart w:id="441" w:name="_Toc152045790"/>
      <w:bookmarkStart w:id="442" w:name="_Toc247527830"/>
      <w:bookmarkStart w:id="443" w:name="_Toc152042579"/>
      <w:bookmarkStart w:id="444" w:name="_Toc300835212"/>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eastAsia" w:ascii="Times New Roman" w:hAnsi="Times New Roman" w:cs="Times New Roman"/>
          <w:szCs w:val="21"/>
        </w:rPr>
        <w:t>安徽通享商业运营管理有限公司</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lang w:val="en-US" w:eastAsia="zh-CN"/>
        </w:rPr>
        <w:t>道路泊车二期项目运营管理服务招标项目招标文件的全部内容，愿意以</w:t>
      </w:r>
      <w:permStart w:id="118" w:edGrp="everyone"/>
      <w:r>
        <w:rPr>
          <w:rFonts w:hint="eastAsia" w:ascii="Times New Roman" w:hAnsi="Times New Roman" w:cs="Times New Roman"/>
          <w:szCs w:val="21"/>
          <w:lang w:val="en-US" w:eastAsia="zh-CN"/>
        </w:rPr>
        <w:t>年营业收入在400万元以内（含400万元）部分，招标人按照经营收入的</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支付给运营单位；超过400万元（不含）、不超过600万元（含600万元）部分，招标人按照</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比例支付给运营单位；年营业收入超过600万元部分，招标人按照</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比例支付给运营单位的投标总报价（其中，增值税税率为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18"/>
      <w:r>
        <w:rPr>
          <w:rFonts w:hint="eastAsia" w:ascii="Times New Roman" w:hAnsi="Times New Roman" w:cs="Times New Roman"/>
          <w:szCs w:val="21"/>
          <w:lang w:val="en-US" w:eastAsia="zh-CN"/>
        </w:rPr>
        <w:t>，服务期限：</w:t>
      </w:r>
      <w:permStart w:id="119" w:edGrp="everyone"/>
      <w:r>
        <w:rPr>
          <w:rFonts w:hint="eastAsia" w:ascii="Times New Roman" w:hAnsi="Times New Roman" w:cs="Times New Roman"/>
          <w:szCs w:val="21"/>
          <w:lang w:val="en-US" w:eastAsia="zh-CN"/>
        </w:rPr>
        <w:t>自</w:t>
      </w:r>
      <w:r>
        <w:rPr>
          <w:rFonts w:hint="eastAsia" w:ascii="Times New Roman" w:hAnsi="Times New Roman" w:cs="Times New Roman"/>
          <w:szCs w:val="21"/>
          <w:u w:val="single"/>
          <w:lang w:val="en-US" w:eastAsia="zh-CN"/>
        </w:rPr>
        <w:t xml:space="preserve">合同签订之日起5年 </w:t>
      </w:r>
      <w:permEnd w:id="119"/>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5年</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4</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color w:val="auto"/>
                <w:sz w:val="20"/>
                <w:szCs w:val="20"/>
              </w:rPr>
              <w:t>泊位管理覆盖率</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5</w:t>
            </w:r>
          </w:p>
        </w:tc>
        <w:tc>
          <w:tcPr>
            <w:tcW w:w="1984" w:type="dxa"/>
            <w:vAlign w:val="center"/>
          </w:tcPr>
          <w:p>
            <w:pPr>
              <w:spacing w:line="440" w:lineRule="exact"/>
              <w:jc w:val="center"/>
              <w:rPr>
                <w:rFonts w:hint="eastAsia" w:ascii="Times New Roman" w:hAnsi="Times New Roman" w:cs="Times New Roman"/>
                <w:color w:val="auto"/>
                <w:sz w:val="20"/>
                <w:szCs w:val="20"/>
              </w:rPr>
            </w:pPr>
            <w:r>
              <w:rPr>
                <w:rFonts w:hint="eastAsia" w:ascii="Times New Roman" w:hAnsi="Times New Roman" w:cs="Times New Roman"/>
                <w:color w:val="auto"/>
                <w:sz w:val="20"/>
                <w:szCs w:val="20"/>
              </w:rPr>
              <w:t>月收费率</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6</w:t>
            </w:r>
          </w:p>
        </w:tc>
        <w:tc>
          <w:tcPr>
            <w:tcW w:w="1984" w:type="dxa"/>
            <w:vAlign w:val="center"/>
          </w:tcPr>
          <w:p>
            <w:pPr>
              <w:spacing w:line="440" w:lineRule="exact"/>
              <w:jc w:val="center"/>
              <w:rPr>
                <w:rFonts w:hint="default" w:ascii="Times New Roman" w:hAnsi="Times New Roman" w:cs="Times New Roman"/>
                <w:color w:val="auto"/>
                <w:sz w:val="20"/>
                <w:szCs w:val="20"/>
              </w:rPr>
            </w:pPr>
            <w:r>
              <w:rPr>
                <w:rFonts w:hint="eastAsia" w:ascii="Times New Roman" w:hAnsi="Times New Roman" w:cs="Times New Roman"/>
                <w:sz w:val="20"/>
                <w:szCs w:val="20"/>
                <w:lang w:val="en-US" w:eastAsia="zh-CN"/>
              </w:rPr>
              <w:t>是否在亳州建立</w:t>
            </w:r>
            <w:r>
              <w:rPr>
                <w:rFonts w:hint="eastAsia" w:ascii="Times New Roman" w:hAnsi="Times New Roman" w:cs="Times New Roman"/>
                <w:color w:val="auto"/>
                <w:sz w:val="20"/>
                <w:szCs w:val="20"/>
              </w:rPr>
              <w:t>本地办公网点</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本项填“是”或“否”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5" w:name="_Toc152045791"/>
      <w:bookmarkStart w:id="446" w:name="_Toc247514283"/>
      <w:bookmarkStart w:id="447" w:name="_Toc247527831"/>
      <w:bookmarkStart w:id="448" w:name="_Toc300835213"/>
      <w:bookmarkStart w:id="449" w:name="_Toc144974860"/>
      <w:bookmarkStart w:id="450" w:name="_Toc15204258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1" w:name="_Toc247527832"/>
      <w:bookmarkStart w:id="452" w:name="_Toc152042581"/>
      <w:bookmarkStart w:id="453" w:name="_Toc152045792"/>
      <w:bookmarkStart w:id="454" w:name="_Toc144974861"/>
      <w:bookmarkStart w:id="455" w:name="_Toc247514284"/>
      <w:bookmarkStart w:id="456" w:name="_Toc300835214"/>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证复印件及委托代理人身份证复印件、委托代理人养老保险证明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57" w:name="_Toc144974862"/>
      <w:bookmarkStart w:id="458" w:name="_Toc152042583"/>
      <w:bookmarkStart w:id="459" w:name="_Toc247527834"/>
      <w:bookmarkStart w:id="460" w:name="_Toc300835216"/>
      <w:bookmarkStart w:id="461" w:name="_Toc247514286"/>
      <w:bookmarkStart w:id="462"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152045795"/>
      <w:bookmarkStart w:id="465" w:name="_Toc247527835"/>
      <w:bookmarkStart w:id="466" w:name="_Toc247514287"/>
      <w:bookmarkStart w:id="467" w:name="_Toc300835218"/>
      <w:bookmarkStart w:id="468" w:name="_Toc152042584"/>
      <w:bookmarkStart w:id="469" w:name="_Toc144974863"/>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70" w:name="_Toc300835221"/>
            <w:bookmarkStart w:id="471" w:name="_Toc144974864"/>
            <w:bookmarkStart w:id="472" w:name="_Toc152045796"/>
            <w:bookmarkStart w:id="473" w:name="_Toc247527836"/>
            <w:bookmarkStart w:id="474" w:name="_Toc247514288"/>
            <w:bookmarkStart w:id="475" w:name="_Toc152042585"/>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pPr>
        <w:pStyle w:val="3"/>
        <w:jc w:val="center"/>
        <w:rPr>
          <w:rFonts w:hint="eastAsia"/>
          <w:highlight w:val="none"/>
        </w:rPr>
      </w:pPr>
      <w:bookmarkStart w:id="476" w:name="_Toc152042592"/>
      <w:bookmarkStart w:id="477" w:name="_Toc300835224"/>
      <w:bookmarkStart w:id="478" w:name="_Toc152042597"/>
      <w:bookmarkStart w:id="479" w:name="_Toc152045808"/>
      <w:bookmarkStart w:id="480" w:name="_Toc247527848"/>
      <w:bookmarkStart w:id="481" w:name="_Toc144974876"/>
      <w:bookmarkStart w:id="482" w:name="_Toc247514300"/>
      <w:bookmarkStart w:id="483" w:name="_Toc246996369"/>
      <w:bookmarkStart w:id="484" w:name="_Toc246997112"/>
      <w:bookmarkStart w:id="485" w:name="_Toc247085887"/>
      <w:bookmarkStart w:id="486" w:name="_Toc179632823"/>
      <w:bookmarkStart w:id="487" w:name="_Toc152045803"/>
      <w:bookmarkStart w:id="488" w:name="_Toc296602614"/>
      <w:bookmarkStart w:id="489" w:name="_Toc144974871"/>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w:t>
      </w:r>
      <w:bookmarkStart w:id="492" w:name="_GoBack"/>
      <w:bookmarkEnd w:id="492"/>
      <w:r>
        <w:rPr>
          <w:rFonts w:hint="eastAsia" w:ascii="Times New Roman" w:hAnsi="Times New Roman" w:eastAsia="宋体" w:cs="Times New Roman"/>
          <w:i w:val="0"/>
          <w:iCs w:val="0"/>
          <w:color w:val="auto"/>
          <w:u w:val="none"/>
          <w:lang w:val="en-US" w:eastAsia="zh-CN"/>
        </w:rPr>
        <w:t>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90" w:name="_Toc300835233"/>
      <w:bookmarkStart w:id="491"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099B0E"/>
    <w:multiLevelType w:val="singleLevel"/>
    <w:tmpl w:val="A0099B0E"/>
    <w:lvl w:ilvl="0" w:tentative="0">
      <w:start w:val="5"/>
      <w:numFmt w:val="chineseCounting"/>
      <w:suff w:val="nothing"/>
      <w:lvlText w:val="%1、"/>
      <w:lvlJc w:val="left"/>
      <w:rPr>
        <w:rFonts w:hint="eastAsia"/>
      </w:rPr>
    </w:lvl>
  </w:abstractNum>
  <w:abstractNum w:abstractNumId="1">
    <w:nsid w:val="196A5A5A"/>
    <w:multiLevelType w:val="singleLevel"/>
    <w:tmpl w:val="196A5A5A"/>
    <w:lvl w:ilvl="0" w:tentative="0">
      <w:start w:val="3"/>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B4378"/>
    <w:rsid w:val="002C069E"/>
    <w:rsid w:val="0040224D"/>
    <w:rsid w:val="004031A6"/>
    <w:rsid w:val="00733B0B"/>
    <w:rsid w:val="00764376"/>
    <w:rsid w:val="00796B76"/>
    <w:rsid w:val="00850CC0"/>
    <w:rsid w:val="00B00F2F"/>
    <w:rsid w:val="00FF308E"/>
    <w:rsid w:val="011E6004"/>
    <w:rsid w:val="0145105E"/>
    <w:rsid w:val="018C519F"/>
    <w:rsid w:val="019846E3"/>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D435C3"/>
    <w:rsid w:val="02F4317E"/>
    <w:rsid w:val="0324584F"/>
    <w:rsid w:val="032652C7"/>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2359B9"/>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06B39"/>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B624C"/>
    <w:rsid w:val="0B5D1C2A"/>
    <w:rsid w:val="0B685C3C"/>
    <w:rsid w:val="0B7202E7"/>
    <w:rsid w:val="0B991D46"/>
    <w:rsid w:val="0B9F686D"/>
    <w:rsid w:val="0BDE31B0"/>
    <w:rsid w:val="0C110CA2"/>
    <w:rsid w:val="0C173BB4"/>
    <w:rsid w:val="0C773477"/>
    <w:rsid w:val="0C9F113B"/>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C213A"/>
    <w:rsid w:val="11CD444A"/>
    <w:rsid w:val="11E2334D"/>
    <w:rsid w:val="11F058CE"/>
    <w:rsid w:val="11FC3F3B"/>
    <w:rsid w:val="12445622"/>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CE15E4"/>
    <w:rsid w:val="160475A2"/>
    <w:rsid w:val="166266B1"/>
    <w:rsid w:val="169528F0"/>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6127C"/>
    <w:rsid w:val="193D465D"/>
    <w:rsid w:val="193D4E12"/>
    <w:rsid w:val="196C6238"/>
    <w:rsid w:val="198A59D6"/>
    <w:rsid w:val="19A73D74"/>
    <w:rsid w:val="19AA5416"/>
    <w:rsid w:val="19C839F9"/>
    <w:rsid w:val="19CE7FF6"/>
    <w:rsid w:val="19D70C6D"/>
    <w:rsid w:val="19E2271F"/>
    <w:rsid w:val="1A075570"/>
    <w:rsid w:val="1A1C623A"/>
    <w:rsid w:val="1A270D5F"/>
    <w:rsid w:val="1A4D4CED"/>
    <w:rsid w:val="1A797469"/>
    <w:rsid w:val="1A8850B8"/>
    <w:rsid w:val="1A8C25D0"/>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D9570F"/>
    <w:rsid w:val="1EE36B2C"/>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AE4C70"/>
    <w:rsid w:val="24C62DAB"/>
    <w:rsid w:val="24FF7718"/>
    <w:rsid w:val="251A7612"/>
    <w:rsid w:val="25237A22"/>
    <w:rsid w:val="252E0774"/>
    <w:rsid w:val="25381017"/>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CD31BF"/>
    <w:rsid w:val="31D72AD0"/>
    <w:rsid w:val="31E10F55"/>
    <w:rsid w:val="31F664E1"/>
    <w:rsid w:val="320B7F80"/>
    <w:rsid w:val="32112E77"/>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1B27FE"/>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9226F"/>
    <w:rsid w:val="3B8F1138"/>
    <w:rsid w:val="3B904834"/>
    <w:rsid w:val="3B932344"/>
    <w:rsid w:val="3B9D20F5"/>
    <w:rsid w:val="3BB33F88"/>
    <w:rsid w:val="3BBF1B8C"/>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0A1093"/>
    <w:rsid w:val="3D2571D3"/>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161BD"/>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5640A4"/>
    <w:rsid w:val="497E20AD"/>
    <w:rsid w:val="49820EB7"/>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9B4CC9"/>
    <w:rsid w:val="4DA943B0"/>
    <w:rsid w:val="4DC515BB"/>
    <w:rsid w:val="4DCB5984"/>
    <w:rsid w:val="4DD64458"/>
    <w:rsid w:val="4DDD4E1A"/>
    <w:rsid w:val="4DE00A2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632E74"/>
    <w:rsid w:val="4F804E7C"/>
    <w:rsid w:val="4F85516A"/>
    <w:rsid w:val="4F944D8F"/>
    <w:rsid w:val="4FCA5221"/>
    <w:rsid w:val="4FCF1B79"/>
    <w:rsid w:val="4FED0FB9"/>
    <w:rsid w:val="50561719"/>
    <w:rsid w:val="506568B4"/>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585DEC"/>
    <w:rsid w:val="54883400"/>
    <w:rsid w:val="54932F58"/>
    <w:rsid w:val="54A81CB5"/>
    <w:rsid w:val="54C41B11"/>
    <w:rsid w:val="550E49C6"/>
    <w:rsid w:val="55124B31"/>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1974A0"/>
    <w:rsid w:val="57210A6D"/>
    <w:rsid w:val="5744214A"/>
    <w:rsid w:val="574B480A"/>
    <w:rsid w:val="57543081"/>
    <w:rsid w:val="5789649C"/>
    <w:rsid w:val="57A373F0"/>
    <w:rsid w:val="57C83C57"/>
    <w:rsid w:val="57FB2FB4"/>
    <w:rsid w:val="582028C2"/>
    <w:rsid w:val="582908A2"/>
    <w:rsid w:val="583D07DD"/>
    <w:rsid w:val="585F1862"/>
    <w:rsid w:val="58620D26"/>
    <w:rsid w:val="58706FB1"/>
    <w:rsid w:val="587C5983"/>
    <w:rsid w:val="58B42003"/>
    <w:rsid w:val="58E8415E"/>
    <w:rsid w:val="58ED1995"/>
    <w:rsid w:val="58FF1A45"/>
    <w:rsid w:val="59072BD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9092B"/>
    <w:rsid w:val="673F01D2"/>
    <w:rsid w:val="67437113"/>
    <w:rsid w:val="676777C3"/>
    <w:rsid w:val="677D4B8A"/>
    <w:rsid w:val="67802ACE"/>
    <w:rsid w:val="67804B33"/>
    <w:rsid w:val="67877E83"/>
    <w:rsid w:val="67B84BDE"/>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A94417"/>
    <w:rsid w:val="6FB536E7"/>
    <w:rsid w:val="6FC169C6"/>
    <w:rsid w:val="6FD20CED"/>
    <w:rsid w:val="700148B1"/>
    <w:rsid w:val="700708F2"/>
    <w:rsid w:val="70262445"/>
    <w:rsid w:val="70460ADA"/>
    <w:rsid w:val="70777FB5"/>
    <w:rsid w:val="70796EB7"/>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3221B"/>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212113"/>
    <w:rsid w:val="7B6273C9"/>
    <w:rsid w:val="7B6F1BD0"/>
    <w:rsid w:val="7B732126"/>
    <w:rsid w:val="7B755C15"/>
    <w:rsid w:val="7B7B20CE"/>
    <w:rsid w:val="7B8E1216"/>
    <w:rsid w:val="7B9A1345"/>
    <w:rsid w:val="7BCA6C86"/>
    <w:rsid w:val="7C003703"/>
    <w:rsid w:val="7C044DA1"/>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18126</Words>
  <Characters>20052</Characters>
  <Lines>0</Lines>
  <Paragraphs>0</Paragraphs>
  <TotalTime>12</TotalTime>
  <ScaleCrop>false</ScaleCrop>
  <LinksUpToDate>false</LinksUpToDate>
  <CharactersWithSpaces>22142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2023-10-30T03:06:25Z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837A80B6DE73446CB8A13B04EBF00A7E_13</vt:lpwstr>
  </property>
</Properties>
</file>