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亳州市公共交通集团有限公司2023-2026年度</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公交车轮胎采购项目</w:t>
      </w:r>
      <w:permEnd w:id="0"/>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23</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033</w:t>
      </w:r>
      <w:r>
        <w:rPr>
          <w:rFonts w:hint="default" w:ascii="Times New Roman" w:hAnsi="Times New Roman" w:eastAsia="楷体" w:cs="Times New Roman"/>
          <w:kern w:val="0"/>
          <w:sz w:val="28"/>
          <w:szCs w:val="28"/>
          <w:highlight w:val="none"/>
          <w:shd w:val="clear" w:color="auto" w:fill="auto"/>
          <w:lang w:val="en-US" w:eastAsia="zh-CN"/>
        </w:rPr>
        <w:t>号</w:t>
      </w:r>
      <w:permEnd w:id="1"/>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eastAsia" w:ascii="Times New Roman" w:hAnsi="Times New Roman" w:eastAsia="楷体" w:cs="Times New Roman"/>
          <w:kern w:val="0"/>
          <w:sz w:val="32"/>
          <w:szCs w:val="32"/>
          <w:highlight w:val="none"/>
          <w:shd w:val="clear" w:color="auto" w:fill="auto"/>
          <w:lang w:val="en-US" w:eastAsia="zh-CN"/>
        </w:rPr>
        <w:t>亳州市公共交通集团有限公司</w:t>
      </w:r>
      <w:permEnd w:id="2"/>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2023年10</w:t>
      </w:r>
      <w:r>
        <w:rPr>
          <w:rFonts w:hint="eastAsia" w:ascii="Times New Roman" w:hAnsi="Times New Roman" w:eastAsia="楷体" w:cs="Times New Roman"/>
          <w:kern w:val="0"/>
          <w:sz w:val="32"/>
          <w:szCs w:val="32"/>
          <w:highlight w:val="none"/>
          <w:u w:val="none"/>
          <w:shd w:val="clear" w:color="auto" w:fill="auto"/>
          <w:lang w:val="en-US" w:eastAsia="zh-CN"/>
        </w:rPr>
        <w:t>月13日</w:t>
      </w:r>
      <w:permEnd w:id="3"/>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5</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（综合评估法）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28</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供货要求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29</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32</w:t>
      </w:r>
      <w:bookmarkStart w:id="486" w:name="_GoBack"/>
      <w:bookmarkEnd w:id="486"/>
    </w:p>
    <w:permEnd w:id="4"/>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imes New Roman" w:hAnsi="Times New Roman" w:eastAsia="黑体" w:cs="Times New Roman"/>
          <w:sz w:val="28"/>
          <w:szCs w:val="28"/>
          <w:highlight w:val="none"/>
          <w:u w:val="single"/>
          <w:lang w:val="en-US" w:eastAsia="zh-CN"/>
        </w:rPr>
      </w:pPr>
      <w:permStart w:id="5" w:edGrp="everyone"/>
      <w:r>
        <w:rPr>
          <w:rFonts w:hint="eastAsia" w:ascii="Times New Roman" w:hAnsi="Times New Roman" w:eastAsia="黑体" w:cs="Times New Roman"/>
          <w:sz w:val="28"/>
          <w:szCs w:val="28"/>
          <w:highlight w:val="none"/>
          <w:u w:val="single"/>
          <w:lang w:val="en-US" w:eastAsia="zh-CN"/>
        </w:rPr>
        <w:t>亳州市公共交通集团有限公司2023-2026年度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r>
        <w:rPr>
          <w:rFonts w:hint="eastAsia" w:ascii="Times New Roman" w:hAnsi="Times New Roman" w:eastAsia="黑体" w:cs="Times New Roman"/>
          <w:sz w:val="28"/>
          <w:szCs w:val="28"/>
          <w:highlight w:val="none"/>
          <w:u w:val="single"/>
          <w:lang w:val="en-US" w:eastAsia="zh-CN"/>
        </w:rPr>
        <w:t>公交车轮胎采购项目</w:t>
      </w:r>
      <w:permEnd w:id="5"/>
      <w:r>
        <w:rPr>
          <w:rFonts w:hint="eastAsia" w:ascii="Times New Roman" w:hAnsi="Times New Roman" w:eastAsia="黑体" w:cs="Times New Roman"/>
          <w:sz w:val="28"/>
          <w:szCs w:val="28"/>
          <w:highlight w:val="none"/>
          <w:lang w:val="en-US" w:eastAsia="zh-CN"/>
        </w:rPr>
        <w:t>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246996166"/>
      <w:bookmarkStart w:id="1" w:name="_Toc144974487"/>
      <w:bookmarkStart w:id="2" w:name="_Toc152045519"/>
      <w:bookmarkStart w:id="3" w:name="_Toc246996909"/>
      <w:bookmarkStart w:id="4" w:name="_Toc179632536"/>
      <w:bookmarkStart w:id="5" w:name="_Toc247085680"/>
      <w:bookmarkStart w:id="6" w:name="_Toc152042295"/>
      <w:bookmarkStart w:id="7" w:name="_Toc2966024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bookmarkStart w:id="8" w:name="_Toc246996167"/>
      <w:bookmarkStart w:id="9" w:name="_Toc152045520"/>
      <w:bookmarkStart w:id="10" w:name="_Toc144974488"/>
      <w:bookmarkStart w:id="11" w:name="_Toc247085681"/>
      <w:bookmarkStart w:id="12" w:name="_Toc296602411"/>
      <w:bookmarkStart w:id="13" w:name="_Toc246996910"/>
      <w:bookmarkStart w:id="14" w:name="_Toc179632537"/>
      <w:bookmarkStart w:id="15" w:name="_Toc152042296"/>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亳州市公共交通集团有限公司2023-2026年度公交车轮胎采购项目</w:t>
      </w:r>
    </w:p>
    <w:permEnd w:id="6"/>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（二）项目编号：</w:t>
      </w:r>
      <w:permStart w:id="7" w:edGrp="everyone"/>
      <w:r>
        <w:rPr>
          <w:rFonts w:hint="eastAsia" w:asciiTheme="minorEastAsia" w:hAnsiTheme="minorEastAsia" w:eastAsiaTheme="minorEastAsia" w:cstheme="minorEastAsia"/>
          <w:sz w:val="28"/>
          <w:szCs w:val="28"/>
          <w:highlight w:val="none"/>
          <w:lang w:val="en-US" w:eastAsia="zh-CN"/>
        </w:rPr>
        <w:t>BZJK-2023-</w:t>
      </w:r>
      <w:r>
        <w:rPr>
          <w:rFonts w:hint="eastAsia" w:asciiTheme="minorEastAsia" w:hAnsiTheme="minorEastAsia" w:cstheme="minorEastAsia"/>
          <w:sz w:val="28"/>
          <w:szCs w:val="28"/>
          <w:highlight w:val="none"/>
          <w:lang w:val="en-US" w:eastAsia="zh-CN"/>
        </w:rPr>
        <w:t>033</w:t>
      </w:r>
      <w:r>
        <w:rPr>
          <w:rFonts w:hint="eastAsia" w:asciiTheme="minorEastAsia" w:hAnsiTheme="minorEastAsia" w:eastAsiaTheme="minorEastAsia" w:cstheme="minorEastAsia"/>
          <w:sz w:val="28"/>
          <w:szCs w:val="28"/>
          <w:highlight w:val="none"/>
          <w:lang w:val="en-US" w:eastAsia="zh-CN"/>
        </w:rPr>
        <w:t>号</w:t>
      </w:r>
      <w:permEnd w:id="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eastAsiaTheme="minorEastAsia" w:cstheme="minorEastAsia"/>
          <w:sz w:val="28"/>
          <w:szCs w:val="28"/>
          <w:highlight w:val="none"/>
          <w:lang w:val="en-US" w:eastAsia="zh-CN"/>
        </w:rPr>
        <w:t>企业自筹</w:t>
      </w:r>
    </w:p>
    <w:permEnd w:id="8"/>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亳州市公共交通集团有限公司</w:t>
      </w:r>
    </w:p>
    <w:permEnd w:id="9"/>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项目已具备招标条件，现对该项目进行公开招标。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（一）项目概况：</w:t>
      </w:r>
      <w:permStart w:id="10" w:edGrp="everyone"/>
      <w:r>
        <w:rPr>
          <w:rFonts w:hint="eastAsia" w:asciiTheme="minorEastAsia" w:hAnsiTheme="minorEastAsia" w:cstheme="minorEastAsia"/>
          <w:color w:val="auto"/>
          <w:sz w:val="28"/>
          <w:szCs w:val="28"/>
          <w:highlight w:val="none"/>
          <w:lang w:val="en-US" w:eastAsia="zh-CN"/>
        </w:rPr>
        <w:t>因公交车实际使用需要，招标人拟对在用的公交车辆轮胎进行2023-2026年度公开招标采购，年预估采购费用约50万元，按照招标人零库存管理模式，分批供货，以实际供货量为准进行结算。</w:t>
      </w:r>
      <w:permEnd w:id="10"/>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color w:val="auto"/>
          <w:sz w:val="28"/>
          <w:szCs w:val="28"/>
          <w:highlight w:val="none"/>
          <w:lang w:val="en-US" w:eastAsia="zh-CN"/>
        </w:rPr>
        <w:t>（二）招标范围：</w:t>
      </w:r>
      <w:permStart w:id="11" w:edGrp="everyone"/>
      <w:r>
        <w:rPr>
          <w:rFonts w:hint="eastAsia" w:asciiTheme="minorEastAsia" w:hAnsiTheme="minorEastAsia" w:cstheme="minorEastAsia"/>
          <w:color w:val="auto"/>
          <w:sz w:val="28"/>
          <w:szCs w:val="28"/>
          <w:highlight w:val="none"/>
          <w:lang w:val="en-US" w:eastAsia="zh-CN"/>
        </w:rPr>
        <w:t>为招标人提供</w:t>
      </w:r>
      <w:r>
        <w:rPr>
          <w:rFonts w:hint="eastAsia" w:asciiTheme="minorEastAsia" w:hAnsiTheme="minorEastAsia" w:eastAsiaTheme="minorEastAsia" w:cstheme="minorEastAsia"/>
          <w:color w:val="auto"/>
          <w:sz w:val="28"/>
          <w:szCs w:val="28"/>
          <w:highlight w:val="none"/>
          <w:u w:val="none"/>
          <w:lang w:val="en-US" w:eastAsia="zh-CN"/>
        </w:rPr>
        <w:t>825R20-16</w:t>
      </w:r>
      <w:r>
        <w:rPr>
          <w:rFonts w:hint="eastAsia" w:asciiTheme="minorEastAsia" w:hAnsiTheme="minorEastAsia" w:cstheme="minorEastAsia"/>
          <w:color w:val="auto"/>
          <w:sz w:val="28"/>
          <w:szCs w:val="28"/>
          <w:highlight w:val="none"/>
          <w:u w:val="none"/>
          <w:lang w:val="en-US" w:eastAsia="zh-CN"/>
        </w:rPr>
        <w:t>、245/70R19.5-18、215/75R17.5-16三种型号的</w:t>
      </w:r>
      <w:r>
        <w:rPr>
          <w:rFonts w:hint="eastAsia" w:asciiTheme="minorEastAsia" w:hAnsiTheme="minorEastAsia" w:cstheme="minorEastAsia"/>
          <w:color w:val="auto"/>
          <w:sz w:val="28"/>
          <w:szCs w:val="28"/>
          <w:highlight w:val="none"/>
          <w:lang w:val="en-US" w:eastAsia="zh-CN"/>
        </w:rPr>
        <w:t>公交车轮胎，包括但不限于产品的包装、运输、保险、装卸、验收、保修等工作内容，具体轮胎型号、规格、预估数量等详见招标文件第五章供货要求。</w:t>
      </w:r>
      <w:permEnd w:id="11"/>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质量</w:t>
      </w:r>
      <w:r>
        <w:rPr>
          <w:rFonts w:hint="eastAsia" w:asciiTheme="minorEastAsia" w:hAnsiTheme="minorEastAsia" w:eastAsiaTheme="minorEastAsia" w:cstheme="minorEastAsia"/>
          <w:sz w:val="28"/>
          <w:szCs w:val="28"/>
          <w:highlight w:val="none"/>
          <w:lang w:val="en-US" w:eastAsia="zh-CN"/>
        </w:rPr>
        <w:t>标准：</w:t>
      </w:r>
      <w:permStart w:id="12"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符合国家、地方、行业现行相关规范合格标准，符合招标文件</w:t>
      </w:r>
      <w:r>
        <w:rPr>
          <w:rFonts w:hint="eastAsia" w:asciiTheme="minorEastAsia" w:hAnsiTheme="minorEastAsia" w:cstheme="minorEastAsia"/>
          <w:sz w:val="28"/>
          <w:szCs w:val="28"/>
          <w:highlight w:val="none"/>
          <w:lang w:val="en-US" w:eastAsia="zh-CN"/>
        </w:rPr>
        <w:t>第五章</w:t>
      </w:r>
      <w:r>
        <w:rPr>
          <w:rFonts w:hint="eastAsia" w:asciiTheme="minorEastAsia" w:hAnsiTheme="minorEastAsia" w:eastAsiaTheme="minorEastAsia" w:cstheme="minorEastAsia"/>
          <w:sz w:val="28"/>
          <w:szCs w:val="28"/>
          <w:highlight w:val="none"/>
          <w:lang w:val="en-US" w:eastAsia="zh-CN"/>
        </w:rPr>
        <w:t>供货要求</w:t>
      </w:r>
      <w:r>
        <w:rPr>
          <w:rFonts w:hint="eastAsia" w:asciiTheme="minorEastAsia" w:hAnsiTheme="minorEastAsia" w:cstheme="minorEastAsia"/>
          <w:sz w:val="28"/>
          <w:szCs w:val="28"/>
          <w:highlight w:val="none"/>
          <w:lang w:val="en-US" w:eastAsia="zh-CN"/>
        </w:rPr>
        <w:t>。</w:t>
      </w:r>
      <w:permEnd w:id="1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（四）交货地点和期限：</w:t>
      </w:r>
      <w:permStart w:id="13" w:edGrp="everyone"/>
      <w:r>
        <w:rPr>
          <w:rFonts w:hint="eastAsia" w:asciiTheme="minorEastAsia" w:hAnsiTheme="minorEastAsia" w:eastAsiaTheme="minorEastAsia" w:cstheme="minorEastAsia"/>
          <w:sz w:val="28"/>
          <w:szCs w:val="28"/>
          <w:highlight w:val="none"/>
          <w:lang w:val="en-US" w:eastAsia="zh-CN"/>
        </w:rPr>
        <w:t>亳州市内</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招标人指定地点。</w:t>
      </w:r>
      <w:r>
        <w:rPr>
          <w:rFonts w:hint="eastAsia" w:asciiTheme="minorEastAsia" w:hAnsiTheme="minorEastAsia" w:cstheme="minorEastAsia"/>
          <w:sz w:val="28"/>
          <w:szCs w:val="28"/>
          <w:highlight w:val="none"/>
          <w:lang w:val="en-US" w:eastAsia="zh-CN"/>
        </w:rPr>
        <w:t>中</w:t>
      </w:r>
      <w:r>
        <w:rPr>
          <w:rFonts w:hint="eastAsia" w:asciiTheme="minorEastAsia" w:hAnsiTheme="minorEastAsia" w:eastAsiaTheme="minorEastAsia" w:cstheme="minorEastAsia"/>
          <w:sz w:val="28"/>
          <w:szCs w:val="28"/>
          <w:highlight w:val="none"/>
          <w:lang w:val="en-US" w:eastAsia="zh-CN"/>
        </w:rPr>
        <w:t>标人应于收到招标人订单通知后3个工作日内完成供货。</w:t>
      </w:r>
    </w:p>
    <w:permEnd w:id="13"/>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服务期限</w:t>
      </w:r>
      <w:r>
        <w:rPr>
          <w:rFonts w:hint="eastAsia" w:asciiTheme="minorEastAsia" w:hAnsiTheme="minorEastAsia" w:eastAsiaTheme="minorEastAsia" w:cstheme="minorEastAsia"/>
          <w:sz w:val="28"/>
          <w:szCs w:val="28"/>
          <w:highlight w:val="none"/>
          <w:lang w:val="en-US" w:eastAsia="zh-CN"/>
        </w:rPr>
        <w:t>：</w:t>
      </w:r>
      <w:permStart w:id="14" w:edGrp="everyone"/>
      <w:r>
        <w:rPr>
          <w:rFonts w:hint="eastAsia" w:asciiTheme="minorEastAsia" w:hAnsiTheme="minorEastAsia" w:eastAsiaTheme="minorEastAsia" w:cstheme="minorEastAsia"/>
          <w:sz w:val="28"/>
          <w:szCs w:val="28"/>
          <w:highlight w:val="none"/>
          <w:u w:val="none"/>
          <w:lang w:val="en-US" w:eastAsia="zh-CN"/>
        </w:rPr>
        <w:t>自合同签订之日起</w:t>
      </w:r>
      <w:r>
        <w:rPr>
          <w:rFonts w:hint="eastAsia" w:asciiTheme="minorEastAsia" w:hAnsiTheme="minorEastAsia" w:cstheme="minorEastAsia"/>
          <w:sz w:val="28"/>
          <w:szCs w:val="28"/>
          <w:highlight w:val="none"/>
          <w:u w:val="none"/>
          <w:lang w:val="en-US" w:eastAsia="zh-CN"/>
        </w:rPr>
        <w:t>3</w:t>
      </w:r>
      <w:r>
        <w:rPr>
          <w:rFonts w:hint="eastAsia" w:asciiTheme="minorEastAsia" w:hAnsiTheme="minorEastAsia" w:eastAsiaTheme="minorEastAsia" w:cstheme="minorEastAsia"/>
          <w:sz w:val="28"/>
          <w:szCs w:val="28"/>
          <w:highlight w:val="none"/>
          <w:u w:val="none"/>
          <w:lang w:val="en-US" w:eastAsia="zh-CN"/>
        </w:rPr>
        <w:t>年</w:t>
      </w:r>
      <w:r>
        <w:rPr>
          <w:rFonts w:hint="eastAsia" w:asciiTheme="minorEastAsia" w:hAnsiTheme="minorEastAsia" w:cstheme="minorEastAsia"/>
          <w:sz w:val="28"/>
          <w:szCs w:val="28"/>
          <w:highlight w:val="none"/>
          <w:u w:val="none"/>
          <w:lang w:val="en-US" w:eastAsia="zh-CN"/>
        </w:rPr>
        <w:t>。</w:t>
      </w:r>
      <w:r>
        <w:rPr>
          <w:rFonts w:hint="eastAsia" w:asciiTheme="minorEastAsia" w:hAnsiTheme="minorEastAsia" w:eastAsiaTheme="minorEastAsia" w:cstheme="minorEastAsia"/>
          <w:sz w:val="28"/>
          <w:szCs w:val="28"/>
          <w:highlight w:val="none"/>
          <w:u w:val="none"/>
          <w:lang w:val="en-US" w:eastAsia="zh-CN"/>
        </w:rPr>
        <w:t>合同一年一签，每次签订合同期限为一年。在服务期限内，合同到期后，招标人根据对中标人的履约评价结果确定下一年是否续签合同。如中标人履约评价结果不合格，当期合同到期后终止合作，不再续签合同。</w:t>
      </w:r>
      <w:permEnd w:id="14"/>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）最高投标限价</w:t>
      </w:r>
      <w:permStart w:id="15" w:edGrp="everyone"/>
      <w:r>
        <w:rPr>
          <w:rFonts w:hint="eastAsia" w:asciiTheme="minorEastAsia" w:hAnsiTheme="minorEastAsia" w:cstheme="minorEastAsia"/>
          <w:color w:val="FF0000"/>
          <w:sz w:val="28"/>
          <w:szCs w:val="28"/>
          <w:highlight w:val="none"/>
          <w:lang w:val="en-US" w:eastAsia="zh-CN"/>
        </w:rPr>
        <w:t>（含税：13%）</w:t>
      </w:r>
      <w:permEnd w:id="15"/>
      <w:r>
        <w:rPr>
          <w:rFonts w:hint="eastAsia" w:asciiTheme="minorEastAsia" w:hAnsiTheme="minorEastAsia" w:eastAsiaTheme="minorEastAsia" w:cstheme="minorEastAsia"/>
          <w:sz w:val="28"/>
          <w:szCs w:val="28"/>
          <w:highlight w:val="none"/>
          <w:lang w:val="en-US" w:eastAsia="zh-CN"/>
        </w:rPr>
        <w:t>：</w:t>
      </w:r>
      <w:permStart w:id="16" w:edGrp="everyone"/>
      <w:r>
        <w:rPr>
          <w:rFonts w:hint="eastAsia" w:asciiTheme="minorEastAsia" w:hAnsiTheme="minorEastAsia" w:eastAsiaTheme="minorEastAsia" w:cstheme="minorEastAsia"/>
          <w:sz w:val="28"/>
          <w:szCs w:val="28"/>
          <w:highlight w:val="none"/>
          <w:u w:val="single"/>
          <w:lang w:val="en-US" w:eastAsia="zh-CN"/>
        </w:rPr>
        <w:t xml:space="preserve">825R20-16型号轮胎最高限价1060元每条、245/70R19.5-18型号轮胎最高限价855元每条、215/75R17.5-16型号轮胎最高限价755元每条 </w:t>
      </w:r>
      <w:permEnd w:id="16"/>
      <w:r>
        <w:rPr>
          <w:rFonts w:hint="eastAsia" w:asciiTheme="minorEastAsia" w:hAnsiTheme="minorEastAsia" w:cstheme="minorEastAsia"/>
          <w:sz w:val="28"/>
          <w:szCs w:val="28"/>
          <w:highlight w:val="none"/>
          <w:lang w:val="en-US" w:eastAsia="zh-CN"/>
        </w:rPr>
        <w:t>，投标人</w:t>
      </w:r>
      <w:r>
        <w:rPr>
          <w:rFonts w:hint="eastAsia" w:asciiTheme="minorEastAsia" w:hAnsiTheme="minorEastAsia" w:eastAsiaTheme="minorEastAsia" w:cstheme="minorEastAsia"/>
          <w:sz w:val="28"/>
          <w:szCs w:val="28"/>
          <w:highlight w:val="none"/>
          <w:lang w:val="en-US" w:eastAsia="zh-CN"/>
        </w:rPr>
        <w:t>按</w:t>
      </w:r>
      <w:permStart w:id="17" w:edGrp="everyone"/>
      <w:r>
        <w:rPr>
          <w:rFonts w:hint="eastAsia" w:asciiTheme="minorEastAsia" w:hAnsiTheme="minorEastAsia" w:cstheme="minorEastAsia"/>
          <w:color w:val="FF0000"/>
          <w:sz w:val="28"/>
          <w:szCs w:val="28"/>
          <w:highlight w:val="none"/>
          <w:u w:val="single"/>
          <w:lang w:val="en-US" w:eastAsia="zh-CN"/>
        </w:rPr>
        <w:t>固定单价</w:t>
      </w:r>
      <w:permEnd w:id="17"/>
      <w:r>
        <w:rPr>
          <w:rFonts w:hint="eastAsia" w:asciiTheme="minorEastAsia" w:hAnsiTheme="minorEastAsia" w:eastAsiaTheme="minorEastAsia" w:cstheme="minorEastAsia"/>
          <w:sz w:val="28"/>
          <w:szCs w:val="28"/>
          <w:highlight w:val="none"/>
          <w:lang w:val="en-US" w:eastAsia="zh-CN"/>
        </w:rPr>
        <w:t>报价。投标报价超出限价或低于成本价的，按无效投标处理；投标报价应包括为完成本项目招标范围内各阶段工作内容所需的全部费用</w:t>
      </w:r>
      <w:r>
        <w:rPr>
          <w:rFonts w:hint="eastAsia" w:asciiTheme="minorEastAsia" w:hAnsiTheme="minorEastAsia" w:cstheme="minorEastAsia"/>
          <w:sz w:val="28"/>
          <w:szCs w:val="28"/>
          <w:highlight w:val="none"/>
          <w:lang w:val="en-US" w:eastAsia="zh-CN"/>
        </w:rPr>
        <w:t>及税金，中标后不予调整，其他未尽事宜应统一考虑在报价内</w:t>
      </w:r>
      <w:r>
        <w:rPr>
          <w:rFonts w:hint="eastAsia" w:asciiTheme="minorEastAsia" w:hAnsiTheme="minorEastAsia" w:eastAsiaTheme="minorEastAsia" w:cstheme="minorEastAsia"/>
          <w:sz w:val="28"/>
          <w:szCs w:val="28"/>
          <w:highlight w:val="none"/>
          <w:lang w:val="en-US" w:eastAsia="zh-CN"/>
        </w:rPr>
        <w:t>。不含税价格不因国家税率变化而改变，在合同履行期间，如遇国家税率调整，则价税合计的价格应相应调整，以开具发票的时间为准。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8" w:edGrp="everyone"/>
      <w:r>
        <w:rPr>
          <w:rFonts w:hint="eastAsia" w:asciiTheme="minorEastAsia" w:hAnsiTheme="minorEastAsia" w:eastAsiaTheme="minorEastAsia" w:cstheme="minorEastAsia"/>
          <w:color w:val="FF0000"/>
          <w:sz w:val="28"/>
          <w:szCs w:val="28"/>
          <w:highlight w:val="none"/>
          <w:lang w:val="en-US" w:eastAsia="zh-CN"/>
        </w:rPr>
        <w:t>独立法人资格</w:t>
      </w:r>
      <w:permEnd w:id="18"/>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提供</w:t>
      </w:r>
      <w:permStart w:id="19" w:edGrp="everyone"/>
      <w:r>
        <w:rPr>
          <w:rFonts w:hint="eastAsia" w:asciiTheme="minorEastAsia" w:hAnsiTheme="minorEastAsia" w:cstheme="minorEastAsia"/>
          <w:sz w:val="28"/>
          <w:szCs w:val="28"/>
          <w:highlight w:val="none"/>
          <w:u w:val="single"/>
          <w:lang w:val="en-US" w:eastAsia="zh-CN"/>
        </w:rPr>
        <w:t>2020</w:t>
      </w:r>
      <w:permEnd w:id="19"/>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20" w:edGrp="everyone"/>
      <w:r>
        <w:rPr>
          <w:rFonts w:hint="eastAsia" w:asciiTheme="minorEastAsia" w:hAnsiTheme="minorEastAsia" w:cstheme="minorEastAsia"/>
          <w:sz w:val="28"/>
          <w:szCs w:val="28"/>
          <w:highlight w:val="none"/>
          <w:u w:val="single"/>
          <w:lang w:val="en-US" w:eastAsia="zh-CN"/>
        </w:rPr>
        <w:t xml:space="preserve">每年不少于1个（共3个业绩，2020年、2021年、2022年每年1个业绩） </w:t>
      </w:r>
      <w:permEnd w:id="20"/>
      <w:r>
        <w:rPr>
          <w:rFonts w:hint="eastAsia" w:asciiTheme="minorEastAsia" w:hAnsiTheme="minorEastAsia" w:eastAsiaTheme="minorEastAsia" w:cstheme="minorEastAsia"/>
          <w:sz w:val="28"/>
          <w:szCs w:val="28"/>
          <w:highlight w:val="none"/>
          <w:lang w:val="en-US" w:eastAsia="zh-CN"/>
        </w:rPr>
        <w:t>，以</w:t>
      </w:r>
      <w:permStart w:id="21"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21"/>
      <w:r>
        <w:rPr>
          <w:rFonts w:hint="eastAsia" w:asciiTheme="minorEastAsia" w:hAnsiTheme="minorEastAsia" w:eastAsiaTheme="minorEastAsia" w:cstheme="minorEastAsia"/>
          <w:sz w:val="28"/>
          <w:szCs w:val="28"/>
          <w:highlight w:val="none"/>
          <w:lang w:val="en-US" w:eastAsia="zh-CN"/>
        </w:rPr>
        <w:t>为准。类似项目业绩指：</w:t>
      </w:r>
      <w:permStart w:id="22" w:edGrp="everyone"/>
      <w:r>
        <w:rPr>
          <w:rFonts w:hint="eastAsia" w:asciiTheme="minorEastAsia" w:hAnsiTheme="minorEastAsia" w:eastAsiaTheme="minorEastAsia" w:cstheme="minorEastAsia"/>
          <w:sz w:val="28"/>
          <w:szCs w:val="28"/>
          <w:highlight w:val="none"/>
          <w:u w:val="single"/>
          <w:lang w:val="en-US" w:eastAsia="zh-CN"/>
        </w:rPr>
        <w:t>单项合同金额不低于50万元的</w:t>
      </w:r>
      <w:r>
        <w:rPr>
          <w:rFonts w:hint="eastAsia" w:asciiTheme="minorEastAsia" w:hAnsiTheme="minorEastAsia" w:cstheme="minorEastAsia"/>
          <w:sz w:val="28"/>
          <w:szCs w:val="28"/>
          <w:highlight w:val="none"/>
          <w:u w:val="single"/>
          <w:lang w:val="en-US" w:eastAsia="zh-CN"/>
        </w:rPr>
        <w:t>类似</w:t>
      </w:r>
      <w:r>
        <w:rPr>
          <w:rFonts w:hint="eastAsia" w:asciiTheme="minorEastAsia" w:hAnsiTheme="minorEastAsia" w:eastAsiaTheme="minorEastAsia" w:cstheme="minorEastAsia"/>
          <w:sz w:val="28"/>
          <w:szCs w:val="28"/>
          <w:highlight w:val="none"/>
          <w:u w:val="single"/>
          <w:lang w:val="en-US" w:eastAsia="zh-CN"/>
        </w:rPr>
        <w:t>轮胎销售业绩</w:t>
      </w:r>
      <w:r>
        <w:rPr>
          <w:rFonts w:hint="eastAsia" w:asciiTheme="minorEastAsia" w:hAnsiTheme="minorEastAsia" w:cstheme="minorEastAsia"/>
          <w:sz w:val="28"/>
          <w:szCs w:val="28"/>
          <w:highlight w:val="none"/>
          <w:u w:val="single"/>
          <w:lang w:val="en-US" w:eastAsia="zh-CN"/>
        </w:rPr>
        <w:t xml:space="preserve"> </w:t>
      </w:r>
      <w:permEnd w:id="22"/>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23"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复印件或扫描件装订入投标文件中</w:t>
      </w:r>
      <w:permEnd w:id="23"/>
      <w:r>
        <w:rPr>
          <w:rFonts w:hint="default"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投标人（含分公司，不含子公司）存在以下不良信用记录情形之一的，不得推荐为中标候选人，不得确定为中标人。</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（1）投标人被人民法院列入失信被执行人的；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（2）投标人被市场监督管理部门列入企业经营异常名录的；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（3）投标人被税务部门列入重大税收违法案件当事人名单的；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投标人如在以往承接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项目过程中被记入“黑名单”，不得参加本次招标投标活动</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）本次招标</w:t>
      </w:r>
      <w:permStart w:id="24" w:edGrp="everyone"/>
      <w:r>
        <w:rPr>
          <w:rFonts w:hint="eastAsia" w:asciiTheme="minorEastAsia" w:hAnsiTheme="minorEastAsia" w:eastAsiaTheme="minorEastAsia" w:cstheme="minorEastAsia"/>
          <w:color w:val="FF0000"/>
          <w:sz w:val="28"/>
          <w:szCs w:val="28"/>
          <w:highlight w:val="none"/>
          <w:lang w:val="en-US" w:eastAsia="zh-CN"/>
        </w:rPr>
        <w:t>不接受</w:t>
      </w:r>
      <w:permEnd w:id="24"/>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。联合体投标的，应满足下列要求：</w:t>
      </w:r>
      <w:permStart w:id="25" w:edGrp="everyone"/>
      <w:r>
        <w:rPr>
          <w:rFonts w:hint="eastAsia" w:asciiTheme="minorEastAsia" w:hAnsiTheme="minorEastAsia" w:cstheme="minorEastAsia"/>
          <w:sz w:val="28"/>
          <w:szCs w:val="28"/>
          <w:highlight w:val="none"/>
          <w:lang w:val="en-US" w:eastAsia="zh-CN"/>
        </w:rPr>
        <w:t xml:space="preserve"> \ </w:t>
      </w:r>
      <w:permEnd w:id="25"/>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w:t>
      </w:r>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六</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）本项目委托代理人必须是投标单位正式人员，须提供投标单位公司为其缴纳的</w:t>
      </w:r>
      <w:permStart w:id="26" w:edGrp="everyone"/>
      <w:r>
        <w:rPr>
          <w:rFonts w:hint="eastAsia" w:asciiTheme="minorEastAsia" w:hAnsiTheme="minorEastAsia" w:cstheme="minorEastAsia"/>
          <w:color w:val="000000" w:themeColor="text1"/>
          <w:sz w:val="28"/>
          <w:szCs w:val="28"/>
          <w:highlight w:val="none"/>
          <w:lang w:val="en-US" w:eastAsia="zh-CN"/>
          <w14:textFill>
            <w14:solidFill>
              <w14:schemeClr w14:val="tx1"/>
            </w14:solidFill>
          </w14:textFill>
        </w:rPr>
        <w:t>2</w:t>
      </w:r>
      <w:r>
        <w:rPr>
          <w:rFonts w:hint="eastAsia" w:asciiTheme="minorEastAsia" w:hAnsiTheme="minorEastAsia" w:cstheme="minorEastAsia"/>
          <w:color w:val="auto"/>
          <w:sz w:val="28"/>
          <w:szCs w:val="28"/>
          <w:highlight w:val="none"/>
          <w:lang w:val="en-US" w:eastAsia="zh-CN"/>
        </w:rPr>
        <w:t>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月</w:t>
      </w:r>
      <w:permEnd w:id="26"/>
      <w:r>
        <w:rPr>
          <w:rFonts w:hint="eastAsia" w:asciiTheme="minorEastAsia" w:hAnsiTheme="minorEastAsia" w:eastAsiaTheme="minorEastAsia" w:cstheme="minorEastAsia"/>
          <w:color w:val="auto"/>
          <w:sz w:val="28"/>
          <w:szCs w:val="28"/>
          <w:highlight w:val="none"/>
          <w:lang w:val="en-US" w:eastAsia="zh-CN"/>
        </w:rPr>
        <w:t>起</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任意3个月及以上养老保险证明，否则按无效投标处理。</w:t>
      </w:r>
    </w:p>
    <w:p>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黑体" w:hAnsi="黑体" w:eastAsia="黑体" w:cs="黑体"/>
          <w:b/>
          <w:bCs/>
          <w:sz w:val="28"/>
          <w:szCs w:val="28"/>
          <w:highlight w:val="none"/>
          <w:lang w:val="en-US" w:eastAsia="zh-CN"/>
        </w:rPr>
      </w:pPr>
      <w:permStart w:id="27" w:edGrp="everyone"/>
      <w:r>
        <w:rPr>
          <w:rFonts w:hint="eastAsia" w:asciiTheme="minorEastAsia" w:hAnsiTheme="minorEastAsia" w:eastAsiaTheme="minorEastAsia" w:cstheme="minorEastAsia"/>
          <w:b/>
          <w:bCs/>
          <w:color w:val="FF0000"/>
          <w:sz w:val="28"/>
          <w:szCs w:val="28"/>
          <w:highlight w:val="none"/>
          <w:lang w:val="en-US" w:eastAsia="zh-CN"/>
        </w:rPr>
        <w:t>（</w:t>
      </w:r>
      <w:r>
        <w:rPr>
          <w:rFonts w:hint="eastAsia" w:asciiTheme="minorEastAsia" w:hAnsiTheme="minorEastAsia" w:cstheme="minorEastAsia"/>
          <w:b/>
          <w:bCs/>
          <w:color w:val="FF0000"/>
          <w:sz w:val="28"/>
          <w:szCs w:val="28"/>
          <w:highlight w:val="none"/>
          <w:lang w:val="en-US" w:eastAsia="zh-CN"/>
        </w:rPr>
        <w:t>七</w:t>
      </w:r>
      <w:r>
        <w:rPr>
          <w:rFonts w:hint="eastAsia" w:asciiTheme="minorEastAsia" w:hAnsiTheme="minorEastAsia" w:eastAsiaTheme="minorEastAsia" w:cstheme="minorEastAsia"/>
          <w:b/>
          <w:bCs/>
          <w:color w:val="FF0000"/>
          <w:sz w:val="28"/>
          <w:szCs w:val="28"/>
          <w:highlight w:val="none"/>
          <w:lang w:val="en-US" w:eastAsia="zh-CN"/>
        </w:rPr>
        <w:t>）投标人应为制造商或制造商授权的区域代理经销商</w:t>
      </w:r>
      <w:r>
        <w:rPr>
          <w:rFonts w:hint="eastAsia" w:asciiTheme="minorEastAsia" w:hAnsiTheme="minorEastAsia" w:cstheme="minorEastAsia"/>
          <w:b/>
          <w:bCs/>
          <w:color w:val="FF0000"/>
          <w:sz w:val="28"/>
          <w:szCs w:val="28"/>
          <w:highlight w:val="none"/>
          <w:lang w:val="en-US" w:eastAsia="zh-CN"/>
        </w:rPr>
        <w:t>。</w:t>
      </w:r>
      <w:r>
        <w:rPr>
          <w:rFonts w:hint="eastAsia" w:asciiTheme="minorEastAsia" w:hAnsiTheme="minorEastAsia" w:eastAsiaTheme="minorEastAsia" w:cstheme="minorEastAsia"/>
          <w:b/>
          <w:bCs/>
          <w:color w:val="FF0000"/>
          <w:sz w:val="28"/>
          <w:szCs w:val="28"/>
          <w:highlight w:val="none"/>
          <w:lang w:val="en-US" w:eastAsia="zh-CN"/>
        </w:rPr>
        <w:t>投标人为代理经销商的，需提供产品制造商针对本项目授权投标人投标的唯一授权书。一个制造商对同一品牌同一型号的设备或材料，仅能委托一个代理商参加投标。</w:t>
      </w:r>
      <w:permEnd w:id="27"/>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亳州交通投资控股集团有限公司官网（www.bzjkjt.com）、安徽省招标投标信息网（www.ahtba.org.cn）或优质采云采购平台（www.youzhicai.com）自行下载电子招标文件及其他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28"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2023</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10</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25</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permEnd w:id="28"/>
      <w:r>
        <w:rPr>
          <w:rFonts w:hint="eastAsia" w:asciiTheme="minorEastAsia" w:hAnsiTheme="minorEastAsia" w:cstheme="minorEastAsia"/>
          <w:b/>
          <w:bCs/>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b/>
          <w:bCs/>
          <w:i w:val="0"/>
          <w:iCs w:val="0"/>
          <w:color w:val="000000" w:themeColor="text1"/>
          <w:sz w:val="28"/>
          <w:szCs w:val="28"/>
          <w:highlight w:val="none"/>
          <w:lang w:val="en-US"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29" w:edGrp="everyone"/>
      <w:r>
        <w:rPr>
          <w:rFonts w:hint="default" w:asciiTheme="minorEastAsia" w:hAnsiTheme="minorEastAsia" w:eastAsiaTheme="minorEastAsia" w:cstheme="minorEastAsia"/>
          <w:color w:val="FF0000"/>
          <w:sz w:val="28"/>
          <w:szCs w:val="28"/>
          <w:highlight w:val="none"/>
          <w:lang w:val="en-US" w:eastAsia="zh-CN"/>
        </w:rPr>
        <w:t>允许</w:t>
      </w:r>
      <w:permEnd w:id="29"/>
      <w:r>
        <w:rPr>
          <w:rFonts w:hint="default" w:asciiTheme="minorEastAsia" w:hAnsiTheme="minorEastAsia" w:eastAsiaTheme="minorEastAsia" w:cstheme="minorEastAsia"/>
          <w:sz w:val="28"/>
          <w:szCs w:val="28"/>
          <w:highlight w:val="none"/>
          <w:lang w:val="en-US" w:eastAsia="zh-CN"/>
        </w:rPr>
        <w:t>投标人以邮寄方式递交投标文件。投标人采用邮寄方式递交投标文件的，投标文件送达时间以招标平台签收快递时间为准。邮寄信息同招标平台联系方式，投标人寄出投标文件后，应电话通知招标平台工作人员，以便招标平台工作人员及时签收投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30" w:edGrp="everyone"/>
      <w:r>
        <w:rPr>
          <w:rFonts w:hint="default" w:asciiTheme="minorEastAsia" w:hAnsiTheme="minorEastAsia" w:eastAsiaTheme="minorEastAsia" w:cstheme="minorEastAsia"/>
          <w:sz w:val="28"/>
          <w:szCs w:val="28"/>
          <w:highlight w:val="none"/>
          <w:u w:val="single"/>
          <w:lang w:val="en-US" w:eastAsia="zh-CN"/>
        </w:rPr>
        <w:t>10000</w:t>
      </w:r>
      <w:r>
        <w:rPr>
          <w:rFonts w:hint="default" w:asciiTheme="minorEastAsia" w:hAnsiTheme="minorEastAsia" w:eastAsiaTheme="minorEastAsia" w:cstheme="minorEastAsia"/>
          <w:sz w:val="28"/>
          <w:szCs w:val="28"/>
          <w:highlight w:val="none"/>
          <w:lang w:val="en-US" w:eastAsia="zh-CN"/>
        </w:rPr>
        <w:t>（人民币）</w:t>
      </w:r>
      <w:permEnd w:id="30"/>
      <w:r>
        <w:rPr>
          <w:rFonts w:hint="default" w:asciiTheme="minorEastAsia" w:hAnsiTheme="minorEastAsia" w:eastAsiaTheme="minorEastAsia" w:cstheme="minorEastAsia"/>
          <w:sz w:val="28"/>
          <w:szCs w:val="28"/>
          <w:highlight w:val="none"/>
          <w:lang w:val="en-US" w:eastAsia="zh-CN"/>
        </w:rPr>
        <w:t>，缴纳方式详见招标文件。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1" w:edGrp="everyone"/>
      <w:r>
        <w:rPr>
          <w:rFonts w:hint="eastAsia" w:asciiTheme="minorEastAsia" w:hAnsiTheme="minorEastAsia" w:cstheme="minorEastAsia"/>
          <w:sz w:val="28"/>
          <w:szCs w:val="28"/>
          <w:highlight w:val="none"/>
          <w:lang w:val="en-US" w:eastAsia="zh-CN"/>
        </w:rPr>
        <w:t>亳州市公共交通集团有限公司</w:t>
      </w:r>
    </w:p>
    <w:permEnd w:id="31"/>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permStart w:id="32" w:edGrp="everyone"/>
      <w:r>
        <w:rPr>
          <w:rFonts w:hint="eastAsia" w:asciiTheme="minorEastAsia" w:hAnsiTheme="minorEastAsia" w:cstheme="minorEastAsia"/>
          <w:sz w:val="28"/>
          <w:szCs w:val="28"/>
          <w:highlight w:val="none"/>
          <w:lang w:val="en-US" w:eastAsia="zh-CN"/>
        </w:rPr>
        <w:t xml:space="preserve">亳州市谯城区药都大道1289号 </w:t>
      </w:r>
      <w:permEnd w:id="32"/>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33" w:edGrp="everyone"/>
      <w:r>
        <w:rPr>
          <w:rFonts w:hint="eastAsia" w:asciiTheme="minorEastAsia" w:hAnsiTheme="minorEastAsia" w:cstheme="minorEastAsia"/>
          <w:sz w:val="28"/>
          <w:szCs w:val="28"/>
          <w:highlight w:val="none"/>
          <w:lang w:val="en-US" w:eastAsia="zh-CN"/>
        </w:rPr>
        <w:t xml:space="preserve">石工 </w:t>
      </w:r>
      <w:permEnd w:id="33"/>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34" w:edGrp="everyone"/>
      <w:r>
        <w:rPr>
          <w:rFonts w:hint="eastAsia" w:asciiTheme="minorEastAsia" w:hAnsiTheme="minorEastAsia" w:cstheme="minorEastAsia"/>
          <w:sz w:val="28"/>
          <w:szCs w:val="28"/>
          <w:highlight w:val="none"/>
          <w:lang w:val="en-US" w:eastAsia="zh-CN"/>
        </w:rPr>
        <w:t xml:space="preserve">0558-5278669 </w:t>
      </w:r>
      <w:permEnd w:id="34"/>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eastAsia" w:asciiTheme="minorEastAsia" w:hAnsiTheme="minorEastAsia" w:eastAsiaTheme="minorEastAsia" w:cstheme="minorEastAsia"/>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auto"/>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35" w:edGrp="everyone"/>
      <w:r>
        <w:rPr>
          <w:rFonts w:hint="eastAsia" w:asciiTheme="minorEastAsia" w:hAnsiTheme="minorEastAsia" w:eastAsiaTheme="minorEastAsia" w:cstheme="minorEastAsia"/>
          <w:color w:val="auto"/>
          <w:sz w:val="28"/>
          <w:szCs w:val="28"/>
          <w:highlight w:val="none"/>
          <w:lang w:val="en-US" w:eastAsia="zh-CN"/>
        </w:rPr>
        <w:t>亳州市公共交通集团有限公司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cstheme="minorEastAsia"/>
          <w:color w:val="auto"/>
          <w:sz w:val="28"/>
          <w:szCs w:val="28"/>
          <w:highlight w:val="none"/>
          <w:lang w:val="en-US" w:eastAsia="zh-CN"/>
        </w:rPr>
        <w:t>2023</w:t>
      </w:r>
      <w:r>
        <w:rPr>
          <w:rFonts w:hint="eastAsia" w:asciiTheme="minorEastAsia" w:hAnsiTheme="minorEastAsia" w:eastAsiaTheme="minorEastAsia" w:cstheme="minorEastAsia"/>
          <w:color w:val="auto"/>
          <w:sz w:val="28"/>
          <w:szCs w:val="28"/>
          <w:highlight w:val="none"/>
          <w:lang w:val="en-US" w:eastAsia="zh-CN"/>
        </w:rPr>
        <w:t>年</w:t>
      </w:r>
      <w:r>
        <w:rPr>
          <w:rFonts w:hint="eastAsia" w:asciiTheme="minorEastAsia" w:hAnsiTheme="minorEastAsia" w:cstheme="minorEastAsia"/>
          <w:color w:val="auto"/>
          <w:sz w:val="28"/>
          <w:szCs w:val="28"/>
          <w:highlight w:val="none"/>
          <w:lang w:val="en-US" w:eastAsia="zh-CN"/>
        </w:rPr>
        <w:t>10月13</w:t>
      </w:r>
      <w:r>
        <w:rPr>
          <w:rFonts w:hint="eastAsia" w:asciiTheme="minorEastAsia" w:hAnsiTheme="minorEastAsia" w:eastAsiaTheme="minorEastAsia" w:cstheme="minorEastAsia"/>
          <w:color w:val="auto"/>
          <w:sz w:val="28"/>
          <w:szCs w:val="28"/>
          <w:highlight w:val="none"/>
          <w:lang w:val="en-US" w:eastAsia="zh-CN"/>
        </w:rPr>
        <w:t>日</w:t>
      </w:r>
      <w:permEnd w:id="35"/>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5"/>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481"/>
        <w:gridCol w:w="50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招标</w:t>
            </w:r>
            <w:r>
              <w:rPr>
                <w:rFonts w:hint="default" w:ascii="Times New Roman" w:hAnsi="Times New Roman" w:cs="Times New Roman"/>
                <w:szCs w:val="21"/>
                <w:highlight w:val="none"/>
              </w:rPr>
              <w:t>项目名称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交货期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6" w:edGrp="everyone"/>
            <w:r>
              <w:rPr>
                <w:rFonts w:hint="eastAsia" w:ascii="Times New Roman" w:hAnsi="Times New Roman" w:cs="Times New Roman"/>
                <w:szCs w:val="21"/>
                <w:highlight w:val="none"/>
                <w:lang w:val="en-US" w:eastAsia="zh-CN"/>
              </w:rPr>
              <w:t>交货期：</w:t>
            </w:r>
            <w:r>
              <w:rPr>
                <w:rFonts w:hint="eastAsia" w:ascii="Times New Roman" w:hAnsi="Times New Roman" w:cs="Times New Roman"/>
                <w:szCs w:val="21"/>
                <w:highlight w:val="none"/>
                <w:u w:val="single"/>
                <w:lang w:val="en-US" w:eastAsia="zh-CN"/>
              </w:rPr>
              <w:t>中标人收到招标人发出的订单通知后，应于3个工作日内完成交货。</w:t>
            </w:r>
            <w:permEnd w:id="36"/>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交货地点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1.3.4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质量标准</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投标人资质条件、能力</w:t>
            </w:r>
            <w:r>
              <w:rPr>
                <w:rFonts w:hint="eastAsia" w:ascii="Times New Roman" w:hAnsi="Times New Roman" w:cs="Times New Roman"/>
                <w:szCs w:val="21"/>
                <w:highlight w:val="none"/>
                <w:lang w:val="en-US" w:eastAsia="zh-CN"/>
              </w:rPr>
              <w:t>、信誉</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napToGrid w:val="0"/>
              <w:spacing w:line="440" w:lineRule="exact"/>
              <w:jc w:val="left"/>
              <w:rPr>
                <w:rFonts w:hint="eastAsia" w:ascii="宋体" w:hAnsi="宋体" w:cs="宋体"/>
                <w:szCs w:val="21"/>
              </w:rPr>
            </w:pPr>
            <w:r>
              <w:rPr>
                <w:rFonts w:hint="eastAsia"/>
                <w:szCs w:val="21"/>
              </w:rPr>
              <w:t>1、投标人资格要求：详见招标公告。</w:t>
            </w:r>
          </w:p>
          <w:p>
            <w:pPr>
              <w:autoSpaceDE w:val="0"/>
              <w:autoSpaceDN w:val="0"/>
              <w:adjustRightInd w:val="0"/>
              <w:snapToGrid w:val="0"/>
              <w:spacing w:line="440" w:lineRule="exact"/>
              <w:jc w:val="left"/>
              <w:rPr>
                <w:rFonts w:hint="eastAsia" w:hAnsi="宋体"/>
                <w:color w:val="FF0000"/>
                <w:szCs w:val="21"/>
              </w:rPr>
            </w:pPr>
            <w:permStart w:id="37" w:edGrp="everyone"/>
            <w:r>
              <w:rPr>
                <w:rFonts w:hint="eastAsia" w:hAnsi="宋体"/>
                <w:color w:val="FF0000"/>
                <w:szCs w:val="21"/>
                <w:lang w:val="en-US" w:eastAsia="zh-CN"/>
              </w:rPr>
              <w:t>2</w:t>
            </w:r>
            <w:r>
              <w:rPr>
                <w:rFonts w:hint="eastAsia" w:hAnsi="宋体"/>
                <w:color w:val="FF0000"/>
                <w:szCs w:val="21"/>
              </w:rPr>
              <w:t>、财务要求：</w:t>
            </w:r>
          </w:p>
          <w:p>
            <w:pPr>
              <w:autoSpaceDE w:val="0"/>
              <w:autoSpaceDN w:val="0"/>
              <w:adjustRightInd w:val="0"/>
              <w:snapToGrid w:val="0"/>
              <w:spacing w:line="440" w:lineRule="exact"/>
              <w:ind w:firstLine="420" w:firstLineChars="200"/>
              <w:jc w:val="left"/>
              <w:rPr>
                <w:rFonts w:hint="eastAsia" w:hAnsi="宋体" w:eastAsiaTheme="minorEastAsia"/>
                <w:color w:val="FF0000"/>
                <w:szCs w:val="21"/>
                <w:lang w:eastAsia="zh-CN"/>
              </w:rPr>
            </w:pPr>
            <w:r>
              <w:rPr>
                <w:rFonts w:hint="eastAsia" w:hAnsi="宋体"/>
                <w:color w:val="FF0000"/>
                <w:szCs w:val="21"/>
              </w:rPr>
              <w:t>不需要</w:t>
            </w:r>
            <w:r>
              <w:rPr>
                <w:rFonts w:hint="eastAsia" w:hAnsi="宋体"/>
                <w:color w:val="FF0000"/>
                <w:szCs w:val="21"/>
                <w:lang w:eastAsia="zh-CN"/>
              </w:rPr>
              <w:t>☑</w:t>
            </w:r>
          </w:p>
          <w:p>
            <w:pPr>
              <w:autoSpaceDE w:val="0"/>
              <w:autoSpaceDN w:val="0"/>
              <w:adjustRightInd w:val="0"/>
              <w:snapToGrid w:val="0"/>
              <w:spacing w:line="440" w:lineRule="exact"/>
              <w:ind w:firstLine="420" w:firstLineChars="200"/>
              <w:rPr>
                <w:rFonts w:hint="eastAsia" w:hAnsi="宋体"/>
                <w:szCs w:val="21"/>
              </w:rPr>
            </w:pPr>
            <w:r>
              <w:rPr>
                <w:rFonts w:hint="eastAsia" w:hAnsi="宋体"/>
                <w:color w:val="FF0000"/>
                <w:szCs w:val="21"/>
              </w:rPr>
              <w:t>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p>
          <w:permEnd w:id="37"/>
          <w:p>
            <w:pPr>
              <w:autoSpaceDE w:val="0"/>
              <w:autoSpaceDN w:val="0"/>
              <w:adjustRightInd w:val="0"/>
              <w:snapToGrid w:val="0"/>
              <w:spacing w:line="440" w:lineRule="exact"/>
              <w:jc w:val="left"/>
              <w:rPr>
                <w:rFonts w:hint="eastAsia"/>
              </w:rPr>
            </w:pPr>
            <w:r>
              <w:rPr>
                <w:rFonts w:hint="eastAsia"/>
                <w:lang w:val="en-US" w:eastAsia="zh-CN"/>
              </w:rPr>
              <w:t>3</w:t>
            </w:r>
            <w:r>
              <w:rPr>
                <w:rFonts w:hint="eastAsia"/>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38" w:edGrp="everyone"/>
            <w:r>
              <w:rPr>
                <w:rFonts w:hint="eastAsia" w:hAnsi="宋体"/>
                <w:sz w:val="21"/>
                <w:szCs w:val="21"/>
                <w:lang w:val="en-US" w:eastAsia="zh-CN"/>
              </w:rPr>
              <w:t xml:space="preserve"> \ </w:t>
            </w:r>
            <w:permEnd w:id="38"/>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是否接受联合体投标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permStart w:id="39"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 xml:space="preserve">接受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接受</w:t>
            </w:r>
            <w:permEnd w:id="3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投标人不得存在的其他情形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40" w:edGrp="everyone"/>
            <w:r>
              <w:rPr>
                <w:rFonts w:hint="eastAsia" w:hAnsi="宋体"/>
                <w:sz w:val="21"/>
                <w:szCs w:val="21"/>
                <w:lang w:val="en-US" w:eastAsia="zh-CN"/>
              </w:rPr>
              <w:t xml:space="preserve"> \ </w:t>
            </w:r>
            <w:permEnd w:id="4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投标预备会</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 w:val="21"/>
                <w:szCs w:val="21"/>
                <w:highlight w:val="none"/>
              </w:rPr>
            </w:pPr>
            <w:permStart w:id="41"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不召开</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召开</w:t>
            </w:r>
            <w:r>
              <w:rPr>
                <w:rFonts w:hint="eastAsia" w:ascii="Times New Roman" w:hAnsi="Times New Roman" w:cs="Times New Roman"/>
                <w:color w:val="FF0000"/>
                <w:sz w:val="21"/>
                <w:szCs w:val="21"/>
                <w:highlight w:val="none"/>
                <w:lang w:val="en-US" w:eastAsia="zh-CN"/>
              </w:rPr>
              <w:t xml:space="preserve"> </w:t>
            </w:r>
            <w:permEnd w:id="4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投标人在投标预备会前提出问题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时间：</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形式：</w:t>
            </w: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1.9.3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i/>
                <w:iCs/>
                <w:color w:val="FF0000"/>
                <w:szCs w:val="21"/>
                <w:highlight w:val="none"/>
                <w:u w:val="single"/>
                <w:lang w:val="en-US" w:eastAsia="zh-CN"/>
              </w:rPr>
              <w:t>不适用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分包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42"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分包内容要求：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eastAsia" w:ascii="Times New Roman" w:hAnsi="Times New Roman" w:cs="Times New Roman"/>
                <w:color w:val="FF0000"/>
                <w:sz w:val="21"/>
                <w:szCs w:val="21"/>
                <w:highlight w:val="none"/>
                <w:lang w:val="en-US" w:eastAsia="zh-CN"/>
              </w:rPr>
            </w:pPr>
            <w:r>
              <w:rPr>
                <w:rFonts w:hint="eastAsia" w:ascii="Times New Roman" w:hAnsi="Times New Roman" w:cs="Times New Roman"/>
                <w:color w:val="FF0000"/>
                <w:sz w:val="21"/>
                <w:szCs w:val="21"/>
                <w:highlight w:val="none"/>
                <w:lang w:val="en-US" w:eastAsia="zh-CN"/>
              </w:rPr>
              <w:t>分包金额要求：</w:t>
            </w:r>
          </w:p>
          <w:p>
            <w:pPr>
              <w:keepNext w:val="0"/>
              <w:keepLines w:val="0"/>
              <w:pageBreakBefore w:val="0"/>
              <w:widowControl w:val="0"/>
              <w:kinsoku/>
              <w:wordWrap w:val="0"/>
              <w:overflowPunct/>
              <w:topLinePunct w:val="0"/>
              <w:autoSpaceDE/>
              <w:autoSpaceDN/>
              <w:bidi w:val="0"/>
              <w:adjustRightInd/>
              <w:snapToGrid/>
              <w:spacing w:line="400" w:lineRule="exact"/>
              <w:ind w:firstLine="840" w:firstLineChars="400"/>
              <w:jc w:val="both"/>
              <w:textAlignment w:val="auto"/>
              <w:rPr>
                <w:rFonts w:hint="default" w:ascii="Times New Roman" w:hAnsi="Times New Roman" w:cs="Times New Roman"/>
                <w:sz w:val="21"/>
                <w:szCs w:val="21"/>
                <w:highlight w:val="none"/>
                <w:lang w:val="en-US" w:eastAsia="zh-CN"/>
              </w:rPr>
            </w:pPr>
            <w:r>
              <w:rPr>
                <w:rFonts w:hint="eastAsia" w:ascii="Times New Roman" w:hAnsi="Times New Roman" w:cs="Times New Roman"/>
                <w:color w:val="FF0000"/>
                <w:sz w:val="21"/>
                <w:szCs w:val="21"/>
                <w:highlight w:val="none"/>
                <w:lang w:val="en-US" w:eastAsia="zh-CN"/>
              </w:rPr>
              <w:t>对分包人的资质要求：</w:t>
            </w:r>
            <w:permEnd w:id="42"/>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1.11.1</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实质性要求和条件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43" w:edGrp="everyone"/>
            <w:r>
              <w:rPr>
                <w:rFonts w:hint="eastAsia" w:hAnsi="宋体"/>
                <w:sz w:val="21"/>
                <w:szCs w:val="21"/>
                <w:lang w:val="en-US" w:eastAsia="zh-CN"/>
              </w:rPr>
              <w:t>详见第一章招标公告、第四章合同条款及格式、第五章供货要求。</w:t>
            </w:r>
            <w:permEnd w:id="4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1.11.3</w:t>
            </w:r>
          </w:p>
        </w:tc>
        <w:tc>
          <w:tcPr>
            <w:tcW w:w="2481"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其他可以被接受的技术支持资料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permStart w:id="44" w:edGrp="everyone"/>
            <w:r>
              <w:rPr>
                <w:rFonts w:hint="eastAsia" w:hAnsi="宋体"/>
                <w:sz w:val="21"/>
                <w:szCs w:val="21"/>
                <w:lang w:val="en-US" w:eastAsia="zh-CN"/>
              </w:rPr>
              <w:t>技术支持资料以制造商公开发布的印刷资料，政府部门出具的公告或文件，或检测机构出具的检测报告为准，其他形式的技术支持资料视为无效。</w:t>
            </w:r>
            <w:permEnd w:id="44"/>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1.11.4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偏差</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时间：距投标截止时间止3日前，投标人应仔细阅读和检查招标文件的全部内容。如发现缺页或附件不全，应及时向招标人提出，以便补齐。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形式：投标人如对招标文件有任何疑问，应及时与招标人联系，递交纸质材料，要求招标人对招标文件予以澄清。否则，投标人无权再因招标文件等与投标有关的资料而提出质疑、投诉。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招标文件澄清发出的形式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投标截止时间前，招标文件的澄清将在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481"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投标人确认收到招标文件澄清</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招标文件的澄清在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上的发布时间，视为投标人确认收到招标文件澄清的时间。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招标文件修改发出的形式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u w:val="none"/>
                <w:lang w:val="en-US" w:eastAsia="zh-CN"/>
              </w:rPr>
              <w:t>投标截止时间前，招标文件的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将在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2.3.2</w:t>
            </w:r>
          </w:p>
        </w:tc>
        <w:tc>
          <w:tcPr>
            <w:tcW w:w="2481"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招标人确认收到招标文件修改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时间：</w:t>
            </w:r>
            <w:r>
              <w:rPr>
                <w:rFonts w:hint="default" w:ascii="Times New Roman" w:hAnsi="Times New Roman" w:cs="Times New Roman"/>
                <w:szCs w:val="21"/>
                <w:highlight w:val="none"/>
                <w:u w:val="none"/>
                <w:lang w:val="en-US" w:eastAsia="zh-CN"/>
              </w:rPr>
              <w:t>招标文件的</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在</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上的发布时间，视为投标人确认收到招标文件</w:t>
            </w:r>
            <w:r>
              <w:rPr>
                <w:rFonts w:hint="eastAsia" w:ascii="Times New Roman" w:hAnsi="Times New Roman" w:cs="Times New Roman"/>
                <w:szCs w:val="21"/>
                <w:highlight w:val="none"/>
                <w:u w:val="none"/>
                <w:lang w:val="en-US" w:eastAsia="zh-CN"/>
              </w:rPr>
              <w:t>修改</w:t>
            </w:r>
            <w:r>
              <w:rPr>
                <w:rFonts w:hint="default" w:ascii="Times New Roman" w:hAnsi="Times New Roman" w:cs="Times New Roman"/>
                <w:szCs w:val="21"/>
                <w:highlight w:val="none"/>
                <w:u w:val="none"/>
                <w:lang w:val="en-US" w:eastAsia="zh-CN"/>
              </w:rPr>
              <w:t>的时间。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2481"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形式：</w:t>
            </w:r>
            <w:r>
              <w:rPr>
                <w:rFonts w:hint="default" w:ascii="Times New Roman" w:hAnsi="Times New Roman" w:cs="Times New Roman"/>
                <w:szCs w:val="21"/>
                <w:highlight w:val="none"/>
                <w:u w:val="none"/>
                <w:lang w:val="en-US" w:eastAsia="zh-CN"/>
              </w:rPr>
              <w:t>所有参加本次项目招标的投标人须在网上自行查询，无需以纸质形式回复。如遇系统故障等原因不能进入</w:t>
            </w:r>
            <w:r>
              <w:rPr>
                <w:rFonts w:hint="eastAsia" w:ascii="Times New Roman" w:hAnsi="Times New Roman" w:cs="Times New Roman"/>
                <w:szCs w:val="21"/>
                <w:highlight w:val="none"/>
                <w:u w:val="none"/>
                <w:lang w:val="en-US"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u w:val="none"/>
                <w:lang w:val="en-US" w:eastAsia="zh-CN"/>
              </w:rPr>
              <w:t>，请及时与招标人联系。否则，造成的一切后果由投标人自行承担。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构成投标文件的其他资料</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投标人的书面澄清、说明和补正（但</w:t>
            </w:r>
            <w:r>
              <w:rPr>
                <w:rFonts w:hint="eastAsia" w:ascii="Times New Roman" w:hAnsi="Times New Roman" w:cs="Times New Roman"/>
                <w:szCs w:val="21"/>
                <w:highlight w:val="none"/>
                <w:lang w:val="en-US" w:eastAsia="zh-CN"/>
              </w:rPr>
              <w:t>不得超出投标文件的范围且不得改变投标文件的实质性内容）。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增值税税金的计算方法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投标报价应包括国家规定的增值税税金，增值税税金按一般计税方法计算。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eastAsia="仿宋_GB2312"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heme="minorEastAsia" w:hAnsiTheme="minorEastAsia" w:eastAsiaTheme="minorEastAsia" w:cstheme="minorEastAsia"/>
                <w:szCs w:val="21"/>
                <w:highlight w:val="none"/>
                <w:lang w:val="en-US" w:eastAsia="zh-CN"/>
              </w:rPr>
              <w:t>有</w:t>
            </w:r>
            <w:r>
              <w:rPr>
                <w:rFonts w:hint="eastAsia" w:asciiTheme="minorEastAsia" w:hAnsiTheme="minorEastAsia" w:cstheme="minorEastAsia"/>
                <w:szCs w:val="21"/>
                <w:highlight w:val="none"/>
                <w:lang w:val="en-US" w:eastAsia="zh-CN"/>
              </w:rPr>
              <w:t>，最高投标限价：</w:t>
            </w: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投标报价的其他要求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permStart w:id="45" w:edGrp="everyone"/>
            <w:r>
              <w:rPr>
                <w:rFonts w:hint="eastAsia" w:ascii="Times New Roman" w:hAnsi="Times New Roman" w:cs="Times New Roman"/>
                <w:szCs w:val="21"/>
                <w:highlight w:val="none"/>
                <w:u w:val="single"/>
                <w:lang w:val="en-US" w:eastAsia="zh-CN"/>
              </w:rPr>
              <w:t xml:space="preserve">详见第一章招标公告。 </w:t>
            </w:r>
            <w:permEnd w:id="4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投标截止之日起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lang w:eastAsia="zh-CN"/>
              </w:rPr>
            </w:pPr>
            <w:permStart w:id="46"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eastAsia" w:hAnsi="宋体"/>
                <w:color w:val="FF0000"/>
                <w:szCs w:val="21"/>
                <w:lang w:eastAsia="zh-CN"/>
              </w:rPr>
              <w:t>☑</w:t>
            </w:r>
          </w:p>
          <w:permEnd w:id="46"/>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rPr>
              <w:t>投标保证金的金额：</w:t>
            </w:r>
            <w:permStart w:id="47" w:edGrp="everyone"/>
            <w:r>
              <w:rPr>
                <w:rFonts w:hint="eastAsia" w:ascii="Times New Roman" w:hAnsi="Times New Roman" w:cs="Times New Roman"/>
                <w:color w:val="auto"/>
                <w:szCs w:val="21"/>
                <w:highlight w:val="none"/>
                <w:u w:val="single"/>
                <w:lang w:val="en-US" w:eastAsia="zh-CN"/>
              </w:rPr>
              <w:t>10000元（人民币）</w:t>
            </w:r>
            <w:permEnd w:id="47"/>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48" w:edGrp="everyone"/>
            <w:r>
              <w:rPr>
                <w:rFonts w:hint="eastAsia" w:ascii="Times New Roman" w:hAnsi="Times New Roman" w:cs="Times New Roman"/>
                <w:color w:val="FF0000"/>
                <w:szCs w:val="21"/>
                <w:highlight w:val="none"/>
                <w:lang w:val="en-US" w:eastAsia="zh-CN"/>
              </w:rPr>
              <w:t>BZJK-2023-033号保证金</w:t>
            </w:r>
            <w:permEnd w:id="48"/>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其他可以不予退还投标保证金的情形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（4）</w:t>
            </w:r>
            <w:r>
              <w:rPr>
                <w:rFonts w:hint="default" w:ascii="Times New Roman" w:hAnsi="Times New Roman" w:cs="Times New Roman"/>
                <w:szCs w:val="21"/>
                <w:highlight w:val="none"/>
              </w:rPr>
              <w:t>投标人采用不正当手段（串通投标、弄虚作假、行贿等）骗取中标的；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6</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资格审查资料的特殊要求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49"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heme="minorEastAsia" w:hAnsiTheme="minorEastAsia" w:cstheme="minorEastAsia"/>
                <w:i/>
                <w:iCs/>
                <w:color w:val="FF0000"/>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49"/>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近年财务状况的年份要求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0"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有，具体要求：</w:t>
            </w:r>
            <w:permEnd w:id="5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近年完成的类似项目情况的时间要求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是否允许递交备选投标方案</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1"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不允许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允许   </w:t>
            </w:r>
            <w:permEnd w:id="51"/>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投标文件签字或盖章要求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投标文件份数及其他要求</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投标文件份数：正本1份、副本4份</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permStart w:id="52" w:edGrp="everyone"/>
            <w:r>
              <w:rPr>
                <w:rFonts w:hint="eastAsia" w:ascii="Times New Roman" w:hAnsi="Times New Roman" w:cs="Times New Roman"/>
                <w:color w:val="FF0000"/>
                <w:szCs w:val="21"/>
                <w:highlight w:val="none"/>
                <w:u w:val="none"/>
                <w:lang w:val="en-US" w:eastAsia="zh-CN"/>
              </w:rPr>
              <w:t>是否要求述标：</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52"/>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3.7.3A（3）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投标文件是否需分册装订</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heme="minorEastAsia" w:hAnsiTheme="minorEastAsia" w:cstheme="minorEastAsia"/>
                <w:i/>
                <w:iCs/>
                <w:color w:val="FF0000"/>
                <w:szCs w:val="21"/>
                <w:highlight w:val="none"/>
                <w:u w:val="single"/>
                <w:lang w:val="en-US" w:eastAsia="zh-CN"/>
              </w:rPr>
            </w:pPr>
            <w:permStart w:id="53" w:edGrp="everyone"/>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不需要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需要，分册装订要求：</w:t>
            </w:r>
            <w:permEnd w:id="53"/>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开标地址：亳州交通投资控股集团有限公司15楼开标室（药都大道与希夷大道交叉口东北角15楼）</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招标人：亳州市公共交通集团有限公司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亳州市公共交通集团有限公司2023-2026年度公交车轮胎采购项目</w:t>
            </w:r>
            <w:r>
              <w:rPr>
                <w:rFonts w:hint="eastAsia" w:ascii="Times New Roman" w:hAnsi="Times New Roman" w:cs="Times New Roman"/>
                <w:color w:val="FF0000"/>
                <w:szCs w:val="21"/>
                <w:highlight w:val="no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项目编号：BZJK-2023-033号</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i w:val="0"/>
                <w:iCs w:val="0"/>
                <w:color w:val="FF0000"/>
                <w:szCs w:val="21"/>
                <w:highlight w:val="none"/>
                <w:u w:val="single"/>
                <w:lang w:val="en-US" w:eastAsia="zh-CN"/>
              </w:rPr>
              <w:t>2023</w:t>
            </w:r>
            <w:r>
              <w:rPr>
                <w:rFonts w:hint="eastAsia" w:ascii="Times New Roman" w:hAnsi="Times New Roman" w:cs="Times New Roman"/>
                <w:color w:val="FF0000"/>
                <w:szCs w:val="21"/>
                <w:highlight w:val="none"/>
                <w:lang w:val="en-US" w:eastAsia="zh-CN"/>
              </w:rPr>
              <w:t>年</w:t>
            </w:r>
            <w:r>
              <w:rPr>
                <w:rFonts w:hint="eastAsia" w:ascii="Times New Roman" w:hAnsi="Times New Roman" w:cs="Times New Roman"/>
                <w:color w:val="FF0000"/>
                <w:szCs w:val="21"/>
                <w:highlight w:val="none"/>
                <w:u w:val="single"/>
                <w:lang w:val="en-US" w:eastAsia="zh-CN"/>
              </w:rPr>
              <w:t>10</w:t>
            </w:r>
            <w:r>
              <w:rPr>
                <w:rFonts w:hint="eastAsia" w:ascii="Times New Roman" w:hAnsi="Times New Roman" w:cs="Times New Roman"/>
                <w:color w:val="FF0000"/>
                <w:szCs w:val="21"/>
                <w:highlight w:val="none"/>
                <w:lang w:val="en-US" w:eastAsia="zh-CN"/>
              </w:rPr>
              <w:t>月</w:t>
            </w:r>
            <w:r>
              <w:rPr>
                <w:rFonts w:hint="eastAsia" w:ascii="Times New Roman" w:hAnsi="Times New Roman" w:cs="Times New Roman"/>
                <w:color w:val="FF0000"/>
                <w:szCs w:val="21"/>
                <w:highlight w:val="none"/>
                <w:u w:val="single"/>
                <w:lang w:val="en-US" w:eastAsia="zh-CN"/>
              </w:rPr>
              <w:t>25</w:t>
            </w:r>
            <w:r>
              <w:rPr>
                <w:rFonts w:hint="eastAsia" w:ascii="Times New Roman" w:hAnsi="Times New Roman" w:cs="Times New Roman"/>
                <w:color w:val="FF0000"/>
                <w:szCs w:val="21"/>
                <w:highlight w:val="none"/>
                <w:lang w:val="en-US" w:eastAsia="zh-CN"/>
              </w:rPr>
              <w:t>日</w:t>
            </w:r>
            <w:r>
              <w:rPr>
                <w:rFonts w:hint="eastAsia" w:ascii="Times New Roman" w:hAnsi="Times New Roman" w:cs="Times New Roman"/>
                <w:color w:val="FF0000"/>
                <w:szCs w:val="21"/>
                <w:highlight w:val="none"/>
                <w:u w:val="single"/>
                <w:lang w:val="en-US" w:eastAsia="zh-CN"/>
              </w:rPr>
              <w:t>9</w:t>
            </w:r>
            <w:r>
              <w:rPr>
                <w:rFonts w:hint="eastAsia" w:ascii="Times New Roman" w:hAnsi="Times New Roman" w:cs="Times New Roman"/>
                <w:color w:val="FF0000"/>
                <w:szCs w:val="21"/>
                <w:highlight w:val="none"/>
                <w:lang w:val="en-US" w:eastAsia="zh-CN"/>
              </w:rPr>
              <w:t>时</w:t>
            </w:r>
            <w:r>
              <w:rPr>
                <w:rFonts w:hint="eastAsia" w:ascii="Times New Roman" w:hAnsi="Times New Roman" w:cs="Times New Roman"/>
                <w:color w:val="FF0000"/>
                <w:szCs w:val="21"/>
                <w:highlight w:val="none"/>
                <w:u w:val="single"/>
                <w:lang w:val="en-US" w:eastAsia="zh-CN"/>
              </w:rPr>
              <w:t>00</w:t>
            </w:r>
            <w:r>
              <w:rPr>
                <w:rFonts w:hint="eastAsia" w:ascii="Times New Roman" w:hAnsi="Times New Roman" w:cs="Times New Roman"/>
                <w:color w:val="FF0000"/>
                <w:szCs w:val="21"/>
                <w:highlight w:val="none"/>
                <w:lang w:val="en-US" w:eastAsia="zh-CN"/>
              </w:rPr>
              <w:t>分前不得开启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4.2.3</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投标文件是否退还</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开标时间：同投标截止时间</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开标地点：同递交投标文件地点</w:t>
            </w:r>
          </w:p>
          <w:p>
            <w:pPr>
              <w:keepNext w:val="0"/>
              <w:keepLines w:val="0"/>
              <w:pageBreakBefore w:val="0"/>
              <w:widowControl w:val="0"/>
              <w:kinsoku/>
              <w:wordWrap w:val="0"/>
              <w:overflowPunct/>
              <w:topLinePunct w:val="0"/>
              <w:autoSpaceDE/>
              <w:autoSpaceDN/>
              <w:bidi w:val="0"/>
              <w:adjustRightInd/>
              <w:snapToGrid/>
              <w:spacing w:line="40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5.2（4）（A）</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开标顺序：</w:t>
            </w:r>
            <w:r>
              <w:rPr>
                <w:rFonts w:hint="default" w:ascii="Times New Roman" w:hAnsi="Times New Roman" w:cs="Times New Roman"/>
                <w:szCs w:val="21"/>
                <w:highlight w:val="none"/>
                <w:u w:val="none"/>
              </w:rPr>
              <w:t>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szCs w:val="21"/>
                <w:highlight w:val="none"/>
              </w:rPr>
              <w:t>评标委员会组建：按有关规定组建。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6.3.2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评标委员会推荐中标候选人的人数</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single"/>
                <w:lang w:val="en-US" w:eastAsia="zh-CN"/>
              </w:rPr>
            </w:pPr>
            <w:r>
              <w:rPr>
                <w:rFonts w:hint="eastAsia" w:ascii="Times New Roman" w:hAnsi="Times New Roman" w:cs="Times New Roman"/>
                <w:szCs w:val="21"/>
                <w:highlight w:val="none"/>
                <w:u w:val="none"/>
                <w:lang w:val="en-US" w:eastAsia="zh-CN"/>
              </w:rPr>
              <w:t>1-3人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中标候选人公示媒介及期限</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single"/>
                <w:lang w:val="en-US" w:eastAsia="zh-CN"/>
              </w:rPr>
            </w:pPr>
            <w:r>
              <w:rPr>
                <w:rFonts w:hint="default" w:ascii="Times New Roman" w:hAnsi="Times New Roman" w:cs="Times New Roman"/>
                <w:color w:val="auto"/>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7.4</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eastAsia" w:ascii="Times New Roman" w:hAnsi="Times New Roman" w:cs="Times New Roman"/>
                <w:szCs w:val="21"/>
                <w:highlight w:val="none"/>
                <w:lang w:val="en-US" w:eastAsia="zh-CN"/>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7.6.1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履约保证金</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54"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eastAsia="仿宋_GB2312" w:cs="Times New Roman"/>
                <w:color w:val="FF0000"/>
                <w:sz w:val="24"/>
                <w:szCs w:val="24"/>
                <w:lang w:val="en-US" w:eastAsia="zh-CN"/>
              </w:rPr>
              <w:t>不</w:t>
            </w:r>
            <w:r>
              <w:rPr>
                <w:rFonts w:hint="eastAsia" w:ascii="Times New Roman" w:hAnsi="Times New Roman" w:cs="Times New Roman"/>
                <w:color w:val="FF0000"/>
                <w:szCs w:val="21"/>
                <w:highlight w:val="none"/>
                <w:lang w:val="en-US" w:eastAsia="zh-CN"/>
              </w:rPr>
              <w:t>要求</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 xml:space="preserve">要求  </w:t>
            </w:r>
          </w:p>
          <w:permEnd w:id="54"/>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w:t>
            </w:r>
            <w:r>
              <w:rPr>
                <w:rFonts w:hint="default" w:ascii="Times New Roman" w:hAnsi="Times New Roman" w:cs="Times New Roman"/>
                <w:color w:val="FF0000"/>
                <w:szCs w:val="21"/>
                <w:highlight w:val="none"/>
              </w:rPr>
              <w:t>中标后，投标保证金自动转为履约保证金，履约保证金不足部分由中标人在收到中标通知书后10日内从其基本账户开户行银行汇款。</w:t>
            </w:r>
          </w:p>
          <w:p>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r>
              <w:rPr>
                <w:rFonts w:hint="eastAsia" w:ascii="Times New Roman" w:hAnsi="Times New Roman" w:cs="Times New Roman"/>
                <w:color w:val="auto"/>
                <w:szCs w:val="21"/>
                <w:highlight w:val="none"/>
                <w:u w:val="single"/>
                <w:lang w:val="en-US" w:eastAsia="zh-CN"/>
              </w:rPr>
              <w:t>10000元（人民币）</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lang w:val="en-US" w:eastAsia="zh-CN"/>
              </w:rPr>
            </w:pPr>
            <w:r>
              <w:rPr>
                <w:rFonts w:hint="default" w:ascii="Times New Roman" w:hAnsi="Times New Roman" w:cs="Times New Roman"/>
                <w:szCs w:val="21"/>
                <w:highlight w:val="none"/>
              </w:rPr>
              <w:t>履约保证金的退还：</w:t>
            </w:r>
            <w:permStart w:id="55" w:edGrp="everyone"/>
            <w:r>
              <w:rPr>
                <w:rFonts w:hint="default" w:ascii="Times New Roman" w:hAnsi="Times New Roman" w:cs="Times New Roman"/>
                <w:szCs w:val="21"/>
                <w:highlight w:val="none"/>
              </w:rPr>
              <w:t>无违约行为发生或违约行为已处理的情况下，服务期结束后返还全部履约保证金（本金无息）。</w:t>
            </w:r>
            <w:permEnd w:id="55"/>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9</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是否采用电子招标投标</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auto"/>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11.2</w:t>
            </w:r>
          </w:p>
        </w:tc>
        <w:tc>
          <w:tcPr>
            <w:tcW w:w="248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不良行为记录</w:t>
            </w:r>
          </w:p>
        </w:tc>
        <w:tc>
          <w:tcPr>
            <w:tcW w:w="503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为加强供应商信用信息管理，投标人存在以下情形的，招标人将对其采取限制投标措施，在2年内禁止其参与亳州交控集团采购项目，并在亳州交通投资控股集团有限公司官网（www.bzjkjt.com）进行公示。</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常见的供应商不良行为有：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（三）非不可抗力原因不能履行采购合同的；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（四）不按照招标文件、谈判文件、询价通知书要求提供履约担保的；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（七）提供虚假材料谋取中标、成交、入围的；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cs="Times New Roman"/>
                <w:szCs w:val="21"/>
                <w:highlight w:val="none"/>
              </w:rPr>
              <w:t>（十四）其他不良行为。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52045529"/>
      <w:bookmarkStart w:id="17" w:name="_Toc179632546"/>
      <w:bookmarkStart w:id="18" w:name="_Toc246996175"/>
      <w:bookmarkStart w:id="19" w:name="_Toc246996918"/>
      <w:bookmarkStart w:id="20" w:name="_Toc296602420"/>
      <w:bookmarkStart w:id="21" w:name="_Toc247085689"/>
      <w:bookmarkStart w:id="22" w:name="_Toc144974497"/>
      <w:bookmarkStart w:id="23" w:name="_Toc152042305"/>
      <w:r>
        <w:rPr>
          <w:rFonts w:hint="eastAsia"/>
        </w:rPr>
        <w:t>1. 总则</w:t>
      </w:r>
      <w:bookmarkEnd w:id="16"/>
      <w:bookmarkEnd w:id="17"/>
      <w:bookmarkEnd w:id="18"/>
      <w:bookmarkEnd w:id="19"/>
      <w:bookmarkEnd w:id="20"/>
      <w:bookmarkEnd w:id="21"/>
      <w:bookmarkEnd w:id="22"/>
      <w:bookmarkEnd w:id="2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52042306"/>
      <w:bookmarkStart w:id="25" w:name="_Toc246996176"/>
      <w:bookmarkStart w:id="26" w:name="_Toc247085690"/>
      <w:bookmarkStart w:id="27" w:name="_Toc296602421"/>
      <w:bookmarkStart w:id="28" w:name="_Toc152045530"/>
      <w:bookmarkStart w:id="29" w:name="_Toc179632547"/>
      <w:bookmarkStart w:id="30" w:name="_Toc246996919"/>
      <w:bookmarkStart w:id="31" w:name="_Toc144974498"/>
      <w:r>
        <w:rPr>
          <w:rFonts w:hint="eastAsia"/>
        </w:rPr>
        <w:t xml:space="preserve">1.1 </w:t>
      </w:r>
      <w:r>
        <w:rPr>
          <w:rFonts w:hint="eastAsia"/>
          <w:lang w:val="en-US" w:eastAsia="zh-CN"/>
        </w:rPr>
        <w:t>招标</w:t>
      </w:r>
      <w:r>
        <w:rPr>
          <w:rFonts w:hint="eastAsia"/>
        </w:rPr>
        <w:t>项目概况</w:t>
      </w:r>
      <w:bookmarkEnd w:id="24"/>
      <w:bookmarkEnd w:id="25"/>
      <w:bookmarkEnd w:id="26"/>
      <w:bookmarkEnd w:id="27"/>
      <w:bookmarkEnd w:id="28"/>
      <w:bookmarkEnd w:id="29"/>
      <w:bookmarkEnd w:id="30"/>
      <w:bookmarkEnd w:id="3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1.1.1根据《中华人民共和国招标投标法》等有关法律、法规和规章的规定，本招标项目已具备招标条件，现对</w:t>
      </w:r>
      <w:r>
        <w:rPr>
          <w:rFonts w:hint="eastAsia"/>
          <w:lang w:val="en-US" w:eastAsia="zh-CN"/>
        </w:rPr>
        <w:t>材料</w:t>
      </w:r>
      <w:r>
        <w:rPr>
          <w:rFonts w:hint="eastAsia"/>
        </w:rPr>
        <w:t>进行招标。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1.1.2 招标人：见投标人须知前附表。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1.1.3 招标</w:t>
      </w:r>
      <w:r>
        <w:rPr>
          <w:rFonts w:hint="eastAsia"/>
          <w:lang w:val="en-US" w:eastAsia="zh-CN"/>
        </w:rPr>
        <w:t>平台</w:t>
      </w:r>
      <w:r>
        <w:rPr>
          <w:rFonts w:hint="eastAsia"/>
        </w:rPr>
        <w:t>：见投标人须知前附表。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1.1.4 </w:t>
      </w:r>
      <w:r>
        <w:rPr>
          <w:rFonts w:hint="eastAsia"/>
          <w:lang w:val="en-US" w:eastAsia="zh-CN"/>
        </w:rPr>
        <w:t>招标</w:t>
      </w:r>
      <w:r>
        <w:rPr>
          <w:rFonts w:hint="eastAsia"/>
        </w:rPr>
        <w:t>项目名称：见投标人须知前附表。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1.1.5 工程项目名称：即招标项目所属的工程建设项目，见投标人须知前附表。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52045531"/>
      <w:bookmarkStart w:id="33" w:name="_Toc296602422"/>
      <w:bookmarkStart w:id="34" w:name="_Toc246996920"/>
      <w:bookmarkStart w:id="35" w:name="_Toc247085691"/>
      <w:bookmarkStart w:id="36" w:name="_Toc152042307"/>
      <w:bookmarkStart w:id="37" w:name="_Toc246996177"/>
      <w:bookmarkStart w:id="38" w:name="_Toc144974499"/>
      <w:bookmarkStart w:id="39" w:name="_Toc179632548"/>
      <w:r>
        <w:rPr>
          <w:rFonts w:hint="eastAsia"/>
        </w:rPr>
        <w:t>1.2 招标项目的资金来源和落实情况</w:t>
      </w:r>
      <w:bookmarkEnd w:id="32"/>
      <w:bookmarkEnd w:id="33"/>
      <w:bookmarkEnd w:id="34"/>
      <w:bookmarkEnd w:id="35"/>
      <w:bookmarkEnd w:id="36"/>
      <w:bookmarkEnd w:id="37"/>
      <w:bookmarkEnd w:id="38"/>
      <w:bookmarkEnd w:id="3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1.2.1 资金来源及出资比例：见投标人须知前附表。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1.2.2 资金落实情况：见投标人须知前附表。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0" w:name="_Toc296602423"/>
      <w:bookmarkStart w:id="41" w:name="_Toc152042308"/>
      <w:bookmarkStart w:id="42" w:name="_Toc152045532"/>
      <w:bookmarkStart w:id="43" w:name="_Toc179632549"/>
      <w:bookmarkStart w:id="44" w:name="_Toc246996178"/>
      <w:bookmarkStart w:id="45" w:name="_Toc246996921"/>
      <w:bookmarkStart w:id="46" w:name="_Toc144974500"/>
      <w:bookmarkStart w:id="47" w:name="_Toc247085692"/>
      <w:r>
        <w:rPr>
          <w:rFonts w:hint="eastAsia"/>
        </w:rPr>
        <w:t>1.3 招标范围、计划工期、质量要求</w:t>
      </w:r>
      <w:bookmarkEnd w:id="40"/>
      <w:bookmarkEnd w:id="41"/>
      <w:bookmarkEnd w:id="42"/>
      <w:bookmarkEnd w:id="43"/>
      <w:bookmarkEnd w:id="44"/>
      <w:bookmarkEnd w:id="45"/>
      <w:bookmarkEnd w:id="46"/>
      <w:bookmarkEnd w:id="4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w:t>
      </w:r>
      <w:r>
        <w:rPr>
          <w:rFonts w:hint="eastAsia"/>
        </w:rPr>
        <w:t>.3.1  招标范围：见投标人须知前附表。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1.3.2  交货期：见投标人须知前附表。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1.3.3  交货地点：见投标人须知前附表。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1.3.4  质量标准：见投标人须知前附表。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8" w:name="_Toc247085693"/>
      <w:bookmarkStart w:id="49" w:name="_Toc144974502"/>
      <w:bookmarkStart w:id="50" w:name="_Toc152045534"/>
      <w:bookmarkStart w:id="51" w:name="_Toc179632551"/>
      <w:bookmarkStart w:id="52" w:name="_Toc246996922"/>
      <w:bookmarkStart w:id="53" w:name="_Toc152042310"/>
      <w:bookmarkStart w:id="54" w:name="_Toc296602424"/>
      <w:bookmarkStart w:id="55" w:name="_Toc246996179"/>
      <w:r>
        <w:rPr>
          <w:rFonts w:hint="eastAsia"/>
        </w:rPr>
        <w:t>1.4 投标人资格要求</w:t>
      </w:r>
      <w:bookmarkEnd w:id="48"/>
      <w:bookmarkEnd w:id="49"/>
      <w:bookmarkEnd w:id="50"/>
      <w:bookmarkEnd w:id="51"/>
      <w:bookmarkEnd w:id="52"/>
      <w:bookmarkEnd w:id="53"/>
      <w:bookmarkEnd w:id="54"/>
      <w:bookmarkEnd w:id="5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 1  投标人应具备承担本招标项目资质条件、能力和信誉：</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（1）资质要求：见投标人须知前附表；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（2）财务要求：见投标人须知前附表；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（3）业绩要求：见投标人须知前附表；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（4）信誉要求：见投标人须知前附表；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（5）其他要求：见投标人须知前附表。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投标人为代理经销商的， 对投标人的资质要求包含对制造商的资质要求，对投标人的业绩要求包含对投标材料的业绩要求。需要提交的相关证明材料见本章第 3.5 款的规定。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1.4.2 投标人须知前附表规定接受联合体投标的，联合体除应符合本章第 1.4.1 项和投标人须知前附表的要求外，还应遵守以下规定：</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（1）联合体各方应按招标文件提供的格式签订联合体协议书，明确联合体牵头人和各方权利义务，并承诺就中标项目向招标人承担连带责任；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（2）由同一专业的单位组成的联合体，按照资质等级较低的单位确定资质等级；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（3）联合体各方不得再以自己名义单独或参加其他联合体在本招标项目中投标，否则各相关投标均无效。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1.4.3  投标人不得存在下列情形之一：</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（1）与招标人存在利害关系且可能影响招标公正性；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（2）与本招标项目的其他投标人为同一个单位负责人；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（3）与本招标项目的其他投标人存在控股、管理关系；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（4）与本招标项目其他投标人代理同一个制造商同一品牌同一型号的材料投标；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（5）为本招标项目提供过设计、编制技术规范和其他文件的咨询服务；</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（6）为本工程项目的相关监理人，或者与本工程项目的相关监理人存在隶属关系或者其他利害关系；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（7）为本招标项目的代建人；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（8）为本招标项目的招标代理机构；</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（9）与本招标项目的监理人或代建人或招标代理机构同为一个法定代表人；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（10）与本招标项目的监理人或代建人或招标代理机构存在控股或参股关系；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（11）被依法暂停或者取消投标资格；</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（12）被责令停产停业、暂扣或者吊销许可证、暂扣或者吊销执照；</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（13）进入清算程序，或被宣告破产，或其他丧失履约能力的情形；</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（14）在最近三年内发生重大产品质量问题（以相关行业主管部门的行政处罚决定或司法机关出具的有关法律文书为准）；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（15）被工商行政管理机关在全国企业信用信息公示系统中列入严重违法失信企业名单；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（16）被最高人民法院在“信用中国” 网站（www.creditchina.gov.cn）或各级信用信息共享平台中列入失信被执行人名单；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（17）在近三年内投标人或其法定代表人、拟委任的项目负责人有行贿犯罪行为的（以检察机关职务犯罪预防部门出具的查询结果为准）；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（18）法律法规或投标人须知前附表规定的其他情形。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56" w:name="_Toc179632552"/>
      <w:bookmarkStart w:id="57" w:name="_Toc246996923"/>
      <w:bookmarkStart w:id="58" w:name="_Toc296602425"/>
      <w:bookmarkStart w:id="59" w:name="_Toc247085694"/>
      <w:bookmarkStart w:id="60" w:name="_Toc246996180"/>
      <w:bookmarkStart w:id="61" w:name="_Toc152042311"/>
      <w:bookmarkStart w:id="62" w:name="_Toc152045535"/>
      <w:bookmarkStart w:id="63" w:name="_Toc144974503"/>
      <w:r>
        <w:rPr>
          <w:rFonts w:hint="eastAsia"/>
        </w:rPr>
        <w:t>1.5 费用承担</w:t>
      </w:r>
      <w:bookmarkEnd w:id="56"/>
      <w:bookmarkEnd w:id="57"/>
      <w:bookmarkEnd w:id="58"/>
      <w:bookmarkEnd w:id="59"/>
      <w:bookmarkEnd w:id="60"/>
      <w:bookmarkEnd w:id="61"/>
      <w:bookmarkEnd w:id="62"/>
      <w:bookmarkEnd w:id="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投标人准备和参加投标活动发生的费用自理。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4" w:name="_Toc246996924"/>
      <w:bookmarkStart w:id="65" w:name="_Toc296602426"/>
      <w:bookmarkStart w:id="66" w:name="_Toc246996181"/>
      <w:bookmarkStart w:id="67" w:name="_Toc247085695"/>
      <w:bookmarkStart w:id="68" w:name="_Toc144974504"/>
      <w:bookmarkStart w:id="69" w:name="_Toc152045536"/>
      <w:bookmarkStart w:id="70" w:name="_Toc179632553"/>
      <w:bookmarkStart w:id="71" w:name="_Toc152042312"/>
      <w:r>
        <w:rPr>
          <w:rFonts w:hint="eastAsia"/>
        </w:rPr>
        <w:t>1.6 保密</w:t>
      </w:r>
      <w:bookmarkEnd w:id="64"/>
      <w:bookmarkEnd w:id="65"/>
      <w:bookmarkEnd w:id="66"/>
      <w:bookmarkEnd w:id="67"/>
      <w:bookmarkEnd w:id="68"/>
      <w:bookmarkEnd w:id="69"/>
      <w:bookmarkEnd w:id="70"/>
      <w:bookmarkEnd w:id="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参与招标投标活动的各方应对招标文件和投标文件中的商业和技术等秘密保密，违者应对由此造成的后果承担法律责任。 </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2" w:name="_Toc144974505"/>
      <w:bookmarkStart w:id="73" w:name="_Toc247085696"/>
      <w:bookmarkStart w:id="74" w:name="_Toc296602427"/>
      <w:bookmarkStart w:id="75" w:name="_Toc246996925"/>
      <w:bookmarkStart w:id="76" w:name="_Toc246996182"/>
      <w:bookmarkStart w:id="77" w:name="_Toc152042313"/>
      <w:bookmarkStart w:id="78" w:name="_Toc152045537"/>
      <w:bookmarkStart w:id="79" w:name="_Toc179632554"/>
      <w:r>
        <w:rPr>
          <w:rFonts w:hint="eastAsia"/>
        </w:rPr>
        <w:t>1.7 语言</w:t>
      </w:r>
      <w:bookmarkEnd w:id="72"/>
      <w:r>
        <w:rPr>
          <w:rFonts w:hint="eastAsia"/>
        </w:rPr>
        <w:t>文字</w:t>
      </w:r>
      <w:bookmarkEnd w:id="73"/>
      <w:bookmarkEnd w:id="74"/>
      <w:bookmarkEnd w:id="75"/>
      <w:bookmarkEnd w:id="76"/>
      <w:bookmarkEnd w:id="77"/>
      <w:bookmarkEnd w:id="78"/>
      <w:bookmarkEnd w:id="79"/>
    </w:p>
    <w:p>
      <w:pPr>
        <w:pageBreakBefore w:val="0"/>
        <w:widowControl w:val="0"/>
        <w:kinsoku/>
        <w:wordWrap/>
        <w:overflowPunct/>
        <w:topLinePunct w:val="0"/>
        <w:autoSpaceDE/>
        <w:autoSpaceDN/>
        <w:bidi w:val="0"/>
        <w:adjustRightInd/>
        <w:snapToGrid/>
        <w:spacing w:line="240" w:lineRule="auto"/>
        <w:ind w:firstLine="420" w:firstLineChars="200"/>
        <w:textAlignment w:val="auto"/>
      </w:pPr>
      <w:bookmarkStart w:id="80" w:name="_Toc144974506"/>
      <w:bookmarkStart w:id="81" w:name="_Toc246996926"/>
      <w:bookmarkStart w:id="82" w:name="_Toc152045538"/>
      <w:bookmarkStart w:id="83" w:name="_Toc152042314"/>
      <w:bookmarkStart w:id="84" w:name="_Toc247085697"/>
      <w:bookmarkStart w:id="85" w:name="_Toc179632555"/>
      <w:bookmarkStart w:id="86" w:name="_Toc246996183"/>
      <w:r>
        <w:rPr>
          <w:rFonts w:hint="eastAsia"/>
        </w:rPr>
        <w:t>招标投标文件使用的语言文字为中文。专用术语使用外文的，应附有中文注释。</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7" w:name="_Toc296602428"/>
      <w:r>
        <w:rPr>
          <w:rFonts w:hint="eastAsia"/>
        </w:rPr>
        <w:t>1.8 计量单位</w:t>
      </w:r>
      <w:bookmarkEnd w:id="80"/>
      <w:bookmarkEnd w:id="81"/>
      <w:bookmarkEnd w:id="82"/>
      <w:bookmarkEnd w:id="83"/>
      <w:bookmarkEnd w:id="84"/>
      <w:bookmarkEnd w:id="85"/>
      <w:bookmarkEnd w:id="86"/>
      <w:bookmarkEnd w:id="87"/>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所有计量均采用中华人民共和国法定计量单位。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88" w:name="_Toc152042315"/>
      <w:bookmarkStart w:id="89" w:name="_Toc247527563"/>
      <w:bookmarkStart w:id="90" w:name="_Toc296602429"/>
      <w:bookmarkStart w:id="91" w:name="_Toc152045539"/>
      <w:bookmarkStart w:id="92" w:name="_Toc144974507"/>
      <w:bookmarkStart w:id="93" w:name="_Toc247513962"/>
      <w:bookmarkStart w:id="94" w:name="_Toc247592876"/>
      <w:r>
        <w:rPr>
          <w:rFonts w:hint="eastAsia"/>
        </w:rPr>
        <w:t>1.9 踏勘现场</w:t>
      </w:r>
      <w:bookmarkEnd w:id="88"/>
      <w:bookmarkEnd w:id="89"/>
      <w:bookmarkEnd w:id="90"/>
      <w:bookmarkEnd w:id="91"/>
      <w:bookmarkEnd w:id="92"/>
      <w:bookmarkEnd w:id="93"/>
      <w:bookmarkEnd w:id="9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1.9.1  投标人须知前附表规定召开投标预备会的，招标人按投标人须知前附表规定的时间和地点召开投标预备会，澄清投标人提出的问题。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1.9.2  投标人应按投标人须知前附表规定的时间和形式将提出的问题送达招标人，以便招标人在会议期间澄清。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1.9.3  投标预备会后， 招标人将对投标人所提问题的澄清， 以投标人须知前附表规定的形式通知所有购买招标文件的投标人。该澄清内容为招标文件的组成部分。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95" w:name="_Toc144974508"/>
      <w:bookmarkStart w:id="96" w:name="_Toc247592877"/>
      <w:bookmarkStart w:id="97" w:name="_Toc296602430"/>
      <w:bookmarkStart w:id="98" w:name="_Toc152042316"/>
      <w:bookmarkStart w:id="99" w:name="_Toc247527564"/>
      <w:bookmarkStart w:id="100" w:name="_Toc247513963"/>
      <w:bookmarkStart w:id="101" w:name="_Toc152045540"/>
      <w:r>
        <w:rPr>
          <w:rFonts w:hint="eastAsia"/>
        </w:rPr>
        <w:t xml:space="preserve">1.10 </w:t>
      </w:r>
      <w:bookmarkEnd w:id="95"/>
      <w:bookmarkEnd w:id="96"/>
      <w:bookmarkEnd w:id="97"/>
      <w:bookmarkEnd w:id="98"/>
      <w:bookmarkEnd w:id="99"/>
      <w:bookmarkEnd w:id="100"/>
      <w:bookmarkEnd w:id="101"/>
      <w:r>
        <w:rPr>
          <w:rFonts w:hint="eastAsia"/>
          <w:lang w:val="en-US" w:eastAsia="zh-CN"/>
        </w:rPr>
        <w:t>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1.10.1  投标人拟在中标后将中标项目的非主体材料进行分包的，应符合投标人须知前附表 规定的分包内容、分包金额和资质要求等限制性条件，除投标人须知前附表规定的非主体材料外，其他工作不得分包。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1.10.2  中标人不得向他人转让中标项目，接受分包的人不得再次分包。中标人应当就分包项目向招标人负责， 接受分包的人就分包项目承担连带责任。</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2" w:name="_Toc296602431"/>
      <w:r>
        <w:rPr>
          <w:rFonts w:hint="eastAsia"/>
        </w:rPr>
        <w:t xml:space="preserve">1.11 </w:t>
      </w:r>
      <w:r>
        <w:rPr>
          <w:rFonts w:hint="eastAsia"/>
          <w:lang w:val="en-US" w:eastAsia="zh-CN"/>
        </w:rPr>
        <w:t>响应和</w:t>
      </w:r>
      <w:r>
        <w:rPr>
          <w:rFonts w:hint="eastAsia"/>
        </w:rPr>
        <w:t>偏</w:t>
      </w:r>
      <w:bookmarkEnd w:id="102"/>
      <w:r>
        <w:rPr>
          <w:rFonts w:hint="eastAsia"/>
          <w:lang w:val="en-US" w:eastAsia="zh-CN"/>
        </w:rPr>
        <w:t>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1.11.1 投标文件应当对招标文件的实质性要求和条件作出满足性或更有利于招标人的响应，否则， 投标人的投标将被否决。实质性要求和条件见投标人须知前附表。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1.11.2  投标人应根据招标文件的要求提供投标材料质量标准的详细描述、技术支持资料及相关服务计划等内容以对招标文件作出响应。</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1.11.3  投标文件中应针对实质性要求和条件中列明的技术要求提供技术支持资料。技术支 持资料以制造商公开发布的印刷资料，或检测机构出具的检测报告或投标人须知前附表允许的其他形式为准， 不符合前述要求的， 视为无技术支持资料，其投标将被否决。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1.11.4  投标人须知前附表规定了可以偏差的范围和最高偏差项数的，偏差应当符合投标人须知前附表规定的偏差范围和最高项数， 超出偏差范围和最高偏差项数的投标将被否决。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1.11.5  投标文件对招标文件的全部偏差，均应在投标文件的商务和技术偏差表中列明，除列明的内容外， 视为投标人响应招标文件的全部要求。</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03" w:name="_Toc247085701"/>
      <w:bookmarkStart w:id="104" w:name="_Toc144974510"/>
      <w:bookmarkStart w:id="105" w:name="_Toc246996930"/>
      <w:bookmarkStart w:id="106" w:name="_Toc179632560"/>
      <w:bookmarkStart w:id="107" w:name="_Toc152042318"/>
      <w:bookmarkStart w:id="108" w:name="_Toc152045542"/>
      <w:bookmarkStart w:id="109" w:name="_Toc296602432"/>
      <w:bookmarkStart w:id="110" w:name="_Toc246996187"/>
      <w:r>
        <w:rPr>
          <w:rFonts w:hint="eastAsia"/>
        </w:rPr>
        <w:t>2. 招标文件</w:t>
      </w:r>
      <w:bookmarkEnd w:id="103"/>
      <w:bookmarkEnd w:id="104"/>
      <w:bookmarkEnd w:id="105"/>
      <w:bookmarkEnd w:id="106"/>
      <w:bookmarkEnd w:id="107"/>
      <w:bookmarkEnd w:id="108"/>
      <w:bookmarkEnd w:id="109"/>
      <w:bookmarkEnd w:id="11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79632561"/>
      <w:bookmarkStart w:id="112" w:name="_Toc247085702"/>
      <w:bookmarkStart w:id="113" w:name="_Toc152045543"/>
      <w:bookmarkStart w:id="114" w:name="_Toc246996188"/>
      <w:bookmarkStart w:id="115" w:name="_Toc144974511"/>
      <w:bookmarkStart w:id="116" w:name="_Toc152042319"/>
      <w:bookmarkStart w:id="117" w:name="_Toc296602433"/>
      <w:bookmarkStart w:id="118" w:name="_Toc246996931"/>
      <w:r>
        <w:rPr>
          <w:rFonts w:hint="eastAsia"/>
        </w:rPr>
        <w:t>2.1 招标文件的组成</w:t>
      </w:r>
      <w:bookmarkEnd w:id="111"/>
      <w:bookmarkEnd w:id="112"/>
      <w:bookmarkEnd w:id="113"/>
      <w:bookmarkEnd w:id="114"/>
      <w:bookmarkEnd w:id="115"/>
      <w:bookmarkEnd w:id="116"/>
      <w:bookmarkEnd w:id="117"/>
      <w:bookmarkEnd w:id="11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本招标文件包括：</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（1）招标公告（或投标邀请书）；</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（2）投标人须知；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（3）评标办法；</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（4）合同条款及格式；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（5）供货要求；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（6）投标文件格式。</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根据本章第 1.9 款、第 2.2 款和第 2.3 款对招标文件所作的澄清、修改，构成招标文件的组成部分。</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03"/>
      <w:bookmarkStart w:id="120" w:name="_Toc296602434"/>
      <w:bookmarkStart w:id="121" w:name="_Toc152045544"/>
      <w:bookmarkStart w:id="122" w:name="_Toc152042320"/>
      <w:bookmarkStart w:id="123" w:name="_Toc246996932"/>
      <w:bookmarkStart w:id="124" w:name="_Toc179632562"/>
      <w:bookmarkStart w:id="125" w:name="_Toc144974512"/>
      <w:bookmarkStart w:id="126" w:name="_Toc246996189"/>
      <w:r>
        <w:rPr>
          <w:rFonts w:hint="eastAsia"/>
        </w:rPr>
        <w:t>2.2 招标文件的澄清</w:t>
      </w:r>
      <w:bookmarkEnd w:id="119"/>
      <w:bookmarkEnd w:id="120"/>
      <w:bookmarkEnd w:id="121"/>
      <w:bookmarkEnd w:id="122"/>
      <w:bookmarkEnd w:id="123"/>
      <w:bookmarkEnd w:id="124"/>
      <w:bookmarkEnd w:id="125"/>
      <w:bookmarkEnd w:id="126"/>
      <w:r>
        <w:rPr>
          <w:rFonts w:hint="eastAsia"/>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2.2.1 投标人应仔细阅读和检查招标文件的全部内容。</w:t>
      </w:r>
      <w:r>
        <w:rPr>
          <w:rFonts w:hint="eastAsia" w:ascii="宋体" w:hAnsi="宋体"/>
          <w:szCs w:val="21"/>
        </w:rPr>
        <w:t>如发现缺页或附件不全，应及时向招标人提出，以便补齐。</w:t>
      </w:r>
      <w:r>
        <w:rPr>
          <w:rFonts w:hint="eastAsia"/>
        </w:rPr>
        <w:t>如有疑问，应在投标人须知前附表规定的时间前以书面形式（包括信函、电报、传真等可以有形地表现所载内容的形式，下同），要求招标人对招标文件予以澄清。</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仿宋_GB2312" w:hAnsi="仿宋_GB2312" w:eastAsia="仿宋_GB2312"/>
          <w:sz w:val="32"/>
          <w:szCs w:val="32"/>
        </w:rPr>
      </w:pPr>
      <w:r>
        <w:rPr>
          <w:rFonts w:hint="eastAsia"/>
        </w:rPr>
        <w:t>2.2.2 招标文件的澄清将以书面形式发给所有购买招标文件的投标人，但不指明澄清问题的来源。如果澄清发出的时间距投标人须知前附表规定的投标截止时间不足</w:t>
      </w:r>
      <w:r>
        <w:rPr>
          <w:rFonts w:hint="eastAsia"/>
          <w:lang w:val="en-US" w:eastAsia="zh-CN"/>
        </w:rPr>
        <w:t>3</w:t>
      </w:r>
      <w:r>
        <w:rPr>
          <w:rFonts w:hint="eastAsia"/>
        </w:rPr>
        <w:t>天，并且澄清内容影响投标文件编制的，将相应延长投标截止时间。</w:t>
      </w:r>
      <w:r>
        <w:rPr>
          <w:rFonts w:hint="eastAsia" w:ascii="仿宋_GB2312" w:hAnsi="仿宋_GB2312" w:eastAsia="仿宋_GB2312"/>
          <w:sz w:val="32"/>
          <w:szCs w:val="32"/>
        </w:rPr>
        <w:t xml:space="preserve"> </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投标人在收到澄清后，应在投标人须知前附表规定的时间内以书面形式通知招标人，确认已收到该澄清。</w:t>
      </w:r>
      <w:r>
        <w:rPr>
          <w:szCs w:val="21"/>
        </w:rPr>
        <w:t>投标人确认收到招标文件</w:t>
      </w:r>
      <w:r>
        <w:rPr>
          <w:rFonts w:hint="eastAsia"/>
          <w:szCs w:val="21"/>
        </w:rPr>
        <w:t>修改</w:t>
      </w:r>
      <w:r>
        <w:rPr>
          <w:szCs w:val="21"/>
        </w:rPr>
        <w:t>的时间</w:t>
      </w:r>
      <w:r>
        <w:rPr>
          <w:rFonts w:hint="eastAsia"/>
          <w:szCs w:val="21"/>
        </w:rPr>
        <w:t>要求详见投标须知前附表。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247085704"/>
      <w:bookmarkStart w:id="128" w:name="_Toc179632563"/>
      <w:bookmarkStart w:id="129" w:name="_Toc246996933"/>
      <w:bookmarkStart w:id="130" w:name="_Toc152042321"/>
      <w:bookmarkStart w:id="131" w:name="_Toc296602435"/>
      <w:bookmarkStart w:id="132" w:name="_Toc246996190"/>
      <w:bookmarkStart w:id="133" w:name="_Toc152045545"/>
      <w:bookmarkStart w:id="134" w:name="_Toc144974513"/>
      <w:r>
        <w:rPr>
          <w:rFonts w:hint="eastAsia"/>
        </w:rPr>
        <w:t>2.3 招标文件的修改</w:t>
      </w:r>
      <w:bookmarkEnd w:id="127"/>
      <w:bookmarkEnd w:id="128"/>
      <w:bookmarkEnd w:id="129"/>
      <w:bookmarkEnd w:id="130"/>
      <w:bookmarkEnd w:id="131"/>
      <w:bookmarkEnd w:id="132"/>
      <w:bookmarkEnd w:id="133"/>
      <w:bookmarkEnd w:id="13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2.3.1招标人可以书面形式修改招标文件，并通知所有已购买招标文件的投标人。但如果修改招标文件的时间距投标截止时间不足</w:t>
      </w:r>
      <w:r>
        <w:rPr>
          <w:rFonts w:hint="eastAsia"/>
          <w:lang w:val="en-US" w:eastAsia="zh-CN"/>
        </w:rPr>
        <w:t>3</w:t>
      </w:r>
      <w:r>
        <w:rPr>
          <w:rFonts w:hint="eastAsia"/>
        </w:rPr>
        <w:t>天，并且修改内容影响投标文件编制的，将相应延长投标截止时间。</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2.3.2 投标人收到修改内容后，应在投标人须知前附表规定的时间内以书面形式通知招标人，确认已收到该修改。</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246996191"/>
      <w:bookmarkStart w:id="136" w:name="_Toc179632564"/>
      <w:bookmarkStart w:id="137" w:name="_Toc152045546"/>
      <w:bookmarkStart w:id="138" w:name="_Toc144974514"/>
      <w:bookmarkStart w:id="139" w:name="_Toc152042322"/>
      <w:bookmarkStart w:id="140" w:name="_Toc247085705"/>
      <w:bookmarkStart w:id="141" w:name="_Toc246996934"/>
      <w:bookmarkStart w:id="142" w:name="_Toc296602436"/>
      <w:r>
        <w:rPr>
          <w:rFonts w:hint="eastAsia"/>
        </w:rPr>
        <w:t>3. 投标文件</w:t>
      </w:r>
      <w:bookmarkEnd w:id="135"/>
      <w:bookmarkEnd w:id="136"/>
      <w:bookmarkEnd w:id="137"/>
      <w:bookmarkEnd w:id="138"/>
      <w:bookmarkEnd w:id="139"/>
      <w:bookmarkEnd w:id="140"/>
      <w:bookmarkEnd w:id="141"/>
      <w:bookmarkEnd w:id="142"/>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43" w:name="_Toc144974515"/>
      <w:bookmarkStart w:id="144" w:name="_Toc296602437"/>
      <w:bookmarkStart w:id="145" w:name="_Toc246996935"/>
      <w:bookmarkStart w:id="146" w:name="_Toc152042323"/>
      <w:bookmarkStart w:id="147" w:name="_Toc179632565"/>
      <w:bookmarkStart w:id="148" w:name="_Toc246996192"/>
      <w:bookmarkStart w:id="149" w:name="_Toc152045547"/>
      <w:bookmarkStart w:id="150" w:name="_Toc247085706"/>
      <w:r>
        <w:rPr>
          <w:rFonts w:hint="eastAsia"/>
        </w:rPr>
        <w:t>3.1 投标文件的组成</w:t>
      </w:r>
      <w:bookmarkEnd w:id="143"/>
      <w:bookmarkEnd w:id="144"/>
      <w:bookmarkEnd w:id="145"/>
      <w:bookmarkEnd w:id="146"/>
      <w:bookmarkEnd w:id="147"/>
      <w:bookmarkEnd w:id="148"/>
      <w:bookmarkEnd w:id="149"/>
      <w:bookmarkEnd w:id="150"/>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  投标文件的组成</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3.1.1  投标文件应包括下列内容：</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一、投标函</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二、法定代表人（单位负责人）身份证明（适用于无委托代理人的情况）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二、授权委托书（适用于有委托代理人的情况）</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 xml:space="preserve">三、投标保证金 </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四、商务和技术偏差表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五、分项报价表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六、资格审查资料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七、投标产品性能指标的详细描述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八、技术支持资料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九、相关服务计划</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十、其他资料</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投标人在评标过程中作出的符合法律法规和招标文件规定的澄清确认， 构成投标文件的组成部分。</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3.1.2  投标人须知前附表规定不接受联合体投标的， 或投标人没有组成联合体的， 投标文件不包括本章第 3.1.1（3） 目所指的联合体协议书。</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3.1.3  投标人须知前附表未要求提交投标保证金的， 投标文件不包括本章第 3.1.1（4）目所指的投标保证金。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sz w:val="21"/>
          <w:szCs w:val="21"/>
        </w:rPr>
      </w:pPr>
      <w:bookmarkStart w:id="151" w:name="_Toc152042324"/>
      <w:bookmarkStart w:id="152" w:name="_Toc246996936"/>
      <w:bookmarkStart w:id="153" w:name="_Toc247085707"/>
      <w:bookmarkStart w:id="154" w:name="_Toc179632566"/>
      <w:bookmarkStart w:id="155" w:name="_Toc296602438"/>
      <w:bookmarkStart w:id="156" w:name="_Toc144974516"/>
      <w:bookmarkStart w:id="157" w:name="_Toc152045548"/>
      <w:bookmarkStart w:id="158" w:name="_Toc246996193"/>
      <w:r>
        <w:rPr>
          <w:rFonts w:hint="eastAsia"/>
        </w:rPr>
        <w:t>3.2 投标报价</w:t>
      </w:r>
      <w:bookmarkEnd w:id="151"/>
      <w:bookmarkEnd w:id="152"/>
      <w:bookmarkEnd w:id="153"/>
      <w:bookmarkEnd w:id="154"/>
      <w:bookmarkEnd w:id="155"/>
      <w:bookmarkEnd w:id="156"/>
      <w:bookmarkEnd w:id="157"/>
      <w:bookmarkEnd w:id="15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159" w:name="_Toc152045549"/>
      <w:bookmarkStart w:id="160" w:name="_Toc179632567"/>
      <w:bookmarkStart w:id="161" w:name="_Toc144974517"/>
      <w:bookmarkStart w:id="162" w:name="_Toc152042325"/>
      <w:r>
        <w:rPr>
          <w:rFonts w:hint="eastAsia"/>
        </w:rPr>
        <w:t>3.2.1  投标报价应包括国家规定的增值税税金， 除投标人须知前附表另有规定外， 增值税税金按一般计税方法计算。投标人应按第六章“投标文件格式” 的要求在投标函中进行报价并填写分项报价表。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3.2.2  投标人应充分了解该项目的总体情况以及影响投标报价的其他要素。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3.2.3 投标报价为各分项报价金额之和，投标报价与分项报价的合价不一致的，应以各分项合价累计数为准， 修正投标报价； 如分项报价中存在缺漏项，则视为缺漏项价格已包含在其他 分项报价之中。 投标人在投标截止时间前修改投标函中的投标报价总额，应同时修改投标文件“分项报价表” 中的相应报价。此修改须符合本章第 4.3 款的有关要求。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3.2.4  招标人设有最高投标限价的，投标人的投标报价不得超过最高投标限价，最高投标限价在投标人须知前附表中载明。</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3.2.5  投标报价的其他要求见投标人须知前附表。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3" w:name="_Toc246996937"/>
      <w:bookmarkStart w:id="164" w:name="_Toc296602439"/>
      <w:bookmarkStart w:id="165" w:name="_Toc246996194"/>
      <w:bookmarkStart w:id="166" w:name="_Toc247085708"/>
      <w:r>
        <w:rPr>
          <w:rFonts w:hint="eastAsia"/>
        </w:rPr>
        <w:t>3.3 投标有效期</w:t>
      </w:r>
      <w:bookmarkEnd w:id="159"/>
      <w:bookmarkEnd w:id="160"/>
      <w:bookmarkEnd w:id="161"/>
      <w:bookmarkEnd w:id="162"/>
      <w:bookmarkEnd w:id="163"/>
      <w:bookmarkEnd w:id="164"/>
      <w:bookmarkEnd w:id="165"/>
      <w:bookmarkEnd w:id="16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3.3.1 除投标人须知前附表另有规定外，投标有效期为</w:t>
      </w:r>
      <w:r>
        <w:rPr>
          <w:rFonts w:hint="eastAsia"/>
          <w:lang w:val="en-US" w:eastAsia="zh-CN"/>
        </w:rPr>
        <w:t>9</w:t>
      </w:r>
      <w:r>
        <w:rPr>
          <w:rFonts w:hint="eastAsia"/>
        </w:rPr>
        <w:t>0天。</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3.3.2在投标有效期内，投标人撤销或修改其投标文件的，应承担招标文件和法律规定的责任。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楷体_GB2312" w:hAnsi="宋体" w:eastAsia="楷体_GB2312"/>
          <w:szCs w:val="21"/>
        </w:rPr>
      </w:pPr>
      <w:r>
        <w:rPr>
          <w:rFonts w:hint="eastAsia"/>
        </w:rPr>
        <w:t>3.3.3出现特殊情况需要延长投标有效期的，招标人以书面形式通知所有投标人延长投标有效期。投标人同意延长的，应相应延长其投标保证金的有效期，但不得要求或被允许修改或撤销其投标文件；投标人拒绝延长的，其投标失效，但投标人有权收回其投标保证金。</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7" w:name="_Toc247085709"/>
      <w:bookmarkStart w:id="168" w:name="_Toc152045550"/>
      <w:bookmarkStart w:id="169" w:name="_Toc179632568"/>
      <w:bookmarkStart w:id="170" w:name="_Toc246996195"/>
      <w:bookmarkStart w:id="171" w:name="_Toc246996938"/>
      <w:bookmarkStart w:id="172" w:name="_Toc144974518"/>
      <w:bookmarkStart w:id="173" w:name="_Toc296602440"/>
      <w:bookmarkStart w:id="174" w:name="_Toc152042326"/>
      <w:r>
        <w:rPr>
          <w:rFonts w:hint="eastAsia"/>
        </w:rPr>
        <w:t>3.4 投标保证金</w:t>
      </w:r>
      <w:bookmarkEnd w:id="167"/>
      <w:bookmarkEnd w:id="168"/>
      <w:bookmarkEnd w:id="169"/>
      <w:bookmarkEnd w:id="170"/>
      <w:bookmarkEnd w:id="171"/>
      <w:bookmarkEnd w:id="172"/>
      <w:bookmarkEnd w:id="173"/>
      <w:bookmarkEnd w:id="17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3.4.1 投标人须知前附表规定递交投标保证金的，投标人在递交投标文件的同时，应按投标人须知前附表规定的金额、担保形式和第</w:t>
      </w:r>
      <w:r>
        <w:rPr>
          <w:rFonts w:hint="eastAsia"/>
          <w:lang w:val="en-US" w:eastAsia="zh-CN"/>
        </w:rPr>
        <w:t>六</w:t>
      </w:r>
      <w:r>
        <w:rPr>
          <w:rFonts w:hint="eastAsia"/>
        </w:rPr>
        <w:t>章“投标文件格式”规定的或者事先经过招标人认可的投标保证金格式递交投标保证金，并作为其投标文件的组成部分。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3.4.2 投标人不按本章第3.4.1项要求提交投标保证金的，评标委员会将否决其投标。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b/>
        </w:rPr>
      </w:pPr>
      <w:r>
        <w:rPr>
          <w:rFonts w:hint="eastAsia"/>
        </w:rPr>
        <w:t xml:space="preserve">3.4.3 </w:t>
      </w:r>
      <w:r>
        <w:rPr>
          <w:rFonts w:hint="eastAsia" w:ascii="宋体" w:hAnsi="宋体" w:cs="宋体"/>
          <w:b/>
          <w:kern w:val="0"/>
          <w:szCs w:val="21"/>
        </w:rPr>
        <w:t>退还投标保证金的具体要求详见投标须知前附表。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3.4.4 有下列情形之一的，投标保证金将不予退还：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（1）投标人在规定的投标有效期内撤销或修改其投标文件；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（2）中标人在收到中标通知书后，无正当理由拒签合同协议书或未按招标文件规定提交履约担保；</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（3）其他不予退还投标保证金的情形。</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5" w:name="_Toc152045552"/>
      <w:bookmarkStart w:id="176" w:name="_Toc144974520"/>
      <w:bookmarkStart w:id="177" w:name="_Toc246996196"/>
      <w:bookmarkStart w:id="178" w:name="_Toc179632570"/>
      <w:bookmarkStart w:id="179" w:name="_Toc246996939"/>
      <w:bookmarkStart w:id="180" w:name="_Toc152042328"/>
      <w:bookmarkStart w:id="181" w:name="_Toc247085710"/>
      <w:bookmarkStart w:id="182" w:name="_Toc296602441"/>
      <w:r>
        <w:rPr>
          <w:rFonts w:hint="eastAsia"/>
        </w:rPr>
        <w:t>3.5 资格审查资料</w:t>
      </w:r>
      <w:bookmarkEnd w:id="175"/>
      <w:bookmarkEnd w:id="176"/>
      <w:bookmarkEnd w:id="177"/>
      <w:bookmarkEnd w:id="178"/>
      <w:bookmarkEnd w:id="179"/>
      <w:bookmarkEnd w:id="180"/>
      <w:bookmarkEnd w:id="181"/>
      <w:bookmarkEnd w:id="18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除投标人须知前附表另有规定外，投标人应按下列规定提供资格审查资料，以证明其满足本章第 1.4 款规定的资质、财务、业绩、信誉等要求。</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3.5.1 “投标人基本情况表”应附投标人及其制造商（适用于代理经销商投标的情形） 资格或者资质证书副本和投标材料检验或认证等材料的复印件以及：</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（1）投标人为企业的，应提交营业执照和组织机构代码证的复印件（按照“三证合一”或“五证合一”登记制度进行登记的，可仅提供营业执照复印件）；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（2）投标人为依法允许经营的事业单位的，应提交事业单位法人证书和组织机构代码证的复印件。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3.5.2 “近年财务状况表”应附经会计师事务所或审计机构审计的财务会计报表，包括资产负 债表、现金流量表、利润表和财务情况说明书的复印件，具体年份要求见投标人须知前附表。投标人的成立时间少于投标人须知前附表规定年份的，应提供成立以来的财务状况表。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3.5.3 “近年完成的类似项目情况表”应附中标通知书和（或）合同协议书、材料进场验收证书等的复印件， 具体时间要求见投标人须知前附表。每张表格只填写一个项目，并标明序号。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3.5.4 “正在供货和新承接的项目情况表”应附中标通知书和（或）合同协议书复印件。每张表格只填写一个项目，并标明序号。</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3.5.5 “近年发生的诉讼及仲裁情况”应说明投标人败诉的材料买卖合同的相关情况， 并附法院或仲裁机构作出的判决、裁决等有关法律文书复印件， 具体时间要求见投标人须知前附表。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3.5.6  投标人须知前附表规定接受联合体投标的，本章第 3.5.1 项至第 3.5.5 项规定的表格和资料应包括联合体各方相关情况。</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83" w:name="_Toc296602442"/>
      <w:bookmarkStart w:id="184" w:name="_Toc152042329"/>
      <w:bookmarkStart w:id="185" w:name="_Toc246996940"/>
      <w:bookmarkStart w:id="186" w:name="_Toc246996197"/>
      <w:bookmarkStart w:id="187" w:name="_Toc179632571"/>
      <w:bookmarkStart w:id="188" w:name="_Toc152045553"/>
      <w:bookmarkStart w:id="189" w:name="_Toc144974521"/>
      <w:bookmarkStart w:id="190" w:name="_Toc247085711"/>
      <w:r>
        <w:rPr>
          <w:rFonts w:hint="eastAsia"/>
        </w:rPr>
        <w:t>3.6</w:t>
      </w:r>
      <w:bookmarkEnd w:id="183"/>
      <w:r>
        <w:rPr>
          <w:rFonts w:hint="eastAsia"/>
          <w:lang w:val="en-US" w:eastAsia="zh-CN"/>
        </w:rPr>
        <w:t>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3.6.1  除投标人须知前附表规定允许外，投标人不得递交备选投标方案， 否则其投标将被否决。</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3.6.2  允许投标人递交备选投标方案的，只有中标人所递交的备选投标方案方可予以考虑。 评标委员会认为中标人的备选投标方案优于其按照招标文件要求编制的投标方案的，招标人可以接受该备选投标方案。</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3.6.3  投标人提供两个或两个以上投标报价，或者在投标文件中提供一个报价，但同时提供两个或两个以上供货方案的， 视为提供备选方案。</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3.7  投标文件的编制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3.7.1  投标文件应按第六章“投标文件格式”进行编写，如有必要， 可以增加附页， 作为投标文件的组成部分。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3.7.2  投标文件应当对招标文件有关供货期、投标有效期、供货要求、招标范围等实质性内容作出响应。 投标文件在满足招标文件实质性要求的基础上，可以提出比招标文件要求更有利于招标人的承诺。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3.7.3（1）投标文件应用不褪色的材料书写或打印， 投标函及对投标文件的澄清、说明和补正应由投标人的法定代表人（单位负责人）或其授权的代理人签字或盖单位章。 由投标人的法定代表人（单位负责人）签字的，应附法定代表人（单位负责人）身份证明，由代理人签字的，应附授权委托书，身份证明或授权委托书应符合第六章“投标文件格式” 的要求。投标文件应尽量避免涂改、行间插字或删除。如果出现上述情况，改动之处应由投标人的法定代表人（单位负责人）或其授权的代理人签字或盖单位章。</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（2）投标文件正本一份，副本份数见投标人须知前附表。正本和副本的封面右上角上应清楚地标记“正本”或“副本” 的字样。投标人应根据投标人须知前附表要求提供电子版文件。当副本和正本不一致或电子版文件和纸质正本文件不一致时， 以纸质正本文件为准。</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（3）投标文件的正本与副本应分别装订， 并编制目录， 投标文件需分册装订的， 具体分册装订要求见投标人须知前附表规定。</w:t>
      </w:r>
      <w:bookmarkEnd w:id="184"/>
      <w:bookmarkEnd w:id="185"/>
      <w:bookmarkEnd w:id="186"/>
      <w:bookmarkEnd w:id="187"/>
      <w:bookmarkEnd w:id="188"/>
      <w:bookmarkEnd w:id="189"/>
      <w:bookmarkEnd w:id="190"/>
      <w:bookmarkStart w:id="191" w:name="_Toc144974523"/>
      <w:bookmarkStart w:id="192" w:name="_Toc179632573"/>
      <w:bookmarkStart w:id="193" w:name="_Toc247085713"/>
      <w:bookmarkStart w:id="194" w:name="_Toc152042331"/>
      <w:bookmarkStart w:id="195" w:name="_Toc246996942"/>
      <w:bookmarkStart w:id="196" w:name="_Toc152045555"/>
      <w:bookmarkStart w:id="197" w:name="_Toc246996199"/>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296602443"/>
      <w:r>
        <w:rPr>
          <w:rFonts w:hint="eastAsia"/>
        </w:rPr>
        <w:t>4. 投标</w:t>
      </w:r>
      <w:bookmarkEnd w:id="191"/>
      <w:bookmarkEnd w:id="192"/>
      <w:bookmarkEnd w:id="193"/>
      <w:bookmarkEnd w:id="194"/>
      <w:bookmarkEnd w:id="195"/>
      <w:bookmarkEnd w:id="196"/>
      <w:bookmarkEnd w:id="197"/>
      <w:bookmarkEnd w:id="198"/>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9" w:name="_Toc179632574"/>
      <w:bookmarkStart w:id="200" w:name="_Toc296602444"/>
      <w:bookmarkStart w:id="201" w:name="_Toc152045556"/>
      <w:bookmarkStart w:id="202" w:name="_Toc246996943"/>
      <w:bookmarkStart w:id="203" w:name="_Toc246996200"/>
      <w:bookmarkStart w:id="204" w:name="_Toc247085714"/>
      <w:bookmarkStart w:id="205" w:name="_Toc152042332"/>
      <w:bookmarkStart w:id="206" w:name="_Toc144974524"/>
      <w:r>
        <w:rPr>
          <w:rFonts w:hint="eastAsia"/>
        </w:rPr>
        <w:t>4.1 投标文件的密封和标记</w:t>
      </w:r>
      <w:bookmarkEnd w:id="199"/>
      <w:bookmarkEnd w:id="200"/>
      <w:bookmarkEnd w:id="201"/>
      <w:bookmarkEnd w:id="202"/>
      <w:bookmarkEnd w:id="203"/>
      <w:bookmarkEnd w:id="204"/>
      <w:bookmarkEnd w:id="205"/>
      <w:bookmarkEnd w:id="206"/>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207" w:name="_Toc152045557"/>
      <w:bookmarkStart w:id="208" w:name="_Toc144974525"/>
      <w:bookmarkStart w:id="209" w:name="_Toc152042333"/>
      <w:bookmarkStart w:id="210" w:name="_Toc246996201"/>
      <w:bookmarkStart w:id="211" w:name="_Toc246996944"/>
      <w:bookmarkStart w:id="212" w:name="_Toc179632575"/>
      <w:bookmarkStart w:id="213" w:name="_Toc247085715"/>
      <w:r>
        <w:rPr>
          <w:rFonts w:hint="eastAsia"/>
        </w:rPr>
        <w:t>4.1.1 （A）投标文件应密封包装，并在封套的封口处加盖投标人单位章或由投标人的法定代表人（单位负责人）或其授权的代理人签字。</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4.1.2  投标文件封套上应写明的内容见投标人须知前附表。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pPr>
      <w:r>
        <w:rPr>
          <w:rFonts w:hint="eastAsia"/>
        </w:rPr>
        <w:t>4.1.3  未按本章第 4.1.1 项要求密封的投标文件，招标人将予以拒收。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4" w:name="_Toc296602445"/>
      <w:r>
        <w:rPr>
          <w:rFonts w:hint="eastAsia"/>
        </w:rPr>
        <w:t>4.2 投标文件的递交</w:t>
      </w:r>
      <w:bookmarkEnd w:id="207"/>
      <w:bookmarkEnd w:id="208"/>
      <w:bookmarkEnd w:id="209"/>
      <w:bookmarkEnd w:id="210"/>
      <w:bookmarkEnd w:id="211"/>
      <w:bookmarkEnd w:id="212"/>
      <w:bookmarkEnd w:id="213"/>
      <w:bookmarkEnd w:id="21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4.2.1  投标人应在投标人须知前附表规定的投标截止时间前递交投标文件。</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4.2.2  投标人递交投标文件的地点： 见投标人须知前附表。</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4.2.3  除投标人须知前附表另有规定外，投标人所递交的投标文件不予退还。</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4.2.</w:t>
      </w:r>
      <w:r>
        <w:rPr>
          <w:rFonts w:hint="eastAsia"/>
          <w:lang w:val="en-US" w:eastAsia="zh-CN"/>
        </w:rPr>
        <w:t>4</w:t>
      </w:r>
      <w:r>
        <w:rPr>
          <w:rFonts w:hint="eastAsia"/>
        </w:rPr>
        <w:t xml:space="preserve"> </w:t>
      </w:r>
      <w:r>
        <w:rPr>
          <w:rFonts w:hint="eastAsia"/>
          <w:lang w:val="en-US" w:eastAsia="zh-CN"/>
        </w:rPr>
        <w:t xml:space="preserve"> </w:t>
      </w:r>
      <w:r>
        <w:rPr>
          <w:rFonts w:hint="eastAsia"/>
        </w:rPr>
        <w:t>逾期送达的投标文件，招标人将予以拒收。</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15" w:name="_Toc152042334"/>
      <w:bookmarkStart w:id="216" w:name="_Toc247085716"/>
      <w:bookmarkStart w:id="217" w:name="_Toc246996202"/>
      <w:bookmarkStart w:id="218" w:name="_Toc246996945"/>
      <w:bookmarkStart w:id="219" w:name="_Toc152045558"/>
      <w:bookmarkStart w:id="220" w:name="_Toc144974526"/>
      <w:bookmarkStart w:id="221" w:name="_Toc179632576"/>
      <w:bookmarkStart w:id="222" w:name="_Toc296602446"/>
      <w:r>
        <w:rPr>
          <w:rFonts w:hint="eastAsia"/>
        </w:rPr>
        <w:t>4.3 投标文件的修改与撤回</w:t>
      </w:r>
      <w:bookmarkEnd w:id="215"/>
      <w:bookmarkEnd w:id="216"/>
      <w:bookmarkEnd w:id="217"/>
      <w:bookmarkEnd w:id="218"/>
      <w:bookmarkEnd w:id="219"/>
      <w:bookmarkEnd w:id="220"/>
      <w:bookmarkEnd w:id="221"/>
      <w:bookmarkEnd w:id="2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4.3.1  在本章第 4.2.1 项规定的投标截止时间前，投标人可以修改或撤回已递交的投标文件，但应以书面形式通知招标人。</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 xml:space="preserve">4.3.2 </w:t>
      </w:r>
      <w:r>
        <w:rPr>
          <w:rFonts w:hint="eastAsia"/>
          <w:lang w:val="en-US" w:eastAsia="zh-CN"/>
        </w:rPr>
        <w:t xml:space="preserve"> </w:t>
      </w:r>
      <w:r>
        <w:rPr>
          <w:rFonts w:hint="eastAsia"/>
        </w:rPr>
        <w:t>投标人修改或撤回已递交投标文件的书面通知应按照本章第 3.7.3（A）项的要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求签字或盖章。招标人收到书面通知后， 向投标人出具签收凭证。</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4.3.3  投标人撤回投标文件的，招标人自收到投标人书面撤回通知之日起 5 日内退还已收取的投标保证金。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4.3.4  修改的内容为投标文件的组成部分。修改的投标文件应按照本章第 3 条、第 4 条的规定进行编制、密封、标记和递交，并标明“修改”字样。</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23" w:name="_Toc179632577"/>
      <w:bookmarkStart w:id="224" w:name="_Toc246996946"/>
      <w:bookmarkStart w:id="225" w:name="_Toc246996203"/>
      <w:bookmarkStart w:id="226" w:name="_Toc152042335"/>
      <w:bookmarkStart w:id="227" w:name="_Toc152045559"/>
      <w:bookmarkStart w:id="228" w:name="_Toc144974527"/>
      <w:bookmarkStart w:id="229" w:name="_Toc296602447"/>
      <w:bookmarkStart w:id="230" w:name="_Toc247085717"/>
      <w:r>
        <w:rPr>
          <w:rFonts w:hint="eastAsia"/>
        </w:rPr>
        <w:t>5. 开标</w:t>
      </w:r>
      <w:bookmarkEnd w:id="223"/>
      <w:bookmarkEnd w:id="224"/>
      <w:bookmarkEnd w:id="225"/>
      <w:bookmarkEnd w:id="226"/>
      <w:bookmarkEnd w:id="227"/>
      <w:bookmarkEnd w:id="228"/>
      <w:bookmarkEnd w:id="229"/>
      <w:bookmarkEnd w:id="230"/>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1" w:name="_Toc246996947"/>
      <w:bookmarkStart w:id="232" w:name="_Toc247085718"/>
      <w:bookmarkStart w:id="233" w:name="_Toc152042336"/>
      <w:bookmarkStart w:id="234" w:name="_Toc152045560"/>
      <w:bookmarkStart w:id="235" w:name="_Toc296602448"/>
      <w:bookmarkStart w:id="236" w:name="_Toc246996204"/>
      <w:bookmarkStart w:id="237" w:name="_Toc144974528"/>
      <w:bookmarkStart w:id="238" w:name="_Toc179632578"/>
      <w:r>
        <w:rPr>
          <w:rFonts w:hint="eastAsia"/>
        </w:rPr>
        <w:t>5.1 开标时间和地点</w:t>
      </w:r>
      <w:bookmarkEnd w:id="231"/>
      <w:bookmarkEnd w:id="232"/>
      <w:bookmarkEnd w:id="233"/>
      <w:bookmarkEnd w:id="234"/>
      <w:bookmarkEnd w:id="235"/>
      <w:bookmarkEnd w:id="236"/>
      <w:bookmarkEnd w:id="237"/>
      <w:bookmarkEnd w:id="2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招标人在本章第 4.2.1 项规定的投标截止时间（开标时间） 和投标人须知前附表规定的地点公开开标， 并邀请所有投标人的法定代表人（单位负责人）或其委托代理人准时参加。</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39" w:name="_Toc246996205"/>
      <w:bookmarkStart w:id="240" w:name="_Toc144974529"/>
      <w:bookmarkStart w:id="241" w:name="_Toc179632579"/>
      <w:bookmarkStart w:id="242" w:name="_Toc152042337"/>
      <w:bookmarkStart w:id="243" w:name="_Toc247085719"/>
      <w:bookmarkStart w:id="244" w:name="_Toc152045561"/>
      <w:bookmarkStart w:id="245" w:name="_Toc296602449"/>
      <w:bookmarkStart w:id="246" w:name="_Toc246996948"/>
      <w:r>
        <w:rPr>
          <w:rFonts w:hint="eastAsia"/>
        </w:rPr>
        <w:t>5.2 开标程序</w:t>
      </w:r>
      <w:bookmarkEnd w:id="239"/>
      <w:bookmarkEnd w:id="240"/>
      <w:bookmarkEnd w:id="241"/>
      <w:bookmarkEnd w:id="242"/>
      <w:bookmarkEnd w:id="243"/>
      <w:bookmarkEnd w:id="244"/>
      <w:bookmarkEnd w:id="245"/>
      <w:bookmarkEnd w:id="246"/>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5.2.1</w:t>
      </w:r>
      <w:r>
        <w:rPr>
          <w:rFonts w:hint="eastAsia"/>
        </w:rPr>
        <w:t>主持人按下列程序进行开标：</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（1）宣布开标纪律；</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（2）公布在投标截止时间前递交投标文件的投标人名称；</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（3）宣布开标人、唱标人、记录人、监标人等有关人员</w:t>
      </w:r>
      <w:r>
        <w:rPr>
          <w:rFonts w:hint="eastAsia"/>
          <w:lang w:eastAsia="zh-CN"/>
        </w:rPr>
        <w:t>（</w:t>
      </w:r>
      <w:r>
        <w:rPr>
          <w:rFonts w:hint="eastAsia"/>
          <w:lang w:val="en-US" w:eastAsia="zh-CN"/>
        </w:rPr>
        <w:t>如有</w:t>
      </w:r>
      <w:r>
        <w:rPr>
          <w:rFonts w:hint="eastAsia"/>
          <w:lang w:eastAsia="zh-CN"/>
        </w:rPr>
        <w:t>）</w:t>
      </w:r>
      <w:r>
        <w:rPr>
          <w:rFonts w:hint="eastAsia"/>
        </w:rPr>
        <w:t>姓名；</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（4）检查投标文件的密封情况，按照投标人须知前附表规定的开标顺序当众开标， 公布招标项目名称、投标人名称、投标保证金的递交情况、投标报价、交货期、交货地点及其他内容，并记录在案；</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（5）投标人代表、招标人代表、监标人、记录人等有关人员</w:t>
      </w:r>
      <w:r>
        <w:rPr>
          <w:rFonts w:hint="eastAsia"/>
          <w:lang w:eastAsia="zh-CN"/>
        </w:rPr>
        <w:t>（</w:t>
      </w:r>
      <w:r>
        <w:rPr>
          <w:rFonts w:hint="eastAsia"/>
          <w:lang w:val="en-US" w:eastAsia="zh-CN"/>
        </w:rPr>
        <w:t>如有</w:t>
      </w:r>
      <w:r>
        <w:rPr>
          <w:rFonts w:hint="eastAsia"/>
          <w:lang w:eastAsia="zh-CN"/>
        </w:rPr>
        <w:t>）</w:t>
      </w:r>
      <w:r>
        <w:rPr>
          <w:rFonts w:hint="eastAsia"/>
        </w:rPr>
        <w:t>在开标记录上签字确认；</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（6）开标结束。</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5.2.2如有询标事宜，评标委员会向投标人发起询标。投标人应在规定的时间内（从评标委员会发起询标起不超过30分钟）对询标内容进行答复，否则视为放弃答复。</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7" w:name="_Toc296602450"/>
      <w:r>
        <w:rPr>
          <w:rFonts w:hint="eastAsia"/>
        </w:rPr>
        <w:t>5.3 开标异议</w:t>
      </w:r>
      <w:bookmarkEnd w:id="247"/>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投标人对开标有异议的，应当在开标现场提出，招标人当场作出答复，并制作记录。</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48" w:name="_Toc152042338"/>
      <w:bookmarkStart w:id="249" w:name="_Toc296602451"/>
      <w:bookmarkStart w:id="250" w:name="_Toc152045562"/>
      <w:bookmarkStart w:id="251" w:name="_Toc246996949"/>
      <w:bookmarkStart w:id="252" w:name="_Toc246996206"/>
      <w:bookmarkStart w:id="253" w:name="_Toc247085720"/>
      <w:bookmarkStart w:id="254" w:name="_Toc179632580"/>
      <w:bookmarkStart w:id="255" w:name="_Toc144974530"/>
      <w:r>
        <w:rPr>
          <w:rFonts w:hint="eastAsia"/>
        </w:rPr>
        <w:t>6. 评标</w:t>
      </w:r>
      <w:bookmarkEnd w:id="248"/>
      <w:bookmarkEnd w:id="249"/>
      <w:bookmarkEnd w:id="250"/>
      <w:bookmarkEnd w:id="251"/>
      <w:bookmarkEnd w:id="252"/>
      <w:bookmarkEnd w:id="253"/>
      <w:bookmarkEnd w:id="254"/>
      <w:bookmarkEnd w:id="255"/>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56" w:name="_Toc247085721"/>
      <w:bookmarkStart w:id="257" w:name="_Toc296602452"/>
      <w:bookmarkStart w:id="258" w:name="_Toc152042339"/>
      <w:bookmarkStart w:id="259" w:name="_Toc144974531"/>
      <w:bookmarkStart w:id="260" w:name="_Toc246996207"/>
      <w:bookmarkStart w:id="261" w:name="_Toc179632581"/>
      <w:bookmarkStart w:id="262" w:name="_Toc152045563"/>
      <w:bookmarkStart w:id="263" w:name="_Toc246996950"/>
      <w:r>
        <w:rPr>
          <w:rFonts w:hint="eastAsia"/>
        </w:rPr>
        <w:t>6.1 评标委员会</w:t>
      </w:r>
      <w:bookmarkEnd w:id="256"/>
      <w:bookmarkEnd w:id="257"/>
      <w:bookmarkEnd w:id="258"/>
      <w:bookmarkEnd w:id="259"/>
      <w:bookmarkEnd w:id="260"/>
      <w:bookmarkEnd w:id="261"/>
      <w:bookmarkEnd w:id="262"/>
      <w:bookmarkEnd w:id="263"/>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6.1.1  评标由招标人依法组建的评标委员会负责。评标委员会由招标人或其委托的招标代理 机构熟悉相关业务的代表，以及有关技术、经济等方面的专家组成。评标委员会成员人数以及技术、经济等方面专家的确定方式见投标人须知前附表。</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6.1.2  评标委员会成员有下列情形之一的， 应当回避：</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（1）投标人或投标人主要负责人的近亲属；</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（2）项目主管部门或者行政监督部门的人员；</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（3）与投标人有经济利益关系， 可能影响对投标公正评审的；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（4）曾因在招标、评标以及其他与招标投标有关活动中从事违法行为而受过行政处罚</w:t>
      </w:r>
    </w:p>
    <w:p>
      <w:pPr>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rPr>
        <w:t>或刑事处罚的；</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（5）与投标人有其他利害关系。</w:t>
      </w:r>
    </w:p>
    <w:p>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6.1.3  评标过程中， 评标委员会成员有回避事由、擅离职守或者因健康等原因不能继续评标的，招标人有权更换。被更换的评标委员会成员作出的评审结论无效，由更换后的评标委员会成员重新进行评审。</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64" w:name="_Toc247085722"/>
      <w:bookmarkStart w:id="265" w:name="_Toc144974532"/>
      <w:bookmarkStart w:id="266" w:name="_Toc152045564"/>
      <w:bookmarkStart w:id="267" w:name="_Toc296602453"/>
      <w:bookmarkStart w:id="268" w:name="_Toc179632582"/>
      <w:bookmarkStart w:id="269" w:name="_Toc152042340"/>
      <w:bookmarkStart w:id="270" w:name="_Toc246996208"/>
      <w:bookmarkStart w:id="271" w:name="_Toc246996951"/>
      <w:r>
        <w:rPr>
          <w:rFonts w:hint="eastAsia"/>
        </w:rPr>
        <w:t>6.2 评标原则</w:t>
      </w:r>
      <w:bookmarkEnd w:id="264"/>
      <w:bookmarkEnd w:id="265"/>
      <w:bookmarkEnd w:id="266"/>
      <w:bookmarkEnd w:id="267"/>
      <w:bookmarkEnd w:id="268"/>
      <w:bookmarkEnd w:id="269"/>
      <w:bookmarkEnd w:id="270"/>
      <w:bookmarkEnd w:id="271"/>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评标活动遵循公平、公正、科学和择优的原则。</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72" w:name="_Toc152045565"/>
      <w:bookmarkStart w:id="273" w:name="_Toc296602454"/>
      <w:bookmarkStart w:id="274" w:name="_Toc152042341"/>
      <w:bookmarkStart w:id="275" w:name="_Toc247085723"/>
      <w:bookmarkStart w:id="276" w:name="_Toc246996209"/>
      <w:bookmarkStart w:id="277" w:name="_Toc246996952"/>
      <w:bookmarkStart w:id="278" w:name="_Toc144974533"/>
      <w:bookmarkStart w:id="279" w:name="_Toc179632583"/>
      <w:r>
        <w:rPr>
          <w:rFonts w:hint="eastAsia"/>
        </w:rPr>
        <w:t>6.3 评标</w:t>
      </w:r>
      <w:bookmarkEnd w:id="272"/>
      <w:bookmarkEnd w:id="273"/>
      <w:bookmarkEnd w:id="274"/>
      <w:bookmarkEnd w:id="275"/>
      <w:bookmarkEnd w:id="276"/>
      <w:bookmarkEnd w:id="277"/>
      <w:bookmarkEnd w:id="278"/>
      <w:bookmarkEnd w:id="279"/>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6.3.1 评标委员会按照第三章“评标办法”规定的方法、评审因素、标准和程序对投标文件进行评审。第三章“评标办法”没有规定的方法、评审因素和标准， 不作为评标依据。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6.3.2 评标完成后， 评标委员会应当向招标人提交书面评标报告和中标候选人名单。评标委员会推荐中标候选人的人数见投标人须知前附表。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280" w:name="_Toc144974534"/>
      <w:bookmarkStart w:id="281" w:name="_Toc296602455"/>
      <w:bookmarkStart w:id="282" w:name="_Toc152042342"/>
      <w:bookmarkStart w:id="283" w:name="_Toc246996210"/>
      <w:bookmarkStart w:id="284" w:name="_Toc246996953"/>
      <w:bookmarkStart w:id="285" w:name="_Toc247085724"/>
      <w:bookmarkStart w:id="286" w:name="_Toc179632584"/>
      <w:bookmarkStart w:id="287" w:name="_Toc152045566"/>
      <w:r>
        <w:rPr>
          <w:rFonts w:hint="eastAsia"/>
        </w:rPr>
        <w:t>7. 合同授予</w:t>
      </w:r>
      <w:bookmarkEnd w:id="280"/>
      <w:bookmarkEnd w:id="281"/>
      <w:bookmarkEnd w:id="282"/>
      <w:bookmarkEnd w:id="283"/>
      <w:bookmarkEnd w:id="284"/>
      <w:bookmarkEnd w:id="285"/>
      <w:bookmarkEnd w:id="286"/>
      <w:bookmarkEnd w:id="28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88" w:name="_Toc296602457"/>
      <w:r>
        <w:rPr>
          <w:rFonts w:hint="eastAsia"/>
        </w:rPr>
        <w:t>7.</w:t>
      </w:r>
      <w:r>
        <w:rPr>
          <w:rFonts w:hint="eastAsia"/>
          <w:lang w:val="en-US" w:eastAsia="zh-CN"/>
        </w:rPr>
        <w:t>1</w:t>
      </w:r>
      <w:r>
        <w:rPr>
          <w:rFonts w:hint="eastAsia"/>
        </w:rPr>
        <w:t xml:space="preserve"> 中标候选人公示</w:t>
      </w:r>
      <w:bookmarkEnd w:id="28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招标人在收到评标报告之日起 3 日内， 按照投标人须知前附表规定的公示媒介和期限公示中标候选人，公示期不得少于 3 天。</w:t>
      </w:r>
    </w:p>
    <w:p>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89" w:name="_Toc247085726"/>
      <w:bookmarkStart w:id="290" w:name="_Toc179632586"/>
      <w:bookmarkStart w:id="291" w:name="_Toc296602458"/>
      <w:bookmarkStart w:id="292" w:name="_Toc144974536"/>
      <w:bookmarkStart w:id="293" w:name="_Toc246996955"/>
      <w:bookmarkStart w:id="294" w:name="_Toc152045568"/>
      <w:bookmarkStart w:id="295" w:name="_Toc152042344"/>
      <w:bookmarkStart w:id="296" w:name="_Toc246996212"/>
      <w:r>
        <w:rPr>
          <w:rFonts w:hint="eastAsia"/>
        </w:rPr>
        <w:t>7.</w:t>
      </w:r>
      <w:r>
        <w:rPr>
          <w:rFonts w:hint="eastAsia"/>
          <w:lang w:val="en-US" w:eastAsia="zh-CN"/>
        </w:rPr>
        <w:t>2</w:t>
      </w:r>
      <w:r>
        <w:rPr>
          <w:rFonts w:hint="eastAsia"/>
        </w:rPr>
        <w:t xml:space="preserve"> </w:t>
      </w:r>
      <w:bookmarkEnd w:id="289"/>
      <w:bookmarkEnd w:id="290"/>
      <w:bookmarkEnd w:id="291"/>
      <w:bookmarkEnd w:id="292"/>
      <w:bookmarkEnd w:id="293"/>
      <w:bookmarkEnd w:id="294"/>
      <w:bookmarkEnd w:id="295"/>
      <w:bookmarkEnd w:id="296"/>
      <w:r>
        <w:rPr>
          <w:rFonts w:hint="eastAsia"/>
          <w:lang w:val="en-US" w:eastAsia="zh-CN"/>
        </w:rPr>
        <w:t>评标结果异议</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投标人或者其他利害关系人对评标结果有异议的， 应当在中标候选人公示期间提出。招标人将在收到异议之日起 3 日内作出答复； 作出答复前，将暂停招标投标活动。</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97" w:name="_Toc152045569"/>
      <w:bookmarkStart w:id="298" w:name="_Toc296602459"/>
      <w:bookmarkStart w:id="299" w:name="_Toc246996956"/>
      <w:bookmarkStart w:id="300" w:name="_Toc152042345"/>
      <w:bookmarkStart w:id="301" w:name="_Toc246996213"/>
      <w:bookmarkStart w:id="302" w:name="_Toc179632587"/>
      <w:bookmarkStart w:id="303" w:name="_Toc247085727"/>
      <w:bookmarkStart w:id="304" w:name="_Toc144974537"/>
      <w:r>
        <w:rPr>
          <w:rFonts w:hint="eastAsia"/>
        </w:rPr>
        <w:t>7.</w:t>
      </w:r>
      <w:r>
        <w:rPr>
          <w:rFonts w:hint="eastAsia"/>
          <w:lang w:val="en-US" w:eastAsia="zh-CN"/>
        </w:rPr>
        <w:t>3</w:t>
      </w:r>
      <w:r>
        <w:rPr>
          <w:rFonts w:hint="eastAsia"/>
        </w:rPr>
        <w:t xml:space="preserve"> </w:t>
      </w:r>
      <w:bookmarkEnd w:id="297"/>
      <w:bookmarkEnd w:id="298"/>
      <w:bookmarkEnd w:id="299"/>
      <w:bookmarkEnd w:id="300"/>
      <w:bookmarkEnd w:id="301"/>
      <w:bookmarkEnd w:id="302"/>
      <w:bookmarkEnd w:id="303"/>
      <w:bookmarkEnd w:id="304"/>
      <w:r>
        <w:rPr>
          <w:rFonts w:hint="eastAsia"/>
        </w:rPr>
        <w:t>中标候选人履约能力审查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中标候选人的经营、财务状况发生较大变化或存在违法行为，招标人认为可能影响其履约能力的，将在发出中标通知书前提请原评标委员会按照招标文件规定的标准和方法进行审查确认。</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305" w:name="_Toc144974538"/>
      <w:bookmarkStart w:id="306" w:name="_Toc296602460"/>
      <w:bookmarkStart w:id="307" w:name="_Toc179632588"/>
      <w:bookmarkStart w:id="308" w:name="_Toc152042346"/>
      <w:bookmarkStart w:id="309" w:name="_Toc247085728"/>
      <w:bookmarkStart w:id="310" w:name="_Toc246996957"/>
      <w:bookmarkStart w:id="311" w:name="_Toc246996214"/>
      <w:bookmarkStart w:id="312" w:name="_Toc152045570"/>
      <w:r>
        <w:rPr>
          <w:rFonts w:hint="eastAsia"/>
        </w:rPr>
        <w:t>7.</w:t>
      </w:r>
      <w:r>
        <w:rPr>
          <w:rFonts w:hint="eastAsia"/>
          <w:lang w:val="en-US" w:eastAsia="zh-CN"/>
        </w:rPr>
        <w:t>4</w:t>
      </w:r>
      <w:r>
        <w:rPr>
          <w:rFonts w:hint="eastAsia"/>
        </w:rPr>
        <w:t xml:space="preserve"> </w:t>
      </w:r>
      <w:bookmarkEnd w:id="305"/>
      <w:bookmarkEnd w:id="306"/>
      <w:bookmarkEnd w:id="307"/>
      <w:bookmarkEnd w:id="308"/>
      <w:bookmarkEnd w:id="309"/>
      <w:bookmarkEnd w:id="310"/>
      <w:bookmarkEnd w:id="311"/>
      <w:bookmarkEnd w:id="312"/>
      <w:r>
        <w:rPr>
          <w:rFonts w:hint="eastAsia"/>
          <w:lang w:val="en-US" w:eastAsia="zh-CN"/>
        </w:rPr>
        <w:t>定标</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按照投标人须知前附表的规定， 招标人或招标人授权的评标委员会依法确定中标人。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5</w:t>
      </w:r>
      <w:r>
        <w:rPr>
          <w:rFonts w:hint="eastAsia"/>
        </w:rPr>
        <w:t xml:space="preserve"> </w:t>
      </w:r>
      <w:r>
        <w:rPr>
          <w:rFonts w:hint="eastAsia"/>
          <w:lang w:val="en-US" w:eastAsia="zh-CN"/>
        </w:rPr>
        <w:t>中标通知</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在本章第 3.3 款规定的投标有效期内，招标人以书面形式向中标人发出中标通知书，同时将中标结果通知未中标的投标人。</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6</w:t>
      </w:r>
      <w:r>
        <w:rPr>
          <w:rFonts w:hint="eastAsia"/>
        </w:rPr>
        <w:t xml:space="preserve"> </w:t>
      </w:r>
      <w:r>
        <w:rPr>
          <w:rFonts w:hint="eastAsia"/>
          <w:lang w:val="en-US" w:eastAsia="zh-CN"/>
        </w:rPr>
        <w:t>履约保证金</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7.6.1  在签订合同前，中标人应按投标人须知前附表规定的形式、金额和招标文件第四章“合同条款及格式”规定的或者事先经过招标人书面认可的履约保证金格式向招标人提交履约保证 金。除投标人须知前附表另有规定外，履约保证金为中标合同金额的 10%。联合体中标的， 其履约保证金以联合体各方或者联合体中牵头人的名义提交。</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7.6.2  中标人不能按本章第 7.6.1 项要求提交履约保证金的，视为放弃中标， 其投标保证金不予退还， 给招标人造成的损失超过投标保证金数额的， 中标人还应当对超过部分予以赔偿。</w:t>
      </w:r>
    </w:p>
    <w:p>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r>
        <w:rPr>
          <w:rFonts w:hint="eastAsia"/>
        </w:rPr>
        <w:t>7.</w:t>
      </w:r>
      <w:r>
        <w:rPr>
          <w:rFonts w:hint="eastAsia"/>
          <w:lang w:val="en-US" w:eastAsia="zh-CN"/>
        </w:rPr>
        <w:t>7</w:t>
      </w:r>
      <w:r>
        <w:rPr>
          <w:rFonts w:hint="eastAsia"/>
        </w:rPr>
        <w:t xml:space="preserve"> </w:t>
      </w:r>
      <w:r>
        <w:rPr>
          <w:rFonts w:hint="eastAsia"/>
          <w:lang w:val="en-US" w:eastAsia="zh-CN"/>
        </w:rPr>
        <w:t>签订合同</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7.7.1  招标人和中标人应当在中标通知书发出之日起 30 日内，根据招标文件和中标人的投 标文件订立书面合同。 中标人无正当理由拒签合同，在签订合同时向招标人提出附加条件， 或 者不按照招标文件要求提交履约保证金的，招标人有权取消其中标资格，其投标保证金不予退还；给招标人造成的损失超过投标保证金数额的， 中标人还应当对超过部分予以赔偿。</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7.7.2  发出中标通知书后， 招标人无正当理由拒签合同， 或者在签订合同时向中标人提出附加条件的， 招标人向中标人退还投标保证金； 给中标人造成损失的，还应当赔偿损失。</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7.7.3 联合体中标的， 联合体各方应当共同与招标人签订合同， 就中标项目向招标人承担连带责任。</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13" w:name="_Toc296602461"/>
      <w:r>
        <w:rPr>
          <w:rFonts w:hint="eastAsia"/>
        </w:rPr>
        <w:t>8. 纪律和监督</w:t>
      </w:r>
      <w:bookmarkEnd w:id="313"/>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14" w:name="_Toc246996219"/>
      <w:bookmarkStart w:id="315" w:name="_Toc144974543"/>
      <w:bookmarkStart w:id="316" w:name="_Toc247085733"/>
      <w:bookmarkStart w:id="317" w:name="_Toc179632593"/>
      <w:bookmarkStart w:id="318" w:name="_Toc152045575"/>
      <w:bookmarkStart w:id="319" w:name="_Toc296602462"/>
      <w:bookmarkStart w:id="320" w:name="_Toc296590983"/>
      <w:bookmarkStart w:id="321" w:name="_Toc152042351"/>
      <w:bookmarkStart w:id="322" w:name="_Toc246996962"/>
      <w:r>
        <w:rPr>
          <w:rFonts w:hint="eastAsia"/>
        </w:rPr>
        <w:t>8.1 对招标人的纪律要求</w:t>
      </w:r>
      <w:bookmarkEnd w:id="314"/>
      <w:bookmarkEnd w:id="315"/>
      <w:bookmarkEnd w:id="316"/>
      <w:bookmarkEnd w:id="317"/>
      <w:bookmarkEnd w:id="318"/>
      <w:bookmarkEnd w:id="319"/>
      <w:bookmarkEnd w:id="320"/>
      <w:bookmarkEnd w:id="321"/>
      <w:bookmarkEnd w:id="322"/>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招标人不得泄漏招标投标活动中应当保密的情况和资料，不得与投标人串通损害国家利益、社会公共利益或者他人合法权益。</w:t>
      </w:r>
    </w:p>
    <w:p>
      <w:pPr>
        <w:pStyle w:val="3"/>
        <w:bidi w:val="0"/>
        <w:rPr>
          <w:rFonts w:hint="eastAsia"/>
        </w:rPr>
      </w:pPr>
      <w:bookmarkStart w:id="323" w:name="_Toc152042352"/>
      <w:bookmarkStart w:id="324" w:name="_Toc246996963"/>
      <w:bookmarkStart w:id="325" w:name="_Toc296602463"/>
      <w:bookmarkStart w:id="326" w:name="_Toc247085734"/>
      <w:bookmarkStart w:id="327" w:name="_Toc152045576"/>
      <w:bookmarkStart w:id="328" w:name="_Toc144974544"/>
      <w:bookmarkStart w:id="329" w:name="_Toc246996220"/>
      <w:bookmarkStart w:id="330" w:name="_Toc179632594"/>
      <w:r>
        <w:rPr>
          <w:rFonts w:hint="eastAsia"/>
        </w:rPr>
        <w:t>8.2 对投标人的纪律要求</w:t>
      </w:r>
      <w:bookmarkEnd w:id="323"/>
      <w:bookmarkEnd w:id="324"/>
      <w:bookmarkEnd w:id="325"/>
      <w:bookmarkEnd w:id="326"/>
      <w:bookmarkEnd w:id="327"/>
      <w:bookmarkEnd w:id="328"/>
      <w:bookmarkEnd w:id="329"/>
      <w:bookmarkEnd w:id="330"/>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投标人不得相互串通投标或者与招标人串通投标，不得向招标人或者评标委员会成员行贿谋取中标，不得以他人名义投标或者以其他方式弄虚作假骗取中标；投标人不得以任何方式干扰、影响评标工作。</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1" w:name="_Toc247085735"/>
      <w:bookmarkStart w:id="332" w:name="_Toc152045577"/>
      <w:bookmarkStart w:id="333" w:name="_Toc246996221"/>
      <w:bookmarkStart w:id="334" w:name="_Toc152042353"/>
      <w:bookmarkStart w:id="335" w:name="_Toc144974545"/>
      <w:bookmarkStart w:id="336" w:name="_Toc179632595"/>
      <w:bookmarkStart w:id="337" w:name="_Toc296602464"/>
      <w:bookmarkStart w:id="338" w:name="_Toc246996964"/>
      <w:r>
        <w:rPr>
          <w:rFonts w:hint="eastAsia"/>
        </w:rPr>
        <w:t>8.3 对评标委员会成员的纪律要求</w:t>
      </w:r>
      <w:bookmarkEnd w:id="331"/>
      <w:bookmarkEnd w:id="332"/>
      <w:bookmarkEnd w:id="333"/>
      <w:bookmarkEnd w:id="334"/>
      <w:bookmarkEnd w:id="335"/>
      <w:bookmarkEnd w:id="336"/>
      <w:bookmarkEnd w:id="337"/>
      <w:bookmarkEnd w:id="338"/>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评标委员会成员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39" w:name="_Toc152042354"/>
      <w:bookmarkStart w:id="340" w:name="_Toc152045578"/>
      <w:bookmarkStart w:id="341" w:name="_Toc247085736"/>
      <w:bookmarkStart w:id="342" w:name="_Toc179632596"/>
      <w:bookmarkStart w:id="343" w:name="_Toc246996222"/>
      <w:bookmarkStart w:id="344" w:name="_Toc246996965"/>
      <w:bookmarkStart w:id="345" w:name="_Toc296602465"/>
      <w:bookmarkStart w:id="346" w:name="_Toc144974546"/>
      <w:r>
        <w:rPr>
          <w:rFonts w:hint="eastAsia"/>
        </w:rPr>
        <w:t>8.4 对与评标活动有关的工作人员的纪律要求</w:t>
      </w:r>
      <w:bookmarkEnd w:id="339"/>
      <w:bookmarkEnd w:id="340"/>
      <w:bookmarkEnd w:id="341"/>
      <w:bookmarkEnd w:id="342"/>
      <w:bookmarkEnd w:id="343"/>
      <w:bookmarkEnd w:id="344"/>
      <w:bookmarkEnd w:id="345"/>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bookmarkStart w:id="347" w:name="_Toc152042355"/>
      <w:r>
        <w:rPr>
          <w:rFonts w:hint="eastAsia"/>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bookmarkEnd w:id="347"/>
    </w:p>
    <w:p>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48" w:name="_Toc246996966"/>
      <w:bookmarkStart w:id="349" w:name="_Toc179632597"/>
      <w:bookmarkStart w:id="350" w:name="_Toc246996223"/>
      <w:bookmarkStart w:id="351" w:name="_Toc152042356"/>
      <w:bookmarkStart w:id="352" w:name="_Toc296602466"/>
      <w:bookmarkStart w:id="353" w:name="_Toc152045579"/>
      <w:bookmarkStart w:id="354" w:name="_Toc247085737"/>
      <w:r>
        <w:rPr>
          <w:rFonts w:hint="eastAsia"/>
        </w:rPr>
        <w:t>8.5 投诉</w:t>
      </w:r>
      <w:bookmarkEnd w:id="346"/>
      <w:bookmarkEnd w:id="348"/>
      <w:bookmarkEnd w:id="349"/>
      <w:bookmarkEnd w:id="350"/>
      <w:bookmarkEnd w:id="351"/>
      <w:bookmarkEnd w:id="352"/>
      <w:bookmarkEnd w:id="353"/>
      <w:bookmarkEnd w:id="354"/>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8.5.1  投标人或者其他利害关系人认为招标投标活动不符合法律、行政法规规定的， 可以自知道或者应当知道之日起 10 日内向有关行政监督部门投诉。投诉应当有明确的请求和必要的证明材料。</w:t>
      </w:r>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8.5.2  投标人或者其他利害关系人对招标文件、开标和评标结果提出投诉的， 应当按照投标人须知第 2.4 款、第 5.3 款和第 7.2 款的规定先向招标人提出异议。异议答复期间不计算在第 8.5.1项规定的期限内。</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5" w:name="_Toc296602468"/>
      <w:r>
        <w:rPr>
          <w:rFonts w:hint="eastAsia"/>
          <w:lang w:val="en-US" w:eastAsia="zh-CN"/>
        </w:rPr>
        <w:t>9</w:t>
      </w:r>
      <w:r>
        <w:rPr>
          <w:rFonts w:hint="eastAsia"/>
        </w:rPr>
        <w:t>．电子招标投标</w:t>
      </w:r>
      <w:bookmarkEnd w:id="355"/>
    </w:p>
    <w:p>
      <w:pPr>
        <w:rPr>
          <w:rFonts w:hint="eastAsia"/>
        </w:rPr>
      </w:pPr>
      <w:r>
        <w:rPr>
          <w:rFonts w:hint="eastAsia"/>
        </w:rPr>
        <w:t>本招标项目是否采用电子招标投标方式， 见投标人须知前附表。</w:t>
      </w:r>
    </w:p>
    <w:p>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356" w:name="_Toc246996967"/>
      <w:bookmarkStart w:id="357" w:name="_Toc246996224"/>
      <w:bookmarkStart w:id="358" w:name="_Toc247085738"/>
      <w:bookmarkStart w:id="359" w:name="_Toc152045580"/>
      <w:bookmarkStart w:id="360" w:name="_Toc179632598"/>
      <w:bookmarkStart w:id="361" w:name="_Toc296602467"/>
      <w:bookmarkStart w:id="362" w:name="_Toc144974547"/>
      <w:bookmarkStart w:id="363" w:name="_Toc152042357"/>
      <w:r>
        <w:rPr>
          <w:rFonts w:hint="eastAsia"/>
          <w:lang w:val="en-US" w:eastAsia="zh-CN"/>
        </w:rPr>
        <w:t>10</w:t>
      </w:r>
      <w:r>
        <w:rPr>
          <w:rFonts w:hint="eastAsia"/>
        </w:rPr>
        <w:t>. 需要补充的其他内容</w:t>
      </w:r>
      <w:bookmarkEnd w:id="356"/>
      <w:bookmarkEnd w:id="357"/>
      <w:bookmarkEnd w:id="358"/>
      <w:bookmarkEnd w:id="359"/>
      <w:bookmarkEnd w:id="360"/>
      <w:bookmarkEnd w:id="361"/>
      <w:bookmarkEnd w:id="362"/>
      <w:bookmarkEnd w:id="363"/>
    </w:p>
    <w:p>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需要补充的其他内容：见投标人须知前附表。</w:t>
      </w: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03"/>
        <w:gridCol w:w="997"/>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997" w:type="dxa"/>
            <w:vMerge w:val="restart"/>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投标函及投标函附录</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w:t>
            </w:r>
            <w:r>
              <w:rPr>
                <w:rFonts w:hint="eastAsia" w:ascii="Times New Roman" w:hAnsi="Times New Roman" w:cs="Times New Roman"/>
                <w:kern w:val="0"/>
                <w:sz w:val="24"/>
                <w:szCs w:val="24"/>
                <w:highlight w:val="none"/>
                <w:lang w:val="en-US" w:eastAsia="zh-CN"/>
              </w:rPr>
              <w:t>或其委托代理人签字或加盖单位章。由法定代表人签字的，应附法定代表人身份证明，由代理人签字的，应附授权委托书，身份证明或授权委托书应符合第六章“投标文件格式”的规定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六</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color w:val="auto"/>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top w:val="nil"/>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6" w:edGrp="everyone" w:colFirst="3" w:colLast="3"/>
            <w:r>
              <w:rPr>
                <w:rFonts w:hint="eastAsia" w:ascii="Times New Roman" w:hAnsi="Times New Roman" w:cs="Times New Roman"/>
                <w:kern w:val="0"/>
                <w:sz w:val="24"/>
                <w:szCs w:val="24"/>
                <w:highlight w:val="none"/>
                <w:lang w:val="en-US" w:eastAsia="zh-CN"/>
              </w:rPr>
              <w:t>2.1.2</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信誉要求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val="en-US" w:eastAsia="zh-CN" w:bidi="ar-SA"/>
              </w:rPr>
            </w:pPr>
            <w:permStart w:id="60" w:edGrp="everyone"/>
            <w:r>
              <w:rPr>
                <w:rFonts w:hint="eastAsia" w:ascii="Times New Roman" w:hAnsi="Times New Roman" w:cs="Times New Roman"/>
                <w:kern w:val="0"/>
                <w:sz w:val="24"/>
                <w:szCs w:val="24"/>
                <w:highlight w:val="none"/>
                <w:lang w:val="en-US" w:eastAsia="zh-CN"/>
              </w:rPr>
              <w:t>符合第二章“投 标人须知”第1.4.1项规定</w:t>
            </w:r>
            <w:permEnd w:id="60"/>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1"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联合体投标人</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符合第二章“投标人须知”第1.4.2项规定</w:t>
            </w:r>
          </w:p>
        </w:tc>
      </w:tr>
      <w:permEnd w:id="61"/>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8"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2"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不存在禁止投标的情形</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不存在第二章“投标人须知”第1.4.3项规定的任何一种情形</w:t>
            </w:r>
          </w:p>
        </w:tc>
      </w:tr>
      <w:permEnd w:id="6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bidi="ar-SA"/>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eastAsia" w:ascii="Times New Roman" w:hAnsi="Times New Roman" w:cs="Times New Roman" w:eastAsiaTheme="minorEastAsia"/>
                <w:kern w:val="0"/>
                <w:sz w:val="24"/>
                <w:szCs w:val="24"/>
                <w:highlight w:val="none"/>
                <w:lang w:val="en-US" w:eastAsia="zh-CN" w:bidi="ar-SA"/>
              </w:rPr>
            </w:pPr>
            <w:permStart w:id="63" w:edGrp="everyone"/>
            <w:r>
              <w:rPr>
                <w:rFonts w:hint="eastAsia" w:ascii="Times New Roman" w:hAnsi="Times New Roman" w:cs="Times New Roman"/>
                <w:kern w:val="0"/>
                <w:sz w:val="24"/>
                <w:szCs w:val="24"/>
                <w:highlight w:val="none"/>
                <w:lang w:val="en-US" w:eastAsia="zh-CN"/>
              </w:rPr>
              <w:t>符合第二章“投标人须知”第1.4.1项规定</w:t>
            </w:r>
            <w:permEnd w:id="6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64" w:edGrp="everyone" w:colFirst="3" w:colLast="3"/>
            <w:r>
              <w:rPr>
                <w:rFonts w:hint="eastAsia" w:ascii="Times New Roman" w:hAnsi="Times New Roman" w:cs="Times New Roman"/>
                <w:kern w:val="0"/>
                <w:sz w:val="24"/>
                <w:szCs w:val="24"/>
                <w:highlight w:val="none"/>
                <w:lang w:val="en-US" w:eastAsia="zh-CN"/>
              </w:rPr>
              <w:t>2.1.3</w:t>
            </w:r>
          </w:p>
        </w:tc>
        <w:tc>
          <w:tcPr>
            <w:tcW w:w="997" w:type="dxa"/>
            <w:vMerge w:val="restart"/>
            <w:tcBorders>
              <w:top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64"/>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5"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65"/>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6"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6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7"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交货地点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67"/>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8"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6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69"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69"/>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ermStart w:id="70" w:edGrp="everyone" w:colFirst="3" w:colLast="3"/>
          </w:p>
        </w:tc>
        <w:tc>
          <w:tcPr>
            <w:tcW w:w="997" w:type="dxa"/>
            <w:vMerge w:val="continue"/>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符合第二章“投标人须知”第1.11.1项规定和第四章“合同条款及格式”中的实质性要求和条件</w:t>
            </w:r>
          </w:p>
        </w:tc>
      </w:tr>
      <w:permEnd w:id="7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0"/>
                <w:sz w:val="24"/>
                <w:szCs w:val="24"/>
                <w:highlight w:val="yellow"/>
                <w:lang w:val="en-US" w:eastAsia="zh-CN" w:bidi="ar-SA"/>
              </w:rPr>
            </w:pPr>
            <w:r>
              <w:rPr>
                <w:rFonts w:hint="eastAsia" w:ascii="Times New Roman" w:hAnsi="Times New Roman" w:cs="Times New Roman"/>
                <w:kern w:val="0"/>
                <w:sz w:val="24"/>
                <w:szCs w:val="24"/>
                <w:highlight w:val="none"/>
                <w:lang w:val="en-US" w:eastAsia="zh-CN"/>
              </w:rPr>
              <w:t>技术支持资料</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rPr>
                <w:rFonts w:hint="eastAsia" w:ascii="Times New Roman" w:hAnsi="Times New Roman" w:cs="Times New Roman" w:eastAsiaTheme="minorEastAsia"/>
                <w:color w:val="auto"/>
                <w:kern w:val="0"/>
                <w:sz w:val="24"/>
                <w:szCs w:val="24"/>
                <w:highlight w:val="none"/>
                <w:lang w:val="en-US" w:eastAsia="zh-CN" w:bidi="ar-SA"/>
              </w:rPr>
            </w:pPr>
            <w:permStart w:id="71" w:edGrp="everyone"/>
            <w:r>
              <w:rPr>
                <w:rFonts w:hint="eastAsia" w:ascii="Times New Roman" w:hAnsi="Times New Roman" w:cs="Times New Roman"/>
                <w:color w:val="auto"/>
                <w:kern w:val="0"/>
                <w:sz w:val="24"/>
                <w:szCs w:val="24"/>
                <w:highlight w:val="none"/>
                <w:lang w:val="en-US" w:eastAsia="zh-CN"/>
              </w:rPr>
              <w:t>符合第二章“投标人须知”第1.11.3项规定</w:t>
            </w:r>
            <w:permEnd w:id="71"/>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bookmarkStart w:id="364" w:name="_Toc152045589"/>
            <w:bookmarkStart w:id="365" w:name="_Toc246996975"/>
            <w:bookmarkStart w:id="366" w:name="_Toc247085747"/>
            <w:bookmarkStart w:id="367" w:name="_Toc144974556"/>
            <w:bookmarkStart w:id="368" w:name="_Toc152042366"/>
            <w:bookmarkStart w:id="369" w:name="_Toc246996232"/>
            <w:bookmarkStart w:id="370" w:name="_Toc179632607"/>
            <w:bookmarkStart w:id="371" w:name="_Toc296602477"/>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分值构成</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permStart w:id="72" w:edGrp="everyone"/>
            <w:r>
              <w:rPr>
                <w:rFonts w:hint="eastAsia" w:ascii="Times New Roman" w:hAnsi="Times New Roman" w:cs="Times New Roman"/>
                <w:i w:val="0"/>
                <w:iCs w:val="0"/>
                <w:color w:val="auto"/>
                <w:kern w:val="0"/>
                <w:sz w:val="24"/>
                <w:szCs w:val="24"/>
                <w:highlight w:val="none"/>
                <w:lang w:val="en-US" w:eastAsia="zh-CN"/>
              </w:rPr>
              <w:t>商务部分</w:t>
            </w:r>
            <w:r>
              <w:rPr>
                <w:rFonts w:hint="default" w:ascii="Times New Roman" w:hAnsi="Times New Roman" w:cs="Times New Roman" w:eastAsiaTheme="minorEastAsia"/>
                <w:i w:val="0"/>
                <w:iCs w:val="0"/>
                <w:color w:val="auto"/>
                <w:kern w:val="0"/>
                <w:sz w:val="24"/>
                <w:szCs w:val="24"/>
                <w:highlight w:val="none"/>
              </w:rPr>
              <w:t>：</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i w:val="0"/>
                <w:iCs w:val="0"/>
                <w:color w:val="auto"/>
                <w:kern w:val="0"/>
                <w:sz w:val="24"/>
                <w:szCs w:val="24"/>
                <w:highlight w:val="none"/>
                <w:lang w:val="en-US" w:eastAsia="zh-CN"/>
              </w:rPr>
            </w:pPr>
            <w:r>
              <w:rPr>
                <w:rFonts w:hint="eastAsia" w:ascii="Times New Roman" w:hAnsi="Times New Roman" w:cs="Times New Roman"/>
                <w:i w:val="0"/>
                <w:iCs w:val="0"/>
                <w:color w:val="auto"/>
                <w:kern w:val="0"/>
                <w:sz w:val="24"/>
                <w:szCs w:val="24"/>
                <w:highlight w:val="none"/>
                <w:lang w:val="en-US" w:eastAsia="zh-CN"/>
              </w:rPr>
              <w:t>技术部分：</w:t>
            </w:r>
            <w:r>
              <w:rPr>
                <w:rFonts w:hint="eastAsia" w:ascii="Times New Roman" w:hAnsi="Times New Roman" w:cs="Times New Roman"/>
                <w:i w:val="0"/>
                <w:iCs w:val="0"/>
                <w:color w:val="auto"/>
                <w:kern w:val="0"/>
                <w:sz w:val="24"/>
                <w:szCs w:val="24"/>
                <w:highlight w:val="none"/>
                <w:u w:val="single"/>
                <w:lang w:val="en-US" w:eastAsia="zh-CN"/>
              </w:rPr>
              <w:t>10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color w:val="auto"/>
                <w:kern w:val="0"/>
                <w:sz w:val="24"/>
                <w:szCs w:val="24"/>
                <w:highlight w:val="none"/>
              </w:rPr>
            </w:pPr>
            <w:r>
              <w:rPr>
                <w:rFonts w:hint="eastAsia" w:ascii="Times New Roman" w:hAnsi="Times New Roman" w:cs="Times New Roman"/>
                <w:i w:val="0"/>
                <w:iCs w:val="0"/>
                <w:color w:val="auto"/>
                <w:kern w:val="0"/>
                <w:sz w:val="24"/>
                <w:szCs w:val="24"/>
                <w:highlight w:val="none"/>
                <w:lang w:val="en-US" w:eastAsia="zh-CN"/>
              </w:rPr>
              <w:t>投标报价：</w:t>
            </w:r>
            <w:r>
              <w:rPr>
                <w:rFonts w:hint="eastAsia" w:ascii="Times New Roman" w:hAnsi="Times New Roman" w:cs="Times New Roman"/>
                <w:i w:val="0"/>
                <w:iCs w:val="0"/>
                <w:color w:val="auto"/>
                <w:kern w:val="0"/>
                <w:sz w:val="24"/>
                <w:szCs w:val="24"/>
                <w:highlight w:val="none"/>
                <w:u w:val="single"/>
                <w:lang w:val="en-US" w:eastAsia="zh-CN"/>
              </w:rPr>
              <w:t>60</w:t>
            </w:r>
            <w:r>
              <w:rPr>
                <w:rFonts w:hint="default" w:ascii="Times New Roman" w:hAnsi="Times New Roman" w:cs="Times New Roman" w:eastAsiaTheme="minorEastAsia"/>
                <w:i w:val="0"/>
                <w:iCs w:val="0"/>
                <w:color w:val="auto"/>
                <w:kern w:val="0"/>
                <w:sz w:val="24"/>
                <w:szCs w:val="24"/>
                <w:highlight w:val="none"/>
              </w:rPr>
              <w:t>分</w:t>
            </w:r>
          </w:p>
          <w:p>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i w:val="0"/>
                <w:iCs w:val="0"/>
                <w:kern w:val="0"/>
                <w:sz w:val="24"/>
                <w:szCs w:val="24"/>
                <w:highlight w:val="yellow"/>
                <w:lang w:val="en-US"/>
              </w:rPr>
            </w:pPr>
            <w:r>
              <w:rPr>
                <w:rFonts w:hint="eastAsia" w:ascii="Times New Roman" w:hAnsi="Times New Roman" w:cs="Times New Roman"/>
                <w:i w:val="0"/>
                <w:iCs w:val="0"/>
                <w:color w:val="auto"/>
                <w:kern w:val="0"/>
                <w:sz w:val="24"/>
                <w:szCs w:val="24"/>
                <w:highlight w:val="none"/>
                <w:lang w:val="en-US" w:eastAsia="zh-CN"/>
              </w:rPr>
              <w:t>其他评分因素：</w:t>
            </w:r>
            <w:r>
              <w:rPr>
                <w:rFonts w:hint="eastAsia" w:ascii="Times New Roman" w:hAnsi="Times New Roman" w:cs="Times New Roman"/>
                <w:i w:val="0"/>
                <w:iCs w:val="0"/>
                <w:color w:val="auto"/>
                <w:kern w:val="0"/>
                <w:sz w:val="24"/>
                <w:szCs w:val="24"/>
                <w:highlight w:val="none"/>
                <w:u w:val="single"/>
                <w:lang w:val="en-US" w:eastAsia="zh-CN"/>
              </w:rPr>
              <w:t>20</w:t>
            </w:r>
            <w:r>
              <w:rPr>
                <w:rFonts w:hint="default" w:ascii="Times New Roman" w:hAnsi="Times New Roman" w:cs="Times New Roman" w:eastAsiaTheme="minorEastAsia"/>
                <w:i w:val="0"/>
                <w:iCs w:val="0"/>
                <w:color w:val="auto"/>
                <w:kern w:val="0"/>
                <w:sz w:val="24"/>
                <w:szCs w:val="24"/>
                <w:highlight w:val="none"/>
              </w:rPr>
              <w:t>分</w:t>
            </w:r>
            <w:permEnd w:id="72"/>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评标基准价计算方法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3" w:edGrp="everyone"/>
            <w:r>
              <w:rPr>
                <w:rFonts w:hint="eastAsia" w:ascii="Times New Roman" w:hAnsi="Times New Roman" w:cs="Times New Roman"/>
                <w:i w:val="0"/>
                <w:iCs w:val="0"/>
                <w:color w:val="FF0000"/>
                <w:kern w:val="0"/>
                <w:sz w:val="24"/>
                <w:szCs w:val="24"/>
                <w:highlight w:val="none"/>
                <w:u w:val="single"/>
                <w:lang w:val="en-US" w:eastAsia="zh-CN"/>
              </w:rPr>
              <w:t>\</w:t>
            </w:r>
            <w:permEnd w:id="73"/>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投标报价的偏差率计算公式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both"/>
              <w:textAlignment w:val="auto"/>
              <w:rPr>
                <w:rFonts w:hint="default" w:ascii="Times New Roman" w:hAnsi="Times New Roman" w:cs="Times New Roman" w:eastAsiaTheme="minorEastAsia"/>
                <w:i w:val="0"/>
                <w:iCs w:val="0"/>
                <w:color w:val="auto"/>
                <w:kern w:val="0"/>
                <w:sz w:val="24"/>
                <w:szCs w:val="24"/>
                <w:highlight w:val="none"/>
                <w:lang w:val="en-US" w:eastAsia="zh-CN"/>
              </w:rPr>
            </w:pPr>
            <w:permStart w:id="74" w:edGrp="everyone"/>
            <w:r>
              <w:rPr>
                <w:rFonts w:hint="eastAsia" w:ascii="Times New Roman" w:hAnsi="Times New Roman" w:cs="Times New Roman"/>
                <w:i w:val="0"/>
                <w:iCs w:val="0"/>
                <w:color w:val="FF0000"/>
                <w:kern w:val="0"/>
                <w:sz w:val="24"/>
                <w:szCs w:val="24"/>
                <w:highlight w:val="none"/>
                <w:u w:val="single"/>
                <w:lang w:val="en-US" w:eastAsia="zh-CN"/>
              </w:rPr>
              <w:t>\</w:t>
            </w:r>
            <w:permEnd w:id="74"/>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b/>
                <w:bCs/>
                <w:i w:val="0"/>
                <w:iCs w:val="0"/>
                <w:kern w:val="0"/>
                <w:sz w:val="24"/>
                <w:szCs w:val="24"/>
                <w:highlight w:val="none"/>
                <w:lang w:val="en-US" w:eastAsia="zh-CN"/>
              </w:rPr>
            </w:pPr>
            <w:r>
              <w:rPr>
                <w:rFonts w:hint="default" w:ascii="Times New Roman" w:hAnsi="Times New Roman" w:cs="Times New Roman"/>
                <w:b/>
                <w:bCs/>
                <w:i w:val="0"/>
                <w:iCs w:val="0"/>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5" w:edGrp="everyone" w:colFirst="0" w:colLast="0"/>
            <w:permStart w:id="76" w:edGrp="everyone" w:colFirst="1" w:colLast="1"/>
            <w:permStart w:id="77" w:edGrp="everyone" w:colFirst="2" w:colLast="2"/>
            <w:permStart w:id="78"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997" w:type="dxa"/>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商务评分标准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 10 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w:t>
            </w:r>
            <w:r>
              <w:rPr>
                <w:rFonts w:hint="eastAsia" w:ascii="Times New Roman" w:hAnsi="Times New Roman" w:cs="Times New Roman"/>
                <w:i w:val="0"/>
                <w:iCs w:val="0"/>
                <w:color w:val="FF0000"/>
                <w:kern w:val="0"/>
                <w:sz w:val="24"/>
                <w:szCs w:val="24"/>
                <w:highlight w:val="none"/>
                <w:u w:val="single"/>
                <w:lang w:val="en-US" w:eastAsia="zh-CN"/>
              </w:rPr>
              <w:t>产品</w:t>
            </w:r>
            <w:r>
              <w:rPr>
                <w:rFonts w:hint="eastAsia" w:ascii="Times New Roman" w:hAnsi="Times New Roman" w:cs="Times New Roman"/>
                <w:i w:val="0"/>
                <w:iCs w:val="0"/>
                <w:kern w:val="0"/>
                <w:sz w:val="24"/>
                <w:szCs w:val="24"/>
                <w:highlight w:val="none"/>
                <w:lang w:val="en-US" w:eastAsia="zh-CN"/>
              </w:rPr>
              <w:t>的业绩</w:t>
            </w: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10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投标人投标产品近3年（2020年1月1日至今）内，与公交企业有轮胎供货业绩的，每提供1家得2.5分，满分10分。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注：合同复印件装订入投标文件内，以合同签订日期为准，合同供货品牌须与本次招标所投品牌一致。</w:t>
            </w:r>
          </w:p>
        </w:tc>
      </w:tr>
      <w:permEnd w:id="75"/>
      <w:permEnd w:id="76"/>
      <w:permEnd w:id="77"/>
      <w:permEnd w:id="78"/>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79" w:edGrp="everyone" w:colFirst="0" w:colLast="0"/>
            <w:permStart w:id="80" w:edGrp="everyone" w:colFirst="1" w:colLast="1"/>
            <w:permStart w:id="81" w:edGrp="everyone" w:colFirst="2" w:colLast="2"/>
            <w:permStart w:id="82"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997" w:type="dxa"/>
            <w:vMerge w:val="restart"/>
            <w:tcBorders>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（10  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技术服务和质保期服务能力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color w:val="FF0000"/>
                <w:kern w:val="0"/>
                <w:sz w:val="24"/>
                <w:szCs w:val="24"/>
                <w:highlight w:val="none"/>
                <w:u w:val="singl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5 </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根据投标人提供的供货方案，从产品特色、响应供货、服务内容、应急处理及其他服务承诺等方面综合分析，由评委酌情评分。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优：3＜F≤5，良：2＜F≤3一般：0≤F≤2，未提供不得分。</w:t>
            </w:r>
          </w:p>
        </w:tc>
      </w:tr>
      <w:permEnd w:id="79"/>
      <w:permEnd w:id="80"/>
      <w:permEnd w:id="81"/>
      <w:permEnd w:id="82"/>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3" w:edGrp="everyone" w:colFirst="0" w:colLast="0"/>
            <w:permStart w:id="84" w:edGrp="everyone" w:colFirst="1" w:colLast="1"/>
            <w:permStart w:id="85" w:edGrp="everyone" w:colFirst="2" w:colLast="2"/>
            <w:permStart w:id="86" w:edGrp="everyone" w:colFirst="3" w:colLast="3"/>
          </w:p>
        </w:tc>
        <w:tc>
          <w:tcPr>
            <w:tcW w:w="997" w:type="dxa"/>
            <w:vMerge w:val="continue"/>
            <w:tcBorders>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对投标人</w:t>
            </w:r>
            <w:r>
              <w:rPr>
                <w:rFonts w:hint="eastAsia" w:ascii="Times New Roman" w:hAnsi="Times New Roman" w:cs="Times New Roman"/>
                <w:i w:val="0"/>
                <w:iCs w:val="0"/>
                <w:color w:val="FF0000"/>
                <w:kern w:val="0"/>
                <w:sz w:val="24"/>
                <w:szCs w:val="24"/>
                <w:highlight w:val="none"/>
                <w:u w:val="single"/>
                <w:lang w:val="en-US" w:eastAsia="zh-CN"/>
              </w:rPr>
              <w:t>相关服务能力</w:t>
            </w:r>
            <w:r>
              <w:rPr>
                <w:rFonts w:hint="eastAsia" w:ascii="Times New Roman" w:hAnsi="Times New Roman" w:cs="Times New Roman"/>
                <w:i w:val="0"/>
                <w:iCs w:val="0"/>
                <w:kern w:val="0"/>
                <w:sz w:val="24"/>
                <w:szCs w:val="24"/>
                <w:highlight w:val="none"/>
                <w:lang w:val="en-US" w:eastAsia="zh-CN"/>
              </w:rPr>
              <w:t>的评价</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  5</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eastAsia" w:ascii="Times New Roman" w:hAnsi="Times New Roman" w:cs="Times New Roman"/>
                <w:i w:val="0"/>
                <w:iCs w:val="0"/>
                <w:color w:val="FF0000"/>
                <w:kern w:val="0"/>
                <w:sz w:val="24"/>
                <w:szCs w:val="24"/>
                <w:highlight w:val="none"/>
                <w:u w:val="single"/>
                <w:lang w:val="en-US" w:eastAsia="zh-CN"/>
              </w:rPr>
            </w:pPr>
            <w:r>
              <w:rPr>
                <w:rFonts w:hint="eastAsia" w:ascii="Times New Roman" w:hAnsi="Times New Roman" w:cs="Times New Roman"/>
                <w:i w:val="0"/>
                <w:iCs w:val="0"/>
                <w:color w:val="FF0000"/>
                <w:kern w:val="0"/>
                <w:sz w:val="24"/>
                <w:szCs w:val="24"/>
                <w:highlight w:val="none"/>
                <w:u w:val="single"/>
                <w:lang w:val="en-US" w:eastAsia="zh-CN"/>
              </w:rPr>
              <w:t>从产品特色、售后供货、服务内容、应急处理、质保及其他服务承诺等方面综合分析，由评委酌情评分。</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优：3＜F≤5，良：2＜F≤3一般：0≤F≤2，未提供不得分。</w:t>
            </w:r>
          </w:p>
        </w:tc>
      </w:tr>
      <w:permEnd w:id="83"/>
      <w:permEnd w:id="84"/>
      <w:permEnd w:id="85"/>
      <w:permEnd w:id="86"/>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87" w:edGrp="everyone" w:colFirst="0" w:colLast="0"/>
            <w:permStart w:id="88" w:edGrp="everyone" w:colFirst="1" w:colLast="1"/>
            <w:permStart w:id="89" w:edGrp="everyone" w:colFirst="2" w:colLast="2"/>
            <w:permStart w:id="90"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投标报价评分标准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60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偏差率</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60</w:t>
            </w:r>
            <w:r>
              <w:rPr>
                <w:rFonts w:hint="default" w:ascii="Times New Roman" w:hAnsi="Times New Roman" w:cs="Times New Roman"/>
                <w:i w:val="0"/>
                <w:iCs w:val="0"/>
                <w:color w:val="FF0000"/>
                <w:kern w:val="0"/>
                <w:sz w:val="24"/>
                <w:szCs w:val="24"/>
                <w:highlight w:val="none"/>
                <w:u w:val="single"/>
                <w:lang w:val="en-US" w:eastAsia="zh-CN"/>
              </w:rPr>
              <w:t>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投标人投标产品每个型号的轮胎单价除以质保里程公里数，所得出每公里价格，然后乘以数量系数后相加，得到价格最低的为60分，每高于（大于）最低价1%（不足1%按1%计算）扣0.5分。</w:t>
            </w:r>
          </w:p>
        </w:tc>
      </w:tr>
      <w:permEnd w:id="87"/>
      <w:permEnd w:id="88"/>
      <w:permEnd w:id="89"/>
      <w:permEnd w:id="90"/>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703"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kern w:val="0"/>
                <w:sz w:val="24"/>
                <w:szCs w:val="24"/>
                <w:highlight w:val="none"/>
                <w:lang w:val="en-US" w:eastAsia="zh-CN"/>
              </w:rPr>
            </w:pPr>
            <w:permStart w:id="91" w:edGrp="everyone"/>
            <w:permStart w:id="92" w:edGrp="everyone" w:colFirst="1" w:colLast="1"/>
            <w:permStart w:id="93" w:edGrp="everyone" w:colFirst="2" w:colLast="2"/>
            <w:permStart w:id="94" w:edGrp="everyone" w:colFirst="3" w:colLast="3"/>
            <w:r>
              <w:rPr>
                <w:rFonts w:hint="eastAsia" w:ascii="Times New Roman" w:hAnsi="Times New Roman" w:cs="Times New Roman"/>
                <w:kern w:val="0"/>
                <w:sz w:val="24"/>
                <w:szCs w:val="24"/>
                <w:highlight w:val="none"/>
                <w:lang w:val="en-US" w:eastAsia="zh-CN"/>
              </w:rPr>
              <w:t>2.2.4</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ermEnd w:id="91"/>
          </w:p>
        </w:tc>
        <w:tc>
          <w:tcPr>
            <w:tcW w:w="997" w:type="dxa"/>
            <w:tcBorders>
              <w:top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kern w:val="0"/>
                <w:sz w:val="24"/>
                <w:szCs w:val="24"/>
                <w:highlight w:val="none"/>
                <w:lang w:val="en-US" w:eastAsia="zh-CN"/>
              </w:rPr>
              <w:t>其他因素评分标准</w:t>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color w:val="FF0000"/>
                <w:kern w:val="0"/>
                <w:sz w:val="24"/>
                <w:szCs w:val="24"/>
                <w:highlight w:val="none"/>
                <w:u w:val="single"/>
                <w:lang w:val="en-US" w:eastAsia="zh-CN"/>
              </w:rPr>
              <w:t>（</w:t>
            </w:r>
            <w:r>
              <w:rPr>
                <w:rFonts w:hint="eastAsia" w:ascii="Times New Roman" w:hAnsi="Times New Roman" w:cs="Times New Roman"/>
                <w:i w:val="0"/>
                <w:iCs w:val="0"/>
                <w:color w:val="FF0000"/>
                <w:kern w:val="0"/>
                <w:sz w:val="24"/>
                <w:szCs w:val="24"/>
                <w:highlight w:val="none"/>
                <w:u w:val="single"/>
                <w:lang w:val="en-US" w:eastAsia="zh-CN"/>
              </w:rPr>
              <w:t xml:space="preserve">20  </w:t>
            </w:r>
            <w:r>
              <w:rPr>
                <w:rFonts w:hint="default" w:ascii="Times New Roman" w:hAnsi="Times New Roman" w:cs="Times New Roman"/>
                <w:i w:val="0"/>
                <w:iCs w:val="0"/>
                <w:color w:val="FF0000"/>
                <w:kern w:val="0"/>
                <w:sz w:val="24"/>
                <w:szCs w:val="24"/>
                <w:highlight w:val="none"/>
                <w:u w:val="single"/>
                <w:lang w:val="en-US" w:eastAsia="zh-CN"/>
              </w:rPr>
              <w:t>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i w:val="0"/>
                <w:iCs w:val="0"/>
                <w:kern w:val="0"/>
                <w:sz w:val="24"/>
                <w:szCs w:val="24"/>
                <w:highlight w:val="none"/>
                <w:lang w:val="en-US" w:eastAsia="zh-CN"/>
              </w:rPr>
            </w:pPr>
            <w:r>
              <w:rPr>
                <w:rFonts w:hint="default" w:ascii="Times New Roman" w:hAnsi="Times New Roman" w:cs="Times New Roman"/>
                <w:i w:val="0"/>
                <w:iCs w:val="0"/>
                <w:kern w:val="0"/>
                <w:sz w:val="24"/>
                <w:szCs w:val="24"/>
                <w:highlight w:val="none"/>
                <w:lang w:val="en-US" w:eastAsia="zh-CN"/>
              </w:rPr>
              <w:t>废旧轮胎处理报价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textAlignment w:val="auto"/>
              <w:rPr>
                <w:rFonts w:hint="default" w:ascii="Times New Roman" w:hAnsi="Times New Roman" w:cs="Times New Roman"/>
                <w:i w:val="0"/>
                <w:iCs w:val="0"/>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single"/>
                <w:lang w:val="en-US" w:eastAsia="zh-CN"/>
              </w:rPr>
              <w:t>投标人具有废旧轮胎回收能力，投标产品每个型号的轮胎回收单价乘以数量系数后相加，价格最高的得20分，每低于（小于）最高价1%（不足1%按1%计算）扣0.5分。</w:t>
            </w:r>
          </w:p>
        </w:tc>
      </w:tr>
      <w:permEnd w:id="92"/>
      <w:permEnd w:id="93"/>
      <w:permEnd w:id="94"/>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eastAsia="黑体" w:cs="Times New Roman"/>
          <w:sz w:val="21"/>
          <w:szCs w:val="21"/>
          <w:u w:val="none"/>
          <w:lang w:val="en-US" w:eastAsia="zh-CN"/>
        </w:rPr>
        <w:t>说明</w:t>
      </w:r>
      <w:r>
        <w:rPr>
          <w:rFonts w:hint="default" w:ascii="Times New Roman" w:hAnsi="Times New Roman" w:cs="Times New Roman" w:eastAsiaTheme="minorEastAsia"/>
          <w:sz w:val="21"/>
          <w:szCs w:val="21"/>
          <w:u w:val="none"/>
          <w:lang w:val="en-US" w:eastAsia="zh-CN"/>
        </w:rPr>
        <w:t>：评分区间一律按左闭右开</w:t>
      </w:r>
      <w:r>
        <w:rPr>
          <w:rFonts w:hint="default" w:ascii="Times New Roman" w:hAnsi="Times New Roman" w:cs="Times New Roman"/>
          <w:sz w:val="21"/>
          <w:szCs w:val="21"/>
          <w:u w:val="none"/>
          <w:lang w:val="en-US" w:eastAsia="zh-CN"/>
        </w:rPr>
        <w:t>计算</w:t>
      </w:r>
      <w:r>
        <w:rPr>
          <w:rFonts w:hint="eastAsia" w:ascii="Times New Roman" w:hAnsi="Times New Roman" w:cs="Times New Roman"/>
          <w:sz w:val="21"/>
          <w:szCs w:val="21"/>
          <w:u w:val="none"/>
          <w:lang w:val="en-US" w:eastAsia="zh-CN"/>
        </w:rPr>
        <w:t>，评分保留2位小数。</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本次评标采用综合评估法。评标委员会</w:t>
      </w:r>
      <w:r>
        <w:rPr>
          <w:rFonts w:hint="eastAsia" w:ascii="Times New Roman" w:hAnsi="Times New Roman" w:cs="Times New Roman"/>
          <w:kern w:val="0"/>
          <w:sz w:val="24"/>
          <w:szCs w:val="24"/>
          <w:highlight w:val="none"/>
          <w:lang w:val="en-US" w:eastAsia="zh-CN"/>
        </w:rPr>
        <w:t>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其授权的评标委员会自行确定。</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72" w:name="_Toc296602478"/>
      <w:bookmarkStart w:id="373" w:name="_Toc152045590"/>
      <w:bookmarkStart w:id="374" w:name="_Toc152042367"/>
      <w:bookmarkStart w:id="375" w:name="_Toc246996233"/>
      <w:bookmarkStart w:id="376" w:name="_Toc144974557"/>
      <w:bookmarkStart w:id="377" w:name="_Toc179632608"/>
      <w:bookmarkStart w:id="378" w:name="_Toc247085748"/>
      <w:bookmarkStart w:id="379" w:name="_Toc246996976"/>
      <w:r>
        <w:rPr>
          <w:rFonts w:hint="default" w:ascii="Times New Roman" w:hAnsi="Times New Roman" w:cs="Times New Roman" w:eastAsiaTheme="minorEastAsia"/>
          <w:b/>
          <w:bCs/>
          <w:kern w:val="0"/>
          <w:sz w:val="28"/>
          <w:szCs w:val="28"/>
          <w:highlight w:val="none"/>
        </w:rPr>
        <w:t>2. 评审标准</w:t>
      </w:r>
      <w:bookmarkEnd w:id="372"/>
      <w:bookmarkEnd w:id="373"/>
      <w:bookmarkEnd w:id="374"/>
      <w:bookmarkEnd w:id="375"/>
      <w:bookmarkEnd w:id="376"/>
      <w:bookmarkEnd w:id="377"/>
      <w:bookmarkEnd w:id="378"/>
      <w:bookmarkEnd w:id="379"/>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80" w:name="_Toc144974558"/>
      <w:bookmarkStart w:id="381" w:name="_Toc246996977"/>
      <w:bookmarkStart w:id="382" w:name="_Toc152045591"/>
      <w:bookmarkStart w:id="383" w:name="_Toc179632609"/>
      <w:bookmarkStart w:id="384" w:name="_Toc246996234"/>
      <w:bookmarkStart w:id="385" w:name="_Toc296602479"/>
      <w:bookmarkStart w:id="386" w:name="_Toc247085749"/>
      <w:bookmarkStart w:id="387"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80"/>
      <w:bookmarkEnd w:id="381"/>
      <w:bookmarkEnd w:id="382"/>
      <w:bookmarkEnd w:id="383"/>
      <w:bookmarkEnd w:id="384"/>
      <w:bookmarkEnd w:id="385"/>
      <w:bookmarkEnd w:id="386"/>
      <w:bookmarkEnd w:id="38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bookmarkStart w:id="388" w:name="_Toc179632611"/>
      <w:bookmarkStart w:id="389" w:name="_Toc296602481"/>
      <w:bookmarkStart w:id="390" w:name="_Toc152042370"/>
      <w:bookmarkStart w:id="391" w:name="_Toc247085751"/>
      <w:bookmarkStart w:id="392" w:name="_Toc152045593"/>
      <w:bookmarkStart w:id="393" w:name="_Toc246996979"/>
      <w:bookmarkStart w:id="394" w:name="_Toc144974560"/>
      <w:bookmarkStart w:id="395" w:name="_Toc246996236"/>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permStart w:id="95" w:edGrp="everyone"/>
      <w:r>
        <w:rPr>
          <w:rFonts w:hint="eastAsia" w:ascii="Times New Roman" w:hAnsi="Times New Roman" w:cs="Times New Roman"/>
          <w:kern w:val="0"/>
          <w:sz w:val="24"/>
          <w:szCs w:val="24"/>
          <w:highlight w:val="none"/>
          <w:lang w:val="en-US" w:eastAsia="zh-CN"/>
        </w:rPr>
        <w:t>商务部分</w:t>
      </w:r>
      <w:permEnd w:id="95"/>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permStart w:id="96" w:edGrp="everyone"/>
      <w:r>
        <w:rPr>
          <w:rFonts w:hint="eastAsia" w:ascii="Times New Roman" w:hAnsi="Times New Roman" w:cs="Times New Roman"/>
          <w:kern w:val="0"/>
          <w:sz w:val="24"/>
          <w:szCs w:val="24"/>
          <w:highlight w:val="none"/>
          <w:lang w:val="en-US" w:eastAsia="zh-CN"/>
        </w:rPr>
        <w:t>技术部分</w:t>
      </w:r>
      <w:permEnd w:id="96"/>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eastAsiaTheme="minorEastAsia"/>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w:t>
      </w:r>
      <w:permStart w:id="97" w:edGrp="everyone"/>
      <w:r>
        <w:rPr>
          <w:rFonts w:hint="eastAsia" w:ascii="Times New Roman" w:hAnsi="Times New Roman" w:cs="Times New Roman" w:eastAsiaTheme="minorEastAsia"/>
          <w:kern w:val="0"/>
          <w:sz w:val="24"/>
          <w:szCs w:val="24"/>
          <w:highlight w:val="none"/>
          <w:lang w:val="en-US" w:eastAsia="zh-CN"/>
        </w:rPr>
        <w:t>投标报价</w:t>
      </w:r>
      <w:permEnd w:id="97"/>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yellow"/>
          <w:lang w:val="en-US" w:eastAsia="zh-CN"/>
        </w:rPr>
      </w:pPr>
      <w:r>
        <w:rPr>
          <w:rFonts w:hint="eastAsia" w:ascii="Times New Roman" w:hAnsi="Times New Roman" w:cs="Times New Roman" w:eastAsiaTheme="minorEastAsia"/>
          <w:kern w:val="0"/>
          <w:sz w:val="24"/>
          <w:szCs w:val="24"/>
          <w:highlight w:val="none"/>
          <w:lang w:eastAsia="zh-CN"/>
        </w:rPr>
        <w:t>（</w:t>
      </w:r>
      <w:r>
        <w:rPr>
          <w:rFonts w:hint="eastAsia" w:ascii="Times New Roman" w:hAnsi="Times New Roman" w:cs="Times New Roman" w:eastAsiaTheme="minorEastAsia"/>
          <w:kern w:val="0"/>
          <w:sz w:val="24"/>
          <w:szCs w:val="24"/>
          <w:highlight w:val="none"/>
          <w:lang w:val="en-US" w:eastAsia="zh-CN"/>
        </w:rPr>
        <w:t>4</w:t>
      </w:r>
      <w:r>
        <w:rPr>
          <w:rFonts w:hint="eastAsia" w:ascii="Times New Roman" w:hAnsi="Times New Roman" w:cs="Times New Roman" w:eastAsiaTheme="minorEastAsia"/>
          <w:kern w:val="0"/>
          <w:sz w:val="24"/>
          <w:szCs w:val="24"/>
          <w:highlight w:val="none"/>
          <w:lang w:eastAsia="zh-CN"/>
        </w:rPr>
        <w:t>）</w:t>
      </w:r>
      <w:permStart w:id="98" w:edGrp="everyone"/>
      <w:r>
        <w:rPr>
          <w:rFonts w:hint="eastAsia" w:ascii="Times New Roman" w:hAnsi="Times New Roman" w:cs="Times New Roman" w:eastAsiaTheme="minorEastAsia"/>
          <w:kern w:val="0"/>
          <w:sz w:val="24"/>
          <w:szCs w:val="24"/>
          <w:highlight w:val="none"/>
          <w:lang w:val="en-US" w:eastAsia="zh-CN"/>
        </w:rPr>
        <w:t>其他评分因素</w:t>
      </w:r>
      <w:permEnd w:id="98"/>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kern w:val="0"/>
          <w:sz w:val="24"/>
          <w:szCs w:val="24"/>
          <w:highlight w:val="none"/>
        </w:rPr>
        <w:t>（1）</w:t>
      </w:r>
      <w:permStart w:id="99"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99"/>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（2）</w:t>
      </w:r>
      <w:permStart w:id="100"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评分标准</w:t>
      </w:r>
      <w:permEnd w:id="100"/>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pP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w:t>
      </w:r>
      <w:permStart w:id="101"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投标报价评分标准</w:t>
      </w:r>
      <w:permEnd w:id="101"/>
      <w:r>
        <w:rPr>
          <w:rFonts w:hint="default" w:ascii="Times New Roman" w:hAnsi="Times New Roman" w:cs="Times New Roman" w:eastAsiaTheme="minorEastAsia"/>
          <w:color w:val="000000" w:themeColor="text1"/>
          <w:kern w:val="0"/>
          <w:sz w:val="24"/>
          <w:szCs w:val="24"/>
          <w:highlight w:val="none"/>
          <w14:textFill>
            <w14:solidFill>
              <w14:schemeClr w14:val="tx1"/>
            </w14:solidFill>
          </w14:textFill>
        </w:rPr>
        <w:t>：见评标办法前附表；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yellow"/>
        </w:rPr>
      </w:pP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4</w:t>
      </w:r>
      <w:r>
        <w:rPr>
          <w:rFonts w:hint="eastAsia" w:ascii="Times New Roman" w:hAnsi="Times New Roman" w:cs="Times New Roman" w:eastAsiaTheme="minorEastAsia"/>
          <w:color w:val="000000" w:themeColor="text1"/>
          <w:kern w:val="0"/>
          <w:sz w:val="24"/>
          <w:szCs w:val="24"/>
          <w:highlight w:val="none"/>
          <w:lang w:eastAsia="zh-CN"/>
          <w14:textFill>
            <w14:solidFill>
              <w14:schemeClr w14:val="tx1"/>
            </w14:solidFill>
          </w14:textFill>
        </w:rPr>
        <w:t>）</w:t>
      </w:r>
      <w:permStart w:id="102" w:edGrp="everyone"/>
      <w:r>
        <w:rPr>
          <w:rFonts w:hint="eastAsia" w:ascii="Times New Roman" w:hAnsi="Times New Roman" w:cs="Times New Roman" w:eastAsiaTheme="minorEastAsia"/>
          <w:color w:val="000000" w:themeColor="text1"/>
          <w:kern w:val="0"/>
          <w:sz w:val="24"/>
          <w:szCs w:val="24"/>
          <w:highlight w:val="none"/>
          <w:lang w:val="en-US" w:eastAsia="zh-CN"/>
          <w14:textFill>
            <w14:solidFill>
              <w14:schemeClr w14:val="tx1"/>
            </w14:solidFill>
          </w14:textFill>
        </w:rPr>
        <w:t>其他因素评分标准</w:t>
      </w:r>
      <w:permEnd w:id="102"/>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eastAsiaTheme="minorEastAsia"/>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388"/>
      <w:bookmarkEnd w:id="389"/>
      <w:bookmarkEnd w:id="390"/>
      <w:bookmarkEnd w:id="391"/>
      <w:bookmarkEnd w:id="392"/>
      <w:bookmarkEnd w:id="393"/>
      <w:bookmarkEnd w:id="394"/>
      <w:bookmarkEnd w:id="39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96" w:name="_Toc152045594"/>
      <w:bookmarkStart w:id="397" w:name="_Toc246996980"/>
      <w:bookmarkStart w:id="398" w:name="_Toc296602482"/>
      <w:bookmarkStart w:id="399" w:name="_Toc152042371"/>
      <w:bookmarkStart w:id="400" w:name="_Toc179632612"/>
      <w:bookmarkStart w:id="401" w:name="_Toc246996237"/>
      <w:bookmarkStart w:id="402" w:name="_Toc247085752"/>
      <w:bookmarkStart w:id="403" w:name="_Toc144974561"/>
      <w:r>
        <w:rPr>
          <w:rFonts w:hint="default" w:ascii="Times New Roman" w:hAnsi="Times New Roman" w:cs="Times New Roman" w:eastAsiaTheme="minorEastAsia"/>
          <w:b/>
          <w:bCs/>
          <w:kern w:val="0"/>
          <w:sz w:val="28"/>
          <w:szCs w:val="28"/>
          <w:highlight w:val="none"/>
        </w:rPr>
        <w:t>3.1 初步评审</w:t>
      </w:r>
      <w:bookmarkEnd w:id="396"/>
      <w:bookmarkEnd w:id="397"/>
      <w:bookmarkEnd w:id="398"/>
      <w:bookmarkEnd w:id="399"/>
      <w:bookmarkEnd w:id="400"/>
      <w:bookmarkEnd w:id="401"/>
      <w:bookmarkEnd w:id="402"/>
      <w:bookmarkEnd w:id="40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w:t>
      </w:r>
      <w:r>
        <w:rPr>
          <w:rFonts w:hint="default" w:ascii="Times New Roman" w:hAnsi="Times New Roman" w:cs="Times New Roman" w:eastAsiaTheme="minorEastAsia"/>
          <w:kern w:val="0"/>
          <w:sz w:val="24"/>
          <w:szCs w:val="24"/>
          <w:highlight w:val="none"/>
        </w:rPr>
        <w:t>有关证明和证件的原件，以便核验。评标委员会依据本章</w:t>
      </w:r>
      <w:r>
        <w:rPr>
          <w:rFonts w:hint="eastAsia" w:ascii="Times New Roman" w:hAnsi="Times New Roman" w:cs="Times New Roman"/>
          <w:kern w:val="0"/>
          <w:sz w:val="24"/>
          <w:szCs w:val="24"/>
          <w:highlight w:val="none"/>
          <w:lang w:val="en-US" w:eastAsia="zh-CN"/>
        </w:rPr>
        <w:t>第2.1款</w:t>
      </w:r>
      <w:r>
        <w:rPr>
          <w:rFonts w:hint="default" w:ascii="Times New Roman" w:hAnsi="Times New Roman" w:cs="Times New Roman" w:eastAsiaTheme="minorEastAsia"/>
          <w:kern w:val="0"/>
          <w:sz w:val="24"/>
          <w:szCs w:val="24"/>
          <w:highlight w:val="none"/>
        </w:rPr>
        <w:t>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第二章“投标人须知”第1.4.2项、第1.4.3项规定的任何一种情形的；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3.1.3投标报价有算术错误的，评标委员会按以下原则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4" w:name="_Toc296602483"/>
      <w:bookmarkStart w:id="405" w:name="_Toc152042372"/>
      <w:bookmarkStart w:id="406" w:name="_Toc144974562"/>
      <w:bookmarkStart w:id="407" w:name="_Toc247085753"/>
      <w:bookmarkStart w:id="408" w:name="_Toc246996238"/>
      <w:bookmarkStart w:id="409" w:name="_Toc152045595"/>
      <w:bookmarkStart w:id="410" w:name="_Toc246996981"/>
      <w:bookmarkStart w:id="411" w:name="_Toc179632613"/>
      <w:r>
        <w:rPr>
          <w:rFonts w:hint="default" w:ascii="Times New Roman" w:hAnsi="Times New Roman" w:cs="Times New Roman" w:eastAsiaTheme="minorEastAsia"/>
          <w:b/>
          <w:bCs/>
          <w:kern w:val="0"/>
          <w:sz w:val="28"/>
          <w:szCs w:val="28"/>
          <w:highlight w:val="none"/>
        </w:rPr>
        <w:t>3.2 详细评审</w:t>
      </w:r>
      <w:bookmarkEnd w:id="404"/>
      <w:bookmarkEnd w:id="405"/>
      <w:bookmarkEnd w:id="406"/>
      <w:bookmarkEnd w:id="407"/>
      <w:bookmarkEnd w:id="408"/>
      <w:bookmarkEnd w:id="409"/>
      <w:bookmarkEnd w:id="410"/>
      <w:bookmarkEnd w:id="41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412" w:name="_Toc144974563"/>
      <w:bookmarkStart w:id="413" w:name="_Toc152045596"/>
      <w:bookmarkStart w:id="414" w:name="_Toc247085754"/>
      <w:bookmarkStart w:id="415" w:name="_Toc296602484"/>
      <w:bookmarkStart w:id="416" w:name="_Toc246996982"/>
      <w:bookmarkStart w:id="417" w:name="_Toc179632614"/>
      <w:bookmarkStart w:id="418" w:name="_Toc152042373"/>
      <w:bookmarkStart w:id="419" w:name="_Toc246996239"/>
      <w:r>
        <w:rPr>
          <w:rFonts w:hint="default" w:ascii="Times New Roman" w:hAnsi="Times New Roman" w:cs="Times New Roman" w:eastAsiaTheme="minorEastAsia"/>
          <w:kern w:val="0"/>
          <w:sz w:val="24"/>
          <w:szCs w:val="24"/>
          <w:highlight w:val="none"/>
        </w:rPr>
        <w:t>3.2.1 评标委员会按本章</w:t>
      </w:r>
      <w:r>
        <w:rPr>
          <w:rFonts w:hint="eastAsia" w:ascii="Times New Roman" w:hAnsi="Times New Roman" w:cs="Times New Roman"/>
          <w:kern w:val="0"/>
          <w:sz w:val="24"/>
          <w:szCs w:val="24"/>
          <w:highlight w:val="none"/>
          <w:lang w:val="en-US" w:eastAsia="zh-CN"/>
        </w:rPr>
        <w:t>第2.2款规定的</w:t>
      </w:r>
      <w:r>
        <w:rPr>
          <w:rFonts w:hint="default" w:ascii="Times New Roman" w:hAnsi="Times New Roman" w:cs="Times New Roman" w:eastAsiaTheme="minorEastAsia"/>
          <w:kern w:val="0"/>
          <w:sz w:val="24"/>
          <w:szCs w:val="24"/>
          <w:highlight w:val="none"/>
        </w:rPr>
        <w:t>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（1）按本章</w:t>
      </w:r>
      <w:r>
        <w:rPr>
          <w:rFonts w:hint="eastAsia" w:ascii="Times New Roman" w:hAnsi="Times New Roman" w:cs="Times New Roman"/>
          <w:kern w:val="0"/>
          <w:sz w:val="24"/>
          <w:szCs w:val="24"/>
          <w:highlight w:val="none"/>
          <w:lang w:val="en-US" w:eastAsia="zh-CN"/>
        </w:rPr>
        <w:t>第2.2.4（1）目规定的评审因素和分值对</w:t>
      </w:r>
      <w:permStart w:id="103"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商务部分</w:t>
      </w:r>
      <w:permEnd w:id="103"/>
      <w:r>
        <w:rPr>
          <w:rFonts w:hint="eastAsia" w:ascii="Times New Roman" w:hAnsi="Times New Roman" w:cs="Times New Roman"/>
          <w:kern w:val="0"/>
          <w:sz w:val="24"/>
          <w:szCs w:val="24"/>
          <w:highlight w:val="none"/>
          <w:lang w:val="en-US" w:eastAsia="zh-CN"/>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）按本章</w:t>
      </w:r>
      <w:r>
        <w:rPr>
          <w:rFonts w:hint="eastAsia" w:ascii="Times New Roman" w:hAnsi="Times New Roman" w:cs="Times New Roman"/>
          <w:kern w:val="0"/>
          <w:sz w:val="24"/>
          <w:szCs w:val="24"/>
          <w:highlight w:val="none"/>
          <w:lang w:val="en-US" w:eastAsia="zh-CN"/>
        </w:rPr>
        <w:t>第2.2.4（2）目规定的评审因素和分值对</w:t>
      </w:r>
      <w:permStart w:id="104"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技术部分</w:t>
      </w:r>
      <w:permEnd w:id="104"/>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3</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第2.2.4（3）目规定的评审因素和分值对</w:t>
      </w:r>
      <w:permStart w:id="105"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投标报价</w:t>
      </w:r>
      <w:permEnd w:id="105"/>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计算出得分C；</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4</w:t>
      </w:r>
      <w:r>
        <w:rPr>
          <w:rFonts w:hint="default" w:ascii="Times New Roman" w:hAnsi="Times New Roman" w:cs="Times New Roman"/>
          <w:color w:val="000000" w:themeColor="text1"/>
          <w:kern w:val="0"/>
          <w:sz w:val="24"/>
          <w:szCs w:val="24"/>
          <w:highlight w:val="none"/>
          <w:lang w:val="en-US" w:eastAsia="zh-CN"/>
          <w14:textFill>
            <w14:solidFill>
              <w14:schemeClr w14:val="tx1"/>
            </w14:solidFill>
          </w14:textFill>
        </w:rPr>
        <w:t>）按本章</w:t>
      </w:r>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第2.2.4（4）目规定的评审因素和分值对</w:t>
      </w:r>
      <w:permStart w:id="106" w:edGrp="everyone"/>
      <w:r>
        <w:rPr>
          <w:rFonts w:hint="eastAsia" w:ascii="Times New Roman" w:hAnsi="Times New Roman" w:cs="Times New Roman"/>
          <w:color w:val="000000" w:themeColor="text1"/>
          <w:kern w:val="0"/>
          <w:sz w:val="24"/>
          <w:szCs w:val="24"/>
          <w:highlight w:val="none"/>
          <w:lang w:val="en-US" w:eastAsia="zh-CN"/>
          <w14:textFill>
            <w14:solidFill>
              <w14:schemeClr w14:val="tx1"/>
            </w14:solidFill>
          </w14:textFill>
        </w:rPr>
        <w:t>其他部分</w:t>
      </w:r>
      <w:permEnd w:id="106"/>
      <w:r>
        <w:rPr>
          <w:rFonts w:hint="eastAsia" w:ascii="Times New Roman" w:hAnsi="Times New Roman" w:cs="Times New Roman"/>
          <w:kern w:val="0"/>
          <w:sz w:val="24"/>
          <w:szCs w:val="24"/>
          <w:highlight w:val="none"/>
          <w:lang w:val="en-US" w:eastAsia="zh-CN"/>
        </w:rPr>
        <w:t>计算出得分D。</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3.2.2 评分分值计算保留小数点后两位，小数点后第三位</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四舍五入</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w:t>
      </w:r>
      <w:r>
        <w:rPr>
          <w:rFonts w:hint="eastAsia" w:ascii="Times New Roman" w:hAnsi="Times New Roman" w:cs="Times New Roman"/>
          <w:kern w:val="0"/>
          <w:sz w:val="24"/>
          <w:szCs w:val="24"/>
          <w:highlight w:val="none"/>
          <w:lang w:val="en-US" w:eastAsia="zh-CN"/>
        </w:rPr>
        <w:t>或者在设有标底时明显低于标底，使得其投标报价可能低于其个别成本的，应当要求投标人作出书面说明并提供相应的证明材料。投标人</w:t>
      </w:r>
      <w:r>
        <w:rPr>
          <w:rFonts w:hint="default" w:ascii="Times New Roman" w:hAnsi="Times New Roman" w:cs="Times New Roman" w:eastAsiaTheme="minorEastAsia"/>
          <w:kern w:val="0"/>
          <w:sz w:val="24"/>
          <w:szCs w:val="24"/>
          <w:highlight w:val="none"/>
        </w:rPr>
        <w:t>不能合理说明或者不能提供相应证明材料的，评标委员会应当认定该投标人以低于成本报价竞标，否决其投标。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w:t>
      </w:r>
      <w:bookmarkEnd w:id="412"/>
      <w:r>
        <w:rPr>
          <w:rFonts w:hint="default" w:ascii="Times New Roman" w:hAnsi="Times New Roman" w:cs="Times New Roman" w:eastAsiaTheme="minorEastAsia"/>
          <w:b/>
          <w:bCs/>
          <w:kern w:val="0"/>
          <w:sz w:val="28"/>
          <w:szCs w:val="28"/>
          <w:highlight w:val="none"/>
        </w:rPr>
        <w:t>和补正</w:t>
      </w:r>
      <w:bookmarkEnd w:id="413"/>
      <w:bookmarkEnd w:id="414"/>
      <w:bookmarkEnd w:id="415"/>
      <w:bookmarkEnd w:id="416"/>
      <w:bookmarkEnd w:id="417"/>
      <w:bookmarkEnd w:id="418"/>
      <w:bookmarkEnd w:id="41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所提交投标文件中不明确的内容进行书面澄清或说明，或者对细微偏差进行补正。评标委员会不接受投标人主动提出的澄清、说明或补正。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（一）房屋建筑（装饰装修）、水利、交通工程项目：所有有效投标报价低于招标控制价的95%；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（二）市政公用工程、市政道路工程、相关配套工程、土地整理工程、农业综合开发工程项目：所有有效投标报价低于招标控制价的 90%；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（三）绿化工程项目：所有有效投标报价低于招标控制价的 85%。</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（四）其他项目：所有有效投标报价低于招标控制价，且竞标人报价没有明显高于市场价或采购人预期。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3.4.2 投标截止时间前递交投标文件的投标人数量少于三个或者所有投标被否决的，招标人应当依法重新招标。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6"/>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7" w:edGrp="everyone"/>
            <w:r>
              <w:rPr>
                <w:rFonts w:hint="eastAsia" w:ascii="Times New Roman" w:hAnsi="Times New Roman" w:cs="Times New Roman"/>
                <w:kern w:val="0"/>
                <w:sz w:val="24"/>
                <w:szCs w:val="24"/>
                <w:highlight w:val="none"/>
                <w:shd w:val="clear" w:color="auto" w:fill="auto"/>
                <w:vertAlign w:val="baseline"/>
                <w:lang w:val="en-US" w:eastAsia="zh-CN"/>
              </w:rPr>
              <w:t>亳州市公共交通集团有限公司</w:t>
            </w:r>
            <w:permEnd w:id="107"/>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i/>
                <w:iCs/>
                <w:color w:val="0070C0"/>
                <w:kern w:val="0"/>
                <w:sz w:val="24"/>
                <w:szCs w:val="24"/>
                <w:highlight w:val="none"/>
                <w:u w:val="single"/>
                <w:shd w:val="clear" w:color="auto" w:fill="auto"/>
                <w:vertAlign w:val="baseline"/>
                <w:lang w:val="en-US" w:eastAsia="zh-CN"/>
              </w:rPr>
            </w:pPr>
            <w:permStart w:id="108" w:edGrp="everyone"/>
            <w:r>
              <w:rPr>
                <w:rFonts w:hint="eastAsia" w:ascii="Times New Roman" w:hAnsi="Times New Roman" w:cs="Times New Roman"/>
                <w:i w:val="0"/>
                <w:iCs w:val="0"/>
                <w:color w:val="FF0000"/>
                <w:kern w:val="0"/>
                <w:sz w:val="24"/>
                <w:szCs w:val="24"/>
                <w:highlight w:val="none"/>
                <w:u w:val="single"/>
                <w:shd w:val="clear" w:color="auto" w:fill="auto"/>
                <w:vertAlign w:val="baseline"/>
                <w:lang w:val="en-US" w:eastAsia="zh-CN"/>
              </w:rPr>
              <w:t>符合亳州市公共交通集团有限公司仓库零库存管理要求，每月对账一次，按季度结算费用，供货清单不作为报账凭证，以招标方实际使用配件数量进行结算，下一季度初20日前结算上一季度费用。</w:t>
            </w:r>
            <w:permEnd w:id="108"/>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09" w:edGrp="everyone"/>
            <w:r>
              <w:rPr>
                <w:rFonts w:hint="eastAsia" w:ascii="Times New Roman" w:hAnsi="Times New Roman" w:cs="Times New Roman"/>
                <w:kern w:val="0"/>
                <w:sz w:val="24"/>
                <w:szCs w:val="24"/>
                <w:highlight w:val="none"/>
                <w:shd w:val="clear" w:color="auto" w:fill="auto"/>
                <w:vertAlign w:val="baseline"/>
                <w:lang w:val="en-US" w:eastAsia="zh-CN"/>
              </w:rPr>
              <w:t>详见第五章供货要求。</w:t>
            </w:r>
            <w:permEnd w:id="109"/>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其他</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110" w:edGrp="everyone"/>
            <w:r>
              <w:rPr>
                <w:rFonts w:hint="eastAsia" w:ascii="Times New Roman" w:hAnsi="Times New Roman" w:cs="Times New Roman"/>
                <w:kern w:val="0"/>
                <w:sz w:val="24"/>
                <w:szCs w:val="24"/>
                <w:highlight w:val="none"/>
                <w:shd w:val="clear" w:color="auto" w:fill="auto"/>
                <w:vertAlign w:val="baseline"/>
                <w:lang w:val="en-US" w:eastAsia="zh-CN"/>
              </w:rPr>
              <w:t xml:space="preserve"> / </w:t>
            </w:r>
            <w:permEnd w:id="110"/>
          </w:p>
        </w:tc>
      </w:tr>
    </w:tbl>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p>
    <w:p>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bookmarkEnd w:id="364"/>
      <w:bookmarkEnd w:id="365"/>
      <w:bookmarkEnd w:id="366"/>
      <w:bookmarkEnd w:id="367"/>
      <w:bookmarkEnd w:id="368"/>
      <w:bookmarkEnd w:id="369"/>
      <w:bookmarkEnd w:id="370"/>
      <w:bookmarkEnd w:id="371"/>
      <w:r>
        <w:rPr>
          <w:rFonts w:hint="eastAsia" w:asciiTheme="majorEastAsia" w:hAnsiTheme="majorEastAsia" w:eastAsiaTheme="majorEastAsia" w:cstheme="majorEastAsia"/>
          <w:b/>
          <w:bCs/>
          <w:sz w:val="32"/>
          <w:szCs w:val="32"/>
          <w:highlight w:val="none"/>
          <w:lang w:val="en-US" w:eastAsia="zh-CN"/>
        </w:rPr>
        <w:t>供货要求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permStart w:id="111" w:edGrp="everyone"/>
      <w:r>
        <w:rPr>
          <w:rFonts w:hint="eastAsia" w:ascii="Times New Roman" w:hAnsi="Times New Roman" w:cs="Times New Roman"/>
          <w:b/>
          <w:bCs/>
          <w:kern w:val="0"/>
          <w:sz w:val="28"/>
          <w:szCs w:val="28"/>
          <w:highlight w:val="none"/>
          <w:lang w:val="en-US" w:eastAsia="zh-CN"/>
        </w:rPr>
        <w:t>一、项目概况及总体要求</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1.</w:t>
      </w:r>
      <w:r>
        <w:rPr>
          <w:rFonts w:hint="default" w:ascii="Times New Roman" w:hAnsi="Times New Roman" w:cs="Times New Roman"/>
          <w:sz w:val="32"/>
          <w:szCs w:val="32"/>
          <w:lang w:val="en-US" w:eastAsia="zh-CN"/>
        </w:rPr>
        <w:t>质保期内</w:t>
      </w:r>
      <w:r>
        <w:rPr>
          <w:rFonts w:hint="eastAsia" w:ascii="Times New Roman" w:hAnsi="Times New Roman" w:cs="Times New Roman"/>
          <w:sz w:val="32"/>
          <w:szCs w:val="32"/>
          <w:lang w:val="en-US" w:eastAsia="zh-CN"/>
        </w:rPr>
        <w:t>供货轮胎</w:t>
      </w:r>
      <w:r>
        <w:rPr>
          <w:rFonts w:hint="default" w:ascii="Times New Roman" w:hAnsi="Times New Roman" w:cs="Times New Roman"/>
          <w:sz w:val="32"/>
          <w:szCs w:val="32"/>
          <w:lang w:val="en-US" w:eastAsia="zh-CN"/>
        </w:rPr>
        <w:t>发生质量问题时</w:t>
      </w:r>
      <w:r>
        <w:rPr>
          <w:rFonts w:hint="eastAsia" w:ascii="Times New Roman" w:hAnsi="Times New Roman" w:cs="Times New Roman"/>
          <w:sz w:val="32"/>
          <w:szCs w:val="32"/>
          <w:lang w:val="en-US" w:eastAsia="zh-CN"/>
        </w:rPr>
        <w:t>，供应商</w:t>
      </w:r>
      <w:r>
        <w:rPr>
          <w:rFonts w:hint="default" w:ascii="Times New Roman" w:hAnsi="Times New Roman" w:cs="Times New Roman"/>
          <w:sz w:val="32"/>
          <w:szCs w:val="32"/>
          <w:lang w:val="en-US" w:eastAsia="zh-CN"/>
        </w:rPr>
        <w:t>应及时更换并承担相应的费用。</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2.</w:t>
      </w:r>
      <w:r>
        <w:rPr>
          <w:rFonts w:hint="default" w:ascii="Times New Roman" w:hAnsi="Times New Roman" w:cs="Times New Roman"/>
          <w:sz w:val="32"/>
          <w:szCs w:val="32"/>
          <w:lang w:val="en-US" w:eastAsia="zh-CN"/>
        </w:rPr>
        <w:t>所供</w:t>
      </w:r>
      <w:r>
        <w:rPr>
          <w:rFonts w:hint="eastAsia" w:ascii="Times New Roman" w:hAnsi="Times New Roman" w:cs="Times New Roman"/>
          <w:sz w:val="32"/>
          <w:szCs w:val="32"/>
          <w:lang w:val="en-US" w:eastAsia="zh-CN"/>
        </w:rPr>
        <w:t>轮胎</w:t>
      </w:r>
      <w:r>
        <w:rPr>
          <w:rFonts w:hint="default" w:ascii="Times New Roman" w:hAnsi="Times New Roman" w:cs="Times New Roman"/>
          <w:sz w:val="32"/>
          <w:szCs w:val="32"/>
          <w:lang w:val="en-US" w:eastAsia="zh-CN"/>
        </w:rPr>
        <w:t>不合格，造成财产损失或交通事故由供货方承担全部责任。</w:t>
      </w:r>
    </w:p>
    <w:p>
      <w:pPr>
        <w:keepNext w:val="0"/>
        <w:keepLines w:val="0"/>
        <w:pageBreakBefore w:val="0"/>
        <w:widowControl w:val="0"/>
        <w:kinsoku/>
        <w:wordWrap/>
        <w:overflowPunct/>
        <w:topLinePunct w:val="0"/>
        <w:autoSpaceDE/>
        <w:autoSpaceDN/>
        <w:bidi w:val="0"/>
        <w:adjustRightInd/>
        <w:snapToGrid/>
        <w:spacing w:line="520" w:lineRule="exact"/>
        <w:jc w:val="center"/>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表：技术参数要求</w:t>
      </w:r>
    </w:p>
    <w:tbl>
      <w:tblPr>
        <w:tblStyle w:val="15"/>
        <w:tblW w:w="8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337"/>
        <w:gridCol w:w="1355"/>
        <w:gridCol w:w="1532"/>
        <w:gridCol w:w="1387"/>
        <w:gridCol w:w="17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轮胎型号</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层级(PR)</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负荷指数</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速度级别</w:t>
            </w:r>
          </w:p>
        </w:tc>
        <w:tc>
          <w:tcPr>
            <w:tcW w:w="17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花纹深度(MM)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825R20-16</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139/137</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245/70R19.5-18</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≥18</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141/140</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≥15.5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233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215/75R17.5-16</w:t>
            </w:r>
          </w:p>
        </w:tc>
        <w:tc>
          <w:tcPr>
            <w:tcW w:w="135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≥16</w:t>
            </w:r>
          </w:p>
        </w:tc>
        <w:tc>
          <w:tcPr>
            <w:tcW w:w="1532"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127/124</w:t>
            </w:r>
          </w:p>
        </w:tc>
        <w:tc>
          <w:tcPr>
            <w:tcW w:w="1387"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≥J</w:t>
            </w:r>
          </w:p>
        </w:tc>
        <w:tc>
          <w:tcPr>
            <w:tcW w:w="1714"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≥13.5</w:t>
            </w:r>
          </w:p>
        </w:tc>
      </w:tr>
    </w:tbl>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b/>
          <w:bCs/>
          <w:sz w:val="32"/>
          <w:szCs w:val="32"/>
          <w:lang w:val="en-US" w:eastAsia="zh-CN"/>
        </w:rPr>
      </w:pPr>
      <w:r>
        <w:rPr>
          <w:rFonts w:hint="eastAsia" w:ascii="Times New Roman" w:hAnsi="Times New Roman" w:cs="Times New Roman"/>
          <w:sz w:val="32"/>
          <w:szCs w:val="32"/>
          <w:lang w:val="en-US" w:eastAsia="zh-CN"/>
        </w:rPr>
        <w:t>3</w:t>
      </w:r>
      <w:r>
        <w:rPr>
          <w:rFonts w:hint="default" w:ascii="Times New Roman" w:hAnsi="Times New Roman" w:cs="Times New Roman"/>
          <w:sz w:val="32"/>
          <w:szCs w:val="32"/>
          <w:lang w:val="en-US" w:eastAsia="zh-CN"/>
        </w:rPr>
        <w:t>.轮胎质保里程按照投标</w:t>
      </w:r>
      <w:r>
        <w:rPr>
          <w:rFonts w:hint="eastAsia" w:ascii="Times New Roman" w:hAnsi="Times New Roman" w:cs="Times New Roman"/>
          <w:sz w:val="32"/>
          <w:szCs w:val="32"/>
          <w:lang w:val="en-US" w:eastAsia="zh-CN"/>
        </w:rPr>
        <w:t>人投标文件承诺</w:t>
      </w:r>
      <w:r>
        <w:rPr>
          <w:rFonts w:hint="default" w:ascii="Times New Roman" w:hAnsi="Times New Roman" w:cs="Times New Roman"/>
          <w:sz w:val="32"/>
          <w:szCs w:val="32"/>
          <w:lang w:val="en-US" w:eastAsia="zh-CN"/>
        </w:rPr>
        <w:t>的质保里程执行，</w:t>
      </w:r>
      <w:r>
        <w:rPr>
          <w:rFonts w:hint="eastAsia" w:ascii="Times New Roman" w:hAnsi="Times New Roman" w:cs="Times New Roman"/>
          <w:b/>
          <w:bCs/>
          <w:color w:val="FF0000"/>
          <w:sz w:val="32"/>
          <w:szCs w:val="32"/>
          <w:lang w:val="en-US" w:eastAsia="zh-CN"/>
        </w:rPr>
        <w:t>投标人</w:t>
      </w:r>
      <w:r>
        <w:rPr>
          <w:rFonts w:hint="default" w:ascii="Times New Roman" w:hAnsi="Times New Roman" w:cs="Times New Roman"/>
          <w:b/>
          <w:bCs/>
          <w:color w:val="FF0000"/>
          <w:sz w:val="32"/>
          <w:szCs w:val="32"/>
          <w:lang w:val="en-US" w:eastAsia="zh-CN"/>
        </w:rPr>
        <w:t>需出具轮胎生产厂家提供的质保承诺</w:t>
      </w:r>
      <w:r>
        <w:rPr>
          <w:rFonts w:hint="eastAsia" w:ascii="Times New Roman" w:hAnsi="Times New Roman" w:cs="Times New Roman"/>
          <w:b/>
          <w:bCs/>
          <w:color w:val="FF0000"/>
          <w:sz w:val="32"/>
          <w:szCs w:val="32"/>
          <w:lang w:val="en-US" w:eastAsia="zh-CN"/>
        </w:rPr>
        <w:t>，装订入投标文件中。</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4</w:t>
      </w:r>
      <w:r>
        <w:rPr>
          <w:rFonts w:hint="default" w:ascii="Times New Roman" w:hAnsi="Times New Roman" w:cs="Times New Roman"/>
          <w:sz w:val="32"/>
          <w:szCs w:val="32"/>
          <w:lang w:val="en-US" w:eastAsia="zh-CN"/>
        </w:rPr>
        <w:t>.中标方派人配合</w:t>
      </w:r>
      <w:r>
        <w:rPr>
          <w:rFonts w:hint="eastAsia" w:ascii="Times New Roman" w:hAnsi="Times New Roman" w:cs="Times New Roman"/>
          <w:sz w:val="32"/>
          <w:szCs w:val="32"/>
          <w:lang w:val="en-US" w:eastAsia="zh-CN"/>
        </w:rPr>
        <w:t>招标人</w:t>
      </w:r>
      <w:r>
        <w:rPr>
          <w:rFonts w:hint="default" w:ascii="Times New Roman" w:hAnsi="Times New Roman" w:cs="Times New Roman"/>
          <w:sz w:val="32"/>
          <w:szCs w:val="32"/>
          <w:lang w:val="en-US" w:eastAsia="zh-CN"/>
        </w:rPr>
        <w:t>对轮胎使用里程进行登记，未派人配合的以</w:t>
      </w:r>
      <w:r>
        <w:rPr>
          <w:rFonts w:hint="eastAsia" w:ascii="Times New Roman" w:hAnsi="Times New Roman" w:cs="Times New Roman"/>
          <w:sz w:val="32"/>
          <w:szCs w:val="32"/>
          <w:lang w:val="en-US" w:eastAsia="zh-CN"/>
        </w:rPr>
        <w:t>招标人</w:t>
      </w:r>
      <w:r>
        <w:rPr>
          <w:rFonts w:hint="default" w:ascii="Times New Roman" w:hAnsi="Times New Roman" w:cs="Times New Roman"/>
          <w:sz w:val="32"/>
          <w:szCs w:val="32"/>
          <w:lang w:val="en-US" w:eastAsia="zh-CN"/>
        </w:rPr>
        <w:t>对轮胎使用里程登记为准。</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5</w:t>
      </w:r>
      <w:r>
        <w:rPr>
          <w:rFonts w:hint="default" w:ascii="Times New Roman" w:hAnsi="Times New Roman" w:cs="Times New Roman"/>
          <w:sz w:val="32"/>
          <w:szCs w:val="32"/>
          <w:lang w:val="en-US" w:eastAsia="zh-CN"/>
        </w:rPr>
        <w:t>.对于轮胎质量异常情况发生率超过5%或者</w:t>
      </w:r>
      <w:r>
        <w:rPr>
          <w:rFonts w:hint="eastAsia" w:ascii="Times New Roman" w:hAnsi="Times New Roman" w:cs="Times New Roman"/>
          <w:sz w:val="32"/>
          <w:szCs w:val="32"/>
          <w:lang w:val="en-US" w:eastAsia="zh-CN"/>
        </w:rPr>
        <w:t>因质量问题在合同期限内</w:t>
      </w:r>
      <w:r>
        <w:rPr>
          <w:rFonts w:hint="default" w:ascii="Times New Roman" w:hAnsi="Times New Roman" w:cs="Times New Roman"/>
          <w:sz w:val="32"/>
          <w:szCs w:val="32"/>
          <w:lang w:val="en-US" w:eastAsia="zh-CN"/>
        </w:rPr>
        <w:t>造成其他损失达2000元及以上的，</w:t>
      </w:r>
      <w:r>
        <w:rPr>
          <w:rFonts w:hint="eastAsia" w:ascii="Times New Roman" w:hAnsi="Times New Roman" w:cs="Times New Roman"/>
          <w:sz w:val="32"/>
          <w:szCs w:val="32"/>
          <w:lang w:val="en-US" w:eastAsia="zh-CN"/>
        </w:rPr>
        <w:t>招标人</w:t>
      </w:r>
      <w:r>
        <w:rPr>
          <w:rFonts w:hint="default" w:ascii="Times New Roman" w:hAnsi="Times New Roman" w:cs="Times New Roman"/>
          <w:sz w:val="32"/>
          <w:szCs w:val="32"/>
          <w:lang w:val="en-US" w:eastAsia="zh-CN"/>
        </w:rPr>
        <w:t>有权对中标</w:t>
      </w:r>
      <w:r>
        <w:rPr>
          <w:rFonts w:hint="eastAsia" w:ascii="Times New Roman" w:hAnsi="Times New Roman" w:cs="Times New Roman"/>
          <w:sz w:val="32"/>
          <w:szCs w:val="32"/>
          <w:lang w:val="en-US" w:eastAsia="zh-CN"/>
        </w:rPr>
        <w:t>人</w:t>
      </w:r>
      <w:r>
        <w:rPr>
          <w:rFonts w:hint="default" w:ascii="Times New Roman" w:hAnsi="Times New Roman" w:cs="Times New Roman"/>
          <w:sz w:val="32"/>
          <w:szCs w:val="32"/>
          <w:lang w:val="en-US" w:eastAsia="zh-CN"/>
        </w:rPr>
        <w:t>按照</w:t>
      </w:r>
      <w:r>
        <w:rPr>
          <w:rFonts w:hint="eastAsia" w:ascii="Times New Roman" w:hAnsi="Times New Roman" w:cs="Times New Roman"/>
          <w:sz w:val="32"/>
          <w:szCs w:val="32"/>
          <w:lang w:val="en-US" w:eastAsia="zh-CN"/>
        </w:rPr>
        <w:t>经济</w:t>
      </w:r>
      <w:r>
        <w:rPr>
          <w:rFonts w:hint="default" w:ascii="Times New Roman" w:hAnsi="Times New Roman" w:cs="Times New Roman"/>
          <w:sz w:val="32"/>
          <w:szCs w:val="32"/>
          <w:lang w:val="en-US" w:eastAsia="zh-CN"/>
        </w:rPr>
        <w:t>损失的总额进行处罚，保留解除合同权利。</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b/>
          <w:bCs/>
          <w:color w:val="FF0000"/>
          <w:sz w:val="32"/>
          <w:szCs w:val="32"/>
          <w:lang w:val="en-US" w:eastAsia="zh-CN"/>
        </w:rPr>
      </w:pPr>
      <w:r>
        <w:rPr>
          <w:rFonts w:hint="eastAsia" w:ascii="Times New Roman" w:hAnsi="Times New Roman" w:cs="Times New Roman"/>
          <w:sz w:val="32"/>
          <w:szCs w:val="32"/>
          <w:lang w:val="en-US" w:eastAsia="zh-CN"/>
        </w:rPr>
        <w:t>6</w:t>
      </w:r>
      <w:r>
        <w:rPr>
          <w:rFonts w:hint="default" w:ascii="Times New Roman" w:hAnsi="Times New Roman" w:cs="Times New Roman"/>
          <w:sz w:val="32"/>
          <w:szCs w:val="32"/>
          <w:lang w:val="en-US" w:eastAsia="zh-CN"/>
        </w:rPr>
        <w:t>.</w:t>
      </w:r>
      <w:r>
        <w:rPr>
          <w:rFonts w:hint="eastAsia" w:ascii="Times New Roman" w:hAnsi="Times New Roman" w:cs="Times New Roman"/>
          <w:sz w:val="32"/>
          <w:szCs w:val="32"/>
          <w:lang w:val="en-US" w:eastAsia="zh-CN"/>
        </w:rPr>
        <w:t>中标人在中标后签订合同前向招标人</w:t>
      </w:r>
      <w:r>
        <w:rPr>
          <w:rFonts w:hint="default" w:ascii="Times New Roman" w:hAnsi="Times New Roman" w:cs="Times New Roman"/>
          <w:sz w:val="32"/>
          <w:szCs w:val="32"/>
          <w:lang w:val="en-US" w:eastAsia="zh-CN"/>
        </w:rPr>
        <w:t>提供</w:t>
      </w:r>
      <w:r>
        <w:rPr>
          <w:rFonts w:hint="eastAsia" w:ascii="Times New Roman" w:hAnsi="Times New Roman" w:cs="Times New Roman"/>
          <w:sz w:val="32"/>
          <w:szCs w:val="32"/>
          <w:lang w:val="en-US" w:eastAsia="zh-CN"/>
        </w:rPr>
        <w:t>：</w:t>
      </w:r>
      <w:r>
        <w:rPr>
          <w:rFonts w:hint="default" w:ascii="Times New Roman" w:hAnsi="Times New Roman" w:cs="Times New Roman"/>
          <w:b/>
          <w:bCs/>
          <w:color w:val="FF0000"/>
          <w:sz w:val="32"/>
          <w:szCs w:val="32"/>
          <w:lang w:val="en-US" w:eastAsia="zh-CN"/>
        </w:rPr>
        <w:t>耐久性试验与外缘尺寸检验报告、外观质量检验合格报告、强度试验合格报告</w:t>
      </w:r>
      <w:r>
        <w:rPr>
          <w:rFonts w:hint="eastAsia" w:ascii="Times New Roman" w:hAnsi="Times New Roman" w:cs="Times New Roman"/>
          <w:b/>
          <w:bCs/>
          <w:color w:val="FF0000"/>
          <w:sz w:val="32"/>
          <w:szCs w:val="32"/>
          <w:lang w:val="en-US" w:eastAsia="zh-CN"/>
        </w:rPr>
        <w:t>。以上报告，</w:t>
      </w:r>
      <w:r>
        <w:rPr>
          <w:rFonts w:hint="default" w:ascii="Times New Roman" w:hAnsi="Times New Roman" w:cs="Times New Roman"/>
          <w:b/>
          <w:bCs/>
          <w:color w:val="FF0000"/>
          <w:sz w:val="32"/>
          <w:szCs w:val="32"/>
          <w:lang w:val="en-US" w:eastAsia="zh-CN"/>
        </w:rPr>
        <w:t>中标品牌每个</w:t>
      </w:r>
      <w:r>
        <w:rPr>
          <w:rFonts w:hint="eastAsia" w:ascii="Times New Roman" w:hAnsi="Times New Roman" w:cs="Times New Roman"/>
          <w:b/>
          <w:bCs/>
          <w:color w:val="FF0000"/>
          <w:sz w:val="32"/>
          <w:szCs w:val="32"/>
          <w:lang w:val="en-US" w:eastAsia="zh-CN"/>
        </w:rPr>
        <w:t>规格轮胎报告各</w:t>
      </w:r>
      <w:r>
        <w:rPr>
          <w:rFonts w:hint="default" w:ascii="Times New Roman" w:hAnsi="Times New Roman" w:cs="Times New Roman"/>
          <w:b/>
          <w:bCs/>
          <w:color w:val="FF0000"/>
          <w:sz w:val="32"/>
          <w:szCs w:val="32"/>
          <w:lang w:val="en-US" w:eastAsia="zh-CN"/>
        </w:rPr>
        <w:t>一</w:t>
      </w:r>
      <w:r>
        <w:rPr>
          <w:rFonts w:hint="eastAsia" w:ascii="Times New Roman" w:hAnsi="Times New Roman" w:cs="Times New Roman"/>
          <w:b/>
          <w:bCs/>
          <w:color w:val="FF0000"/>
          <w:sz w:val="32"/>
          <w:szCs w:val="32"/>
          <w:lang w:val="en-US" w:eastAsia="zh-CN"/>
        </w:rPr>
        <w:t>套。如无法提供，中标无效。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eastAsia" w:ascii="Times New Roman" w:hAnsi="Times New Roman" w:cs="Times New Roman"/>
          <w:sz w:val="32"/>
          <w:szCs w:val="32"/>
          <w:lang w:val="en-US" w:eastAsia="zh-CN"/>
        </w:rPr>
        <w:t>7</w:t>
      </w:r>
      <w:r>
        <w:rPr>
          <w:rFonts w:hint="default" w:ascii="Times New Roman" w:hAnsi="Times New Roman" w:cs="Times New Roman"/>
          <w:sz w:val="32"/>
          <w:szCs w:val="32"/>
          <w:lang w:val="en-US" w:eastAsia="zh-CN"/>
        </w:rPr>
        <w:t>.投标人承诺从轮胎售出之日起三个月内，因下列</w:t>
      </w:r>
      <w:r>
        <w:rPr>
          <w:rFonts w:hint="eastAsia" w:ascii="Times New Roman" w:hAnsi="Times New Roman" w:cs="Times New Roman"/>
          <w:sz w:val="32"/>
          <w:szCs w:val="32"/>
          <w:lang w:val="en-US" w:eastAsia="zh-CN"/>
        </w:rPr>
        <w:t>质量</w:t>
      </w:r>
      <w:r>
        <w:rPr>
          <w:rFonts w:hint="default" w:ascii="Times New Roman" w:hAnsi="Times New Roman" w:cs="Times New Roman"/>
          <w:sz w:val="32"/>
          <w:szCs w:val="32"/>
          <w:lang w:val="en-US" w:eastAsia="zh-CN"/>
        </w:rPr>
        <w:t>问题（不危及人身和财产安全且不产生不良影响的情况下）而引起早期损坏的轮胎</w:t>
      </w:r>
      <w:r>
        <w:rPr>
          <w:rFonts w:hint="eastAsia" w:ascii="Times New Roman" w:hAnsi="Times New Roman" w:cs="Times New Roman"/>
          <w:sz w:val="32"/>
          <w:szCs w:val="32"/>
          <w:lang w:val="en-US" w:eastAsia="zh-CN"/>
        </w:rPr>
        <w:t>，招标人</w:t>
      </w:r>
      <w:r>
        <w:rPr>
          <w:rFonts w:hint="default" w:ascii="Times New Roman" w:hAnsi="Times New Roman" w:cs="Times New Roman"/>
          <w:sz w:val="32"/>
          <w:szCs w:val="32"/>
          <w:lang w:val="en-US" w:eastAsia="zh-CN"/>
        </w:rPr>
        <w:t>有权向中标</w:t>
      </w:r>
      <w:r>
        <w:rPr>
          <w:rFonts w:hint="eastAsia" w:ascii="Times New Roman" w:hAnsi="Times New Roman" w:cs="Times New Roman"/>
          <w:sz w:val="32"/>
          <w:szCs w:val="32"/>
          <w:lang w:val="en-US" w:eastAsia="zh-CN"/>
        </w:rPr>
        <w:t>人</w:t>
      </w:r>
      <w:r>
        <w:rPr>
          <w:rFonts w:hint="default" w:ascii="Times New Roman" w:hAnsi="Times New Roman" w:cs="Times New Roman"/>
          <w:sz w:val="32"/>
          <w:szCs w:val="32"/>
          <w:lang w:val="en-US" w:eastAsia="zh-CN"/>
        </w:rPr>
        <w:t>要求按实际条数</w:t>
      </w:r>
      <w:r>
        <w:rPr>
          <w:rFonts w:hint="eastAsia" w:ascii="Times New Roman" w:hAnsi="Times New Roman" w:cs="Times New Roman"/>
          <w:sz w:val="32"/>
          <w:szCs w:val="32"/>
          <w:lang w:val="en-US" w:eastAsia="zh-CN"/>
        </w:rPr>
        <w:t>进行</w:t>
      </w:r>
      <w:r>
        <w:rPr>
          <w:rFonts w:hint="default" w:ascii="Times New Roman" w:hAnsi="Times New Roman" w:cs="Times New Roman"/>
          <w:sz w:val="32"/>
          <w:szCs w:val="32"/>
          <w:lang w:val="en-US" w:eastAsia="zh-CN"/>
        </w:rPr>
        <w:t xml:space="preserve">理赔，造成更大损失的，采购方有权要求中标方赔偿，并保留解除合同的权利。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（1）因各部件粘合不牢引起的冠空、肩空、肩泡、侧泡、脱接头、脱层。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（2）因轮胎钢丝松散、与橡胶粘合不牢、或两胎圈严重错位引起的胎圈空、胎圈爆。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（3）因帘线层排列松散，充气后引起的兼鼓、侧鼓。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（4）因缺胶引起的胎里线外露。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 xml:space="preserve">（5）因设计、配方、工艺等原因，引起的胎冠露丝、胎面胶起层。 </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sz w:val="32"/>
          <w:szCs w:val="32"/>
          <w:lang w:val="en-US" w:eastAsia="zh-CN"/>
        </w:rPr>
        <w:t>（6）轮胎异常磨损无法达到质保里程的。</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二、设备（材料）需求一览表</w:t>
      </w:r>
    </w:p>
    <w:tbl>
      <w:tblPr>
        <w:tblStyle w:val="15"/>
        <w:tblW w:w="82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75"/>
        <w:gridCol w:w="2193"/>
        <w:gridCol w:w="1609"/>
        <w:gridCol w:w="1309"/>
        <w:gridCol w:w="1500"/>
        <w:gridCol w:w="77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8264" w:type="dxa"/>
            <w:gridSpan w:val="6"/>
            <w:tcBorders>
              <w:top w:val="nil"/>
              <w:left w:val="nil"/>
              <w:bottom w:val="nil"/>
              <w:right w:val="nil"/>
            </w:tcBorders>
            <w:shd w:val="clear" w:color="auto" w:fill="auto"/>
            <w:vAlign w:val="center"/>
          </w:tcPr>
          <w:p>
            <w:pPr>
              <w:keepNext w:val="0"/>
              <w:keepLines w:val="0"/>
              <w:widowControl/>
              <w:suppressLineNumbers w:val="0"/>
              <w:jc w:val="center"/>
              <w:textAlignment w:val="center"/>
              <w:rPr>
                <w:rFonts w:ascii="微软雅黑" w:hAnsi="微软雅黑" w:eastAsia="微软雅黑" w:cs="微软雅黑"/>
                <w:b/>
                <w:bCs/>
                <w:i w:val="0"/>
                <w:iCs w:val="0"/>
                <w:color w:val="000000"/>
                <w:sz w:val="32"/>
                <w:szCs w:val="32"/>
                <w:u w:val="none"/>
              </w:rPr>
            </w:pPr>
            <w:r>
              <w:rPr>
                <w:rFonts w:hint="eastAsia" w:ascii="微软雅黑" w:hAnsi="微软雅黑" w:eastAsia="微软雅黑" w:cs="微软雅黑"/>
                <w:b/>
                <w:bCs/>
                <w:i w:val="0"/>
                <w:iCs w:val="0"/>
                <w:color w:val="000000"/>
                <w:kern w:val="0"/>
                <w:sz w:val="32"/>
                <w:szCs w:val="32"/>
                <w:u w:val="none"/>
                <w:lang w:val="en-US" w:eastAsia="zh-CN" w:bidi="ar"/>
              </w:rPr>
              <w:t>拟采购轮胎清单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序号</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轮胎型号</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最低质保里程（公里）</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预估采购数量（个）</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单价控制价（元）</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b/>
                <w:bCs/>
                <w:i w:val="0"/>
                <w:iCs w:val="0"/>
                <w:color w:val="000000"/>
                <w:sz w:val="22"/>
                <w:szCs w:val="22"/>
                <w:u w:val="none"/>
              </w:rPr>
            </w:pPr>
            <w:r>
              <w:rPr>
                <w:rFonts w:hint="eastAsia" w:ascii="微软雅黑" w:hAnsi="微软雅黑" w:eastAsia="微软雅黑" w:cs="微软雅黑"/>
                <w:b/>
                <w:bCs/>
                <w:i w:val="0"/>
                <w:iCs w:val="0"/>
                <w:color w:val="000000"/>
                <w:kern w:val="0"/>
                <w:sz w:val="22"/>
                <w:szCs w:val="22"/>
                <w:u w:val="none"/>
                <w:lang w:val="en-US" w:eastAsia="zh-CN" w:bidi="ar"/>
              </w:rPr>
              <w:t>数量系数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8.25R20-16</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10万</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80</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1060</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0.13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245/70R19.5-18</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10万</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150</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855</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0" w:hRule="atLeast"/>
        </w:trPr>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215/75R17.5-16</w:t>
            </w:r>
          </w:p>
        </w:tc>
        <w:tc>
          <w:tcPr>
            <w:tcW w:w="16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10万</w:t>
            </w:r>
          </w:p>
        </w:tc>
        <w:tc>
          <w:tcPr>
            <w:tcW w:w="13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385</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微软雅黑" w:hAnsi="微软雅黑" w:eastAsia="微软雅黑" w:cs="微软雅黑"/>
                <w:i w:val="0"/>
                <w:iCs w:val="0"/>
                <w:color w:val="000000"/>
                <w:sz w:val="20"/>
                <w:szCs w:val="20"/>
                <w:u w:val="none"/>
                <w:lang w:val="en-US" w:eastAsia="zh-CN"/>
              </w:rPr>
            </w:pPr>
            <w:r>
              <w:rPr>
                <w:rFonts w:hint="eastAsia" w:ascii="微软雅黑" w:hAnsi="微软雅黑" w:eastAsia="微软雅黑" w:cs="微软雅黑"/>
                <w:i w:val="0"/>
                <w:iCs w:val="0"/>
                <w:color w:val="000000"/>
                <w:sz w:val="20"/>
                <w:szCs w:val="20"/>
                <w:u w:val="none"/>
                <w:lang w:val="en-US" w:eastAsia="zh-CN"/>
              </w:rPr>
              <w:t>755</w:t>
            </w:r>
          </w:p>
        </w:tc>
        <w:tc>
          <w:tcPr>
            <w:tcW w:w="7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iCs w:val="0"/>
                <w:color w:val="000000"/>
                <w:sz w:val="20"/>
                <w:szCs w:val="20"/>
                <w:u w:val="none"/>
              </w:rPr>
            </w:pPr>
            <w:r>
              <w:rPr>
                <w:rFonts w:hint="eastAsia" w:ascii="微软雅黑" w:hAnsi="微软雅黑" w:eastAsia="微软雅黑" w:cs="微软雅黑"/>
                <w:i w:val="0"/>
                <w:iCs w:val="0"/>
                <w:color w:val="000000"/>
                <w:kern w:val="0"/>
                <w:sz w:val="20"/>
                <w:szCs w:val="20"/>
                <w:u w:val="none"/>
                <w:lang w:val="en-US" w:eastAsia="zh-CN" w:bidi="ar"/>
              </w:rPr>
              <w:t>0.63</w:t>
            </w:r>
          </w:p>
        </w:tc>
      </w:tr>
    </w:tbl>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cs="Times New Roman"/>
          <w:sz w:val="32"/>
          <w:szCs w:val="32"/>
          <w:lang w:val="en-US" w:eastAsia="zh-CN"/>
        </w:rPr>
      </w:pPr>
      <w:r>
        <w:rPr>
          <w:rFonts w:hint="default" w:ascii="Times New Roman" w:hAnsi="Times New Roman" w:cs="Times New Roman"/>
          <w:b/>
          <w:bCs/>
          <w:sz w:val="32"/>
          <w:szCs w:val="32"/>
          <w:lang w:val="en-US" w:eastAsia="zh-CN"/>
        </w:rPr>
        <w:t>推荐品牌：</w:t>
      </w:r>
      <w:r>
        <w:rPr>
          <w:rFonts w:hint="default" w:ascii="Times New Roman" w:hAnsi="Times New Roman" w:cs="Times New Roman"/>
          <w:sz w:val="32"/>
          <w:szCs w:val="32"/>
          <w:lang w:val="en-US" w:eastAsia="zh-CN"/>
        </w:rPr>
        <w:t>米其林、普利司通、固特异、佳通、韩泰、玛吉斯、正新</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Times New Roman" w:hAnsi="Times New Roman" w:cs="Times New Roman"/>
          <w:sz w:val="32"/>
          <w:szCs w:val="32"/>
          <w:lang w:val="en-US" w:eastAsia="zh-CN"/>
        </w:rPr>
      </w:pPr>
      <w:r>
        <w:rPr>
          <w:rFonts w:hint="default" w:ascii="Times New Roman" w:hAnsi="Times New Roman" w:cs="Times New Roman"/>
          <w:b/>
          <w:bCs/>
          <w:sz w:val="32"/>
          <w:szCs w:val="32"/>
          <w:lang w:val="en-US" w:eastAsia="zh-CN"/>
        </w:rPr>
        <w:t>备注：</w:t>
      </w:r>
      <w:r>
        <w:rPr>
          <w:rFonts w:hint="default" w:ascii="Times New Roman" w:hAnsi="Times New Roman" w:cs="Times New Roman"/>
          <w:sz w:val="32"/>
          <w:szCs w:val="32"/>
          <w:lang w:val="en-US" w:eastAsia="zh-CN"/>
        </w:rPr>
        <w:t>本次招标轮胎均</w:t>
      </w:r>
      <w:r>
        <w:rPr>
          <w:rFonts w:hint="eastAsia" w:ascii="Times New Roman" w:hAnsi="Times New Roman" w:cs="Times New Roman"/>
          <w:sz w:val="32"/>
          <w:szCs w:val="32"/>
          <w:lang w:val="en-US" w:eastAsia="zh-CN"/>
        </w:rPr>
        <w:t>须</w:t>
      </w:r>
      <w:r>
        <w:rPr>
          <w:rFonts w:hint="default" w:ascii="Times New Roman" w:hAnsi="Times New Roman" w:cs="Times New Roman"/>
          <w:sz w:val="32"/>
          <w:szCs w:val="32"/>
          <w:lang w:val="en-US" w:eastAsia="zh-CN"/>
        </w:rPr>
        <w:t>为原厂</w:t>
      </w:r>
      <w:r>
        <w:rPr>
          <w:rFonts w:hint="eastAsia" w:ascii="Times New Roman" w:hAnsi="Times New Roman" w:cs="Times New Roman"/>
          <w:sz w:val="32"/>
          <w:szCs w:val="32"/>
          <w:lang w:val="en-US" w:eastAsia="zh-CN"/>
        </w:rPr>
        <w:t>全新</w:t>
      </w:r>
      <w:r>
        <w:rPr>
          <w:rFonts w:hint="default" w:ascii="Times New Roman" w:hAnsi="Times New Roman" w:cs="Times New Roman"/>
          <w:sz w:val="32"/>
          <w:szCs w:val="32"/>
          <w:lang w:val="en-US" w:eastAsia="zh-CN"/>
        </w:rPr>
        <w:t>钢丝轮胎</w:t>
      </w:r>
      <w:r>
        <w:rPr>
          <w:rFonts w:hint="eastAsia" w:ascii="Times New Roman" w:hAnsi="Times New Roman" w:cs="Times New Roman"/>
          <w:sz w:val="32"/>
          <w:szCs w:val="32"/>
          <w:lang w:val="en-US" w:eastAsia="zh-CN"/>
        </w:rPr>
        <w:t>。</w:t>
      </w:r>
      <w:r>
        <w:rPr>
          <w:rFonts w:hint="eastAsia" w:ascii="Times New Roman" w:hAnsi="Times New Roman" w:cs="Times New Roman"/>
          <w:b/>
          <w:bCs/>
          <w:color w:val="FF0000"/>
          <w:sz w:val="32"/>
          <w:szCs w:val="32"/>
          <w:lang w:val="en-US" w:eastAsia="zh-CN"/>
        </w:rPr>
        <w:t>每个投标人所投三种型号轮胎须为同一品牌</w:t>
      </w:r>
      <w:r>
        <w:rPr>
          <w:rFonts w:hint="eastAsia" w:ascii="Times New Roman" w:hAnsi="Times New Roman" w:cs="Times New Roman"/>
          <w:color w:val="FF0000"/>
          <w:sz w:val="32"/>
          <w:szCs w:val="32"/>
          <w:lang w:val="en-US" w:eastAsia="zh-CN"/>
        </w:rPr>
        <w:t>，</w:t>
      </w:r>
      <w:r>
        <w:rPr>
          <w:rFonts w:hint="eastAsia" w:ascii="Times New Roman" w:hAnsi="Times New Roman" w:cs="Times New Roman"/>
          <w:sz w:val="32"/>
          <w:szCs w:val="32"/>
          <w:lang w:val="en-US" w:eastAsia="zh-CN"/>
        </w:rPr>
        <w:t>适用于公交特性，245/70R19.5-18及215/75R17.5-16两种无内真空轮胎须具有胎体胎侧磨耗标识，标有公交专用标识。</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default" w:ascii="Times New Roman" w:hAnsi="Times New Roman" w:cs="Times New Roman"/>
          <w:b/>
          <w:bCs/>
          <w:color w:val="auto"/>
          <w:sz w:val="32"/>
          <w:szCs w:val="32"/>
          <w:lang w:val="en-US" w:eastAsia="zh-CN"/>
        </w:rPr>
      </w:pPr>
      <w:r>
        <w:rPr>
          <w:rFonts w:hint="eastAsia" w:ascii="Times New Roman" w:hAnsi="Times New Roman" w:cs="Times New Roman"/>
          <w:b/>
          <w:bCs/>
          <w:color w:val="auto"/>
          <w:sz w:val="32"/>
          <w:szCs w:val="32"/>
          <w:lang w:val="en-US" w:eastAsia="zh-CN"/>
        </w:rPr>
        <w:t>说明：</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1.本章供货要求，是为满足招标人采购需求的最低要求，并未对一切技术参数和要求作出规定，也未充分引述有关规范和标准，投标人应保证提供的投标产品是符合或优于招标文件规定和有关规范、标准的优质产品；</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2.为鼓励不同品牌充分竞争，如某产品的某项技术参数或要求属于个别品牌专有，则该技术参数、要求不具有限制性，投标人可对该技术参数或要求的响应情况进行说明，并经评标委员会审核确认；</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3.本章供货要求，凡涉及参考品牌、推荐品牌（或参考型号、推荐型号）等表述的，均不具有限制性，投标人可自行选择其他品牌（或型号）投标，但投标人应当在投标文件中提供技术证明材料，以证明投标产品的质量、性能、参数等相当于或优于参考品牌、推荐品牌（或参考型号、推荐型号），否则其投标无效；</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cs="Times New Roman"/>
          <w:color w:val="auto"/>
          <w:sz w:val="32"/>
          <w:szCs w:val="32"/>
          <w:lang w:val="en-US" w:eastAsia="zh-CN"/>
        </w:rPr>
      </w:pPr>
      <w:r>
        <w:rPr>
          <w:rFonts w:hint="eastAsia" w:ascii="Times New Roman" w:hAnsi="Times New Roman" w:cs="Times New Roman"/>
          <w:color w:val="auto"/>
          <w:sz w:val="32"/>
          <w:szCs w:val="32"/>
          <w:lang w:val="en-US" w:eastAsia="zh-CN"/>
        </w:rPr>
        <w:t>4.本章供货要求，关键技术参数必须响应或优于响应，否则其投标无效。</w:t>
      </w:r>
    </w:p>
    <w:permEnd w:id="111"/>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p>
    <w:p>
      <w:pPr>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章 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 xml:space="preserve">            </w:t>
      </w:r>
      <w:r>
        <w:rPr>
          <w:rFonts w:hint="eastAsia" w:ascii="Times New Roman" w:hAnsi="Times New Roman" w:eastAsia="黑体" w:cs="Times New Roman"/>
          <w:kern w:val="0"/>
          <w:sz w:val="32"/>
          <w:szCs w:val="32"/>
          <w:highlight w:val="none"/>
          <w:u w:val="none"/>
          <w:shd w:val="clear" w:color="auto" w:fill="auto"/>
          <w:lang w:val="en-US" w:eastAsia="zh-CN"/>
        </w:rPr>
        <w:t>（项目名称）</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pPr>
        <w:pStyle w:val="3"/>
        <w:jc w:val="center"/>
        <w:rPr>
          <w:rFonts w:hint="default" w:ascii="Times New Roman" w:hAnsi="Times New Roman" w:cs="Times New Roman"/>
        </w:rPr>
      </w:pPr>
      <w:bookmarkStart w:id="420" w:name="_Toc152045787"/>
      <w:bookmarkStart w:id="421" w:name="_Toc247527827"/>
      <w:bookmarkStart w:id="422" w:name="_Toc300835209"/>
      <w:bookmarkStart w:id="423" w:name="_Toc152042576"/>
      <w:bookmarkStart w:id="424" w:name="_Toc247514246"/>
      <w:bookmarkStart w:id="425" w:name="_Toc144974856"/>
      <w:r>
        <w:rPr>
          <w:rFonts w:hint="default" w:ascii="Times New Roman" w:hAnsi="Times New Roman" w:cs="Times New Roman"/>
        </w:rPr>
        <w:t>目    录</w:t>
      </w:r>
      <w:bookmarkEnd w:id="420"/>
      <w:bookmarkEnd w:id="421"/>
      <w:bookmarkEnd w:id="422"/>
      <w:bookmarkEnd w:id="423"/>
      <w:bookmarkEnd w:id="424"/>
      <w:bookmarkEnd w:id="425"/>
    </w:p>
    <w:p>
      <w:pPr>
        <w:spacing w:line="540" w:lineRule="exact"/>
        <w:rPr>
          <w:rFonts w:hint="default" w:ascii="Times New Roman" w:hAnsi="Times New Roman" w:cs="Times New Roman"/>
        </w:rPr>
      </w:pPr>
    </w:p>
    <w:p>
      <w:pPr>
        <w:spacing w:line="540" w:lineRule="exact"/>
        <w:rPr>
          <w:rFonts w:hint="default" w:ascii="Times New Roman" w:hAnsi="Times New Roman" w:cs="Times New Roman"/>
          <w:highlight w:val="none"/>
        </w:rPr>
      </w:pPr>
      <w:r>
        <w:rPr>
          <w:rFonts w:hint="default" w:ascii="Times New Roman" w:hAnsi="Times New Roman" w:cs="Times New Roman"/>
          <w:highlight w:val="none"/>
        </w:rPr>
        <w:t>一、投标函</w:t>
      </w:r>
    </w:p>
    <w:p>
      <w:pPr>
        <w:spacing w:line="540" w:lineRule="exact"/>
        <w:rPr>
          <w:rFonts w:hint="default" w:ascii="Times New Roman" w:hAnsi="Times New Roman" w:cs="Times New Roman" w:eastAsiaTheme="minorEastAsia"/>
          <w:highlight w:val="none"/>
          <w:lang w:val="en-US" w:eastAsia="zh-CN"/>
        </w:rPr>
      </w:pPr>
      <w:r>
        <w:rPr>
          <w:rFonts w:hint="default" w:ascii="Times New Roman" w:hAnsi="Times New Roman" w:cs="Times New Roman"/>
          <w:highlight w:val="none"/>
        </w:rPr>
        <w:t>二、法定代表人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单位负责人</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身份证明（适用于无委托代理人的情况）</w:t>
      </w:r>
    </w:p>
    <w:p>
      <w:pPr>
        <w:spacing w:line="540" w:lineRule="exact"/>
        <w:rPr>
          <w:rFonts w:hint="eastAsia" w:ascii="Times New Roman" w:hAnsi="Times New Roman" w:cs="Times New Roman"/>
          <w:highlight w:val="none"/>
          <w:lang w:eastAsia="zh-CN"/>
        </w:rPr>
      </w:pPr>
      <w:r>
        <w:rPr>
          <w:rFonts w:hint="eastAsia" w:ascii="Times New Roman" w:hAnsi="Times New Roman" w:cs="Times New Roman"/>
          <w:highlight w:val="none"/>
          <w:lang w:val="en-US" w:eastAsia="zh-CN"/>
        </w:rPr>
        <w:t>二、</w:t>
      </w:r>
      <w:r>
        <w:rPr>
          <w:rFonts w:hint="default" w:ascii="Times New Roman" w:hAnsi="Times New Roman" w:cs="Times New Roman"/>
          <w:highlight w:val="none"/>
        </w:rPr>
        <w:t>授权委托书</w:t>
      </w:r>
      <w:r>
        <w:rPr>
          <w:rFonts w:hint="eastAsia" w:ascii="Times New Roman" w:hAnsi="Times New Roman" w:cs="Times New Roman"/>
          <w:highlight w:val="none"/>
          <w:lang w:eastAsia="zh-CN"/>
        </w:rPr>
        <w:t>（</w:t>
      </w:r>
      <w:r>
        <w:rPr>
          <w:rFonts w:hint="eastAsia" w:ascii="Times New Roman" w:hAnsi="Times New Roman" w:cs="Times New Roman"/>
          <w:highlight w:val="none"/>
          <w:lang w:val="en-US" w:eastAsia="zh-CN"/>
        </w:rPr>
        <w:t>适用于有委托代理人的情况</w:t>
      </w:r>
      <w:r>
        <w:rPr>
          <w:rFonts w:hint="eastAsia" w:ascii="Times New Roman" w:hAnsi="Times New Roman" w:cs="Times New Roman"/>
          <w:highlight w:val="none"/>
          <w:lang w:eastAsia="zh-CN"/>
        </w:rPr>
        <w:t>）</w:t>
      </w:r>
    </w:p>
    <w:p>
      <w:pPr>
        <w:spacing w:line="540" w:lineRule="exact"/>
        <w:rPr>
          <w:rFonts w:hint="default" w:ascii="Times New Roman" w:hAnsi="Times New Roman" w:cs="Times New Roman"/>
          <w:highlight w:val="none"/>
        </w:rPr>
      </w:pPr>
      <w:r>
        <w:rPr>
          <w:rFonts w:hint="eastAsia" w:ascii="Times New Roman" w:hAnsi="Times New Roman" w:cs="Times New Roman"/>
          <w:highlight w:val="none"/>
          <w:lang w:val="en-US" w:eastAsia="zh-CN"/>
        </w:rPr>
        <w:t>三</w:t>
      </w:r>
      <w:r>
        <w:rPr>
          <w:rFonts w:hint="default" w:ascii="Times New Roman" w:hAnsi="Times New Roman" w:cs="Times New Roman"/>
          <w:highlight w:val="none"/>
        </w:rPr>
        <w:t xml:space="preserve">、投标保证金 </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四、商务和技术偏差表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五、分项报价表</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六、资格审查资料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七、投标产品性能指标的详细描述</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八、技术支持资料</w:t>
      </w:r>
    </w:p>
    <w:p>
      <w:pPr>
        <w:spacing w:line="540" w:lineRule="exact"/>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九、相关服务计划</w:t>
      </w:r>
    </w:p>
    <w:p>
      <w:pPr>
        <w:spacing w:line="540" w:lineRule="exact"/>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十</w:t>
      </w:r>
      <w:r>
        <w:rPr>
          <w:rFonts w:hint="default" w:ascii="Times New Roman" w:hAnsi="Times New Roman" w:cs="Times New Roman"/>
          <w:highlight w:val="none"/>
        </w:rPr>
        <w:t>、</w:t>
      </w:r>
      <w:r>
        <w:rPr>
          <w:rFonts w:hint="eastAsia" w:ascii="Times New Roman" w:hAnsi="Times New Roman" w:cs="Times New Roman"/>
          <w:highlight w:val="none"/>
          <w:lang w:val="en-US" w:eastAsia="zh-CN"/>
        </w:rPr>
        <w:t>其他资料</w:t>
      </w:r>
    </w:p>
    <w:p>
      <w:pPr>
        <w:spacing w:line="540" w:lineRule="exact"/>
        <w:rPr>
          <w:rFonts w:hint="default" w:ascii="Times New Roman" w:hAnsi="Times New Roman" w:cs="Times New Roman"/>
          <w:highlight w:val="none"/>
          <w:lang w:val="en-US" w:eastAsia="zh-CN"/>
        </w:rPr>
      </w:pPr>
    </w:p>
    <w:p>
      <w:pPr>
        <w:spacing w:line="540" w:lineRule="exact"/>
        <w:rPr>
          <w:rFonts w:hint="default" w:ascii="Times New Roman" w:hAnsi="Times New Roman" w:cs="Times New Roman"/>
        </w:rPr>
      </w:pPr>
      <w:r>
        <w:rPr>
          <w:rFonts w:hint="default" w:ascii="Times New Roman" w:hAnsi="Times New Roman" w:cs="Times New Roman"/>
        </w:rPr>
        <w:t xml:space="preserve"> </w:t>
      </w:r>
    </w:p>
    <w:p>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pPr>
        <w:pStyle w:val="3"/>
        <w:jc w:val="center"/>
        <w:rPr>
          <w:rFonts w:hint="default" w:ascii="Times New Roman" w:hAnsi="Times New Roman" w:cs="Times New Roman"/>
        </w:rPr>
      </w:pPr>
      <w:bookmarkStart w:id="426" w:name="_Toc300835210"/>
      <w:bookmarkStart w:id="427" w:name="_Toc247527828"/>
      <w:bookmarkStart w:id="428" w:name="_Toc152045788"/>
      <w:bookmarkStart w:id="429" w:name="_Toc152042577"/>
      <w:bookmarkStart w:id="430" w:name="_Toc247514247"/>
      <w:bookmarkStart w:id="431" w:name="_Toc144974857"/>
      <w:r>
        <w:rPr>
          <w:rFonts w:hint="default" w:ascii="Times New Roman" w:hAnsi="Times New Roman" w:cs="Times New Roman"/>
        </w:rPr>
        <w:t>一、投标函</w:t>
      </w:r>
      <w:bookmarkEnd w:id="426"/>
      <w:bookmarkEnd w:id="427"/>
      <w:bookmarkEnd w:id="428"/>
      <w:bookmarkEnd w:id="429"/>
      <w:bookmarkEnd w:id="430"/>
      <w:bookmarkEnd w:id="431"/>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（招标人名称）：</w:t>
      </w:r>
    </w:p>
    <w:p>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val="en-US" w:eastAsia="zh-CN"/>
        </w:rPr>
        <w:t>.</w:t>
      </w:r>
      <w:r>
        <w:rPr>
          <w:rFonts w:hint="default" w:ascii="Times New Roman" w:hAnsi="Times New Roman" w:cs="Times New Roman"/>
          <w:szCs w:val="21"/>
        </w:rPr>
        <w:t>我方已仔细研究了</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采购招标项目招标文件的全部内容，愿意以</w:t>
      </w:r>
      <w:permStart w:id="112" w:edGrp="everyone"/>
      <w:r>
        <w:rPr>
          <w:rFonts w:hint="eastAsia" w:ascii="Times New Roman" w:hAnsi="Times New Roman" w:cs="Times New Roman"/>
          <w:szCs w:val="21"/>
          <w:lang w:val="en-US" w:eastAsia="zh-CN"/>
        </w:rPr>
        <w:t>825R20-16型号轮胎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元/条、245/70R19.5-18型号轮胎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元/条、215/75R17.5-16型号轮胎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元/条（其中，增值税税率为</w:t>
      </w:r>
      <w:r>
        <w:rPr>
          <w:rFonts w:hint="eastAsia" w:ascii="Times New Roman" w:hAnsi="Times New Roman" w:cs="Times New Roman"/>
          <w:szCs w:val="21"/>
          <w:u w:val="single"/>
          <w:lang w:val="en-US" w:eastAsia="zh-CN"/>
        </w:rPr>
        <w:t>13%</w:t>
      </w:r>
      <w:r>
        <w:rPr>
          <w:rFonts w:hint="eastAsia" w:ascii="Times New Roman" w:hAnsi="Times New Roman" w:cs="Times New Roman"/>
          <w:szCs w:val="21"/>
          <w:lang w:val="en-US" w:eastAsia="zh-CN"/>
        </w:rPr>
        <w:t>）的投标单价，并承诺按照825R20-16型号轮胎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元/条、245/70R19.5-18型号轮胎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元/条、215/75R17.5-16型号轮胎</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eastAsia" w:ascii="Times New Roman" w:hAnsi="Times New Roman" w:cs="Times New Roman"/>
          <w:szCs w:val="21"/>
          <w:lang w:val="en-US" w:eastAsia="zh-CN"/>
        </w:rPr>
        <w:t>元/条的单价进行废旧轮胎的回收，</w:t>
      </w:r>
      <w:permEnd w:id="112"/>
      <w:r>
        <w:rPr>
          <w:rFonts w:hint="eastAsia" w:ascii="Times New Roman" w:hAnsi="Times New Roman" w:cs="Times New Roman"/>
          <w:szCs w:val="21"/>
          <w:lang w:val="en-US" w:eastAsia="zh-CN"/>
        </w:rPr>
        <w:t>完成本项目全部供货内容</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并按合同约定履行义务。</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2.我方的投标文件包括下列内容：</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1）投标函；（2）法定代表人（单位负责人）身份证明或授权委托书；（3）投标保证金（如有）；（4）商务和技术偏差表；（5）分项报价表；（6）资格审查资料；（7）投标产品性能指标的详细描述；（8）技术支持资料；（9）相关服务计划；（10）其他资料......</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投标文件的上述组成部分如存在内容不一致的，</w:t>
      </w:r>
      <w:r>
        <w:rPr>
          <w:rFonts w:hint="eastAsia" w:ascii="Times New Roman" w:hAnsi="Times New Roman" w:cs="Times New Roman"/>
          <w:color w:val="auto"/>
          <w:szCs w:val="21"/>
          <w:highlight w:val="none"/>
          <w:lang w:val="en-US" w:eastAsia="zh-CN"/>
        </w:rPr>
        <w:t>以投标函为准。</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3.我方承诺除商务和技术偏差表列出的偏差外，我方响应招标文件的全部要求。</w:t>
      </w:r>
    </w:p>
    <w:p>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4.我方承诺在招标文件规定的投标有效期内不撤销投标文件。</w:t>
      </w: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5.如我方中标，我方承诺：</w:t>
      </w:r>
    </w:p>
    <w:p>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（1）在收到中标通知书后，在中标通知书规定的期限内与你方签订合同</w:t>
      </w:r>
      <w:r>
        <w:rPr>
          <w:rFonts w:hint="eastAsia" w:ascii="Times New Roman" w:hAnsi="Times New Roman" w:cs="Times New Roman"/>
          <w:szCs w:val="21"/>
          <w:lang w:eastAsia="zh-CN"/>
        </w:rPr>
        <w:t>；</w:t>
      </w:r>
    </w:p>
    <w:p>
      <w:pPr>
        <w:spacing w:line="440" w:lineRule="exact"/>
        <w:ind w:firstLine="718" w:firstLineChars="342"/>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在签订合同时不向你方提出附加条件；</w:t>
      </w:r>
    </w:p>
    <w:p>
      <w:pPr>
        <w:spacing w:line="440" w:lineRule="exact"/>
        <w:ind w:firstLine="718" w:firstLineChars="342"/>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（3）按照招标文件要求提交履约保证金；</w:t>
      </w:r>
    </w:p>
    <w:p>
      <w:pPr>
        <w:spacing w:line="440" w:lineRule="exact"/>
        <w:ind w:firstLine="718" w:firstLineChars="342"/>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rPr>
        <w:t>我方在此声明，所递交的投标文件及有关资料内容完整、真实和准确，且不存在第二章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p>
    <w:p>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7.</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rPr>
          <w:rFonts w:hint="default" w:ascii="Times New Roman" w:hAnsi="Times New Roman" w:cs="Times New Roman"/>
        </w:rPr>
      </w:pPr>
      <w:bookmarkStart w:id="432" w:name="_Toc247527831"/>
      <w:bookmarkStart w:id="433" w:name="_Toc144974860"/>
      <w:bookmarkStart w:id="434" w:name="_Toc152042580"/>
      <w:bookmarkStart w:id="435" w:name="_Toc152045791"/>
      <w:bookmarkStart w:id="436" w:name="_Toc247514283"/>
      <w:bookmarkStart w:id="437" w:name="_Toc300835213"/>
      <w:r>
        <w:rPr>
          <w:rFonts w:hint="default" w:ascii="Times New Roman" w:hAnsi="Times New Roman" w:cs="Times New Roman"/>
        </w:rPr>
        <w:br w:type="page"/>
      </w:r>
    </w:p>
    <w:p>
      <w:pPr>
        <w:pStyle w:val="3"/>
        <w:jc w:val="center"/>
        <w:rPr>
          <w:rFonts w:hint="default" w:ascii="Times New Roman" w:hAnsi="Times New Roman" w:cs="Times New Roman"/>
        </w:rPr>
      </w:pPr>
      <w:r>
        <w:rPr>
          <w:rFonts w:hint="default" w:ascii="Times New Roman" w:hAnsi="Times New Roman" w:cs="Times New Roman"/>
        </w:rPr>
        <w:t>二、法定代表人</w:t>
      </w:r>
      <w:r>
        <w:rPr>
          <w:rFonts w:hint="eastAsia" w:ascii="Times New Roman" w:hAnsi="Times New Roman" w:cs="Times New Roman"/>
          <w:lang w:eastAsia="zh-CN"/>
        </w:rPr>
        <w:t>（</w:t>
      </w:r>
      <w:r>
        <w:rPr>
          <w:rFonts w:hint="eastAsia" w:ascii="Times New Roman" w:hAnsi="Times New Roman" w:cs="Times New Roman"/>
          <w:lang w:val="en-US" w:eastAsia="zh-CN"/>
        </w:rPr>
        <w:t>单位负责人</w:t>
      </w:r>
      <w:r>
        <w:rPr>
          <w:rFonts w:hint="eastAsia" w:ascii="Times New Roman" w:hAnsi="Times New Roman" w:cs="Times New Roman"/>
          <w:lang w:eastAsia="zh-CN"/>
        </w:rPr>
        <w:t>）</w:t>
      </w:r>
      <w:r>
        <w:rPr>
          <w:rFonts w:hint="default" w:ascii="Times New Roman" w:hAnsi="Times New Roman" w:cs="Times New Roman"/>
        </w:rPr>
        <w:t>身份证明</w:t>
      </w:r>
      <w:bookmarkEnd w:id="432"/>
      <w:bookmarkEnd w:id="433"/>
      <w:bookmarkEnd w:id="434"/>
      <w:bookmarkEnd w:id="435"/>
      <w:bookmarkEnd w:id="436"/>
      <w:bookmarkEnd w:id="437"/>
    </w:p>
    <w:p>
      <w:pPr>
        <w:spacing w:line="440" w:lineRule="exact"/>
        <w:rPr>
          <w:rFonts w:hint="default" w:ascii="Times New Roman" w:hAnsi="Times New Roman" w:cs="Times New Roman"/>
          <w:sz w:val="20"/>
          <w:szCs w:val="20"/>
        </w:rPr>
      </w:pP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身份证复印件。</w:t>
      </w:r>
    </w:p>
    <w:p>
      <w:pPr>
        <w:spacing w:line="440" w:lineRule="exact"/>
        <w:rPr>
          <w:rFonts w:hint="default" w:ascii="Times New Roman" w:hAnsi="Times New Roman" w:cs="Times New Roman"/>
          <w:szCs w:val="21"/>
        </w:rPr>
      </w:pPr>
    </w:p>
    <w:p>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注：本身份证明需由投标人加盖单位公章。</w:t>
      </w:r>
    </w:p>
    <w:p>
      <w:pPr>
        <w:spacing w:line="440" w:lineRule="exact"/>
        <w:rPr>
          <w:rFonts w:hint="eastAsia" w:ascii="Times New Roman" w:hAnsi="Times New Roman" w:cs="Times New Roman"/>
          <w:szCs w:val="21"/>
          <w:lang w:val="en-US" w:eastAsia="zh-CN"/>
        </w:rPr>
      </w:pPr>
    </w:p>
    <w:p>
      <w:pPr>
        <w:spacing w:line="440" w:lineRule="exact"/>
        <w:rPr>
          <w:rFonts w:hint="default" w:ascii="Times New Roman" w:hAnsi="Times New Roman" w:cs="Times New Roman"/>
          <w:szCs w:val="21"/>
          <w:lang w:val="en-US" w:eastAsia="zh-CN"/>
        </w:rPr>
      </w:pP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rPr>
      </w:pPr>
      <w:bookmarkStart w:id="438" w:name="_Toc247527832"/>
      <w:bookmarkStart w:id="439" w:name="_Toc144974861"/>
      <w:bookmarkStart w:id="440" w:name="_Toc247514284"/>
      <w:bookmarkStart w:id="441" w:name="_Toc300835214"/>
      <w:bookmarkStart w:id="442" w:name="_Toc152045792"/>
      <w:bookmarkStart w:id="443" w:name="_Toc152042581"/>
      <w:r>
        <w:rPr>
          <w:rFonts w:hint="default" w:ascii="Times New Roman" w:hAnsi="Times New Roman" w:cs="Times New Roman"/>
        </w:rPr>
        <w:t>二、授权委托书</w:t>
      </w:r>
      <w:bookmarkEnd w:id="438"/>
      <w:bookmarkEnd w:id="439"/>
      <w:bookmarkEnd w:id="440"/>
      <w:bookmarkEnd w:id="441"/>
      <w:bookmarkEnd w:id="442"/>
      <w:bookmarkEnd w:id="443"/>
    </w:p>
    <w:p>
      <w:pPr>
        <w:spacing w:line="440" w:lineRule="exact"/>
        <w:rPr>
          <w:rFonts w:hint="default" w:ascii="Times New Roman" w:hAnsi="Times New Roman" w:eastAsia="黑体" w:cs="Times New Roman"/>
          <w:szCs w:val="21"/>
        </w:rPr>
      </w:pPr>
    </w:p>
    <w:p>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w:t>
      </w:r>
      <w:r>
        <w:rPr>
          <w:rFonts w:hint="eastAsia" w:ascii="Times New Roman" w:hAnsi="Times New Roman" w:cs="Times New Roman"/>
          <w:i/>
          <w:iCs/>
          <w:color w:val="auto"/>
          <w:szCs w:val="21"/>
          <w:u w:val="single"/>
          <w:lang w:val="en-US" w:eastAsia="zh-CN"/>
        </w:rPr>
        <w:t xml:space="preserve">           </w:t>
      </w:r>
      <w:r>
        <w:rPr>
          <w:rFonts w:hint="default" w:ascii="Times New Roman" w:hAnsi="Times New Roman" w:cs="Times New Roman"/>
          <w:szCs w:val="21"/>
        </w:rPr>
        <w:t>（项目名称）</w:t>
      </w:r>
      <w:r>
        <w:rPr>
          <w:rFonts w:hint="eastAsia" w:ascii="Times New Roman" w:hAnsi="Times New Roman" w:cs="Times New Roman"/>
          <w:szCs w:val="21"/>
          <w:lang w:val="en-US" w:eastAsia="zh-CN"/>
        </w:rPr>
        <w:t>的投标文件、签订合同和处理有关事宜，</w:t>
      </w:r>
      <w:r>
        <w:rPr>
          <w:rFonts w:hint="default" w:ascii="Times New Roman" w:hAnsi="Times New Roman" w:cs="Times New Roman"/>
          <w:szCs w:val="21"/>
        </w:rPr>
        <w:t>其法律后果由我方承担。</w:t>
      </w:r>
    </w:p>
    <w:p>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pPr>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身份</w:t>
      </w:r>
      <w:r>
        <w:rPr>
          <w:rFonts w:hint="eastAsia" w:ascii="Times New Roman" w:hAnsi="Times New Roman" w:cs="Times New Roman"/>
          <w:szCs w:val="21"/>
          <w:lang w:val="en-US" w:eastAsia="zh-CN"/>
        </w:rPr>
        <w:t>证复印件</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委托代理人身份证复印件、委托代理人养老保险证明</w:t>
      </w:r>
    </w:p>
    <w:p>
      <w:pPr>
        <w:spacing w:line="440" w:lineRule="exact"/>
        <w:ind w:firstLine="420" w:firstLineChars="200"/>
        <w:rPr>
          <w:rFonts w:hint="eastAsia" w:ascii="Times New Roman" w:hAnsi="Times New Roman" w:cs="Times New Roman"/>
          <w:szCs w:val="21"/>
          <w:lang w:val="en-US" w:eastAsia="zh-CN"/>
        </w:rPr>
      </w:pPr>
    </w:p>
    <w:p>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注：本授权委托书需由投标人加盖单位公章并由其法定代表人（单位负责人）和委托代理人签字。</w:t>
      </w:r>
    </w:p>
    <w:p>
      <w:pPr>
        <w:spacing w:line="440" w:lineRule="exact"/>
        <w:rPr>
          <w:rFonts w:hint="default" w:ascii="Times New Roman" w:hAnsi="Times New Roman" w:cs="Times New Roman"/>
          <w:szCs w:val="21"/>
        </w:rPr>
      </w:pP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法定代表人</w:t>
      </w:r>
      <w:r>
        <w:rPr>
          <w:rFonts w:hint="eastAsia" w:ascii="Times New Roman" w:hAnsi="Times New Roman" w:cs="Times New Roman"/>
          <w:szCs w:val="21"/>
          <w:lang w:eastAsia="zh-CN"/>
        </w:rPr>
        <w:t>（</w:t>
      </w:r>
      <w:r>
        <w:rPr>
          <w:rFonts w:hint="eastAsia" w:ascii="Times New Roman" w:hAnsi="Times New Roman" w:cs="Times New Roman"/>
          <w:szCs w:val="21"/>
          <w:lang w:val="en-US" w:eastAsia="zh-CN"/>
        </w:rPr>
        <w:t>单位负责人</w:t>
      </w:r>
      <w:r>
        <w:rPr>
          <w:rFonts w:hint="eastAsia" w:ascii="Times New Roman" w:hAnsi="Times New Roman" w:cs="Times New Roman"/>
          <w:szCs w:val="21"/>
          <w:lang w:eastAsia="zh-CN"/>
        </w:rPr>
        <w:t>）</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 </w:t>
      </w:r>
    </w:p>
    <w:p>
      <w:pPr>
        <w:spacing w:line="440" w:lineRule="exact"/>
        <w:rPr>
          <w:rFonts w:hint="default" w:ascii="Times New Roman" w:hAnsi="Times New Roman" w:cs="Times New Roman"/>
          <w:szCs w:val="21"/>
        </w:rPr>
      </w:pPr>
    </w:p>
    <w:p>
      <w:pPr>
        <w:spacing w:line="440" w:lineRule="exact"/>
        <w:ind w:firstLine="2100" w:firstLineChars="1000"/>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pPr>
        <w:spacing w:line="440" w:lineRule="exact"/>
        <w:rPr>
          <w:rFonts w:hint="default" w:ascii="Times New Roman" w:hAnsi="Times New Roman" w:cs="Times New Roman"/>
          <w:szCs w:val="21"/>
        </w:rPr>
      </w:pPr>
    </w:p>
    <w:p>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pPr>
        <w:pStyle w:val="3"/>
        <w:jc w:val="center"/>
        <w:rPr>
          <w:rFonts w:hint="default" w:ascii="Times New Roman" w:hAnsi="Times New Roman" w:cs="Times New Roman"/>
          <w:highlight w:val="none"/>
        </w:rPr>
      </w:pPr>
      <w:bookmarkStart w:id="444" w:name="_Toc247527834"/>
      <w:bookmarkStart w:id="445" w:name="_Toc247514286"/>
      <w:bookmarkStart w:id="446" w:name="_Toc152042583"/>
      <w:bookmarkStart w:id="447" w:name="_Toc152045794"/>
      <w:bookmarkStart w:id="448" w:name="_Toc300835216"/>
      <w:bookmarkStart w:id="449" w:name="_Toc144974862"/>
      <w:r>
        <w:rPr>
          <w:rFonts w:hint="default" w:ascii="Times New Roman" w:hAnsi="Times New Roman" w:cs="Times New Roman"/>
          <w:highlight w:val="none"/>
          <w:lang w:val="en-US" w:eastAsia="zh-CN"/>
        </w:rPr>
        <w:t>三</w:t>
      </w:r>
      <w:r>
        <w:rPr>
          <w:rFonts w:hint="default" w:ascii="Times New Roman" w:hAnsi="Times New Roman" w:cs="Times New Roman"/>
          <w:highlight w:val="none"/>
        </w:rPr>
        <w:t>、投标保证金</w:t>
      </w:r>
      <w:bookmarkEnd w:id="444"/>
      <w:bookmarkEnd w:id="445"/>
      <w:bookmarkEnd w:id="446"/>
      <w:bookmarkEnd w:id="447"/>
      <w:bookmarkEnd w:id="448"/>
      <w:bookmarkEnd w:id="449"/>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450"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pPr>
        <w:spacing w:line="440" w:lineRule="exact"/>
        <w:rPr>
          <w:rFonts w:hint="default" w:ascii="Times New Roman" w:hAnsi="Times New Roman" w:cs="Times New Roman"/>
          <w:b/>
          <w:bCs/>
        </w:rPr>
      </w:pPr>
    </w:p>
    <w:bookmarkEnd w:id="450"/>
    <w:p>
      <w:pPr>
        <w:rPr>
          <w:rFonts w:hint="default" w:ascii="Times New Roman" w:hAnsi="Times New Roman" w:cs="Times New Roman"/>
        </w:rPr>
      </w:pPr>
      <w:bookmarkStart w:id="451" w:name="_Toc152042584"/>
      <w:bookmarkStart w:id="452" w:name="_Toc247527835"/>
      <w:bookmarkStart w:id="453" w:name="_Toc300835218"/>
      <w:bookmarkStart w:id="454" w:name="_Toc144974863"/>
      <w:bookmarkStart w:id="455" w:name="_Toc247514287"/>
      <w:bookmarkStart w:id="456" w:name="_Toc152045795"/>
      <w:r>
        <w:rPr>
          <w:rFonts w:hint="default" w:ascii="Times New Roman" w:hAnsi="Times New Roman" w:cs="Times New Roman"/>
        </w:rPr>
        <w:br w:type="page"/>
      </w:r>
    </w:p>
    <w:p>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四</w:t>
      </w:r>
      <w:r>
        <w:rPr>
          <w:rFonts w:hint="default" w:ascii="Times New Roman" w:hAnsi="Times New Roman" w:cs="Times New Roman"/>
        </w:rPr>
        <w:t>、</w:t>
      </w:r>
      <w:bookmarkEnd w:id="451"/>
      <w:bookmarkEnd w:id="452"/>
      <w:bookmarkEnd w:id="453"/>
      <w:bookmarkEnd w:id="454"/>
      <w:bookmarkEnd w:id="455"/>
      <w:bookmarkEnd w:id="456"/>
      <w:r>
        <w:rPr>
          <w:rFonts w:hint="eastAsia" w:ascii="Times New Roman" w:hAnsi="Times New Roman" w:cs="Times New Roman"/>
          <w:lang w:val="en-US" w:eastAsia="zh-CN"/>
        </w:rPr>
        <w:t>商务和技术偏差表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2835"/>
        <w:gridCol w:w="2835"/>
        <w:gridCol w:w="20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b/>
                <w:bCs/>
                <w:vertAlign w:val="baseline"/>
                <w:lang w:val="en-US" w:eastAsia="zh-CN"/>
              </w:rPr>
            </w:pPr>
            <w:bookmarkStart w:id="457" w:name="_Toc300835221"/>
            <w:bookmarkStart w:id="458" w:name="_Toc144974864"/>
            <w:bookmarkStart w:id="459" w:name="_Toc247514288"/>
            <w:bookmarkStart w:id="460" w:name="_Toc152042585"/>
            <w:bookmarkStart w:id="461" w:name="_Toc152045796"/>
            <w:bookmarkStart w:id="462" w:name="_Toc247527836"/>
            <w:r>
              <w:rPr>
                <w:rFonts w:hint="eastAsia" w:ascii="Times New Roman" w:hAnsi="Times New Roman" w:cs="Times New Roman"/>
                <w:b/>
                <w:bCs/>
                <w:vertAlign w:val="baseline"/>
                <w:lang w:val="en-US" w:eastAsia="zh-CN"/>
              </w:rPr>
              <w:t>序号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招标文件章节及条款号</w:t>
            </w:r>
          </w:p>
        </w:tc>
        <w:tc>
          <w:tcPr>
            <w:tcW w:w="2835"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投标文件章节及条款号</w:t>
            </w:r>
          </w:p>
        </w:tc>
        <w:tc>
          <w:tcPr>
            <w:tcW w:w="2001" w:type="dxa"/>
            <w:vAlign w:val="center"/>
          </w:tcPr>
          <w:p>
            <w:pPr>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偏差说明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1</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2</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eastAsia" w:ascii="Times New Roman" w:hAnsi="Times New Roman" w:cs="Times New Roman" w:eastAsiaTheme="minorEastAsia"/>
                <w:vertAlign w:val="baseline"/>
                <w:lang w:val="en-US" w:eastAsia="zh-CN"/>
              </w:rPr>
            </w:pPr>
            <w:r>
              <w:rPr>
                <w:rFonts w:hint="eastAsia" w:ascii="Times New Roman" w:hAnsi="Times New Roman" w:cs="Times New Roman"/>
                <w:vertAlign w:val="baseline"/>
                <w:lang w:val="en-US" w:eastAsia="zh-CN"/>
              </w:rPr>
              <w:t>3</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4</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5</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850" w:type="dxa"/>
            <w:vAlign w:val="center"/>
          </w:tcPr>
          <w:p>
            <w:pPr>
              <w:jc w:val="center"/>
              <w:rPr>
                <w:rFonts w:hint="default" w:ascii="Times New Roman" w:hAnsi="Times New Roman" w:cs="Times New Roman"/>
                <w:vertAlign w:val="baseline"/>
                <w:lang w:val="en-US" w:eastAsia="zh-CN"/>
              </w:rPr>
            </w:pPr>
            <w:r>
              <w:rPr>
                <w:rFonts w:hint="eastAsia" w:ascii="Times New Roman" w:hAnsi="Times New Roman" w:cs="Times New Roman"/>
                <w:vertAlign w:val="baseline"/>
                <w:lang w:val="en-US" w:eastAsia="zh-CN"/>
              </w:rPr>
              <w:t>......</w:t>
            </w:r>
          </w:p>
        </w:tc>
        <w:tc>
          <w:tcPr>
            <w:tcW w:w="2835" w:type="dxa"/>
            <w:vAlign w:val="center"/>
          </w:tcPr>
          <w:p>
            <w:pPr>
              <w:jc w:val="center"/>
              <w:rPr>
                <w:rFonts w:hint="default" w:ascii="Times New Roman" w:hAnsi="Times New Roman" w:cs="Times New Roman"/>
                <w:vertAlign w:val="baseline"/>
              </w:rPr>
            </w:pPr>
          </w:p>
        </w:tc>
        <w:tc>
          <w:tcPr>
            <w:tcW w:w="2835" w:type="dxa"/>
            <w:vAlign w:val="center"/>
          </w:tcPr>
          <w:p>
            <w:pPr>
              <w:jc w:val="center"/>
              <w:rPr>
                <w:rFonts w:hint="default" w:ascii="Times New Roman" w:hAnsi="Times New Roman" w:cs="Times New Roman"/>
                <w:vertAlign w:val="baseline"/>
              </w:rPr>
            </w:pPr>
          </w:p>
        </w:tc>
        <w:tc>
          <w:tcPr>
            <w:tcW w:w="2001" w:type="dxa"/>
            <w:vAlign w:val="center"/>
          </w:tcPr>
          <w:p>
            <w:pPr>
              <w:jc w:val="center"/>
              <w:rPr>
                <w:rFonts w:hint="default" w:ascii="Times New Roman" w:hAnsi="Times New Roman" w:cs="Times New Roman"/>
                <w:vertAlign w:val="baseline"/>
              </w:rPr>
            </w:pPr>
          </w:p>
        </w:tc>
      </w:tr>
    </w:tbl>
    <w:p>
      <w:pPr>
        <w:ind w:firstLine="420" w:firstLineChars="200"/>
        <w:rPr>
          <w:rFonts w:hint="default" w:ascii="Times New Roman" w:hAnsi="Times New Roman" w:cs="Times New Roman" w:eastAsiaTheme="minorEastAsia"/>
          <w:lang w:val="en-US" w:eastAsia="zh-CN"/>
        </w:rPr>
      </w:pPr>
      <w:r>
        <w:rPr>
          <w:rFonts w:hint="eastAsia" w:ascii="Times New Roman" w:hAnsi="Times New Roman" w:cs="Times New Roman"/>
          <w:lang w:val="en-US" w:eastAsia="zh-CN"/>
        </w:rPr>
        <w:t>投标人保证：除商务和技术偏差表列出的偏差外，投标人响应招标文件的全部要求。</w:t>
      </w: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五</w:t>
      </w:r>
      <w:r>
        <w:rPr>
          <w:rFonts w:hint="default" w:ascii="Times New Roman" w:hAnsi="Times New Roman" w:cs="Times New Roman"/>
          <w:highlight w:val="none"/>
        </w:rPr>
        <w:t>、</w:t>
      </w:r>
      <w:bookmarkEnd w:id="457"/>
      <w:bookmarkEnd w:id="458"/>
      <w:bookmarkEnd w:id="459"/>
      <w:bookmarkEnd w:id="460"/>
      <w:bookmarkEnd w:id="461"/>
      <w:bookmarkEnd w:id="462"/>
      <w:r>
        <w:rPr>
          <w:rFonts w:hint="eastAsia" w:ascii="Times New Roman" w:hAnsi="Times New Roman" w:cs="Times New Roman"/>
          <w:highlight w:val="none"/>
          <w:lang w:val="en-US" w:eastAsia="zh-CN"/>
        </w:rPr>
        <w:t>分项报价表</w:t>
      </w:r>
    </w:p>
    <w:p>
      <w:pPr>
        <w:spacing w:line="440" w:lineRule="exact"/>
        <w:rPr>
          <w:rFonts w:hint="default" w:ascii="Times New Roman" w:hAnsi="Times New Roman" w:eastAsia="黑体" w:cs="Times New Roman"/>
          <w:szCs w:val="21"/>
          <w:highlight w:val="green"/>
        </w:rPr>
      </w:pPr>
    </w:p>
    <w:p>
      <w:pPr>
        <w:tabs>
          <w:tab w:val="left" w:pos="720"/>
        </w:tabs>
        <w:spacing w:line="440" w:lineRule="exact"/>
        <w:ind w:firstLine="420" w:firstLineChars="200"/>
        <w:rPr>
          <w:rFonts w:hint="default" w:ascii="Times New Roman" w:hAnsi="Times New Roman" w:cs="Times New Roman" w:eastAsiaTheme="minorEastAsia"/>
          <w:szCs w:val="21"/>
          <w:lang w:val="en-US" w:eastAsia="zh-CN"/>
        </w:rPr>
      </w:pPr>
      <w:bookmarkStart w:id="463" w:name="_Toc300835223"/>
      <w:r>
        <w:rPr>
          <w:rFonts w:hint="eastAsia" w:ascii="Times New Roman" w:hAnsi="Times New Roman" w:cs="Times New Roman"/>
          <w:szCs w:val="21"/>
          <w:lang w:val="en-US" w:eastAsia="zh-CN"/>
        </w:rPr>
        <w:t>1. 分项报价表说明</w:t>
      </w:r>
    </w:p>
    <w:p>
      <w:pPr>
        <w:tabs>
          <w:tab w:val="left" w:pos="720"/>
        </w:tabs>
        <w:spacing w:line="440" w:lineRule="exact"/>
        <w:ind w:firstLine="420" w:firstLineChars="200"/>
        <w:rPr>
          <w:rFonts w:hint="eastAsia" w:ascii="Times New Roman" w:hAnsi="Times New Roman" w:cs="Times New Roman"/>
          <w:szCs w:val="21"/>
          <w:lang w:val="en-US" w:eastAsia="zh-CN"/>
        </w:rPr>
      </w:pPr>
      <w:r>
        <w:rPr>
          <w:rFonts w:hint="default" w:ascii="Times New Roman" w:hAnsi="Times New Roman" w:cs="Times New Roman"/>
          <w:szCs w:val="21"/>
        </w:rPr>
        <w:t>2</w:t>
      </w:r>
      <w:r>
        <w:rPr>
          <w:rFonts w:hint="eastAsia" w:ascii="Times New Roman" w:hAnsi="Times New Roman" w:cs="Times New Roman"/>
          <w:szCs w:val="21"/>
          <w:lang w:val="en-US" w:eastAsia="zh-CN"/>
        </w:rPr>
        <w:t>. 分项报价表</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0"/>
        <w:gridCol w:w="1417"/>
        <w:gridCol w:w="850"/>
        <w:gridCol w:w="850"/>
        <w:gridCol w:w="1417"/>
        <w:gridCol w:w="1417"/>
        <w:gridCol w:w="1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序号</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分项名称</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单位</w:t>
            </w:r>
          </w:p>
        </w:tc>
        <w:tc>
          <w:tcPr>
            <w:tcW w:w="850"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数量</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单价（元）</w:t>
            </w:r>
          </w:p>
        </w:tc>
        <w:tc>
          <w:tcPr>
            <w:tcW w:w="1417" w:type="dxa"/>
            <w:vAlign w:val="center"/>
          </w:tcPr>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总价（元）</w:t>
            </w:r>
          </w:p>
        </w:tc>
        <w:tc>
          <w:tcPr>
            <w:tcW w:w="1718" w:type="dxa"/>
            <w:vAlign w:val="center"/>
          </w:tcPr>
          <w:p>
            <w:pPr>
              <w:tabs>
                <w:tab w:val="left" w:pos="720"/>
              </w:tabs>
              <w:spacing w:line="440" w:lineRule="exact"/>
              <w:jc w:val="center"/>
              <w:rPr>
                <w:rFonts w:hint="eastAsia"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备注</w:t>
            </w:r>
          </w:p>
          <w:p>
            <w:pPr>
              <w:tabs>
                <w:tab w:val="left" w:pos="720"/>
              </w:tabs>
              <w:spacing w:line="440" w:lineRule="exact"/>
              <w:jc w:val="center"/>
              <w:rPr>
                <w:rFonts w:hint="default" w:ascii="Times New Roman" w:hAnsi="Times New Roman" w:cs="Times New Roman"/>
                <w:b/>
                <w:bCs/>
                <w:szCs w:val="21"/>
                <w:vertAlign w:val="baseline"/>
                <w:lang w:val="en-US" w:eastAsia="zh-CN"/>
              </w:rPr>
            </w:pPr>
            <w:r>
              <w:rPr>
                <w:rFonts w:hint="eastAsia" w:ascii="Times New Roman" w:hAnsi="Times New Roman" w:cs="Times New Roman"/>
                <w:b/>
                <w:bCs/>
                <w:szCs w:val="21"/>
                <w:vertAlign w:val="baseline"/>
                <w:lang w:val="en-US" w:eastAsia="zh-CN"/>
              </w:rPr>
              <w:t>（投标品牌）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1</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Merge w:val="restart"/>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2</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Merge w:val="continue"/>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3</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Merge w:val="continue"/>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4</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Merge w:val="continue"/>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5</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Merge w:val="continue"/>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0"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1417" w:type="dxa"/>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szCs w:val="21"/>
                <w:vertAlign w:val="baseline"/>
                <w:lang w:val="en-US" w:eastAsia="zh-CN"/>
              </w:rPr>
              <w:t>......</w:t>
            </w: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850"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Merge w:val="continue"/>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384" w:type="dxa"/>
            <w:gridSpan w:val="5"/>
            <w:vAlign w:val="center"/>
          </w:tcPr>
          <w:p>
            <w:pPr>
              <w:tabs>
                <w:tab w:val="left" w:pos="720"/>
              </w:tabs>
              <w:spacing w:line="440" w:lineRule="exact"/>
              <w:jc w:val="center"/>
              <w:rPr>
                <w:rFonts w:hint="default" w:ascii="Times New Roman" w:hAnsi="Times New Roman" w:cs="Times New Roman"/>
                <w:szCs w:val="21"/>
                <w:vertAlign w:val="baseline"/>
                <w:lang w:val="en-US" w:eastAsia="zh-CN"/>
              </w:rPr>
            </w:pPr>
            <w:r>
              <w:rPr>
                <w:rFonts w:hint="eastAsia" w:ascii="Times New Roman" w:hAnsi="Times New Roman" w:cs="Times New Roman"/>
                <w:b/>
                <w:bCs/>
                <w:szCs w:val="21"/>
                <w:vertAlign w:val="baseline"/>
                <w:lang w:val="en-US" w:eastAsia="zh-CN"/>
              </w:rPr>
              <w:t>合计报价</w:t>
            </w:r>
          </w:p>
        </w:tc>
        <w:tc>
          <w:tcPr>
            <w:tcW w:w="1417" w:type="dxa"/>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c>
          <w:tcPr>
            <w:tcW w:w="1718" w:type="dxa"/>
            <w:vMerge w:val="continue"/>
            <w:vAlign w:val="center"/>
          </w:tcPr>
          <w:p>
            <w:pPr>
              <w:tabs>
                <w:tab w:val="left" w:pos="720"/>
              </w:tabs>
              <w:spacing w:line="440" w:lineRule="exact"/>
              <w:jc w:val="center"/>
              <w:rPr>
                <w:rFonts w:hint="eastAsia" w:ascii="Times New Roman" w:hAnsi="Times New Roman" w:cs="Times New Roman"/>
                <w:szCs w:val="21"/>
                <w:vertAlign w:val="baseline"/>
                <w:lang w:val="en-US" w:eastAsia="zh-CN"/>
              </w:rPr>
            </w:pPr>
          </w:p>
        </w:tc>
      </w:tr>
    </w:tbl>
    <w:p>
      <w:pPr>
        <w:tabs>
          <w:tab w:val="left" w:pos="720"/>
        </w:tabs>
        <w:spacing w:line="440" w:lineRule="exact"/>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单位：人民币元</w:t>
      </w:r>
    </w:p>
    <w:p>
      <w:pPr>
        <w:tabs>
          <w:tab w:val="left" w:pos="720"/>
        </w:tabs>
        <w:spacing w:line="440" w:lineRule="exact"/>
        <w:rPr>
          <w:rFonts w:hint="eastAsia" w:ascii="Times New Roman" w:hAnsi="Times New Roman" w:cs="Times New Roman"/>
          <w:szCs w:val="21"/>
          <w:lang w:val="en-US" w:eastAsia="zh-CN"/>
        </w:rPr>
      </w:pPr>
      <w:r>
        <w:rPr>
          <w:rFonts w:hint="eastAsia" w:ascii="Times New Roman" w:hAnsi="Times New Roman" w:cs="Times New Roman"/>
          <w:lang w:val="en-US" w:eastAsia="zh-CN"/>
        </w:rPr>
        <w:t>注：投标人可根据行业具体情况及招标项目特点对上表格式进行调整。</w:t>
      </w: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eastAsia" w:ascii="Times New Roman" w:hAnsi="Times New Roman" w:cs="Times New Roman"/>
          <w:szCs w:val="21"/>
          <w:lang w:val="en-US" w:eastAsia="zh-CN"/>
        </w:rPr>
      </w:pPr>
    </w:p>
    <w:p>
      <w:pPr>
        <w:tabs>
          <w:tab w:val="left" w:pos="720"/>
        </w:tabs>
        <w:spacing w:line="440" w:lineRule="exact"/>
        <w:rPr>
          <w:rFonts w:hint="default" w:ascii="Times New Roman" w:hAnsi="Times New Roman" w:cs="Times New Roman"/>
          <w:szCs w:val="21"/>
          <w:lang w:val="en-US" w:eastAsia="zh-CN"/>
        </w:rPr>
      </w:pPr>
    </w:p>
    <w:p>
      <w:pPr>
        <w:rPr>
          <w:rFonts w:hint="default" w:ascii="Times New Roman" w:hAnsi="Times New Roman" w:cs="Times New Roman"/>
          <w:szCs w:val="21"/>
        </w:rPr>
      </w:pPr>
      <w:r>
        <w:rPr>
          <w:sz w:val="20"/>
        </w:rPr>
        <w:br w:type="page"/>
      </w:r>
    </w:p>
    <w:bookmarkEnd w:id="463"/>
    <w:p>
      <w:pPr>
        <w:pStyle w:val="3"/>
        <w:jc w:val="center"/>
        <w:rPr>
          <w:rFonts w:hint="eastAsia"/>
          <w:highlight w:val="none"/>
        </w:rPr>
      </w:pPr>
      <w:bookmarkStart w:id="464" w:name="_Toc144974871"/>
      <w:bookmarkStart w:id="465" w:name="_Toc246996369"/>
      <w:bookmarkStart w:id="466" w:name="_Toc179632823"/>
      <w:bookmarkStart w:id="467" w:name="_Toc246997112"/>
      <w:bookmarkStart w:id="468" w:name="_Toc296602614"/>
      <w:bookmarkStart w:id="469" w:name="_Toc152045803"/>
      <w:bookmarkStart w:id="470" w:name="_Toc152042592"/>
      <w:bookmarkStart w:id="471" w:name="_Toc247085887"/>
      <w:bookmarkStart w:id="472" w:name="_Toc300835224"/>
      <w:bookmarkStart w:id="473" w:name="_Toc144974876"/>
      <w:bookmarkStart w:id="474" w:name="_Toc152045808"/>
      <w:bookmarkStart w:id="475" w:name="_Toc247527848"/>
      <w:bookmarkStart w:id="476" w:name="_Toc247514300"/>
      <w:bookmarkStart w:id="477" w:name="_Toc152042597"/>
      <w:r>
        <w:rPr>
          <w:rFonts w:hint="eastAsia"/>
          <w:highlight w:val="none"/>
          <w:lang w:val="en-US" w:eastAsia="zh-CN"/>
        </w:rPr>
        <w:t>六</w:t>
      </w:r>
      <w:r>
        <w:rPr>
          <w:highlight w:val="none"/>
        </w:rPr>
        <w:t>、资格审查资料</w:t>
      </w:r>
    </w:p>
    <w:p>
      <w:pPr>
        <w:pStyle w:val="4"/>
        <w:jc w:val="both"/>
        <w:rPr>
          <w:rFonts w:hint="eastAsia"/>
        </w:rPr>
      </w:pPr>
      <w:r>
        <w:t>（一）基本情况表</w:t>
      </w:r>
    </w:p>
    <w:tbl>
      <w:tblPr>
        <w:tblStyle w:val="15"/>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51"/>
        <w:gridCol w:w="1134"/>
        <w:gridCol w:w="1854"/>
        <w:gridCol w:w="1134"/>
        <w:gridCol w:w="184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投标人名称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注册资金</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成立时间</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注册地址</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邮政编码</w:t>
            </w:r>
          </w:p>
        </w:tc>
        <w:tc>
          <w:tcPr>
            <w:tcW w:w="2988"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员工总数</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联系方式</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联系人</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网址</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eastAsiaTheme="minorEastAsia"/>
                <w:szCs w:val="21"/>
                <w:lang w:val="en-US" w:eastAsia="zh-CN"/>
              </w:rPr>
            </w:pPr>
            <w:r>
              <w:rPr>
                <w:rFonts w:hint="eastAsia"/>
                <w:szCs w:val="21"/>
                <w:lang w:val="en-US" w:eastAsia="zh-CN"/>
              </w:rPr>
              <w:t>传真</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r>
              <w:rPr>
                <w:rFonts w:hint="eastAsia"/>
                <w:szCs w:val="21"/>
                <w:lang w:val="en-US" w:eastAsia="zh-CN"/>
              </w:rPr>
              <w:t>法定代表人</w:t>
            </w:r>
          </w:p>
          <w:p>
            <w:pPr>
              <w:topLinePunct/>
              <w:spacing w:line="440" w:lineRule="exact"/>
              <w:jc w:val="center"/>
              <w:rPr>
                <w:rFonts w:hint="default"/>
                <w:szCs w:val="21"/>
                <w:lang w:val="en-US" w:eastAsia="zh-CN"/>
              </w:rPr>
            </w:pPr>
            <w:r>
              <w:rPr>
                <w:rFonts w:hint="eastAsia"/>
                <w:szCs w:val="21"/>
                <w:lang w:val="en-US" w:eastAsia="zh-CN"/>
              </w:rPr>
              <w:t>（单位负责人）</w:t>
            </w: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姓名</w:t>
            </w:r>
          </w:p>
        </w:tc>
        <w:tc>
          <w:tcPr>
            <w:tcW w:w="185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c>
          <w:tcPr>
            <w:tcW w:w="1134"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电话</w:t>
            </w:r>
          </w:p>
        </w:tc>
        <w:tc>
          <w:tcPr>
            <w:tcW w:w="184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投标人须知要求投标人需具有的各类资质证书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left"/>
              <w:rPr>
                <w:rFonts w:hint="default"/>
                <w:szCs w:val="21"/>
                <w:lang w:val="en-US" w:eastAsia="zh-CN"/>
              </w:rPr>
            </w:pPr>
            <w:r>
              <w:rPr>
                <w:rFonts w:hint="eastAsia"/>
                <w:szCs w:val="21"/>
                <w:lang w:val="en-US" w:eastAsia="zh-CN"/>
              </w:rPr>
              <w:t>类型：            等级：            证书号：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基本账户开户银行</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lang w:val="en-US" w:eastAsia="zh-CN"/>
              </w:rPr>
            </w:pPr>
            <w:r>
              <w:rPr>
                <w:rFonts w:hint="eastAsia"/>
                <w:szCs w:val="21"/>
                <w:lang w:val="en-US" w:eastAsia="zh-CN"/>
              </w:rPr>
              <w:t>基本账户银行账号</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lang w:val="en-US" w:eastAsia="zh-CN"/>
              </w:rPr>
            </w:pPr>
            <w:r>
              <w:rPr>
                <w:rFonts w:hint="eastAsia"/>
                <w:szCs w:val="21"/>
                <w:lang w:val="en-US" w:eastAsia="zh-CN"/>
              </w:rPr>
              <w:t>近三年营业额</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default" w:eastAsiaTheme="minorEastAsia"/>
                <w:szCs w:val="21"/>
                <w:lang w:val="en-US" w:eastAsia="zh-CN"/>
              </w:rPr>
            </w:pPr>
            <w:r>
              <w:rPr>
                <w:rFonts w:hint="eastAsia"/>
                <w:szCs w:val="21"/>
                <w:lang w:val="en-US" w:eastAsia="zh-CN"/>
              </w:rPr>
              <w:t>投标人关联企业情况（包括但不限于与投标人法定代表人（单位负责人）为同一人或者存在控股、管理关系的不同单位）</w:t>
            </w:r>
          </w:p>
        </w:tc>
        <w:tc>
          <w:tcPr>
            <w:tcW w:w="5970" w:type="dxa"/>
            <w:gridSpan w:val="4"/>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rFonts w:hint="eastAsia"/>
                <w:szCs w:val="21"/>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投标产品制造商名称</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red"/>
                <w:lang w:val="en-US" w:eastAsia="zh-CN"/>
              </w:rPr>
            </w:pPr>
            <w:r>
              <w:rPr>
                <w:rFonts w:hint="eastAsia"/>
                <w:szCs w:val="21"/>
                <w:highlight w:val="none"/>
                <w:lang w:val="en-US" w:eastAsia="zh-CN"/>
              </w:rPr>
              <w:t>投标人须知要求投标产品制造商需具有的资质证书</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eastAsia"/>
                <w:szCs w:val="21"/>
                <w:highlight w:val="red"/>
                <w:lang w:val="en-US" w:eastAsia="zh-C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5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r>
              <w:rPr>
                <w:szCs w:val="21"/>
              </w:rPr>
              <w:t>备注</w:t>
            </w:r>
          </w:p>
        </w:tc>
        <w:tc>
          <w:tcPr>
            <w:tcW w:w="5970"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注：投标人应根据投标人须知第3.5.</w:t>
      </w:r>
      <w:r>
        <w:rPr>
          <w:rFonts w:hint="eastAsia" w:ascii="Times New Roman" w:hAnsi="Times New Roman" w:cs="Times New Roman"/>
          <w:lang w:val="en-US" w:eastAsia="zh-CN"/>
        </w:rPr>
        <w:t>1</w:t>
      </w:r>
      <w:r>
        <w:rPr>
          <w:rFonts w:hint="default" w:ascii="Times New Roman" w:hAnsi="Times New Roman" w:cs="Times New Roman"/>
          <w:lang w:val="en-US" w:eastAsia="zh-CN"/>
        </w:rPr>
        <w:t>项的要求在本表后附相关证明材料。</w:t>
      </w:r>
    </w:p>
    <w:p>
      <w:pPr>
        <w:rPr>
          <w:rFonts w:hint="default" w:ascii="Times New Roman" w:hAnsi="Times New Roman" w:cs="Times New Roman"/>
          <w:lang w:val="en-US" w:eastAsia="zh-CN"/>
        </w:rPr>
      </w:pPr>
    </w:p>
    <w:p>
      <w:pPr>
        <w:rPr>
          <w:rFonts w:hint="eastAsia"/>
        </w:rPr>
      </w:pPr>
      <w:r>
        <w:rPr>
          <w:rFonts w:hint="eastAsia"/>
        </w:rPr>
        <w:br w:type="page"/>
      </w:r>
    </w:p>
    <w:p>
      <w:pPr>
        <w:pStyle w:val="4"/>
        <w:jc w:val="both"/>
        <w:rPr>
          <w:rFonts w:hint="default" w:eastAsiaTheme="minorEastAsia"/>
          <w:lang w:val="en-US" w:eastAsia="zh-CN"/>
        </w:rPr>
      </w:pPr>
      <w:r>
        <w:t>（</w:t>
      </w:r>
      <w:r>
        <w:rPr>
          <w:rFonts w:hint="eastAsia"/>
          <w:lang w:val="en-US" w:eastAsia="zh-CN"/>
        </w:rPr>
        <w:t>二</w:t>
      </w:r>
      <w:r>
        <w:t>）</w:t>
      </w:r>
      <w:r>
        <w:rPr>
          <w:rFonts w:hint="eastAsia"/>
          <w:lang w:val="en-US" w:eastAsia="zh-CN"/>
        </w:rPr>
        <w:t>近年财务状况表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1.投标人应根据投标人须知第3.5.2项的要求在本表后附相关证明材料。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附：3.5.2 “近年财务状况表”应附经会计师事务所或审计机构审计的财务会计报表，包括资产负债表、现金流量表、利润表和财务情况说明书的复印件，具体年份要求见投标人须知前附表。投标人的成立时间少于投标人须知前附表规定年份的，应提供成立以来的财务状况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
    <w:p>
      <w:pPr>
        <w:rPr>
          <w:rFonts w:hint="default" w:ascii="Times New Roman" w:hAnsi="Times New Roman" w:cs="Times New Roman"/>
        </w:rPr>
      </w:pPr>
    </w:p>
    <w:p>
      <w:pPr>
        <w:rPr>
          <w:rFonts w:hint="eastAsia"/>
        </w:rPr>
      </w:pPr>
      <w:r>
        <w:rPr>
          <w:rFonts w:hint="eastAsia"/>
        </w:rPr>
        <w:br w:type="page"/>
      </w:r>
    </w:p>
    <w:p>
      <w:pPr>
        <w:pStyle w:val="4"/>
        <w:rPr>
          <w:rFonts w:hint="default" w:ascii="Times New Roman" w:hAnsi="Times New Roman" w:cs="Times New Roman"/>
        </w:rPr>
      </w:pPr>
      <w:r>
        <w:rPr>
          <w:rFonts w:hint="default" w:ascii="Times New Roman" w:hAnsi="Times New Roman" w:cs="Times New Roman"/>
        </w:rPr>
        <w:t>（三）近年完成的类似项目情况表</w:t>
      </w:r>
    </w:p>
    <w:p>
      <w:pPr>
        <w:spacing w:line="440" w:lineRule="exact"/>
        <w:jc w:val="center"/>
        <w:rPr>
          <w:rFonts w:hint="default" w:ascii="Times New Roman" w:hAnsi="Times New Roman" w:eastAsia="黑体" w:cs="Times New Roman"/>
          <w:sz w:val="23"/>
          <w:szCs w:val="23"/>
        </w:rPr>
      </w:pPr>
    </w:p>
    <w:tbl>
      <w:tblPr>
        <w:tblStyle w:val="15"/>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产品</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highlight w:val="blac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规格和型号</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项目</w:t>
            </w:r>
            <w:r>
              <w:rPr>
                <w:rFonts w:hint="default" w:ascii="Times New Roman" w:hAnsi="Times New Roman" w:cs="Times New Roman"/>
                <w:szCs w:val="21"/>
              </w:rPr>
              <w:t>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买方名称</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eastAsia" w:ascii="Times New Roman" w:hAnsi="Times New Roman" w:cs="Times New Roman"/>
                <w:szCs w:val="21"/>
                <w:lang w:val="en-US" w:eastAsia="zh-CN"/>
              </w:rPr>
              <w:t>买方联系人及电话</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概况及投标人履约情况</w:t>
            </w:r>
          </w:p>
        </w:tc>
        <w:tc>
          <w:tcPr>
            <w:tcW w:w="6253" w:type="dxa"/>
            <w:noWrap w:val="0"/>
            <w:vAlign w:val="top"/>
          </w:tcPr>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p>
            <w:pPr>
              <w:topLinePunct/>
              <w:spacing w:line="440" w:lineRule="exact"/>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pPr>
              <w:topLinePunct/>
              <w:spacing w:line="440" w:lineRule="exact"/>
              <w:rPr>
                <w:rFonts w:hint="default" w:ascii="Times New Roman" w:hAnsi="Times New Roman" w:cs="Times New Roman"/>
                <w:szCs w:val="21"/>
              </w:rPr>
            </w:pPr>
          </w:p>
        </w:tc>
      </w:tr>
    </w:tbl>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default" w:ascii="Times New Roman" w:hAnsi="Times New Roman" w:cs="Times New Roman"/>
          <w:lang w:val="en-US" w:eastAsia="zh-CN"/>
        </w:rPr>
      </w:pPr>
      <w:r>
        <w:rPr>
          <w:rFonts w:hint="default" w:ascii="Times New Roman" w:hAnsi="Times New Roman" w:cs="Times New Roman"/>
          <w:lang w:val="en-US" w:eastAsia="zh-CN"/>
        </w:rPr>
        <w:t>注：1.投标人应根据投标人须知第3.5.3项的要求在本表后附相关证明材料；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permStart w:id="113" w:edGrp="everyone"/>
      <w:r>
        <w:rPr>
          <w:rFonts w:hint="default" w:ascii="Times New Roman" w:hAnsi="Times New Roman" w:cs="Times New Roman"/>
          <w:lang w:val="en-US" w:eastAsia="zh-CN"/>
        </w:rPr>
        <w:t>2.投标人为代理经销商的，投标人须知第1.4.1项要求投标人提供投标</w:t>
      </w:r>
      <w:r>
        <w:rPr>
          <w:rFonts w:hint="eastAsia" w:ascii="Times New Roman" w:hAnsi="Times New Roman" w:cs="Times New Roman"/>
          <w:lang w:val="en-US" w:eastAsia="zh-CN"/>
        </w:rPr>
        <w:t>产品</w:t>
      </w:r>
      <w:r>
        <w:rPr>
          <w:rFonts w:hint="default" w:ascii="Times New Roman" w:hAnsi="Times New Roman" w:cs="Times New Roman"/>
          <w:lang w:val="en-US" w:eastAsia="zh-CN"/>
        </w:rPr>
        <w:t>的业绩的，投标人应按照上表的格式提供投标设备的业绩情况并根据投标人须知第3.5.3项的要求在本表后附相关证明材料。</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Times New Roman" w:hAnsi="Times New Roman" w:cs="Times New Roman"/>
          <w:lang w:val="en-US" w:eastAsia="zh-CN"/>
        </w:rPr>
      </w:pPr>
      <w:r>
        <w:rPr>
          <w:rFonts w:hint="eastAsia" w:ascii="Times New Roman" w:hAnsi="Times New Roman" w:cs="Times New Roman"/>
          <w:lang w:val="en-US" w:eastAsia="zh-CN"/>
        </w:rPr>
        <w:t>附：3.5.3 “近年完成的类似项目情况表”应附合同协议书的复印件，具体时间要求见投标人须知前附表。每张表格只填写一个项目，并标明序号。</w:t>
      </w:r>
    </w:p>
    <w:permEnd w:id="113"/>
    <w:p>
      <w:pPr>
        <w:rPr>
          <w:rFonts w:hint="eastAsia"/>
        </w:rPr>
      </w:pPr>
      <w:r>
        <w:rPr>
          <w:rFonts w:hint="eastAsia"/>
        </w:rPr>
        <w:br w:type="page"/>
      </w:r>
    </w:p>
    <w:p>
      <w:pPr>
        <w:pStyle w:val="4"/>
        <w:rPr>
          <w:rFonts w:hint="default" w:ascii="Times New Roman" w:hAnsi="Times New Roman" w:eastAsia="宋体" w:cs="Times New Roman"/>
          <w:b w:val="0"/>
          <w:bCs w:val="0"/>
          <w:kern w:val="0"/>
          <w:sz w:val="24"/>
          <w:szCs w:val="24"/>
          <w:highlight w:val="none"/>
          <w:u w:val="none"/>
          <w:lang w:val="en-US" w:eastAsia="zh-CN" w:bidi="ar-SA"/>
        </w:rPr>
      </w:pPr>
      <w:permStart w:id="114" w:edGrp="everyone"/>
      <w:r>
        <w:rPr>
          <w:rFonts w:hint="eastAsia" w:ascii="Times New Roman" w:hAnsi="Times New Roman" w:cs="Times New Roman"/>
          <w:lang w:val="en-US" w:eastAsia="zh-CN"/>
        </w:rPr>
        <w:t>（四）制造商授权书（如要求）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黑体" w:hAnsi="黑体" w:eastAsia="黑体" w:cs="黑体"/>
          <w:b w:val="0"/>
          <w:bCs w:val="0"/>
          <w:kern w:val="0"/>
          <w:sz w:val="28"/>
          <w:szCs w:val="28"/>
          <w:highlight w:val="none"/>
          <w:u w:val="none"/>
          <w:lang w:val="en-US" w:eastAsia="zh-CN" w:bidi="ar-SA"/>
        </w:rPr>
      </w:pPr>
      <w:r>
        <w:rPr>
          <w:rFonts w:hint="eastAsia" w:ascii="黑体" w:hAnsi="黑体" w:eastAsia="黑体" w:cs="黑体"/>
          <w:b w:val="0"/>
          <w:bCs w:val="0"/>
          <w:kern w:val="0"/>
          <w:sz w:val="28"/>
          <w:szCs w:val="28"/>
          <w:highlight w:val="none"/>
          <w:u w:val="none"/>
          <w:lang w:val="en-US" w:eastAsia="zh-CN" w:bidi="ar-SA"/>
        </w:rPr>
        <w:t>制造商授权书</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致：</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（招标人）</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我单位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（制造商名称）是按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（国家/地区名称）法律成立的一家制造商，主要营业地点设在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（制造商地址）。兹授权按</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（国家/地区名称）的法律正式成立的，主要营业地点设在</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（投标人的单位地址）的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（投标人名称）以我单位制造的</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（产品名称）进行</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（项目名称）投标活动。我单位同意按照中标合同供货，并对产品质量承担责任。</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授权期限：</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textAlignment w:val="auto"/>
        <w:rPr>
          <w:rFonts w:hint="default"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投标人名称：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          制造商名称：</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（盖单位章）</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签字人职务：</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eastAsia" w:ascii="Times New Roman" w:hAnsi="Times New Roman" w:eastAsia="宋体" w:cs="Times New Roman"/>
          <w:b w:val="0"/>
          <w:bCs w:val="0"/>
          <w:kern w:val="0"/>
          <w:sz w:val="24"/>
          <w:szCs w:val="24"/>
          <w:highlight w:val="none"/>
          <w:u w:val="none"/>
          <w:lang w:val="en-US" w:eastAsia="zh-CN" w:bidi="ar-SA"/>
        </w:rPr>
      </w:pPr>
    </w:p>
    <w:p>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宋体" w:cs="Times New Roman"/>
          <w:b w:val="0"/>
          <w:bCs w:val="0"/>
          <w:kern w:val="0"/>
          <w:sz w:val="24"/>
          <w:szCs w:val="24"/>
          <w:highlight w:val="none"/>
          <w:u w:val="none"/>
          <w:lang w:val="en-US" w:eastAsia="zh-CN" w:bidi="ar-SA"/>
        </w:rPr>
      </w:pPr>
      <w:r>
        <w:rPr>
          <w:rFonts w:hint="eastAsia" w:ascii="Times New Roman" w:hAnsi="Times New Roman" w:eastAsia="宋体" w:cs="Times New Roman"/>
          <w:b w:val="0"/>
          <w:bCs w:val="0"/>
          <w:kern w:val="0"/>
          <w:sz w:val="24"/>
          <w:szCs w:val="24"/>
          <w:highlight w:val="none"/>
          <w:u w:val="none"/>
          <w:lang w:val="en-US" w:eastAsia="zh-CN" w:bidi="ar-SA"/>
        </w:rPr>
        <w:t>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r>
        <w:rPr>
          <w:rFonts w:hint="eastAsia" w:ascii="Times New Roman" w:hAnsi="Times New Roman" w:eastAsia="宋体" w:cs="Times New Roman"/>
          <w:b w:val="0"/>
          <w:bCs w:val="0"/>
          <w:kern w:val="0"/>
          <w:sz w:val="24"/>
          <w:szCs w:val="24"/>
          <w:highlight w:val="none"/>
          <w:u w:val="none"/>
          <w:lang w:val="en-US" w:eastAsia="zh-CN" w:bidi="ar-SA"/>
        </w:rPr>
        <w:t xml:space="preserve">             签字人姓名：</w:t>
      </w:r>
      <w:r>
        <w:rPr>
          <w:rFonts w:hint="eastAsia" w:ascii="Times New Roman" w:hAnsi="Times New Roman" w:eastAsia="宋体" w:cs="Times New Roman"/>
          <w:b w:val="0"/>
          <w:bCs w:val="0"/>
          <w:kern w:val="0"/>
          <w:sz w:val="24"/>
          <w:szCs w:val="24"/>
          <w:highlight w:val="none"/>
          <w:u w:val="single"/>
          <w:lang w:val="en-US" w:eastAsia="zh-CN" w:bidi="ar-SA"/>
        </w:rPr>
        <w:t xml:space="preserve">        </w:t>
      </w:r>
    </w:p>
    <w:permEnd w:id="114"/>
    <w:p>
      <w:pPr>
        <w:rPr>
          <w:rFonts w:hint="eastAsia"/>
        </w:rPr>
      </w:pPr>
      <w:r>
        <w:rPr>
          <w:rFonts w:hint="eastAsia"/>
        </w:rPr>
        <w:br w:type="page"/>
      </w:r>
    </w:p>
    <w:p>
      <w:pPr>
        <w:pStyle w:val="3"/>
        <w:jc w:val="center"/>
        <w:rPr>
          <w:rFonts w:hint="default" w:eastAsia="黑体"/>
          <w:szCs w:val="21"/>
          <w:lang w:val="en-US" w:eastAsia="zh-CN"/>
        </w:rPr>
      </w:pPr>
      <w:r>
        <w:rPr>
          <w:rFonts w:hint="eastAsia"/>
          <w:lang w:val="en-US" w:eastAsia="zh-CN"/>
        </w:rPr>
        <w:t>七、</w:t>
      </w:r>
      <w:bookmarkEnd w:id="464"/>
      <w:bookmarkEnd w:id="465"/>
      <w:bookmarkEnd w:id="466"/>
      <w:bookmarkEnd w:id="467"/>
      <w:bookmarkEnd w:id="468"/>
      <w:bookmarkEnd w:id="469"/>
      <w:bookmarkEnd w:id="470"/>
      <w:bookmarkEnd w:id="471"/>
      <w:r>
        <w:rPr>
          <w:rFonts w:hint="eastAsia"/>
          <w:lang w:val="en-US" w:eastAsia="zh-CN"/>
        </w:rPr>
        <w:t>投标产品性能指标的详细描述</w:t>
      </w:r>
    </w:p>
    <w:bookmarkEnd w:id="472"/>
    <w:bookmarkEnd w:id="473"/>
    <w:bookmarkEnd w:id="474"/>
    <w:bookmarkEnd w:id="475"/>
    <w:bookmarkEnd w:id="476"/>
    <w:bookmarkEnd w:id="477"/>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八、技术支持资料</w:t>
      </w:r>
    </w:p>
    <w:p>
      <w:pPr>
        <w:rPr>
          <w:rFonts w:hint="default" w:ascii="Times New Roman" w:hAnsi="Times New Roman" w:cs="Times New Roman"/>
        </w:rPr>
      </w:pPr>
      <w:r>
        <w:rPr>
          <w:rFonts w:hint="default" w:ascii="Times New Roman" w:hAnsi="Times New Roman" w:cs="Times New Roman"/>
        </w:rPr>
        <w:br w:type="page"/>
      </w:r>
    </w:p>
    <w:p>
      <w:pPr>
        <w:pStyle w:val="3"/>
        <w:jc w:val="center"/>
        <w:rPr>
          <w:rFonts w:hint="default"/>
          <w:lang w:val="en-US" w:eastAsia="zh-CN"/>
        </w:rPr>
      </w:pPr>
      <w:r>
        <w:rPr>
          <w:rFonts w:hint="eastAsia"/>
          <w:lang w:val="en-US" w:eastAsia="zh-CN"/>
        </w:rPr>
        <w:t>九、相关服务计划</w:t>
      </w:r>
    </w:p>
    <w:p>
      <w:pPr>
        <w:spacing w:line="440" w:lineRule="exact"/>
        <w:rPr>
          <w:rFonts w:hint="default" w:ascii="Times New Roman" w:hAnsi="Times New Roman" w:cs="Times New Roman"/>
        </w:rPr>
      </w:pPr>
      <w:r>
        <w:rPr>
          <w:rFonts w:hint="default" w:ascii="Times New Roman" w:hAnsi="Times New Roman" w:cs="Times New Roman"/>
        </w:rPr>
        <w:br w:type="page"/>
      </w:r>
      <w:bookmarkStart w:id="478" w:name="_Toc247514305"/>
      <w:bookmarkStart w:id="479" w:name="_Toc247527853"/>
      <w:bookmarkStart w:id="480" w:name="_Toc247530162"/>
      <w:bookmarkStart w:id="481" w:name="_Toc144974881"/>
      <w:bookmarkStart w:id="482" w:name="_Toc152042602"/>
      <w:bookmarkStart w:id="483" w:name="_Toc152045813"/>
    </w:p>
    <w:bookmarkEnd w:id="478"/>
    <w:bookmarkEnd w:id="479"/>
    <w:bookmarkEnd w:id="480"/>
    <w:bookmarkEnd w:id="481"/>
    <w:bookmarkEnd w:id="482"/>
    <w:bookmarkEnd w:id="483"/>
    <w:p>
      <w:pPr>
        <w:pStyle w:val="3"/>
        <w:jc w:val="center"/>
        <w:rPr>
          <w:rFonts w:hint="default" w:ascii="Times New Roman" w:hAnsi="Times New Roman" w:cs="Times New Roman"/>
        </w:rPr>
      </w:pPr>
      <w:bookmarkStart w:id="484" w:name="_Toc300835233"/>
      <w:bookmarkStart w:id="485"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484"/>
      <w:bookmarkEnd w:id="485"/>
    </w:p>
    <w:p>
      <w:pPr>
        <w:ind w:firstLine="420" w:firstLineChars="200"/>
        <w:rPr>
          <w:rFonts w:hint="eastAsia" w:ascii="Times New Roman" w:hAnsi="Times New Roman" w:eastAsiaTheme="minorEastAsia"/>
          <w:lang w:eastAsia="zh-CN"/>
        </w:rPr>
      </w:pPr>
      <w:permStart w:id="115" w:edGrp="everyone"/>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ermEnd w:id="115"/>
    </w:p>
    <w:p>
      <w:pPr>
        <w:spacing w:line="400" w:lineRule="exact"/>
        <w:rPr>
          <w:rFonts w:hint="default" w:ascii="Times New Roman" w:hAnsi="Times New Roman" w:cs="Times New Roman"/>
        </w:rPr>
      </w:pPr>
    </w:p>
    <w:p>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Kingsoft Symbol">
    <w:altName w:val="Symbol"/>
    <w:panose1 w:val="00000000000000000000"/>
    <w:charset w:val="00"/>
    <w:family w:val="auto"/>
    <w:pitch w:val="default"/>
    <w:sig w:usb0="00000000" w:usb1="00000000" w:usb2="00000000" w:usb3="00000000" w:csb0="00000000" w:csb1="00000000"/>
  </w:font>
  <w:font w:name="Symbol">
    <w:panose1 w:val="050501020107060205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s>
  <w:rsids>
    <w:rsidRoot w:val="00000000"/>
    <w:rsid w:val="000A4B92"/>
    <w:rsid w:val="001978C2"/>
    <w:rsid w:val="002609D3"/>
    <w:rsid w:val="002C069E"/>
    <w:rsid w:val="0040224D"/>
    <w:rsid w:val="00733B0B"/>
    <w:rsid w:val="00764376"/>
    <w:rsid w:val="00796B76"/>
    <w:rsid w:val="00850CC0"/>
    <w:rsid w:val="00B00F2F"/>
    <w:rsid w:val="00D032BE"/>
    <w:rsid w:val="00FF308E"/>
    <w:rsid w:val="011E6004"/>
    <w:rsid w:val="0145105E"/>
    <w:rsid w:val="014A102B"/>
    <w:rsid w:val="018E53BB"/>
    <w:rsid w:val="019846E3"/>
    <w:rsid w:val="01CB0CDF"/>
    <w:rsid w:val="01CD2334"/>
    <w:rsid w:val="01E140D3"/>
    <w:rsid w:val="01EE4D0C"/>
    <w:rsid w:val="01F16263"/>
    <w:rsid w:val="02016132"/>
    <w:rsid w:val="0212370C"/>
    <w:rsid w:val="021D348F"/>
    <w:rsid w:val="024C62D4"/>
    <w:rsid w:val="025B2DC4"/>
    <w:rsid w:val="026E5FAB"/>
    <w:rsid w:val="026F1774"/>
    <w:rsid w:val="02983D41"/>
    <w:rsid w:val="029F2BC9"/>
    <w:rsid w:val="02A31129"/>
    <w:rsid w:val="02A46690"/>
    <w:rsid w:val="02AC508C"/>
    <w:rsid w:val="02BE075F"/>
    <w:rsid w:val="02F4317E"/>
    <w:rsid w:val="03030333"/>
    <w:rsid w:val="03222393"/>
    <w:rsid w:val="0324584F"/>
    <w:rsid w:val="032652C7"/>
    <w:rsid w:val="033964DC"/>
    <w:rsid w:val="034877EC"/>
    <w:rsid w:val="035021B2"/>
    <w:rsid w:val="03642557"/>
    <w:rsid w:val="03696450"/>
    <w:rsid w:val="038E65F9"/>
    <w:rsid w:val="03C10800"/>
    <w:rsid w:val="03C96DCC"/>
    <w:rsid w:val="03FB71CD"/>
    <w:rsid w:val="04127BBC"/>
    <w:rsid w:val="041515CF"/>
    <w:rsid w:val="04210376"/>
    <w:rsid w:val="04212D24"/>
    <w:rsid w:val="042C575E"/>
    <w:rsid w:val="04382327"/>
    <w:rsid w:val="043A6EF6"/>
    <w:rsid w:val="043F5557"/>
    <w:rsid w:val="044363A4"/>
    <w:rsid w:val="04856772"/>
    <w:rsid w:val="04885B47"/>
    <w:rsid w:val="04A52387"/>
    <w:rsid w:val="04B54547"/>
    <w:rsid w:val="04CD15E8"/>
    <w:rsid w:val="04CF4810"/>
    <w:rsid w:val="04D63FDF"/>
    <w:rsid w:val="04EB08D2"/>
    <w:rsid w:val="04EC7DA2"/>
    <w:rsid w:val="050252F6"/>
    <w:rsid w:val="052D0A47"/>
    <w:rsid w:val="055625ED"/>
    <w:rsid w:val="0560706F"/>
    <w:rsid w:val="0572490A"/>
    <w:rsid w:val="057E3D65"/>
    <w:rsid w:val="058253F2"/>
    <w:rsid w:val="05872EB9"/>
    <w:rsid w:val="05933026"/>
    <w:rsid w:val="059835D0"/>
    <w:rsid w:val="05AF1F5A"/>
    <w:rsid w:val="05BA17C0"/>
    <w:rsid w:val="05D9116E"/>
    <w:rsid w:val="05DB04A3"/>
    <w:rsid w:val="061F0438"/>
    <w:rsid w:val="06292F58"/>
    <w:rsid w:val="063F4D83"/>
    <w:rsid w:val="064B59D4"/>
    <w:rsid w:val="06501BB5"/>
    <w:rsid w:val="06624967"/>
    <w:rsid w:val="06626753"/>
    <w:rsid w:val="06714440"/>
    <w:rsid w:val="067240CC"/>
    <w:rsid w:val="06866D3C"/>
    <w:rsid w:val="06972E4E"/>
    <w:rsid w:val="06A31B6E"/>
    <w:rsid w:val="06A848F7"/>
    <w:rsid w:val="06A905A2"/>
    <w:rsid w:val="06B86823"/>
    <w:rsid w:val="06BF2153"/>
    <w:rsid w:val="06D375E0"/>
    <w:rsid w:val="06D9502E"/>
    <w:rsid w:val="06E329B2"/>
    <w:rsid w:val="06EB4F76"/>
    <w:rsid w:val="06ED1728"/>
    <w:rsid w:val="06F81D74"/>
    <w:rsid w:val="071A70F3"/>
    <w:rsid w:val="074267A8"/>
    <w:rsid w:val="074A7C93"/>
    <w:rsid w:val="07666E00"/>
    <w:rsid w:val="07723470"/>
    <w:rsid w:val="077965A7"/>
    <w:rsid w:val="07832BA1"/>
    <w:rsid w:val="07972327"/>
    <w:rsid w:val="07A85930"/>
    <w:rsid w:val="07EE56D8"/>
    <w:rsid w:val="07F43A9E"/>
    <w:rsid w:val="083726B7"/>
    <w:rsid w:val="08554A0D"/>
    <w:rsid w:val="08563EE1"/>
    <w:rsid w:val="086D3DA1"/>
    <w:rsid w:val="08774BE1"/>
    <w:rsid w:val="088F5820"/>
    <w:rsid w:val="08903F11"/>
    <w:rsid w:val="08932D8F"/>
    <w:rsid w:val="08ED571D"/>
    <w:rsid w:val="08F024B8"/>
    <w:rsid w:val="08F53A28"/>
    <w:rsid w:val="08F85810"/>
    <w:rsid w:val="0922447E"/>
    <w:rsid w:val="0926237D"/>
    <w:rsid w:val="092D0C4C"/>
    <w:rsid w:val="096213E6"/>
    <w:rsid w:val="09641BD1"/>
    <w:rsid w:val="0967298A"/>
    <w:rsid w:val="098F4C8F"/>
    <w:rsid w:val="099948FD"/>
    <w:rsid w:val="09A03EDE"/>
    <w:rsid w:val="09A71C3D"/>
    <w:rsid w:val="09AF2C22"/>
    <w:rsid w:val="09B32D8C"/>
    <w:rsid w:val="09C37FE6"/>
    <w:rsid w:val="09D236A1"/>
    <w:rsid w:val="09DB25D9"/>
    <w:rsid w:val="09DF226A"/>
    <w:rsid w:val="09EC69D2"/>
    <w:rsid w:val="0A074254"/>
    <w:rsid w:val="0A23269A"/>
    <w:rsid w:val="0A3B332D"/>
    <w:rsid w:val="0A466107"/>
    <w:rsid w:val="0A500304"/>
    <w:rsid w:val="0A5234C1"/>
    <w:rsid w:val="0A5B2776"/>
    <w:rsid w:val="0A704DEE"/>
    <w:rsid w:val="0A812DB4"/>
    <w:rsid w:val="0A8B5261"/>
    <w:rsid w:val="0A8E5075"/>
    <w:rsid w:val="0AA913FB"/>
    <w:rsid w:val="0AAE6B76"/>
    <w:rsid w:val="0AB37F43"/>
    <w:rsid w:val="0AB930A2"/>
    <w:rsid w:val="0ADD0DF0"/>
    <w:rsid w:val="0AEB40E8"/>
    <w:rsid w:val="0B0E131B"/>
    <w:rsid w:val="0B416906"/>
    <w:rsid w:val="0B5D1C2A"/>
    <w:rsid w:val="0B685C3C"/>
    <w:rsid w:val="0B7202E7"/>
    <w:rsid w:val="0B991D46"/>
    <w:rsid w:val="0B9F686D"/>
    <w:rsid w:val="0BC47C2C"/>
    <w:rsid w:val="0BDE31B0"/>
    <w:rsid w:val="0C110CA2"/>
    <w:rsid w:val="0C773477"/>
    <w:rsid w:val="0C9F113B"/>
    <w:rsid w:val="0CD3448B"/>
    <w:rsid w:val="0CF072F3"/>
    <w:rsid w:val="0D2466BD"/>
    <w:rsid w:val="0D3A1668"/>
    <w:rsid w:val="0D3C216F"/>
    <w:rsid w:val="0D5C2246"/>
    <w:rsid w:val="0D6A3C45"/>
    <w:rsid w:val="0D7F3B4D"/>
    <w:rsid w:val="0D84383E"/>
    <w:rsid w:val="0DA13B17"/>
    <w:rsid w:val="0DA277FF"/>
    <w:rsid w:val="0DB22432"/>
    <w:rsid w:val="0DB8057F"/>
    <w:rsid w:val="0DBD75AC"/>
    <w:rsid w:val="0DC57869"/>
    <w:rsid w:val="0DD331D8"/>
    <w:rsid w:val="0DDB677F"/>
    <w:rsid w:val="0E093A81"/>
    <w:rsid w:val="0E1201C4"/>
    <w:rsid w:val="0E35096D"/>
    <w:rsid w:val="0E3C08A3"/>
    <w:rsid w:val="0E626142"/>
    <w:rsid w:val="0E6D3EE4"/>
    <w:rsid w:val="0E770F85"/>
    <w:rsid w:val="0E8168AC"/>
    <w:rsid w:val="0E9601D9"/>
    <w:rsid w:val="0EAA3109"/>
    <w:rsid w:val="0EDF4D5E"/>
    <w:rsid w:val="0EF860F0"/>
    <w:rsid w:val="0F024085"/>
    <w:rsid w:val="0F1438EF"/>
    <w:rsid w:val="0F463825"/>
    <w:rsid w:val="0F4B0F6A"/>
    <w:rsid w:val="0F575798"/>
    <w:rsid w:val="0F5F5CB1"/>
    <w:rsid w:val="0F6D192D"/>
    <w:rsid w:val="0F6E4AA0"/>
    <w:rsid w:val="0F886069"/>
    <w:rsid w:val="0FA819A2"/>
    <w:rsid w:val="0FCA08C0"/>
    <w:rsid w:val="0FCA14B6"/>
    <w:rsid w:val="0FE42DE8"/>
    <w:rsid w:val="0FFA6EBC"/>
    <w:rsid w:val="101038A7"/>
    <w:rsid w:val="101E2D38"/>
    <w:rsid w:val="102758B4"/>
    <w:rsid w:val="10446D2F"/>
    <w:rsid w:val="104957CA"/>
    <w:rsid w:val="104D6EF3"/>
    <w:rsid w:val="105C0433"/>
    <w:rsid w:val="1069417C"/>
    <w:rsid w:val="106C1E4B"/>
    <w:rsid w:val="108A23D3"/>
    <w:rsid w:val="1095135B"/>
    <w:rsid w:val="10D35E97"/>
    <w:rsid w:val="10EA5A3E"/>
    <w:rsid w:val="11114551"/>
    <w:rsid w:val="112269D1"/>
    <w:rsid w:val="11356135"/>
    <w:rsid w:val="11357601"/>
    <w:rsid w:val="11800917"/>
    <w:rsid w:val="118955AD"/>
    <w:rsid w:val="11970BCB"/>
    <w:rsid w:val="1197226B"/>
    <w:rsid w:val="11AA0839"/>
    <w:rsid w:val="11C42470"/>
    <w:rsid w:val="11C71895"/>
    <w:rsid w:val="11CD444A"/>
    <w:rsid w:val="11E2334D"/>
    <w:rsid w:val="11F058CE"/>
    <w:rsid w:val="11FC3F3B"/>
    <w:rsid w:val="124D3BAD"/>
    <w:rsid w:val="125A52C4"/>
    <w:rsid w:val="12655D96"/>
    <w:rsid w:val="128E3C38"/>
    <w:rsid w:val="12BF2922"/>
    <w:rsid w:val="12C942C8"/>
    <w:rsid w:val="12DC5F5E"/>
    <w:rsid w:val="12DC7F8C"/>
    <w:rsid w:val="12E82A0B"/>
    <w:rsid w:val="131873D2"/>
    <w:rsid w:val="13274F9C"/>
    <w:rsid w:val="13325EC2"/>
    <w:rsid w:val="13417410"/>
    <w:rsid w:val="134A448A"/>
    <w:rsid w:val="134F7EA7"/>
    <w:rsid w:val="135107A8"/>
    <w:rsid w:val="136066CF"/>
    <w:rsid w:val="13657E31"/>
    <w:rsid w:val="136C3340"/>
    <w:rsid w:val="1387094F"/>
    <w:rsid w:val="139C08EB"/>
    <w:rsid w:val="13D35238"/>
    <w:rsid w:val="13D81B1F"/>
    <w:rsid w:val="14061B66"/>
    <w:rsid w:val="142B5FE2"/>
    <w:rsid w:val="14542872"/>
    <w:rsid w:val="147E2423"/>
    <w:rsid w:val="1487273A"/>
    <w:rsid w:val="148C28CB"/>
    <w:rsid w:val="14944440"/>
    <w:rsid w:val="14A059A0"/>
    <w:rsid w:val="14B97B05"/>
    <w:rsid w:val="14C44177"/>
    <w:rsid w:val="14CD31B9"/>
    <w:rsid w:val="14DA6BBE"/>
    <w:rsid w:val="14E67563"/>
    <w:rsid w:val="14F926F4"/>
    <w:rsid w:val="15021B62"/>
    <w:rsid w:val="150A21BA"/>
    <w:rsid w:val="151779D1"/>
    <w:rsid w:val="1522437E"/>
    <w:rsid w:val="15283931"/>
    <w:rsid w:val="15382F40"/>
    <w:rsid w:val="158374C1"/>
    <w:rsid w:val="15A62ECC"/>
    <w:rsid w:val="15AE56B5"/>
    <w:rsid w:val="15B14179"/>
    <w:rsid w:val="15C516BD"/>
    <w:rsid w:val="16026A2A"/>
    <w:rsid w:val="166266B1"/>
    <w:rsid w:val="169528F0"/>
    <w:rsid w:val="16C724D4"/>
    <w:rsid w:val="16D411E7"/>
    <w:rsid w:val="16ED0036"/>
    <w:rsid w:val="170756D4"/>
    <w:rsid w:val="170F4587"/>
    <w:rsid w:val="176115DC"/>
    <w:rsid w:val="176D7525"/>
    <w:rsid w:val="17824660"/>
    <w:rsid w:val="178F2FF8"/>
    <w:rsid w:val="179121FE"/>
    <w:rsid w:val="17915931"/>
    <w:rsid w:val="17C41ABF"/>
    <w:rsid w:val="181066D2"/>
    <w:rsid w:val="18175D56"/>
    <w:rsid w:val="18276B10"/>
    <w:rsid w:val="18930C59"/>
    <w:rsid w:val="189B5F22"/>
    <w:rsid w:val="18A70256"/>
    <w:rsid w:val="18A944F8"/>
    <w:rsid w:val="18B73074"/>
    <w:rsid w:val="18DA76F1"/>
    <w:rsid w:val="19034C2D"/>
    <w:rsid w:val="190B7F24"/>
    <w:rsid w:val="1916127C"/>
    <w:rsid w:val="193D465D"/>
    <w:rsid w:val="193D4E12"/>
    <w:rsid w:val="19565565"/>
    <w:rsid w:val="196C6238"/>
    <w:rsid w:val="198A59D6"/>
    <w:rsid w:val="19A075E2"/>
    <w:rsid w:val="19A73D74"/>
    <w:rsid w:val="19AA5416"/>
    <w:rsid w:val="19BD63E6"/>
    <w:rsid w:val="19CE7FF6"/>
    <w:rsid w:val="19D70C6D"/>
    <w:rsid w:val="19E2271F"/>
    <w:rsid w:val="19F30E24"/>
    <w:rsid w:val="1A075570"/>
    <w:rsid w:val="1A1C623A"/>
    <w:rsid w:val="1A270D5F"/>
    <w:rsid w:val="1A4D4CED"/>
    <w:rsid w:val="1A797469"/>
    <w:rsid w:val="1A8850B8"/>
    <w:rsid w:val="1A9B5FFB"/>
    <w:rsid w:val="1AA066C8"/>
    <w:rsid w:val="1ADB0B95"/>
    <w:rsid w:val="1AF80851"/>
    <w:rsid w:val="1B0361BC"/>
    <w:rsid w:val="1B116412"/>
    <w:rsid w:val="1B262D26"/>
    <w:rsid w:val="1B2670F4"/>
    <w:rsid w:val="1B2D1E19"/>
    <w:rsid w:val="1B2D7FD6"/>
    <w:rsid w:val="1B3A5220"/>
    <w:rsid w:val="1B3B258E"/>
    <w:rsid w:val="1B652C95"/>
    <w:rsid w:val="1B70155F"/>
    <w:rsid w:val="1B723039"/>
    <w:rsid w:val="1B7700FA"/>
    <w:rsid w:val="1B824429"/>
    <w:rsid w:val="1B894EBC"/>
    <w:rsid w:val="1B8C1172"/>
    <w:rsid w:val="1B9269B7"/>
    <w:rsid w:val="1BB12BB2"/>
    <w:rsid w:val="1BCE49E9"/>
    <w:rsid w:val="1BD12722"/>
    <w:rsid w:val="1BD15865"/>
    <w:rsid w:val="1BFE7E24"/>
    <w:rsid w:val="1C100B6A"/>
    <w:rsid w:val="1C2075D6"/>
    <w:rsid w:val="1C2B6CB4"/>
    <w:rsid w:val="1C3774BA"/>
    <w:rsid w:val="1C4E114E"/>
    <w:rsid w:val="1C533032"/>
    <w:rsid w:val="1C5D5F8B"/>
    <w:rsid w:val="1C6E241C"/>
    <w:rsid w:val="1C7D00AF"/>
    <w:rsid w:val="1CB07DF9"/>
    <w:rsid w:val="1CC3681B"/>
    <w:rsid w:val="1CF251D3"/>
    <w:rsid w:val="1CFF3217"/>
    <w:rsid w:val="1D0C3E62"/>
    <w:rsid w:val="1D1D0D81"/>
    <w:rsid w:val="1D293D92"/>
    <w:rsid w:val="1D5835F0"/>
    <w:rsid w:val="1D594678"/>
    <w:rsid w:val="1D8C5045"/>
    <w:rsid w:val="1D9244F8"/>
    <w:rsid w:val="1D931CEA"/>
    <w:rsid w:val="1DC177D9"/>
    <w:rsid w:val="1E1A236E"/>
    <w:rsid w:val="1E225BB3"/>
    <w:rsid w:val="1E2A6113"/>
    <w:rsid w:val="1E2D212B"/>
    <w:rsid w:val="1E2E6E13"/>
    <w:rsid w:val="1E32182A"/>
    <w:rsid w:val="1E5A61EE"/>
    <w:rsid w:val="1E713E2F"/>
    <w:rsid w:val="1E91399D"/>
    <w:rsid w:val="1E980FE4"/>
    <w:rsid w:val="1EA573D8"/>
    <w:rsid w:val="1EA77665"/>
    <w:rsid w:val="1EB0513B"/>
    <w:rsid w:val="1EB72F76"/>
    <w:rsid w:val="1EC10726"/>
    <w:rsid w:val="1EE36B2C"/>
    <w:rsid w:val="1EF342CB"/>
    <w:rsid w:val="1F020A44"/>
    <w:rsid w:val="1F041BC7"/>
    <w:rsid w:val="1F127B09"/>
    <w:rsid w:val="1F2354C8"/>
    <w:rsid w:val="1F36160E"/>
    <w:rsid w:val="1F3F33F9"/>
    <w:rsid w:val="1F417171"/>
    <w:rsid w:val="1F4D1086"/>
    <w:rsid w:val="1F5D00BF"/>
    <w:rsid w:val="1F5E5F75"/>
    <w:rsid w:val="1F640255"/>
    <w:rsid w:val="1F671677"/>
    <w:rsid w:val="1F722047"/>
    <w:rsid w:val="1F904945"/>
    <w:rsid w:val="1FAA6A2E"/>
    <w:rsid w:val="1FC11059"/>
    <w:rsid w:val="1FDC7161"/>
    <w:rsid w:val="1FE4351E"/>
    <w:rsid w:val="1FE570E2"/>
    <w:rsid w:val="1FE7673E"/>
    <w:rsid w:val="200E38F2"/>
    <w:rsid w:val="201E585F"/>
    <w:rsid w:val="202B1BD0"/>
    <w:rsid w:val="2049266D"/>
    <w:rsid w:val="20534B67"/>
    <w:rsid w:val="20557DC5"/>
    <w:rsid w:val="205A5C16"/>
    <w:rsid w:val="205B7D6A"/>
    <w:rsid w:val="207C33EE"/>
    <w:rsid w:val="2081342E"/>
    <w:rsid w:val="208337BA"/>
    <w:rsid w:val="209740BF"/>
    <w:rsid w:val="2099242E"/>
    <w:rsid w:val="20B0411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A61686"/>
    <w:rsid w:val="21C13A32"/>
    <w:rsid w:val="22270787"/>
    <w:rsid w:val="224D73DD"/>
    <w:rsid w:val="22504E5E"/>
    <w:rsid w:val="22592601"/>
    <w:rsid w:val="22603DB2"/>
    <w:rsid w:val="226D7B83"/>
    <w:rsid w:val="2293123C"/>
    <w:rsid w:val="22995516"/>
    <w:rsid w:val="22A570EC"/>
    <w:rsid w:val="22EF3388"/>
    <w:rsid w:val="232E56FD"/>
    <w:rsid w:val="233F5F96"/>
    <w:rsid w:val="235F4D23"/>
    <w:rsid w:val="236D4028"/>
    <w:rsid w:val="238A4DFC"/>
    <w:rsid w:val="23C95987"/>
    <w:rsid w:val="24226CC5"/>
    <w:rsid w:val="24312A4A"/>
    <w:rsid w:val="244A5E9A"/>
    <w:rsid w:val="244C4BB8"/>
    <w:rsid w:val="24691193"/>
    <w:rsid w:val="246C3A46"/>
    <w:rsid w:val="247152E7"/>
    <w:rsid w:val="24724271"/>
    <w:rsid w:val="24BD0029"/>
    <w:rsid w:val="24FF7718"/>
    <w:rsid w:val="251A7612"/>
    <w:rsid w:val="25237A22"/>
    <w:rsid w:val="252E0774"/>
    <w:rsid w:val="253B28B5"/>
    <w:rsid w:val="25481BCE"/>
    <w:rsid w:val="256E1E26"/>
    <w:rsid w:val="256E2C8A"/>
    <w:rsid w:val="25812F8D"/>
    <w:rsid w:val="25814DB7"/>
    <w:rsid w:val="25824959"/>
    <w:rsid w:val="25987A23"/>
    <w:rsid w:val="25BC46FF"/>
    <w:rsid w:val="25C517A2"/>
    <w:rsid w:val="25EF41EA"/>
    <w:rsid w:val="25F5789E"/>
    <w:rsid w:val="25FD6A72"/>
    <w:rsid w:val="2608561B"/>
    <w:rsid w:val="26196938"/>
    <w:rsid w:val="26261861"/>
    <w:rsid w:val="26382AAC"/>
    <w:rsid w:val="26506FAD"/>
    <w:rsid w:val="26656277"/>
    <w:rsid w:val="26663117"/>
    <w:rsid w:val="267771CA"/>
    <w:rsid w:val="26807144"/>
    <w:rsid w:val="26851ABB"/>
    <w:rsid w:val="268A362E"/>
    <w:rsid w:val="269560EE"/>
    <w:rsid w:val="26AF686C"/>
    <w:rsid w:val="26CA60FC"/>
    <w:rsid w:val="26D16018"/>
    <w:rsid w:val="26DB3228"/>
    <w:rsid w:val="26DF6074"/>
    <w:rsid w:val="26E05716"/>
    <w:rsid w:val="26E825C8"/>
    <w:rsid w:val="26FE679C"/>
    <w:rsid w:val="27301EDB"/>
    <w:rsid w:val="27453115"/>
    <w:rsid w:val="274A285D"/>
    <w:rsid w:val="276C029F"/>
    <w:rsid w:val="27867E0A"/>
    <w:rsid w:val="27982DD4"/>
    <w:rsid w:val="27DD09CE"/>
    <w:rsid w:val="27EC553C"/>
    <w:rsid w:val="280C4BFC"/>
    <w:rsid w:val="2813394B"/>
    <w:rsid w:val="281C1F63"/>
    <w:rsid w:val="281C54D8"/>
    <w:rsid w:val="283610D5"/>
    <w:rsid w:val="284D302B"/>
    <w:rsid w:val="285F5293"/>
    <w:rsid w:val="28622D71"/>
    <w:rsid w:val="286E69FD"/>
    <w:rsid w:val="28A10C81"/>
    <w:rsid w:val="28C56178"/>
    <w:rsid w:val="28FA546B"/>
    <w:rsid w:val="28FE025E"/>
    <w:rsid w:val="29245F1A"/>
    <w:rsid w:val="29366359"/>
    <w:rsid w:val="29586D7A"/>
    <w:rsid w:val="29772B51"/>
    <w:rsid w:val="29791894"/>
    <w:rsid w:val="2984235F"/>
    <w:rsid w:val="29967FD2"/>
    <w:rsid w:val="29A52D8F"/>
    <w:rsid w:val="29C56C3A"/>
    <w:rsid w:val="29D85278"/>
    <w:rsid w:val="29E1380C"/>
    <w:rsid w:val="29E85046"/>
    <w:rsid w:val="2A017BFD"/>
    <w:rsid w:val="2A0A71F8"/>
    <w:rsid w:val="2A4913A2"/>
    <w:rsid w:val="2A5E32CD"/>
    <w:rsid w:val="2A9154D8"/>
    <w:rsid w:val="2AA04C57"/>
    <w:rsid w:val="2AD750C3"/>
    <w:rsid w:val="2AE77D08"/>
    <w:rsid w:val="2AEA3011"/>
    <w:rsid w:val="2AEB08D9"/>
    <w:rsid w:val="2B151AF7"/>
    <w:rsid w:val="2B252D72"/>
    <w:rsid w:val="2B3E0375"/>
    <w:rsid w:val="2B492499"/>
    <w:rsid w:val="2B652A8D"/>
    <w:rsid w:val="2B6C55DB"/>
    <w:rsid w:val="2B8D5640"/>
    <w:rsid w:val="2B9176D3"/>
    <w:rsid w:val="2BF4029C"/>
    <w:rsid w:val="2C1C6937"/>
    <w:rsid w:val="2C202757"/>
    <w:rsid w:val="2C270D43"/>
    <w:rsid w:val="2C6436A6"/>
    <w:rsid w:val="2C7A2A8F"/>
    <w:rsid w:val="2C9023A5"/>
    <w:rsid w:val="2C937549"/>
    <w:rsid w:val="2C9D6A04"/>
    <w:rsid w:val="2CA46F92"/>
    <w:rsid w:val="2CB62598"/>
    <w:rsid w:val="2CBC136A"/>
    <w:rsid w:val="2CD47877"/>
    <w:rsid w:val="2CFE607B"/>
    <w:rsid w:val="2D095409"/>
    <w:rsid w:val="2D3A3199"/>
    <w:rsid w:val="2D4B38E7"/>
    <w:rsid w:val="2D5470D9"/>
    <w:rsid w:val="2D551303"/>
    <w:rsid w:val="2D772574"/>
    <w:rsid w:val="2D8D31B7"/>
    <w:rsid w:val="2D8D5835"/>
    <w:rsid w:val="2DAB1C25"/>
    <w:rsid w:val="2DCC12FC"/>
    <w:rsid w:val="2DD66E3A"/>
    <w:rsid w:val="2DF17D73"/>
    <w:rsid w:val="2E016ADE"/>
    <w:rsid w:val="2E652B8E"/>
    <w:rsid w:val="2E66167A"/>
    <w:rsid w:val="2E6C7EF1"/>
    <w:rsid w:val="2E6D69DB"/>
    <w:rsid w:val="2E6F6584"/>
    <w:rsid w:val="2E7823B0"/>
    <w:rsid w:val="2E7D5CEC"/>
    <w:rsid w:val="2E933BCE"/>
    <w:rsid w:val="2E9C6490"/>
    <w:rsid w:val="2EA40069"/>
    <w:rsid w:val="2EAA3B87"/>
    <w:rsid w:val="2EB66E96"/>
    <w:rsid w:val="2EBC23A0"/>
    <w:rsid w:val="2EFA0191"/>
    <w:rsid w:val="2EFB69EF"/>
    <w:rsid w:val="2F436846"/>
    <w:rsid w:val="2F4556CE"/>
    <w:rsid w:val="2F6F3C93"/>
    <w:rsid w:val="2F754A27"/>
    <w:rsid w:val="2F890E3A"/>
    <w:rsid w:val="2FA1186B"/>
    <w:rsid w:val="2FB1448A"/>
    <w:rsid w:val="2FC802AE"/>
    <w:rsid w:val="2FE66F94"/>
    <w:rsid w:val="301C41BF"/>
    <w:rsid w:val="302369A0"/>
    <w:rsid w:val="303474C0"/>
    <w:rsid w:val="30550CCF"/>
    <w:rsid w:val="305C41A9"/>
    <w:rsid w:val="307C26FF"/>
    <w:rsid w:val="30820205"/>
    <w:rsid w:val="308E41B5"/>
    <w:rsid w:val="30952C59"/>
    <w:rsid w:val="30FF4D69"/>
    <w:rsid w:val="310E5321"/>
    <w:rsid w:val="3113559B"/>
    <w:rsid w:val="311978DB"/>
    <w:rsid w:val="312421F6"/>
    <w:rsid w:val="3127420C"/>
    <w:rsid w:val="31477BEB"/>
    <w:rsid w:val="315523B1"/>
    <w:rsid w:val="3198056E"/>
    <w:rsid w:val="31CD31BF"/>
    <w:rsid w:val="31E10F55"/>
    <w:rsid w:val="31EF5153"/>
    <w:rsid w:val="31FA3D10"/>
    <w:rsid w:val="320B7F80"/>
    <w:rsid w:val="3219008D"/>
    <w:rsid w:val="32215B79"/>
    <w:rsid w:val="322241F2"/>
    <w:rsid w:val="3227669B"/>
    <w:rsid w:val="3229379D"/>
    <w:rsid w:val="32294133"/>
    <w:rsid w:val="322D5AFA"/>
    <w:rsid w:val="32514C44"/>
    <w:rsid w:val="328916BE"/>
    <w:rsid w:val="32974C7A"/>
    <w:rsid w:val="32BB4ABE"/>
    <w:rsid w:val="32C8549C"/>
    <w:rsid w:val="32CA16D9"/>
    <w:rsid w:val="32E83928"/>
    <w:rsid w:val="32F45590"/>
    <w:rsid w:val="33010C9A"/>
    <w:rsid w:val="331C19F3"/>
    <w:rsid w:val="332E5807"/>
    <w:rsid w:val="33380434"/>
    <w:rsid w:val="334234A4"/>
    <w:rsid w:val="33552D94"/>
    <w:rsid w:val="33582884"/>
    <w:rsid w:val="33773188"/>
    <w:rsid w:val="337E77C9"/>
    <w:rsid w:val="338F53C2"/>
    <w:rsid w:val="33925662"/>
    <w:rsid w:val="339B7AA1"/>
    <w:rsid w:val="33B7637D"/>
    <w:rsid w:val="33C837B3"/>
    <w:rsid w:val="33D4661F"/>
    <w:rsid w:val="33ED39C2"/>
    <w:rsid w:val="340F56DE"/>
    <w:rsid w:val="3425597D"/>
    <w:rsid w:val="342A5DF5"/>
    <w:rsid w:val="344851FD"/>
    <w:rsid w:val="34986785"/>
    <w:rsid w:val="349B5E0E"/>
    <w:rsid w:val="34A432B6"/>
    <w:rsid w:val="34AA020B"/>
    <w:rsid w:val="34BC17DA"/>
    <w:rsid w:val="34D015E3"/>
    <w:rsid w:val="34F85DA8"/>
    <w:rsid w:val="3509398E"/>
    <w:rsid w:val="3547266B"/>
    <w:rsid w:val="3554479E"/>
    <w:rsid w:val="357D63E5"/>
    <w:rsid w:val="357F00D0"/>
    <w:rsid w:val="35894506"/>
    <w:rsid w:val="35954DCB"/>
    <w:rsid w:val="35A377DB"/>
    <w:rsid w:val="35E7387F"/>
    <w:rsid w:val="35E81F7A"/>
    <w:rsid w:val="35EF4AF5"/>
    <w:rsid w:val="35F52BF3"/>
    <w:rsid w:val="360530D8"/>
    <w:rsid w:val="3605698A"/>
    <w:rsid w:val="36162F1C"/>
    <w:rsid w:val="363277D2"/>
    <w:rsid w:val="364245EB"/>
    <w:rsid w:val="366244D5"/>
    <w:rsid w:val="36A82C1D"/>
    <w:rsid w:val="36B34449"/>
    <w:rsid w:val="36C342D9"/>
    <w:rsid w:val="370F2E93"/>
    <w:rsid w:val="370F32ED"/>
    <w:rsid w:val="374E35E0"/>
    <w:rsid w:val="37560CC6"/>
    <w:rsid w:val="377F2AD5"/>
    <w:rsid w:val="378D0CEB"/>
    <w:rsid w:val="379A026D"/>
    <w:rsid w:val="37A2207E"/>
    <w:rsid w:val="37A2434F"/>
    <w:rsid w:val="37ED6D6E"/>
    <w:rsid w:val="380C3B20"/>
    <w:rsid w:val="381039F4"/>
    <w:rsid w:val="381B27FE"/>
    <w:rsid w:val="3825367C"/>
    <w:rsid w:val="38262F51"/>
    <w:rsid w:val="38422CE2"/>
    <w:rsid w:val="38464281"/>
    <w:rsid w:val="386E21B0"/>
    <w:rsid w:val="38AE496C"/>
    <w:rsid w:val="38B54D45"/>
    <w:rsid w:val="38D242CD"/>
    <w:rsid w:val="393E0C7A"/>
    <w:rsid w:val="394125EA"/>
    <w:rsid w:val="39470BCD"/>
    <w:rsid w:val="39821F75"/>
    <w:rsid w:val="398B5520"/>
    <w:rsid w:val="398C3DB7"/>
    <w:rsid w:val="39AB6275"/>
    <w:rsid w:val="39E17621"/>
    <w:rsid w:val="39E8044A"/>
    <w:rsid w:val="39F227B1"/>
    <w:rsid w:val="3A151290"/>
    <w:rsid w:val="3A157721"/>
    <w:rsid w:val="3A201663"/>
    <w:rsid w:val="3A257964"/>
    <w:rsid w:val="3A292038"/>
    <w:rsid w:val="3A404967"/>
    <w:rsid w:val="3A4A1178"/>
    <w:rsid w:val="3A524E6B"/>
    <w:rsid w:val="3A762A49"/>
    <w:rsid w:val="3A7C32FC"/>
    <w:rsid w:val="3A826354"/>
    <w:rsid w:val="3A9D28F5"/>
    <w:rsid w:val="3ACD43C9"/>
    <w:rsid w:val="3AFF2C64"/>
    <w:rsid w:val="3B135A0E"/>
    <w:rsid w:val="3B2F69DB"/>
    <w:rsid w:val="3B49637F"/>
    <w:rsid w:val="3B79226F"/>
    <w:rsid w:val="3B8F1138"/>
    <w:rsid w:val="3B904834"/>
    <w:rsid w:val="3B932344"/>
    <w:rsid w:val="3B9D20F5"/>
    <w:rsid w:val="3BB33F88"/>
    <w:rsid w:val="3BC15D34"/>
    <w:rsid w:val="3BD93153"/>
    <w:rsid w:val="3BDA6996"/>
    <w:rsid w:val="3C0A3047"/>
    <w:rsid w:val="3C2E50FB"/>
    <w:rsid w:val="3C37637A"/>
    <w:rsid w:val="3C4A12AD"/>
    <w:rsid w:val="3C5125FC"/>
    <w:rsid w:val="3C690ECB"/>
    <w:rsid w:val="3C7A386B"/>
    <w:rsid w:val="3C860AC6"/>
    <w:rsid w:val="3C8967A4"/>
    <w:rsid w:val="3C960BC8"/>
    <w:rsid w:val="3C9848A1"/>
    <w:rsid w:val="3CA509B7"/>
    <w:rsid w:val="3CA509D1"/>
    <w:rsid w:val="3CD537E6"/>
    <w:rsid w:val="3CD93879"/>
    <w:rsid w:val="3D2571D3"/>
    <w:rsid w:val="3D29776B"/>
    <w:rsid w:val="3D5347E8"/>
    <w:rsid w:val="3D7A2818"/>
    <w:rsid w:val="3D8106EA"/>
    <w:rsid w:val="3D834DF8"/>
    <w:rsid w:val="3DA352B1"/>
    <w:rsid w:val="3DBA0AB6"/>
    <w:rsid w:val="3DBA61E7"/>
    <w:rsid w:val="3DC14624"/>
    <w:rsid w:val="3DD55956"/>
    <w:rsid w:val="3E100FFC"/>
    <w:rsid w:val="3E201534"/>
    <w:rsid w:val="3E625352"/>
    <w:rsid w:val="3E651EE9"/>
    <w:rsid w:val="3E784A78"/>
    <w:rsid w:val="3E8554F5"/>
    <w:rsid w:val="3EB65E71"/>
    <w:rsid w:val="3EC33032"/>
    <w:rsid w:val="3EC61DB3"/>
    <w:rsid w:val="3ECE4FFB"/>
    <w:rsid w:val="3EF62661"/>
    <w:rsid w:val="3F0F3A3D"/>
    <w:rsid w:val="3F3C595E"/>
    <w:rsid w:val="3F59346C"/>
    <w:rsid w:val="3F657308"/>
    <w:rsid w:val="3F7856B5"/>
    <w:rsid w:val="3F7970EE"/>
    <w:rsid w:val="3F8003ED"/>
    <w:rsid w:val="3F8B5F41"/>
    <w:rsid w:val="3FC519F7"/>
    <w:rsid w:val="3FD0326B"/>
    <w:rsid w:val="3FD34D1A"/>
    <w:rsid w:val="3FE34229"/>
    <w:rsid w:val="3FED63B1"/>
    <w:rsid w:val="40031733"/>
    <w:rsid w:val="40076D3D"/>
    <w:rsid w:val="401F65F0"/>
    <w:rsid w:val="404470DB"/>
    <w:rsid w:val="404C2292"/>
    <w:rsid w:val="405D572D"/>
    <w:rsid w:val="408D1EA0"/>
    <w:rsid w:val="408E2DBF"/>
    <w:rsid w:val="409D2A1A"/>
    <w:rsid w:val="40A752D1"/>
    <w:rsid w:val="40B21FB5"/>
    <w:rsid w:val="40B95E2E"/>
    <w:rsid w:val="40C17F9E"/>
    <w:rsid w:val="40C43B66"/>
    <w:rsid w:val="40E247F7"/>
    <w:rsid w:val="40ED0AAF"/>
    <w:rsid w:val="40EE5966"/>
    <w:rsid w:val="410F1967"/>
    <w:rsid w:val="41335FC7"/>
    <w:rsid w:val="415978C8"/>
    <w:rsid w:val="415C1B4D"/>
    <w:rsid w:val="417843F2"/>
    <w:rsid w:val="41807B75"/>
    <w:rsid w:val="418A1799"/>
    <w:rsid w:val="41943621"/>
    <w:rsid w:val="41A61C3F"/>
    <w:rsid w:val="41B17185"/>
    <w:rsid w:val="41F05895"/>
    <w:rsid w:val="42040076"/>
    <w:rsid w:val="420C70DA"/>
    <w:rsid w:val="4226611D"/>
    <w:rsid w:val="425402BB"/>
    <w:rsid w:val="42564ADA"/>
    <w:rsid w:val="42747A95"/>
    <w:rsid w:val="427E52C8"/>
    <w:rsid w:val="42862F6A"/>
    <w:rsid w:val="429D02B3"/>
    <w:rsid w:val="42CA464A"/>
    <w:rsid w:val="42FA6BD0"/>
    <w:rsid w:val="42FB4E01"/>
    <w:rsid w:val="4301585B"/>
    <w:rsid w:val="431B31A4"/>
    <w:rsid w:val="43325808"/>
    <w:rsid w:val="433E1CAF"/>
    <w:rsid w:val="43412297"/>
    <w:rsid w:val="43413ED4"/>
    <w:rsid w:val="43594499"/>
    <w:rsid w:val="43636C3F"/>
    <w:rsid w:val="436E5353"/>
    <w:rsid w:val="438073DF"/>
    <w:rsid w:val="439D6340"/>
    <w:rsid w:val="43B72C56"/>
    <w:rsid w:val="43FD7280"/>
    <w:rsid w:val="441532B2"/>
    <w:rsid w:val="441C5686"/>
    <w:rsid w:val="441E55BD"/>
    <w:rsid w:val="442C59F4"/>
    <w:rsid w:val="442C5CE7"/>
    <w:rsid w:val="443F7EE3"/>
    <w:rsid w:val="44477A7A"/>
    <w:rsid w:val="44501A81"/>
    <w:rsid w:val="445A5900"/>
    <w:rsid w:val="44831552"/>
    <w:rsid w:val="4492209A"/>
    <w:rsid w:val="44A72CB4"/>
    <w:rsid w:val="44DC0CFE"/>
    <w:rsid w:val="44DC4FCA"/>
    <w:rsid w:val="44FD1C6D"/>
    <w:rsid w:val="453F207E"/>
    <w:rsid w:val="454276A8"/>
    <w:rsid w:val="45465AD9"/>
    <w:rsid w:val="457C4AF8"/>
    <w:rsid w:val="45A100BA"/>
    <w:rsid w:val="45A31600"/>
    <w:rsid w:val="45E526C2"/>
    <w:rsid w:val="45ED75B7"/>
    <w:rsid w:val="45EF5694"/>
    <w:rsid w:val="45F32D75"/>
    <w:rsid w:val="45F36B68"/>
    <w:rsid w:val="45FE4441"/>
    <w:rsid w:val="460934CE"/>
    <w:rsid w:val="461F685B"/>
    <w:rsid w:val="463A35BA"/>
    <w:rsid w:val="464478D6"/>
    <w:rsid w:val="46594972"/>
    <w:rsid w:val="46763AFA"/>
    <w:rsid w:val="46A86AC5"/>
    <w:rsid w:val="46AF0ACC"/>
    <w:rsid w:val="46CD2EA3"/>
    <w:rsid w:val="46E33C2A"/>
    <w:rsid w:val="46EB5C2E"/>
    <w:rsid w:val="46F77BF9"/>
    <w:rsid w:val="47191F43"/>
    <w:rsid w:val="471B210D"/>
    <w:rsid w:val="47330BB1"/>
    <w:rsid w:val="474340E1"/>
    <w:rsid w:val="4754737E"/>
    <w:rsid w:val="476E5DEA"/>
    <w:rsid w:val="478D50EB"/>
    <w:rsid w:val="47914A33"/>
    <w:rsid w:val="479B0044"/>
    <w:rsid w:val="479C10BC"/>
    <w:rsid w:val="47A4380D"/>
    <w:rsid w:val="47A6297A"/>
    <w:rsid w:val="47B35BF8"/>
    <w:rsid w:val="47C01A50"/>
    <w:rsid w:val="47C041C7"/>
    <w:rsid w:val="47CB4E60"/>
    <w:rsid w:val="47CD1E0C"/>
    <w:rsid w:val="47D964DB"/>
    <w:rsid w:val="47FC33A5"/>
    <w:rsid w:val="48012A31"/>
    <w:rsid w:val="48140B28"/>
    <w:rsid w:val="481D4366"/>
    <w:rsid w:val="485803F1"/>
    <w:rsid w:val="485E2C28"/>
    <w:rsid w:val="4865215C"/>
    <w:rsid w:val="486942C4"/>
    <w:rsid w:val="487B552A"/>
    <w:rsid w:val="48842F37"/>
    <w:rsid w:val="48970623"/>
    <w:rsid w:val="489A63C4"/>
    <w:rsid w:val="48A26623"/>
    <w:rsid w:val="48A34F21"/>
    <w:rsid w:val="48B05292"/>
    <w:rsid w:val="48B12D0A"/>
    <w:rsid w:val="48B971DC"/>
    <w:rsid w:val="48F556EA"/>
    <w:rsid w:val="491946D3"/>
    <w:rsid w:val="4924047E"/>
    <w:rsid w:val="49276380"/>
    <w:rsid w:val="49441489"/>
    <w:rsid w:val="4948117F"/>
    <w:rsid w:val="494B0B0D"/>
    <w:rsid w:val="49510EF2"/>
    <w:rsid w:val="497E20AD"/>
    <w:rsid w:val="49820EB7"/>
    <w:rsid w:val="499416E9"/>
    <w:rsid w:val="49A63EAD"/>
    <w:rsid w:val="49B4166E"/>
    <w:rsid w:val="49BA2C9E"/>
    <w:rsid w:val="49BC3715"/>
    <w:rsid w:val="49C56A6D"/>
    <w:rsid w:val="49F72310"/>
    <w:rsid w:val="49FD2EE4"/>
    <w:rsid w:val="4A0B4FDE"/>
    <w:rsid w:val="4A343D11"/>
    <w:rsid w:val="4A497D35"/>
    <w:rsid w:val="4A6D183E"/>
    <w:rsid w:val="4A8A37D8"/>
    <w:rsid w:val="4A8B4AB2"/>
    <w:rsid w:val="4ABC0E71"/>
    <w:rsid w:val="4AD9595B"/>
    <w:rsid w:val="4AF93EAE"/>
    <w:rsid w:val="4AFC3A3A"/>
    <w:rsid w:val="4B232749"/>
    <w:rsid w:val="4B26353C"/>
    <w:rsid w:val="4B311212"/>
    <w:rsid w:val="4B3E6720"/>
    <w:rsid w:val="4B43535A"/>
    <w:rsid w:val="4B476348"/>
    <w:rsid w:val="4B625BF7"/>
    <w:rsid w:val="4BB21AF4"/>
    <w:rsid w:val="4BB351AA"/>
    <w:rsid w:val="4BB54107"/>
    <w:rsid w:val="4BB67EEE"/>
    <w:rsid w:val="4BD17814"/>
    <w:rsid w:val="4BDC5109"/>
    <w:rsid w:val="4BE84FA7"/>
    <w:rsid w:val="4BF70C92"/>
    <w:rsid w:val="4BFD0513"/>
    <w:rsid w:val="4C005E77"/>
    <w:rsid w:val="4C1A02C6"/>
    <w:rsid w:val="4C211F55"/>
    <w:rsid w:val="4C2B76C1"/>
    <w:rsid w:val="4C5419A1"/>
    <w:rsid w:val="4C5429A3"/>
    <w:rsid w:val="4C645A11"/>
    <w:rsid w:val="4C87254B"/>
    <w:rsid w:val="4C9149E5"/>
    <w:rsid w:val="4CDE4416"/>
    <w:rsid w:val="4D004DF6"/>
    <w:rsid w:val="4D1B69A4"/>
    <w:rsid w:val="4D1C2C8C"/>
    <w:rsid w:val="4D1E77BE"/>
    <w:rsid w:val="4D245FC5"/>
    <w:rsid w:val="4D2B3B2C"/>
    <w:rsid w:val="4DA943B0"/>
    <w:rsid w:val="4DC515BB"/>
    <w:rsid w:val="4DCB5984"/>
    <w:rsid w:val="4DD610A9"/>
    <w:rsid w:val="4DD64458"/>
    <w:rsid w:val="4DDD4E1A"/>
    <w:rsid w:val="4E135BFA"/>
    <w:rsid w:val="4E1B2DDB"/>
    <w:rsid w:val="4E250E8C"/>
    <w:rsid w:val="4E355E12"/>
    <w:rsid w:val="4E5D7C3A"/>
    <w:rsid w:val="4E8D762E"/>
    <w:rsid w:val="4E9B1112"/>
    <w:rsid w:val="4EA06365"/>
    <w:rsid w:val="4EBD3915"/>
    <w:rsid w:val="4ECD54B1"/>
    <w:rsid w:val="4ED4046B"/>
    <w:rsid w:val="4EDF4B15"/>
    <w:rsid w:val="4EF43B16"/>
    <w:rsid w:val="4F0E1E8F"/>
    <w:rsid w:val="4F2B6C13"/>
    <w:rsid w:val="4F3153D3"/>
    <w:rsid w:val="4F5F3ED1"/>
    <w:rsid w:val="4F804E7C"/>
    <w:rsid w:val="4F85516A"/>
    <w:rsid w:val="4F944D8F"/>
    <w:rsid w:val="4FCA5221"/>
    <w:rsid w:val="4FDA2B47"/>
    <w:rsid w:val="4FE70635"/>
    <w:rsid w:val="4FED0FB9"/>
    <w:rsid w:val="507410D2"/>
    <w:rsid w:val="50A4392E"/>
    <w:rsid w:val="50A53155"/>
    <w:rsid w:val="50A97681"/>
    <w:rsid w:val="50AE3B94"/>
    <w:rsid w:val="50AF7418"/>
    <w:rsid w:val="50E93575"/>
    <w:rsid w:val="50EE4AFC"/>
    <w:rsid w:val="50F04D4E"/>
    <w:rsid w:val="50F57385"/>
    <w:rsid w:val="50F6016F"/>
    <w:rsid w:val="50FB1FB9"/>
    <w:rsid w:val="51132FF4"/>
    <w:rsid w:val="51151213"/>
    <w:rsid w:val="5116195C"/>
    <w:rsid w:val="513225F9"/>
    <w:rsid w:val="513F5114"/>
    <w:rsid w:val="51440384"/>
    <w:rsid w:val="515E6A1B"/>
    <w:rsid w:val="516B705C"/>
    <w:rsid w:val="5177537A"/>
    <w:rsid w:val="518806E3"/>
    <w:rsid w:val="519A635A"/>
    <w:rsid w:val="51A1217B"/>
    <w:rsid w:val="51A47CAD"/>
    <w:rsid w:val="51BC2004"/>
    <w:rsid w:val="51C462A1"/>
    <w:rsid w:val="51C4760A"/>
    <w:rsid w:val="51CB0C5C"/>
    <w:rsid w:val="51CB74F6"/>
    <w:rsid w:val="51D13948"/>
    <w:rsid w:val="51EB5979"/>
    <w:rsid w:val="521A0101"/>
    <w:rsid w:val="52241967"/>
    <w:rsid w:val="52263E21"/>
    <w:rsid w:val="522D1CB6"/>
    <w:rsid w:val="52444C58"/>
    <w:rsid w:val="5263075C"/>
    <w:rsid w:val="52660A26"/>
    <w:rsid w:val="52717995"/>
    <w:rsid w:val="528315FB"/>
    <w:rsid w:val="528F5E6A"/>
    <w:rsid w:val="52910142"/>
    <w:rsid w:val="52990759"/>
    <w:rsid w:val="529E42FF"/>
    <w:rsid w:val="52B87033"/>
    <w:rsid w:val="52BE5917"/>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40540F5"/>
    <w:rsid w:val="54177EC5"/>
    <w:rsid w:val="542913B3"/>
    <w:rsid w:val="543F18BA"/>
    <w:rsid w:val="54846A8C"/>
    <w:rsid w:val="54883400"/>
    <w:rsid w:val="54932F58"/>
    <w:rsid w:val="54A81CB5"/>
    <w:rsid w:val="54C41B11"/>
    <w:rsid w:val="550E49C6"/>
    <w:rsid w:val="556E6B20"/>
    <w:rsid w:val="55A47D96"/>
    <w:rsid w:val="55C94049"/>
    <w:rsid w:val="55DA287E"/>
    <w:rsid w:val="55DD1819"/>
    <w:rsid w:val="55EE6DAD"/>
    <w:rsid w:val="56073162"/>
    <w:rsid w:val="5609127C"/>
    <w:rsid w:val="56243B92"/>
    <w:rsid w:val="563D619D"/>
    <w:rsid w:val="56413F2B"/>
    <w:rsid w:val="56537C47"/>
    <w:rsid w:val="56A010C0"/>
    <w:rsid w:val="56B96B8E"/>
    <w:rsid w:val="56C747B5"/>
    <w:rsid w:val="56D42684"/>
    <w:rsid w:val="56DD2471"/>
    <w:rsid w:val="57210A6D"/>
    <w:rsid w:val="5744214A"/>
    <w:rsid w:val="574B480A"/>
    <w:rsid w:val="57543081"/>
    <w:rsid w:val="575A00F6"/>
    <w:rsid w:val="575E5D20"/>
    <w:rsid w:val="5789649C"/>
    <w:rsid w:val="57A373F0"/>
    <w:rsid w:val="57C83C57"/>
    <w:rsid w:val="57FB2FB4"/>
    <w:rsid w:val="582028C2"/>
    <w:rsid w:val="582908A2"/>
    <w:rsid w:val="583D07DD"/>
    <w:rsid w:val="585F1862"/>
    <w:rsid w:val="58613E05"/>
    <w:rsid w:val="58620D26"/>
    <w:rsid w:val="58706FB1"/>
    <w:rsid w:val="587C5983"/>
    <w:rsid w:val="58DF3A45"/>
    <w:rsid w:val="58E8415E"/>
    <w:rsid w:val="58ED1995"/>
    <w:rsid w:val="58FF1A45"/>
    <w:rsid w:val="591578E8"/>
    <w:rsid w:val="591C580B"/>
    <w:rsid w:val="5926497A"/>
    <w:rsid w:val="592A1893"/>
    <w:rsid w:val="595D3E12"/>
    <w:rsid w:val="596040BD"/>
    <w:rsid w:val="598C3104"/>
    <w:rsid w:val="59961EFB"/>
    <w:rsid w:val="59A11353"/>
    <w:rsid w:val="59B40569"/>
    <w:rsid w:val="5A0336C4"/>
    <w:rsid w:val="5A1D0D82"/>
    <w:rsid w:val="5A20315B"/>
    <w:rsid w:val="5A4C2893"/>
    <w:rsid w:val="5A5827FE"/>
    <w:rsid w:val="5A70211C"/>
    <w:rsid w:val="5A9A53AC"/>
    <w:rsid w:val="5AAB2A29"/>
    <w:rsid w:val="5AAB3211"/>
    <w:rsid w:val="5AAC7307"/>
    <w:rsid w:val="5AB86388"/>
    <w:rsid w:val="5ABF41C0"/>
    <w:rsid w:val="5ACA577B"/>
    <w:rsid w:val="5AD07CB2"/>
    <w:rsid w:val="5AE37CAA"/>
    <w:rsid w:val="5AEF1DC1"/>
    <w:rsid w:val="5B09375B"/>
    <w:rsid w:val="5B353486"/>
    <w:rsid w:val="5B3A7E78"/>
    <w:rsid w:val="5B3D442E"/>
    <w:rsid w:val="5B412C22"/>
    <w:rsid w:val="5B4B2EB1"/>
    <w:rsid w:val="5B510D60"/>
    <w:rsid w:val="5B570332"/>
    <w:rsid w:val="5B5714EF"/>
    <w:rsid w:val="5B5F0395"/>
    <w:rsid w:val="5B6300A3"/>
    <w:rsid w:val="5B6C0ED6"/>
    <w:rsid w:val="5B790B4E"/>
    <w:rsid w:val="5B7A2400"/>
    <w:rsid w:val="5B9B626D"/>
    <w:rsid w:val="5BA762EC"/>
    <w:rsid w:val="5BD32897"/>
    <w:rsid w:val="5BF50A44"/>
    <w:rsid w:val="5C272C70"/>
    <w:rsid w:val="5C295CCC"/>
    <w:rsid w:val="5C381A3A"/>
    <w:rsid w:val="5C5C135C"/>
    <w:rsid w:val="5C872DAA"/>
    <w:rsid w:val="5C974816"/>
    <w:rsid w:val="5CA97228"/>
    <w:rsid w:val="5CBA57BD"/>
    <w:rsid w:val="5CC5471C"/>
    <w:rsid w:val="5CDC5386"/>
    <w:rsid w:val="5CEE7B85"/>
    <w:rsid w:val="5CF07506"/>
    <w:rsid w:val="5CF73D69"/>
    <w:rsid w:val="5D202057"/>
    <w:rsid w:val="5D4700C2"/>
    <w:rsid w:val="5D6C4615"/>
    <w:rsid w:val="5D7C5A81"/>
    <w:rsid w:val="5DD31E8F"/>
    <w:rsid w:val="5DDF2196"/>
    <w:rsid w:val="5DF01C4B"/>
    <w:rsid w:val="5DF704AE"/>
    <w:rsid w:val="5DF954B7"/>
    <w:rsid w:val="5DFF05CD"/>
    <w:rsid w:val="5E1672C2"/>
    <w:rsid w:val="5E1B6033"/>
    <w:rsid w:val="5E2612F9"/>
    <w:rsid w:val="5E534129"/>
    <w:rsid w:val="5E6E3C24"/>
    <w:rsid w:val="5E7255BD"/>
    <w:rsid w:val="5E937CCC"/>
    <w:rsid w:val="5EF83794"/>
    <w:rsid w:val="5F0173CC"/>
    <w:rsid w:val="5F1A1A93"/>
    <w:rsid w:val="5F287F7E"/>
    <w:rsid w:val="5F2C67EF"/>
    <w:rsid w:val="5F475677"/>
    <w:rsid w:val="5F484198"/>
    <w:rsid w:val="5F50072F"/>
    <w:rsid w:val="5F567498"/>
    <w:rsid w:val="5F7D71F9"/>
    <w:rsid w:val="5F8420E2"/>
    <w:rsid w:val="5F887220"/>
    <w:rsid w:val="5F9022AB"/>
    <w:rsid w:val="5FB81E56"/>
    <w:rsid w:val="5FD85FDC"/>
    <w:rsid w:val="5FEB78D3"/>
    <w:rsid w:val="5FEC00EE"/>
    <w:rsid w:val="600951D4"/>
    <w:rsid w:val="6010358A"/>
    <w:rsid w:val="60156960"/>
    <w:rsid w:val="601A25EF"/>
    <w:rsid w:val="60250EC1"/>
    <w:rsid w:val="603E7832"/>
    <w:rsid w:val="6044067F"/>
    <w:rsid w:val="60793AF7"/>
    <w:rsid w:val="60803296"/>
    <w:rsid w:val="6099592B"/>
    <w:rsid w:val="60A13AB9"/>
    <w:rsid w:val="60A7744C"/>
    <w:rsid w:val="60CF04AB"/>
    <w:rsid w:val="60DB5486"/>
    <w:rsid w:val="60E82C1A"/>
    <w:rsid w:val="60EC0541"/>
    <w:rsid w:val="60FD245E"/>
    <w:rsid w:val="61033EA8"/>
    <w:rsid w:val="610A1613"/>
    <w:rsid w:val="610E0DD2"/>
    <w:rsid w:val="61157719"/>
    <w:rsid w:val="61251167"/>
    <w:rsid w:val="61432D9E"/>
    <w:rsid w:val="61683AEB"/>
    <w:rsid w:val="6186668A"/>
    <w:rsid w:val="618A70BC"/>
    <w:rsid w:val="61963F6D"/>
    <w:rsid w:val="61BD1F9D"/>
    <w:rsid w:val="61C55405"/>
    <w:rsid w:val="61EA093B"/>
    <w:rsid w:val="62024DB4"/>
    <w:rsid w:val="62117D72"/>
    <w:rsid w:val="62140656"/>
    <w:rsid w:val="62210A89"/>
    <w:rsid w:val="62285DB7"/>
    <w:rsid w:val="626857C6"/>
    <w:rsid w:val="626C17E1"/>
    <w:rsid w:val="62923991"/>
    <w:rsid w:val="62966DA1"/>
    <w:rsid w:val="62E73159"/>
    <w:rsid w:val="62F20D03"/>
    <w:rsid w:val="62F26EC0"/>
    <w:rsid w:val="62F75B83"/>
    <w:rsid w:val="63095375"/>
    <w:rsid w:val="6312135F"/>
    <w:rsid w:val="632A3D0D"/>
    <w:rsid w:val="633443AB"/>
    <w:rsid w:val="6353750E"/>
    <w:rsid w:val="638857E1"/>
    <w:rsid w:val="63AB78F4"/>
    <w:rsid w:val="63C642C7"/>
    <w:rsid w:val="63C67883"/>
    <w:rsid w:val="63C85688"/>
    <w:rsid w:val="63CD5666"/>
    <w:rsid w:val="63D01EF3"/>
    <w:rsid w:val="63D2038C"/>
    <w:rsid w:val="63E15DFA"/>
    <w:rsid w:val="63E631E1"/>
    <w:rsid w:val="63F66CE6"/>
    <w:rsid w:val="640E7E19"/>
    <w:rsid w:val="64236413"/>
    <w:rsid w:val="647527CB"/>
    <w:rsid w:val="648A0F84"/>
    <w:rsid w:val="648E4974"/>
    <w:rsid w:val="648F4377"/>
    <w:rsid w:val="64935AC5"/>
    <w:rsid w:val="64994927"/>
    <w:rsid w:val="649E65A7"/>
    <w:rsid w:val="64B70C4D"/>
    <w:rsid w:val="64D14920"/>
    <w:rsid w:val="64DC3A26"/>
    <w:rsid w:val="64E738E4"/>
    <w:rsid w:val="64EA382F"/>
    <w:rsid w:val="64ED3306"/>
    <w:rsid w:val="65112EA3"/>
    <w:rsid w:val="6511603A"/>
    <w:rsid w:val="65162422"/>
    <w:rsid w:val="65206DF6"/>
    <w:rsid w:val="652763A9"/>
    <w:rsid w:val="653B0F51"/>
    <w:rsid w:val="65434194"/>
    <w:rsid w:val="65477730"/>
    <w:rsid w:val="654912E0"/>
    <w:rsid w:val="656A4332"/>
    <w:rsid w:val="656E5DB3"/>
    <w:rsid w:val="65733372"/>
    <w:rsid w:val="65744876"/>
    <w:rsid w:val="657845AE"/>
    <w:rsid w:val="658D0170"/>
    <w:rsid w:val="65991D3E"/>
    <w:rsid w:val="659E280B"/>
    <w:rsid w:val="65B74A52"/>
    <w:rsid w:val="65BD55BD"/>
    <w:rsid w:val="65C53449"/>
    <w:rsid w:val="65F27286"/>
    <w:rsid w:val="6602655A"/>
    <w:rsid w:val="66037BA1"/>
    <w:rsid w:val="660D45C7"/>
    <w:rsid w:val="66280ABB"/>
    <w:rsid w:val="666717B3"/>
    <w:rsid w:val="6668032B"/>
    <w:rsid w:val="667C4290"/>
    <w:rsid w:val="66AB481F"/>
    <w:rsid w:val="66C95898"/>
    <w:rsid w:val="66F8201A"/>
    <w:rsid w:val="671C5A04"/>
    <w:rsid w:val="673D3C8F"/>
    <w:rsid w:val="673F01D2"/>
    <w:rsid w:val="676777C3"/>
    <w:rsid w:val="677D4B8A"/>
    <w:rsid w:val="67802ACE"/>
    <w:rsid w:val="67804B33"/>
    <w:rsid w:val="67C40A09"/>
    <w:rsid w:val="67D020A7"/>
    <w:rsid w:val="67D600B8"/>
    <w:rsid w:val="67DD4B2A"/>
    <w:rsid w:val="67E4087E"/>
    <w:rsid w:val="67E95901"/>
    <w:rsid w:val="67EC2FBF"/>
    <w:rsid w:val="67FA56DC"/>
    <w:rsid w:val="6821192D"/>
    <w:rsid w:val="68337E89"/>
    <w:rsid w:val="68337EE8"/>
    <w:rsid w:val="683A6C76"/>
    <w:rsid w:val="685C5B46"/>
    <w:rsid w:val="686F1486"/>
    <w:rsid w:val="688C0656"/>
    <w:rsid w:val="68AE1735"/>
    <w:rsid w:val="68B72950"/>
    <w:rsid w:val="68D60630"/>
    <w:rsid w:val="68F00432"/>
    <w:rsid w:val="68F8555D"/>
    <w:rsid w:val="691D712E"/>
    <w:rsid w:val="695D23C7"/>
    <w:rsid w:val="697E7396"/>
    <w:rsid w:val="69A009FE"/>
    <w:rsid w:val="69A729C5"/>
    <w:rsid w:val="69BE2739"/>
    <w:rsid w:val="69BF206E"/>
    <w:rsid w:val="69E46DF1"/>
    <w:rsid w:val="69E8174D"/>
    <w:rsid w:val="69EB7655"/>
    <w:rsid w:val="69F66247"/>
    <w:rsid w:val="69F820EF"/>
    <w:rsid w:val="69F86AAF"/>
    <w:rsid w:val="6A1F6154"/>
    <w:rsid w:val="6A2746CC"/>
    <w:rsid w:val="6A4F7CF0"/>
    <w:rsid w:val="6A5517EC"/>
    <w:rsid w:val="6A694BA1"/>
    <w:rsid w:val="6A734205"/>
    <w:rsid w:val="6A995680"/>
    <w:rsid w:val="6ABC3292"/>
    <w:rsid w:val="6AC04F0B"/>
    <w:rsid w:val="6AD34458"/>
    <w:rsid w:val="6ADC4801"/>
    <w:rsid w:val="6ADF25FC"/>
    <w:rsid w:val="6B020CD0"/>
    <w:rsid w:val="6B1148AC"/>
    <w:rsid w:val="6B3E0351"/>
    <w:rsid w:val="6B42449D"/>
    <w:rsid w:val="6B451364"/>
    <w:rsid w:val="6B4A5562"/>
    <w:rsid w:val="6B565807"/>
    <w:rsid w:val="6B7A369F"/>
    <w:rsid w:val="6BAC2823"/>
    <w:rsid w:val="6BBD5024"/>
    <w:rsid w:val="6BF37DF1"/>
    <w:rsid w:val="6C07486C"/>
    <w:rsid w:val="6C630CE9"/>
    <w:rsid w:val="6C914CAA"/>
    <w:rsid w:val="6CB57E24"/>
    <w:rsid w:val="6CCC3665"/>
    <w:rsid w:val="6CEC0F34"/>
    <w:rsid w:val="6CF73CA4"/>
    <w:rsid w:val="6D005FF7"/>
    <w:rsid w:val="6D021C57"/>
    <w:rsid w:val="6D05105B"/>
    <w:rsid w:val="6D062869"/>
    <w:rsid w:val="6D207FCD"/>
    <w:rsid w:val="6D280C36"/>
    <w:rsid w:val="6D286C4C"/>
    <w:rsid w:val="6D2B5B01"/>
    <w:rsid w:val="6D36363D"/>
    <w:rsid w:val="6D381497"/>
    <w:rsid w:val="6D6A2DB3"/>
    <w:rsid w:val="6D6A69AA"/>
    <w:rsid w:val="6D79127B"/>
    <w:rsid w:val="6D832281"/>
    <w:rsid w:val="6D854A1D"/>
    <w:rsid w:val="6DC237AE"/>
    <w:rsid w:val="6DF91502"/>
    <w:rsid w:val="6E01482E"/>
    <w:rsid w:val="6E0D1941"/>
    <w:rsid w:val="6E18292B"/>
    <w:rsid w:val="6E402C35"/>
    <w:rsid w:val="6E403BCF"/>
    <w:rsid w:val="6E424CF7"/>
    <w:rsid w:val="6E96703D"/>
    <w:rsid w:val="6E984122"/>
    <w:rsid w:val="6EC15C51"/>
    <w:rsid w:val="6EC4761A"/>
    <w:rsid w:val="6ED26905"/>
    <w:rsid w:val="6ED924EF"/>
    <w:rsid w:val="6EE20566"/>
    <w:rsid w:val="6EEB6DD8"/>
    <w:rsid w:val="6EF513F6"/>
    <w:rsid w:val="6F1F0771"/>
    <w:rsid w:val="6F3669E2"/>
    <w:rsid w:val="6F3A0437"/>
    <w:rsid w:val="6F452492"/>
    <w:rsid w:val="6F4E1ABB"/>
    <w:rsid w:val="6F65489B"/>
    <w:rsid w:val="6F86274A"/>
    <w:rsid w:val="6F8A6B50"/>
    <w:rsid w:val="6F9E4E98"/>
    <w:rsid w:val="6FB536E7"/>
    <w:rsid w:val="6FC169C6"/>
    <w:rsid w:val="6FD20CED"/>
    <w:rsid w:val="700148B1"/>
    <w:rsid w:val="700708F2"/>
    <w:rsid w:val="70262445"/>
    <w:rsid w:val="70334A73"/>
    <w:rsid w:val="70796EB7"/>
    <w:rsid w:val="70846EFD"/>
    <w:rsid w:val="70891E2B"/>
    <w:rsid w:val="709304FC"/>
    <w:rsid w:val="70B21D55"/>
    <w:rsid w:val="70BA4068"/>
    <w:rsid w:val="70EF1D98"/>
    <w:rsid w:val="70F06D61"/>
    <w:rsid w:val="70F36F46"/>
    <w:rsid w:val="71231B23"/>
    <w:rsid w:val="713B214A"/>
    <w:rsid w:val="714633CE"/>
    <w:rsid w:val="714A76D4"/>
    <w:rsid w:val="716342F2"/>
    <w:rsid w:val="718621EE"/>
    <w:rsid w:val="71894FD2"/>
    <w:rsid w:val="71A3311F"/>
    <w:rsid w:val="71AA4E1C"/>
    <w:rsid w:val="71AF7537"/>
    <w:rsid w:val="72005730"/>
    <w:rsid w:val="72280301"/>
    <w:rsid w:val="7231753D"/>
    <w:rsid w:val="72386C6E"/>
    <w:rsid w:val="723A3057"/>
    <w:rsid w:val="72400885"/>
    <w:rsid w:val="724B6026"/>
    <w:rsid w:val="725273EA"/>
    <w:rsid w:val="725B1897"/>
    <w:rsid w:val="72603689"/>
    <w:rsid w:val="726C47BC"/>
    <w:rsid w:val="728E7595"/>
    <w:rsid w:val="72CD2240"/>
    <w:rsid w:val="72DC19E2"/>
    <w:rsid w:val="72EC4E12"/>
    <w:rsid w:val="73373DED"/>
    <w:rsid w:val="73391B68"/>
    <w:rsid w:val="733F7A24"/>
    <w:rsid w:val="73432A7A"/>
    <w:rsid w:val="735C44F0"/>
    <w:rsid w:val="73613233"/>
    <w:rsid w:val="736A01CD"/>
    <w:rsid w:val="736B4D35"/>
    <w:rsid w:val="73741988"/>
    <w:rsid w:val="73814929"/>
    <w:rsid w:val="7393399F"/>
    <w:rsid w:val="73984022"/>
    <w:rsid w:val="73C11347"/>
    <w:rsid w:val="73E2421D"/>
    <w:rsid w:val="74000D97"/>
    <w:rsid w:val="74185CCF"/>
    <w:rsid w:val="741D2E7E"/>
    <w:rsid w:val="74563F0C"/>
    <w:rsid w:val="74694C3B"/>
    <w:rsid w:val="746A6AAD"/>
    <w:rsid w:val="747A4FBC"/>
    <w:rsid w:val="748B466B"/>
    <w:rsid w:val="749018A2"/>
    <w:rsid w:val="74D94903"/>
    <w:rsid w:val="74DC7834"/>
    <w:rsid w:val="74E271F1"/>
    <w:rsid w:val="75096F5F"/>
    <w:rsid w:val="75326EC3"/>
    <w:rsid w:val="75371D1E"/>
    <w:rsid w:val="75474A77"/>
    <w:rsid w:val="7551327B"/>
    <w:rsid w:val="755F3E02"/>
    <w:rsid w:val="755F782E"/>
    <w:rsid w:val="75A16A9F"/>
    <w:rsid w:val="75BC6CCF"/>
    <w:rsid w:val="75E27D49"/>
    <w:rsid w:val="760F67F7"/>
    <w:rsid w:val="761867BE"/>
    <w:rsid w:val="76365AD0"/>
    <w:rsid w:val="765D57EA"/>
    <w:rsid w:val="7688585F"/>
    <w:rsid w:val="76E97048"/>
    <w:rsid w:val="76F54CF0"/>
    <w:rsid w:val="76FD5906"/>
    <w:rsid w:val="77072866"/>
    <w:rsid w:val="770B684E"/>
    <w:rsid w:val="771D50F3"/>
    <w:rsid w:val="77204CB1"/>
    <w:rsid w:val="77356662"/>
    <w:rsid w:val="777C1603"/>
    <w:rsid w:val="77A14CDE"/>
    <w:rsid w:val="77AA2F7D"/>
    <w:rsid w:val="77B8543C"/>
    <w:rsid w:val="77C96BD3"/>
    <w:rsid w:val="78266CE5"/>
    <w:rsid w:val="7827421F"/>
    <w:rsid w:val="782B4A23"/>
    <w:rsid w:val="78302F8F"/>
    <w:rsid w:val="784117AB"/>
    <w:rsid w:val="78510397"/>
    <w:rsid w:val="78552936"/>
    <w:rsid w:val="78731F0E"/>
    <w:rsid w:val="78754CBA"/>
    <w:rsid w:val="78962FA5"/>
    <w:rsid w:val="78B611AB"/>
    <w:rsid w:val="78C148AC"/>
    <w:rsid w:val="78CA1FEE"/>
    <w:rsid w:val="78CB3FEB"/>
    <w:rsid w:val="78CF4963"/>
    <w:rsid w:val="78FE2B52"/>
    <w:rsid w:val="793B5CE2"/>
    <w:rsid w:val="79404E92"/>
    <w:rsid w:val="795C411F"/>
    <w:rsid w:val="796834B3"/>
    <w:rsid w:val="796D0618"/>
    <w:rsid w:val="797B3C8A"/>
    <w:rsid w:val="797F45FC"/>
    <w:rsid w:val="79970647"/>
    <w:rsid w:val="79D9682C"/>
    <w:rsid w:val="79D97847"/>
    <w:rsid w:val="79DB75C0"/>
    <w:rsid w:val="79E37881"/>
    <w:rsid w:val="79E4486C"/>
    <w:rsid w:val="79EA2E0E"/>
    <w:rsid w:val="79ED08FA"/>
    <w:rsid w:val="7A067AFA"/>
    <w:rsid w:val="7A0C585A"/>
    <w:rsid w:val="7A2C7450"/>
    <w:rsid w:val="7A326B5A"/>
    <w:rsid w:val="7A553725"/>
    <w:rsid w:val="7A616D0A"/>
    <w:rsid w:val="7A7F2C76"/>
    <w:rsid w:val="7AAC462A"/>
    <w:rsid w:val="7AF84FA0"/>
    <w:rsid w:val="7AF909C6"/>
    <w:rsid w:val="7B6273C9"/>
    <w:rsid w:val="7B6F1BD0"/>
    <w:rsid w:val="7B732126"/>
    <w:rsid w:val="7B755C15"/>
    <w:rsid w:val="7B7B20CE"/>
    <w:rsid w:val="7B8E1216"/>
    <w:rsid w:val="7B9A1345"/>
    <w:rsid w:val="7BBB7E74"/>
    <w:rsid w:val="7BCA6C86"/>
    <w:rsid w:val="7C003703"/>
    <w:rsid w:val="7C044DA1"/>
    <w:rsid w:val="7C176405"/>
    <w:rsid w:val="7C30406C"/>
    <w:rsid w:val="7C365DE1"/>
    <w:rsid w:val="7CA33449"/>
    <w:rsid w:val="7CBB6898"/>
    <w:rsid w:val="7CCE4D69"/>
    <w:rsid w:val="7D0A0BA4"/>
    <w:rsid w:val="7D107AF3"/>
    <w:rsid w:val="7D4253C7"/>
    <w:rsid w:val="7D4C5341"/>
    <w:rsid w:val="7D4E5EE6"/>
    <w:rsid w:val="7D8901AD"/>
    <w:rsid w:val="7D8E577D"/>
    <w:rsid w:val="7D9A426A"/>
    <w:rsid w:val="7DFC1D56"/>
    <w:rsid w:val="7E006F08"/>
    <w:rsid w:val="7E01736D"/>
    <w:rsid w:val="7E333E03"/>
    <w:rsid w:val="7E391FE6"/>
    <w:rsid w:val="7E916762"/>
    <w:rsid w:val="7EA916FD"/>
    <w:rsid w:val="7EAB552B"/>
    <w:rsid w:val="7EE53C64"/>
    <w:rsid w:val="7F403EC5"/>
    <w:rsid w:val="7F541580"/>
    <w:rsid w:val="7F5444E7"/>
    <w:rsid w:val="7F590594"/>
    <w:rsid w:val="7F667225"/>
    <w:rsid w:val="7F7B2EF8"/>
    <w:rsid w:val="7F844A6E"/>
    <w:rsid w:val="7FAA1C29"/>
    <w:rsid w:val="7FAC4830"/>
    <w:rsid w:val="7FB659E5"/>
    <w:rsid w:val="7FB7407D"/>
    <w:rsid w:val="7FBD3767"/>
    <w:rsid w:val="7FEF65CD"/>
    <w:rsid w:val="7FF337B8"/>
    <w:rsid w:val="7FF61AD5"/>
    <w:rsid w:val="7FFB60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7">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4">
    <w:name w:val="Body Text First Indent"/>
    <w:basedOn w:val="7"/>
    <w:qFormat/>
    <w:uiPriority w:val="0"/>
    <w:pPr>
      <w:ind w:firstLine="420" w:firstLineChars="100"/>
    </w:pPr>
  </w:style>
  <w:style w:type="table" w:styleId="16">
    <w:name w:val="Table Grid"/>
    <w:basedOn w:val="1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page number"/>
    <w:basedOn w:val="17"/>
    <w:qFormat/>
    <w:uiPriority w:val="0"/>
  </w:style>
  <w:style w:type="paragraph" w:customStyle="1" w:styleId="19">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0">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1">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2">
    <w:name w:val="列出段落1"/>
    <w:basedOn w:val="1"/>
    <w:qFormat/>
    <w:uiPriority w:val="34"/>
    <w:pPr>
      <w:ind w:firstLine="420" w:firstLineChars="200"/>
    </w:pPr>
  </w:style>
  <w:style w:type="character" w:customStyle="1" w:styleId="23">
    <w:name w:val="font11"/>
    <w:basedOn w:val="17"/>
    <w:qFormat/>
    <w:uiPriority w:val="0"/>
    <w:rPr>
      <w:rFonts w:ascii="Calibri" w:hAnsi="Calibri" w:cs="Calibri"/>
      <w:color w:val="000000"/>
      <w:sz w:val="21"/>
      <w:szCs w:val="21"/>
      <w:u w:val="none"/>
    </w:rPr>
  </w:style>
  <w:style w:type="character" w:customStyle="1" w:styleId="24">
    <w:name w:val="font21"/>
    <w:basedOn w:val="17"/>
    <w:qFormat/>
    <w:uiPriority w:val="0"/>
    <w:rPr>
      <w:rFonts w:hint="eastAsia" w:ascii="宋体" w:hAnsi="宋体" w:eastAsia="宋体" w:cs="宋体"/>
      <w:color w:val="000000"/>
      <w:sz w:val="21"/>
      <w:szCs w:val="21"/>
      <w:u w:val="none"/>
    </w:rPr>
  </w:style>
  <w:style w:type="character" w:customStyle="1" w:styleId="25">
    <w:name w:val="font01"/>
    <w:basedOn w:val="17"/>
    <w:qFormat/>
    <w:uiPriority w:val="0"/>
    <w:rPr>
      <w:rFonts w:ascii="Calibri" w:hAnsi="Calibri" w:cs="Calibri"/>
      <w:color w:val="000000"/>
      <w:sz w:val="21"/>
      <w:szCs w:val="21"/>
      <w:u w:val="none"/>
    </w:rPr>
  </w:style>
  <w:style w:type="character" w:customStyle="1" w:styleId="26">
    <w:name w:val="font31"/>
    <w:basedOn w:val="17"/>
    <w:qFormat/>
    <w:uiPriority w:val="0"/>
    <w:rPr>
      <w:rFonts w:hint="default" w:ascii="Calibri" w:hAnsi="Calibri" w:cs="Calibri"/>
      <w:color w:val="000000"/>
      <w:sz w:val="21"/>
      <w:szCs w:val="21"/>
      <w:u w:val="none"/>
    </w:rPr>
  </w:style>
  <w:style w:type="paragraph" w:customStyle="1" w:styleId="27">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20728</Words>
  <Characters>23062</Characters>
  <Lines>0</Lines>
  <Paragraphs>0</Paragraphs>
  <TotalTime>10</TotalTime>
  <ScaleCrop>false</ScaleCrop>
  <LinksUpToDate>false</LinksUpToDate>
  <CharactersWithSpaces>24709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2023-10-12T09:23:00Z</cp:lastPrinted>
  <dcterms:modified xsi:type="dcterms:W3CDTF">2023-10-13T01:31:09Z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3DC1C1C5EC6741F69426F536341F9981</vt:lpwstr>
  </property>
</Properties>
</file>