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档案室密集柜基本参数</w:t>
      </w:r>
    </w:p>
    <w:p>
      <w:pPr>
        <w:pStyle w:val="4"/>
        <w:keepNext/>
        <w:keepLines/>
        <w:pageBreakBefore w:val="0"/>
        <w:widowControl w:val="0"/>
        <w:numPr>
          <w:ilvl w:val="0"/>
          <w:numId w:val="1"/>
        </w:numPr>
        <w:kinsoku/>
        <w:wordWrap/>
        <w:overflowPunct/>
        <w:topLinePunct w:val="0"/>
        <w:autoSpaceDE/>
        <w:autoSpaceDN/>
        <w:bidi w:val="0"/>
        <w:adjustRightInd w:val="0"/>
        <w:snapToGrid w:val="0"/>
        <w:spacing w:before="0" w:after="0" w:line="360" w:lineRule="auto"/>
        <w:ind w:left="0" w:leftChars="0" w:firstLine="0" w:firstLineChars="0"/>
        <w:jc w:val="left"/>
        <w:textAlignment w:val="auto"/>
        <w:rPr>
          <w:rFonts w:hint="eastAsia"/>
          <w:sz w:val="30"/>
          <w:szCs w:val="30"/>
        </w:rPr>
      </w:pPr>
      <w:bookmarkStart w:id="0" w:name="_Toc6880"/>
      <w:bookmarkStart w:id="1" w:name="_Toc7381"/>
      <w:r>
        <w:rPr>
          <w:rFonts w:hint="eastAsia"/>
          <w:sz w:val="30"/>
          <w:szCs w:val="30"/>
        </w:rPr>
        <w:t>档案库房建设清单</w:t>
      </w:r>
      <w:bookmarkEnd w:id="0"/>
      <w:bookmarkEnd w:id="1"/>
    </w:p>
    <w:tbl>
      <w:tblPr>
        <w:tblStyle w:val="8"/>
        <w:tblW w:w="9069" w:type="dxa"/>
        <w:tblInd w:w="-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842"/>
        <w:gridCol w:w="2419"/>
        <w:gridCol w:w="1375"/>
        <w:gridCol w:w="1305"/>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center"/>
          </w:tcPr>
          <w:p>
            <w:pPr>
              <w:bidi w:val="0"/>
              <w:spacing w:line="360" w:lineRule="auto"/>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序号</w:t>
            </w:r>
          </w:p>
        </w:tc>
        <w:tc>
          <w:tcPr>
            <w:tcW w:w="1842" w:type="dxa"/>
            <w:noWrap w:val="0"/>
            <w:vAlign w:val="center"/>
          </w:tcPr>
          <w:p>
            <w:pPr>
              <w:bidi w:val="0"/>
              <w:spacing w:line="360" w:lineRule="auto"/>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货物名称</w:t>
            </w:r>
          </w:p>
        </w:tc>
        <w:tc>
          <w:tcPr>
            <w:tcW w:w="2419" w:type="dxa"/>
            <w:noWrap w:val="0"/>
            <w:vAlign w:val="center"/>
          </w:tcPr>
          <w:p>
            <w:pPr>
              <w:bidi w:val="0"/>
              <w:spacing w:line="360" w:lineRule="auto"/>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规格（</w:t>
            </w:r>
            <w:r>
              <w:rPr>
                <w:rFonts w:hint="eastAsia" w:ascii="宋体" w:hAnsi="宋体" w:eastAsia="宋体" w:cs="宋体"/>
                <w:sz w:val="24"/>
                <w:szCs w:val="24"/>
                <w:vertAlign w:val="baseline"/>
                <w:lang w:val="en-US" w:eastAsia="zh-CN"/>
              </w:rPr>
              <w:t>mm</w:t>
            </w:r>
            <w:r>
              <w:rPr>
                <w:rFonts w:hint="eastAsia" w:ascii="宋体" w:hAnsi="宋体" w:eastAsia="宋体" w:cs="宋体"/>
                <w:sz w:val="24"/>
                <w:szCs w:val="24"/>
                <w:vertAlign w:val="baseline"/>
                <w:lang w:eastAsia="zh-CN"/>
              </w:rPr>
              <w:t>）</w:t>
            </w:r>
          </w:p>
        </w:tc>
        <w:tc>
          <w:tcPr>
            <w:tcW w:w="1375" w:type="dxa"/>
            <w:noWrap w:val="0"/>
            <w:vAlign w:val="center"/>
          </w:tcPr>
          <w:p>
            <w:pPr>
              <w:bidi w:val="0"/>
              <w:spacing w:line="360" w:lineRule="auto"/>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数量（</w:t>
            </w:r>
            <w:r>
              <w:rPr>
                <w:rFonts w:hint="eastAsia" w:ascii="宋体" w:hAnsi="宋体" w:eastAsia="宋体" w:cs="宋体"/>
                <w:sz w:val="24"/>
                <w:szCs w:val="24"/>
                <w:vertAlign w:val="baseline"/>
                <w:lang w:val="en-US" w:eastAsia="zh-CN"/>
              </w:rPr>
              <w:t>m³</w:t>
            </w:r>
            <w:r>
              <w:rPr>
                <w:rFonts w:hint="eastAsia" w:ascii="宋体" w:hAnsi="宋体" w:eastAsia="宋体" w:cs="宋体"/>
                <w:sz w:val="24"/>
                <w:szCs w:val="24"/>
                <w:vertAlign w:val="baseline"/>
                <w:lang w:eastAsia="zh-CN"/>
              </w:rPr>
              <w:t>）</w:t>
            </w:r>
          </w:p>
        </w:tc>
        <w:tc>
          <w:tcPr>
            <w:tcW w:w="1305" w:type="dxa"/>
            <w:noWrap w:val="0"/>
            <w:vAlign w:val="center"/>
          </w:tcPr>
          <w:p>
            <w:pPr>
              <w:bidi w:val="0"/>
              <w:spacing w:line="360" w:lineRule="auto"/>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单价（元）</w:t>
            </w:r>
          </w:p>
        </w:tc>
        <w:tc>
          <w:tcPr>
            <w:tcW w:w="1320" w:type="dxa"/>
            <w:noWrap w:val="0"/>
            <w:vAlign w:val="center"/>
          </w:tcPr>
          <w:p>
            <w:pPr>
              <w:bidi w:val="0"/>
              <w:spacing w:line="360" w:lineRule="auto"/>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noWrap w:val="0"/>
            <w:vAlign w:val="center"/>
          </w:tcPr>
          <w:p>
            <w:pPr>
              <w:bidi w:val="0"/>
              <w:spacing w:line="360" w:lineRule="auto"/>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842" w:type="dxa"/>
            <w:noWrap w:val="0"/>
            <w:vAlign w:val="center"/>
          </w:tcPr>
          <w:p>
            <w:pPr>
              <w:bidi w:val="0"/>
              <w:spacing w:line="360" w:lineRule="auto"/>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智能电动密集架</w:t>
            </w:r>
          </w:p>
        </w:tc>
        <w:tc>
          <w:tcPr>
            <w:tcW w:w="2419" w:type="dxa"/>
            <w:noWrap w:val="0"/>
            <w:vAlign w:val="center"/>
          </w:tcPr>
          <w:p>
            <w:pPr>
              <w:bidi w:val="0"/>
              <w:spacing w:line="360" w:lineRule="auto"/>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7400*800*2200*12列，8组1列双面6层</w:t>
            </w:r>
          </w:p>
        </w:tc>
        <w:tc>
          <w:tcPr>
            <w:tcW w:w="1375" w:type="dxa"/>
            <w:noWrap w:val="0"/>
            <w:vAlign w:val="center"/>
          </w:tcPr>
          <w:p>
            <w:pPr>
              <w:bidi w:val="0"/>
              <w:spacing w:line="360" w:lineRule="auto"/>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156.28</w:t>
            </w:r>
          </w:p>
        </w:tc>
        <w:tc>
          <w:tcPr>
            <w:tcW w:w="1305" w:type="dxa"/>
            <w:noWrap w:val="0"/>
            <w:vAlign w:val="center"/>
          </w:tcPr>
          <w:p>
            <w:pPr>
              <w:bidi w:val="0"/>
              <w:spacing w:line="360" w:lineRule="auto"/>
              <w:jc w:val="center"/>
              <w:rPr>
                <w:rFonts w:hint="eastAsia" w:ascii="宋体" w:hAnsi="宋体" w:eastAsia="宋体" w:cs="宋体"/>
                <w:sz w:val="24"/>
                <w:szCs w:val="24"/>
                <w:vertAlign w:val="baseline"/>
                <w:lang w:eastAsia="zh-CN"/>
              </w:rPr>
            </w:pPr>
          </w:p>
        </w:tc>
        <w:tc>
          <w:tcPr>
            <w:tcW w:w="1320" w:type="dxa"/>
            <w:noWrap w:val="0"/>
            <w:vAlign w:val="center"/>
          </w:tcPr>
          <w:p>
            <w:pPr>
              <w:bidi w:val="0"/>
              <w:spacing w:line="360" w:lineRule="auto"/>
              <w:jc w:val="center"/>
              <w:rPr>
                <w:rFonts w:hint="eastAsia" w:ascii="宋体" w:hAnsi="宋体" w:eastAsia="宋体" w:cs="宋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9" w:type="dxa"/>
            <w:gridSpan w:val="6"/>
            <w:noWrap w:val="0"/>
            <w:vAlign w:val="center"/>
          </w:tcPr>
          <w:p>
            <w:pPr>
              <w:bidi w:val="0"/>
              <w:spacing w:line="360" w:lineRule="auto"/>
              <w:jc w:val="both"/>
              <w:rPr>
                <w:rFonts w:hint="eastAsia" w:ascii="宋体" w:hAnsi="宋体" w:eastAsia="宋体" w:cs="宋体"/>
                <w:sz w:val="24"/>
                <w:szCs w:val="24"/>
                <w:vertAlign w:val="baseline"/>
                <w:lang w:eastAsia="zh-CN"/>
              </w:rPr>
            </w:pPr>
          </w:p>
        </w:tc>
      </w:tr>
    </w:tbl>
    <w:p>
      <w:pPr>
        <w:pStyle w:val="4"/>
        <w:keepNext/>
        <w:keepLines/>
        <w:pageBreakBefore w:val="0"/>
        <w:widowControl w:val="0"/>
        <w:numPr>
          <w:numId w:val="0"/>
        </w:numPr>
        <w:kinsoku/>
        <w:wordWrap/>
        <w:overflowPunct/>
        <w:topLinePunct w:val="0"/>
        <w:autoSpaceDE/>
        <w:autoSpaceDN/>
        <w:bidi w:val="0"/>
        <w:adjustRightInd w:val="0"/>
        <w:snapToGrid w:val="0"/>
        <w:spacing w:before="0" w:after="0" w:line="360" w:lineRule="auto"/>
        <w:ind w:leftChars="0"/>
        <w:jc w:val="both"/>
        <w:textAlignment w:val="auto"/>
        <w:rPr>
          <w:rFonts w:hint="eastAsia" w:eastAsia="宋体" w:cs="Times New Roman"/>
          <w:b/>
          <w:sz w:val="30"/>
          <w:szCs w:val="30"/>
          <w:lang w:eastAsia="zh-CN"/>
        </w:rPr>
      </w:pPr>
    </w:p>
    <w:p>
      <w:pPr>
        <w:rPr>
          <w:rFonts w:hint="eastAsia" w:eastAsia="宋体" w:cs="Times New Roman"/>
          <w:b/>
          <w:sz w:val="30"/>
          <w:szCs w:val="30"/>
          <w:lang w:eastAsia="zh-CN"/>
        </w:rPr>
      </w:pPr>
    </w:p>
    <w:p>
      <w:pPr>
        <w:pStyle w:val="2"/>
        <w:rPr>
          <w:rFonts w:hint="eastAsia" w:eastAsia="宋体" w:cs="Times New Roman"/>
          <w:b/>
          <w:sz w:val="30"/>
          <w:szCs w:val="30"/>
          <w:lang w:eastAsia="zh-CN"/>
        </w:rPr>
      </w:pPr>
    </w:p>
    <w:p>
      <w:pPr>
        <w:pStyle w:val="3"/>
        <w:rPr>
          <w:rFonts w:hint="eastAsia" w:eastAsia="宋体" w:cs="Times New Roman"/>
          <w:b/>
          <w:sz w:val="30"/>
          <w:szCs w:val="30"/>
          <w:lang w:eastAsia="zh-CN"/>
        </w:rPr>
      </w:pPr>
    </w:p>
    <w:p>
      <w:pPr>
        <w:rPr>
          <w:rFonts w:hint="eastAsia" w:eastAsia="宋体" w:cs="Times New Roman"/>
          <w:b/>
          <w:sz w:val="30"/>
          <w:szCs w:val="30"/>
          <w:lang w:eastAsia="zh-CN"/>
        </w:rPr>
      </w:pPr>
    </w:p>
    <w:p>
      <w:pPr>
        <w:pStyle w:val="2"/>
        <w:rPr>
          <w:rFonts w:hint="eastAsia" w:eastAsia="宋体" w:cs="Times New Roman"/>
          <w:b/>
          <w:sz w:val="30"/>
          <w:szCs w:val="30"/>
          <w:lang w:eastAsia="zh-CN"/>
        </w:rPr>
      </w:pPr>
    </w:p>
    <w:p>
      <w:pPr>
        <w:pStyle w:val="3"/>
        <w:rPr>
          <w:rFonts w:hint="eastAsia" w:eastAsia="宋体" w:cs="Times New Roman"/>
          <w:b/>
          <w:sz w:val="30"/>
          <w:szCs w:val="30"/>
          <w:lang w:eastAsia="zh-CN"/>
        </w:rPr>
      </w:pPr>
    </w:p>
    <w:p>
      <w:pPr>
        <w:rPr>
          <w:rFonts w:hint="eastAsia"/>
          <w:lang w:eastAsia="zh-CN"/>
        </w:rPr>
      </w:pPr>
    </w:p>
    <w:p>
      <w:pPr>
        <w:pStyle w:val="4"/>
        <w:keepNext/>
        <w:keepLines/>
        <w:pageBreakBefore w:val="0"/>
        <w:widowControl w:val="0"/>
        <w:numPr>
          <w:ilvl w:val="0"/>
          <w:numId w:val="1"/>
        </w:numPr>
        <w:kinsoku/>
        <w:wordWrap/>
        <w:overflowPunct/>
        <w:topLinePunct w:val="0"/>
        <w:autoSpaceDE/>
        <w:autoSpaceDN/>
        <w:bidi w:val="0"/>
        <w:adjustRightInd w:val="0"/>
        <w:snapToGrid w:val="0"/>
        <w:spacing w:before="0" w:after="0" w:line="360" w:lineRule="auto"/>
        <w:ind w:left="0" w:leftChars="0" w:firstLine="0" w:firstLineChars="0"/>
        <w:textAlignment w:val="auto"/>
        <w:rPr>
          <w:rFonts w:hint="eastAsia" w:eastAsia="宋体" w:cs="Times New Roman"/>
          <w:b/>
          <w:sz w:val="30"/>
          <w:szCs w:val="30"/>
          <w:lang w:eastAsia="zh-CN"/>
        </w:rPr>
      </w:pPr>
      <w:r>
        <w:rPr>
          <w:rFonts w:hint="eastAsia" w:cs="Times New Roman"/>
          <w:b/>
          <w:sz w:val="30"/>
          <w:szCs w:val="30"/>
          <w:lang w:val="en-US" w:eastAsia="zh-CN"/>
        </w:rPr>
        <w:t>平面布置图</w:t>
      </w:r>
    </w:p>
    <w:p>
      <w:pPr>
        <w:numPr>
          <w:ilvl w:val="0"/>
          <w:numId w:val="0"/>
        </w:numPr>
        <w:bidi w:val="0"/>
        <w:ind w:left="0" w:leftChars="0" w:firstLine="0" w:firstLineChars="0"/>
        <w:rPr>
          <w:rFonts w:hint="eastAsia"/>
          <w:lang w:eastAsia="zh-CN"/>
        </w:rPr>
      </w:pPr>
      <w:r>
        <w:rPr>
          <w:rFonts w:hint="eastAsia"/>
          <w:lang w:eastAsia="zh-CN"/>
        </w:rPr>
        <w:drawing>
          <wp:inline distT="0" distB="0" distL="114300" distR="114300">
            <wp:extent cx="5273040" cy="3145790"/>
            <wp:effectExtent l="0" t="0" r="3810" b="16510"/>
            <wp:docPr id="1" name="图片 1" descr="1694073799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94073799918"/>
                    <pic:cNvPicPr>
                      <a:picLocks noChangeAspect="1"/>
                    </pic:cNvPicPr>
                  </pic:nvPicPr>
                  <pic:blipFill>
                    <a:blip r:embed="rId4"/>
                    <a:stretch>
                      <a:fillRect/>
                    </a:stretch>
                  </pic:blipFill>
                  <pic:spPr>
                    <a:xfrm>
                      <a:off x="0" y="0"/>
                      <a:ext cx="5273040" cy="3145790"/>
                    </a:xfrm>
                    <a:prstGeom prst="rect">
                      <a:avLst/>
                    </a:prstGeom>
                  </pic:spPr>
                </pic:pic>
              </a:graphicData>
            </a:graphic>
          </wp:inline>
        </w:drawing>
      </w:r>
    </w:p>
    <w:p>
      <w:pPr>
        <w:bidi w:val="0"/>
        <w:rPr>
          <w:rFonts w:hint="eastAsia"/>
          <w:lang w:eastAsia="zh-CN"/>
        </w:rPr>
      </w:pPr>
    </w:p>
    <w:p>
      <w:pPr>
        <w:bidi w:val="0"/>
        <w:rPr>
          <w:rFonts w:hint="eastAsia"/>
          <w:lang w:eastAsia="zh-CN"/>
        </w:rPr>
      </w:pPr>
    </w:p>
    <w:p>
      <w:pPr>
        <w:pStyle w:val="4"/>
        <w:keepNext/>
        <w:keepLines/>
        <w:pageBreakBefore w:val="0"/>
        <w:widowControl w:val="0"/>
        <w:numPr>
          <w:ilvl w:val="0"/>
          <w:numId w:val="1"/>
        </w:numPr>
        <w:kinsoku/>
        <w:wordWrap/>
        <w:overflowPunct/>
        <w:topLinePunct w:val="0"/>
        <w:autoSpaceDE/>
        <w:autoSpaceDN/>
        <w:bidi w:val="0"/>
        <w:adjustRightInd w:val="0"/>
        <w:snapToGrid w:val="0"/>
        <w:spacing w:before="0" w:after="0" w:line="360" w:lineRule="auto"/>
        <w:ind w:left="0" w:leftChars="0" w:firstLine="420" w:firstLineChars="0"/>
        <w:textAlignment w:val="auto"/>
        <w:rPr>
          <w:rFonts w:hint="eastAsia" w:eastAsia="宋体" w:cs="Times New Roman"/>
          <w:b/>
          <w:sz w:val="28"/>
          <w:szCs w:val="28"/>
          <w:lang w:eastAsia="zh-CN"/>
        </w:rPr>
      </w:pPr>
      <w:r>
        <w:rPr>
          <w:rFonts w:hint="eastAsia" w:eastAsia="宋体" w:cs="Times New Roman"/>
          <w:b/>
          <w:sz w:val="28"/>
          <w:szCs w:val="28"/>
          <w:lang w:eastAsia="zh-CN"/>
        </w:rPr>
        <w:t>智能电动密集架技术参数</w:t>
      </w:r>
    </w:p>
    <w:p>
      <w:pPr>
        <w:keepNext w:val="0"/>
        <w:keepLines w:val="0"/>
        <w:pageBreakBefore w:val="0"/>
        <w:kinsoku/>
        <w:wordWrap/>
        <w:overflowPunct/>
        <w:topLinePunct w:val="0"/>
        <w:autoSpaceDE/>
        <w:autoSpaceDN/>
        <w:bidi w:val="0"/>
        <w:adjustRightInd w:val="0"/>
        <w:snapToGrid w:val="0"/>
        <w:spacing w:line="336"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密集架各项指标均符合中华人民共和国GB/T13667.</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-201</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智能电动</w:t>
      </w:r>
      <w:r>
        <w:rPr>
          <w:rFonts w:hint="eastAsia" w:ascii="宋体" w:hAnsi="宋体" w:eastAsia="宋体" w:cs="宋体"/>
          <w:color w:val="auto"/>
          <w:sz w:val="21"/>
          <w:szCs w:val="21"/>
        </w:rPr>
        <w:t>密集架通用技术条件国家标准，所用钢板为优质冷轧钢板。</w:t>
      </w:r>
    </w:p>
    <w:p>
      <w:pPr>
        <w:keepNext w:val="0"/>
        <w:keepLines w:val="0"/>
        <w:pageBreakBefore w:val="0"/>
        <w:kinsoku/>
        <w:wordWrap/>
        <w:overflowPunct/>
        <w:topLinePunct w:val="0"/>
        <w:autoSpaceDE/>
        <w:autoSpaceDN/>
        <w:bidi w:val="0"/>
        <w:adjustRightInd w:val="0"/>
        <w:snapToGrid w:val="0"/>
        <w:spacing w:line="336"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该产品主要由架体、底架（座）、传动装置、防护装置四大部分组成，散装运输，交货现场安装调试完毕并交付使用。</w:t>
      </w:r>
    </w:p>
    <w:p>
      <w:pPr>
        <w:keepNext w:val="0"/>
        <w:keepLines w:val="0"/>
        <w:pageBreakBefore w:val="0"/>
        <w:widowControl/>
        <w:suppressLineNumbers w:val="0"/>
        <w:kinsoku/>
        <w:wordWrap/>
        <w:overflowPunct/>
        <w:topLinePunct w:val="0"/>
        <w:autoSpaceDE/>
        <w:autoSpaceDN/>
        <w:bidi w:val="0"/>
        <w:adjustRightInd w:val="0"/>
        <w:snapToGrid w:val="0"/>
        <w:spacing w:line="336" w:lineRule="auto"/>
        <w:ind w:firstLine="420" w:firstLineChars="200"/>
        <w:jc w:val="both"/>
        <w:textAlignment w:val="top"/>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（1）底架（座）：底架为分段组合式，整体焊接而成，运行平稳且加工精度高，具有对接互换性，便于运输和安装，并设有防倾倒装置，防止架体倾倒。用材厚度为3.0mm</w:t>
      </w:r>
      <w:r>
        <w:rPr>
          <w:rFonts w:hint="eastAsia" w:ascii="宋体" w:hAnsi="宋体" w:eastAsia="宋体" w:cs="宋体"/>
          <w:color w:val="auto"/>
          <w:sz w:val="21"/>
          <w:szCs w:val="21"/>
          <w:highlight w:val="none"/>
          <w:lang w:eastAsia="zh-CN"/>
        </w:rPr>
        <w:t>热轧热轧</w:t>
      </w:r>
      <w:r>
        <w:rPr>
          <w:rFonts w:hint="eastAsia" w:ascii="宋体" w:hAnsi="宋体" w:eastAsia="宋体" w:cs="宋体"/>
          <w:color w:val="auto"/>
          <w:sz w:val="21"/>
          <w:szCs w:val="21"/>
          <w:highlight w:val="none"/>
        </w:rPr>
        <w:t>钢板，压制成槽型，架体长期荷重存放资料不变形，底盘与立柱连接采用M10X20螺栓，底架装配后的直线平行度不大于0.5mm/m，全长不大于2mm。</w:t>
      </w:r>
    </w:p>
    <w:p>
      <w:pPr>
        <w:keepNext w:val="0"/>
        <w:keepLines w:val="0"/>
        <w:pageBreakBefore w:val="0"/>
        <w:widowControl/>
        <w:suppressLineNumbers w:val="0"/>
        <w:kinsoku/>
        <w:wordWrap/>
        <w:overflowPunct/>
        <w:topLinePunct w:val="0"/>
        <w:autoSpaceDE/>
        <w:autoSpaceDN/>
        <w:bidi w:val="0"/>
        <w:adjustRightInd w:val="0"/>
        <w:snapToGrid w:val="0"/>
        <w:spacing w:line="336" w:lineRule="auto"/>
        <w:ind w:firstLine="420" w:firstLineChars="200"/>
        <w:jc w:val="left"/>
        <w:textAlignment w:val="top"/>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（轨道）路轨</w:t>
      </w:r>
      <w:r>
        <w:rPr>
          <w:rFonts w:hint="eastAsia" w:ascii="宋体" w:hAnsi="宋体" w:eastAsia="宋体" w:cs="宋体"/>
          <w:color w:val="auto"/>
          <w:sz w:val="21"/>
          <w:szCs w:val="21"/>
          <w:highlight w:val="none"/>
        </w:rPr>
        <w:t>：</w:t>
      </w:r>
      <w:r>
        <w:rPr>
          <w:rFonts w:hint="eastAsia" w:ascii="宋体" w:hAnsi="宋体" w:eastAsia="宋体" w:cs="宋体"/>
          <w:color w:val="000000"/>
          <w:sz w:val="21"/>
          <w:szCs w:val="21"/>
          <w:highlight w:val="none"/>
        </w:rPr>
        <w:t>轨道：路轨保护板采用3.0</w:t>
      </w:r>
      <w:r>
        <w:rPr>
          <w:rFonts w:hint="eastAsia" w:ascii="宋体" w:hAnsi="宋体" w:eastAsia="宋体" w:cs="宋体"/>
          <w:color w:val="000000"/>
          <w:sz w:val="21"/>
          <w:szCs w:val="21"/>
          <w:highlight w:val="none"/>
          <w:lang w:val="en-US" w:eastAsia="zh-CN"/>
        </w:rPr>
        <w:t>mm</w:t>
      </w:r>
      <w:r>
        <w:rPr>
          <w:rFonts w:hint="eastAsia" w:ascii="宋体" w:hAnsi="宋体" w:eastAsia="宋体" w:cs="宋体"/>
          <w:color w:val="000000"/>
          <w:sz w:val="21"/>
          <w:szCs w:val="21"/>
          <w:highlight w:val="none"/>
        </w:rPr>
        <w:t>优质</w:t>
      </w:r>
      <w:r>
        <w:rPr>
          <w:rFonts w:hint="eastAsia" w:ascii="宋体" w:hAnsi="宋体" w:eastAsia="宋体" w:cs="宋体"/>
          <w:color w:val="000000"/>
          <w:sz w:val="21"/>
          <w:szCs w:val="21"/>
          <w:highlight w:val="none"/>
          <w:lang w:val="en-US" w:eastAsia="zh-CN"/>
        </w:rPr>
        <w:t>304不锈钢</w:t>
      </w:r>
      <w:r>
        <w:rPr>
          <w:rFonts w:hint="eastAsia" w:ascii="宋体" w:hAnsi="宋体" w:eastAsia="宋体" w:cs="宋体"/>
          <w:color w:val="000000"/>
          <w:sz w:val="21"/>
          <w:szCs w:val="21"/>
          <w:highlight w:val="none"/>
        </w:rPr>
        <w:t>钢板</w:t>
      </w:r>
      <w:r>
        <w:rPr>
          <w:rFonts w:hint="eastAsia" w:ascii="宋体" w:hAnsi="宋体" w:eastAsia="宋体" w:cs="宋体"/>
          <w:color w:val="000000"/>
          <w:sz w:val="21"/>
          <w:szCs w:val="21"/>
          <w:highlight w:val="none"/>
          <w:lang w:val="en-US" w:eastAsia="zh-CN"/>
        </w:rPr>
        <w:t>，轨道折弯棱角分明，</w:t>
      </w:r>
      <w:r>
        <w:rPr>
          <w:rFonts w:hint="eastAsia" w:ascii="宋体" w:hAnsi="宋体" w:eastAsia="宋体" w:cs="宋体"/>
          <w:color w:val="000000"/>
          <w:sz w:val="21"/>
          <w:szCs w:val="21"/>
          <w:highlight w:val="none"/>
        </w:rPr>
        <w:t>使之在承重2000kg时不变型。轨道和轨道盒用膨胀螺丝固定在地面上。按规定铺设轨道，轨道的平行偏差≤1mm，轨道之间任何位置的水平偏差≤0.5mm。</w:t>
      </w:r>
      <w:r>
        <w:rPr>
          <w:rFonts w:hint="eastAsia" w:ascii="宋体" w:hAnsi="宋体" w:eastAsia="宋体" w:cs="宋体"/>
          <w:sz w:val="21"/>
          <w:szCs w:val="21"/>
          <w:highlight w:val="none"/>
        </w:rPr>
        <w:t>路轨轨芯采用25*2</w:t>
      </w:r>
      <w:r>
        <w:rPr>
          <w:rFonts w:hint="eastAsia" w:ascii="宋体" w:hAnsi="宋体" w:eastAsia="宋体" w:cs="宋体"/>
          <w:sz w:val="21"/>
          <w:szCs w:val="21"/>
          <w:highlight w:val="none"/>
          <w:lang w:val="en-US" w:eastAsia="zh-CN"/>
        </w:rPr>
        <w:t>0</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不锈钢</w:t>
      </w:r>
      <w:r>
        <w:rPr>
          <w:rFonts w:hint="eastAsia" w:ascii="宋体" w:hAnsi="宋体" w:eastAsia="宋体" w:cs="宋体"/>
          <w:sz w:val="21"/>
          <w:szCs w:val="21"/>
          <w:highlight w:val="none"/>
        </w:rPr>
        <w:t>方钢，</w:t>
      </w:r>
      <w:r>
        <w:rPr>
          <w:rFonts w:hint="eastAsia" w:ascii="宋体" w:hAnsi="宋体" w:eastAsia="宋体" w:cs="宋体"/>
          <w:color w:val="000000"/>
          <w:sz w:val="21"/>
          <w:szCs w:val="21"/>
          <w:highlight w:val="none"/>
        </w:rPr>
        <w:t>路轨两顶端设有限位装置，防止底盘脱轨</w:t>
      </w:r>
      <w:r>
        <w:rPr>
          <w:rFonts w:hint="eastAsia" w:ascii="宋体" w:hAnsi="宋体" w:eastAsia="宋体" w:cs="宋体"/>
          <w:color w:val="auto"/>
          <w:sz w:val="21"/>
          <w:szCs w:val="21"/>
          <w:highlight w:val="none"/>
        </w:rPr>
        <w:t>。</w:t>
      </w:r>
    </w:p>
    <w:p>
      <w:pPr>
        <w:keepNext w:val="0"/>
        <w:keepLines w:val="0"/>
        <w:pageBreakBefore w:val="0"/>
        <w:widowControl/>
        <w:suppressLineNumbers w:val="0"/>
        <w:kinsoku/>
        <w:wordWrap/>
        <w:overflowPunct/>
        <w:topLinePunct w:val="0"/>
        <w:autoSpaceDE/>
        <w:autoSpaceDN/>
        <w:bidi w:val="0"/>
        <w:adjustRightInd w:val="0"/>
        <w:snapToGrid w:val="0"/>
        <w:spacing w:line="336" w:lineRule="auto"/>
        <w:ind w:firstLine="420" w:firstLineChars="200"/>
        <w:jc w:val="left"/>
        <w:textAlignment w:val="top"/>
        <w:rPr>
          <w:rFonts w:hint="default" w:ascii="宋体" w:hAnsi="宋体" w:eastAsia="宋体" w:cs="宋体"/>
          <w:color w:val="auto"/>
          <w:sz w:val="21"/>
          <w:szCs w:val="21"/>
          <w:lang w:val="en-US"/>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立柱</w:t>
      </w:r>
      <w:r>
        <w:rPr>
          <w:rFonts w:hint="eastAsia" w:ascii="宋体" w:hAnsi="宋体" w:eastAsia="宋体" w:cs="宋体"/>
          <w:color w:val="auto"/>
          <w:sz w:val="21"/>
          <w:szCs w:val="21"/>
          <w:highlight w:val="none"/>
        </w:rPr>
        <w:t>：采用1.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mm优质冷轧钢板一体成型工艺，设</w:t>
      </w:r>
      <w:r>
        <w:rPr>
          <w:rFonts w:hint="eastAsia" w:ascii="宋体" w:hAnsi="宋体" w:eastAsia="宋体" w:cs="宋体"/>
          <w:color w:val="auto"/>
          <w:sz w:val="21"/>
          <w:szCs w:val="21"/>
        </w:rPr>
        <w:t>计为半敞开式，利于立柱表面喷涂全部到位，</w:t>
      </w:r>
      <w:r>
        <w:rPr>
          <w:rFonts w:hint="eastAsia" w:ascii="宋体" w:hAnsi="宋体" w:eastAsia="宋体" w:cs="宋体"/>
          <w:i w:val="0"/>
          <w:iCs w:val="0"/>
          <w:color w:val="auto"/>
          <w:kern w:val="0"/>
          <w:sz w:val="21"/>
          <w:szCs w:val="21"/>
          <w:u w:val="none"/>
          <w:lang w:val="en-US" w:eastAsia="zh-CN" w:bidi="ar"/>
        </w:rPr>
        <w:t>金属表面耐腐蚀.</w:t>
      </w:r>
    </w:p>
    <w:p>
      <w:pPr>
        <w:keepNext w:val="0"/>
        <w:keepLines w:val="0"/>
        <w:pageBreakBefore w:val="0"/>
        <w:kinsoku/>
        <w:wordWrap/>
        <w:overflowPunct/>
        <w:topLinePunct w:val="0"/>
        <w:autoSpaceDE/>
        <w:autoSpaceDN/>
        <w:bidi w:val="0"/>
        <w:adjustRightInd w:val="0"/>
        <w:snapToGrid w:val="0"/>
        <w:spacing w:line="336"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搁板</w:t>
      </w:r>
      <w:r>
        <w:rPr>
          <w:rFonts w:hint="eastAsia" w:ascii="宋体" w:hAnsi="宋体" w:eastAsia="宋体" w:cs="宋体"/>
          <w:color w:val="auto"/>
          <w:sz w:val="21"/>
          <w:szCs w:val="21"/>
        </w:rPr>
        <w:t>：采用1.0mm的优质冷轧钢板，</w:t>
      </w:r>
      <w:r>
        <w:rPr>
          <w:rFonts w:hint="eastAsia" w:ascii="宋体" w:hAnsi="宋体" w:eastAsia="宋体" w:cs="宋体"/>
          <w:color w:val="auto"/>
          <w:sz w:val="21"/>
          <w:szCs w:val="21"/>
          <w:lang w:eastAsia="zh-CN"/>
        </w:rPr>
        <w:t>采用多折折弯边一体成型工艺不允许点焊和电焊实现，单边设有防脱落挡边，厚度</w:t>
      </w:r>
      <w:r>
        <w:rPr>
          <w:rFonts w:hint="eastAsia" w:ascii="宋体" w:hAnsi="宋体"/>
          <w:sz w:val="24"/>
          <w:szCs w:val="24"/>
        </w:rPr>
        <w:t>≧25mm</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eastAsia="zh-CN"/>
        </w:rPr>
        <w:t>搁板每层承重≥80KG，满负载24小时后曲挠度≤2mm，卸载后自动恢复。</w:t>
      </w:r>
    </w:p>
    <w:p>
      <w:pPr>
        <w:keepNext w:val="0"/>
        <w:keepLines w:val="0"/>
        <w:pageBreakBefore w:val="0"/>
        <w:kinsoku/>
        <w:wordWrap/>
        <w:overflowPunct/>
        <w:topLinePunct w:val="0"/>
        <w:autoSpaceDE/>
        <w:autoSpaceDN/>
        <w:bidi w:val="0"/>
        <w:adjustRightInd w:val="0"/>
        <w:snapToGrid w:val="0"/>
        <w:spacing w:line="324"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w:t>
      </w:r>
      <w:r>
        <w:rPr>
          <w:rFonts w:ascii="宋体" w:hAnsi="宋体" w:cs="宋体"/>
          <w:b w:val="0"/>
          <w:bCs w:val="0"/>
          <w:color w:val="auto"/>
        </w:rPr>
        <w:t>挂板采用双压筋处理，材料选用1.0mm的优质冷轧钢板冲压成型。挂板与立柱之间的连接方式采用双扣勾挂板，挂板与搁板之间也采用双扣勾，挂板与立柱连接的扣勾和挂板与搁板连接的扣勾平行度相差&lt;1mm。</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b/>
          <w:bCs/>
          <w:color w:val="FF0000"/>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w:t>
      </w:r>
      <w:r>
        <w:rPr>
          <w:rFonts w:hint="eastAsia" w:ascii="宋体" w:hAnsi="宋体" w:eastAsia="宋体" w:cs="宋体"/>
          <w:b w:val="0"/>
          <w:bCs w:val="0"/>
          <w:color w:val="auto"/>
          <w:sz w:val="21"/>
          <w:szCs w:val="21"/>
        </w:rPr>
        <w:t>侧板：采用厚度1.0mm优质冷轧钢板折弯成型</w:t>
      </w:r>
      <w:r>
        <w:rPr>
          <w:rFonts w:hint="eastAsia" w:ascii="宋体" w:hAnsi="宋体" w:eastAsia="宋体" w:cs="宋体"/>
          <w:b w:val="0"/>
          <w:bCs w:val="0"/>
          <w:color w:val="auto"/>
          <w:sz w:val="21"/>
          <w:szCs w:val="21"/>
          <w:lang w:eastAsia="zh-CN"/>
        </w:rPr>
        <w:t>。</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bookmarkStart w:id="2" w:name="_Toc8185"/>
      <w:bookmarkStart w:id="3" w:name="_Toc12480"/>
      <w:bookmarkStart w:id="4" w:name="_Toc4391"/>
      <w:bookmarkStart w:id="5" w:name="_Toc30276"/>
      <w:bookmarkStart w:id="6" w:name="_Toc2026"/>
      <w:bookmarkStart w:id="7" w:name="_Toc3103"/>
      <w:bookmarkStart w:id="8" w:name="_Toc20473"/>
      <w:r>
        <w:rPr>
          <w:rFonts w:hint="eastAsia" w:ascii="宋体" w:hAnsi="宋体" w:eastAsia="宋体" w:cs="宋体"/>
          <w:b/>
          <w:bCs/>
          <w:color w:val="auto"/>
          <w:sz w:val="21"/>
          <w:szCs w:val="21"/>
        </w:rPr>
        <w:t>传动机构</w:t>
      </w:r>
      <w:bookmarkEnd w:id="2"/>
      <w:bookmarkEnd w:id="3"/>
      <w:bookmarkEnd w:id="4"/>
      <w:bookmarkEnd w:id="5"/>
      <w:bookmarkEnd w:id="6"/>
      <w:bookmarkEnd w:id="7"/>
      <w:bookmarkEnd w:id="8"/>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ascii="宋体" w:hAnsi="宋体" w:cs="宋体"/>
          <w:b w:val="0"/>
          <w:bCs w:val="0"/>
          <w:color w:val="auto"/>
        </w:rPr>
      </w:pPr>
      <w:bookmarkStart w:id="9" w:name="_Toc15136"/>
      <w:bookmarkStart w:id="10" w:name="_Toc291"/>
      <w:bookmarkStart w:id="11" w:name="_Toc30760"/>
      <w:bookmarkStart w:id="12" w:name="_Toc23135"/>
      <w:bookmarkStart w:id="13" w:name="_Toc25769"/>
      <w:bookmarkStart w:id="14" w:name="_Toc19773"/>
      <w:bookmarkStart w:id="15" w:name="_Toc29738"/>
      <w:r>
        <w:rPr>
          <w:rFonts w:hint="eastAsia" w:ascii="宋体" w:hAnsi="宋体" w:eastAsia="宋体" w:cs="宋体"/>
          <w:color w:val="auto"/>
          <w:sz w:val="21"/>
          <w:szCs w:val="21"/>
          <w:lang w:eastAsia="zh-CN"/>
        </w:rPr>
        <w:t>摇把</w:t>
      </w:r>
      <w:r>
        <w:rPr>
          <w:rFonts w:hint="eastAsia" w:ascii="宋体" w:hAnsi="宋体" w:eastAsia="宋体" w:cs="宋体"/>
          <w:color w:val="auto"/>
          <w:sz w:val="21"/>
          <w:szCs w:val="21"/>
        </w:rPr>
        <w:t>：使用方便、美观大方、轻便灵活，高端耐用，可避免通道障碍，摇动任何一列均不会带动其他手柄转动，自动挂档</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可单列或多列一起移动</w:t>
      </w:r>
      <w:r>
        <w:rPr>
          <w:rFonts w:ascii="宋体" w:hAnsi="宋体" w:cs="宋体"/>
          <w:b w:val="0"/>
          <w:bCs w:val="0"/>
          <w:color w:val="auto"/>
        </w:rPr>
        <w:t>。链轮为机械精加工而成,经锻压加工成型,回火去除应力,加工、滚点、插键槽、去毛齿、齿部经高频淬火HRC60-62。链条采用摩托车链条采用Φ8.5，节距12.7，</w:t>
      </w:r>
      <w:r>
        <w:rPr>
          <w:rFonts w:hint="eastAsia" w:ascii="宋体" w:hAnsi="宋体" w:cs="宋体"/>
          <w:b w:val="0"/>
          <w:bCs w:val="0"/>
          <w:color w:val="auto"/>
          <w:lang w:val="en-US" w:eastAsia="zh-CN"/>
        </w:rPr>
        <w:t>GB/T 14212</w:t>
      </w:r>
      <w:r>
        <w:rPr>
          <w:rFonts w:ascii="宋体" w:hAnsi="宋体" w:cs="宋体"/>
          <w:b w:val="0"/>
          <w:bCs w:val="0"/>
          <w:color w:val="auto"/>
        </w:rPr>
        <w:t>带短滚珠链。滚珠轴承采用省力型。链条破断力≥1800kg。滚轮采用灰铸铁制造；中轴和短轴采用Φ20mm45#冷拉实心圆钢；底盘轴承安装采用P204E级高级轴承，精密度高，方向灵活，材料质量好，耐压与耐磨性能好，具有可靠的中心直线度，使架体滑动平衡、轻灵定位可靠，传动轻便灵活，摇手轻，运行平稳，性能达到和超过国家标准，即可单列移动也可多列同时移动。</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制动装置</w:t>
      </w:r>
      <w:bookmarkEnd w:id="9"/>
      <w:bookmarkEnd w:id="10"/>
      <w:bookmarkEnd w:id="11"/>
      <w:bookmarkEnd w:id="12"/>
      <w:bookmarkEnd w:id="13"/>
      <w:bookmarkEnd w:id="14"/>
      <w:bookmarkEnd w:id="15"/>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每列均装有刹车制动装置，使之做到每一列均可锁定，查阅资料和存放文件时能确保人身安全，存取更安全。每一组合团体均装有总锁装置，使之做到每个组合团体都可锁定.</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bookmarkStart w:id="16" w:name="_Toc25677"/>
      <w:r>
        <w:rPr>
          <w:rFonts w:hint="eastAsia" w:ascii="宋体" w:hAnsi="宋体" w:eastAsia="宋体" w:cs="宋体"/>
          <w:b/>
          <w:bCs/>
          <w:color w:val="auto"/>
          <w:sz w:val="21"/>
          <w:szCs w:val="21"/>
        </w:rPr>
        <w:t>密封装置</w:t>
      </w:r>
      <w:bookmarkEnd w:id="16"/>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密封装置：两列间的密封装置采用20mm磁性密封条。顶部有防尘板，每列架体上方安装防尘板，要求防尘、防光、防有害气体，底部有防鼠板，合拢后无缝隙，因而具有良好的防尘、防鼠、防火、防潮等功能。</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bookmarkStart w:id="17" w:name="_Toc16368"/>
      <w:r>
        <w:rPr>
          <w:rFonts w:hint="eastAsia" w:ascii="宋体" w:hAnsi="宋体" w:eastAsia="宋体" w:cs="宋体"/>
          <w:b/>
          <w:bCs/>
          <w:color w:val="auto"/>
          <w:sz w:val="21"/>
          <w:szCs w:val="21"/>
        </w:rPr>
        <w:t>前期处理及表面处理</w:t>
      </w:r>
      <w:bookmarkEnd w:id="17"/>
    </w:p>
    <w:p>
      <w:pPr>
        <w:keepNext w:val="0"/>
        <w:keepLines w:val="0"/>
        <w:pageBreakBefore w:val="0"/>
        <w:kinsoku/>
        <w:wordWrap/>
        <w:overflowPunct/>
        <w:topLinePunct w:val="0"/>
        <w:autoSpaceDE/>
        <w:autoSpaceDN/>
        <w:bidi w:val="0"/>
        <w:adjustRightInd w:val="0"/>
        <w:snapToGrid w:val="0"/>
        <w:spacing w:line="324" w:lineRule="auto"/>
        <w:ind w:firstLine="420"/>
        <w:rPr>
          <w:rFonts w:hint="eastAsia" w:ascii="宋体" w:hAnsi="宋体" w:eastAsia="宋体" w:cs="宋体"/>
          <w:color w:val="auto"/>
          <w:sz w:val="21"/>
          <w:szCs w:val="21"/>
        </w:rPr>
      </w:pPr>
      <w:bookmarkStart w:id="18" w:name="_Toc4693"/>
      <w:r>
        <w:rPr>
          <w:rFonts w:hint="eastAsia" w:ascii="宋体" w:hAnsi="宋体" w:eastAsia="宋体" w:cs="宋体"/>
          <w:color w:val="auto"/>
          <w:sz w:val="21"/>
          <w:szCs w:val="21"/>
        </w:rPr>
        <w:t>1、表面处理工艺及流程：</w:t>
      </w:r>
    </w:p>
    <w:p>
      <w:pPr>
        <w:keepNext w:val="0"/>
        <w:keepLines w:val="0"/>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陶化剂是以有机硅烷水溶液为主要成分对金属或非金属材料进行表面处理的过程。工艺流程为：预脱脂——主脱脂——水清洗——水清洗——陶化硅烷——陶化硅烷---水清洗--烘干或晾干——后处理。</w:t>
      </w:r>
    </w:p>
    <w:p>
      <w:pPr>
        <w:keepNext w:val="0"/>
        <w:keepLines w:val="0"/>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1、预脱脂：去除工件表面油脂，使后面工序能够顺利进行，涂层能够全面覆盖、表面光滑，无针孔、沙粒及桔皮等现象，并加强涂层附着力。</w:t>
      </w:r>
    </w:p>
    <w:p>
      <w:pPr>
        <w:keepNext w:val="0"/>
        <w:keepLines w:val="0"/>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2、水洗：将工件表面残留脱脂液清洗干净，以免带入下一工序的槽液中而破坏槽液。</w:t>
      </w:r>
    </w:p>
    <w:p>
      <w:pPr>
        <w:keepNext w:val="0"/>
        <w:keepLines w:val="0"/>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3、陶化剂处理：在其工件表面形成一层纳米级网状涂层,该涂层可增强金属表面耐腐蚀性,提高漆膜附着力。</w:t>
      </w:r>
    </w:p>
    <w:p>
      <w:pPr>
        <w:keepNext w:val="0"/>
        <w:keepLines w:val="0"/>
        <w:pageBreakBefore w:val="0"/>
        <w:kinsoku/>
        <w:wordWrap/>
        <w:overflowPunct/>
        <w:topLinePunct w:val="0"/>
        <w:autoSpaceDE/>
        <w:autoSpaceDN/>
        <w:bidi w:val="0"/>
        <w:adjustRightInd w:val="0"/>
        <w:snapToGrid w:val="0"/>
        <w:spacing w:line="324" w:lineRule="auto"/>
        <w:ind w:firstLine="480"/>
        <w:rPr>
          <w:rFonts w:hint="eastAsia" w:ascii="宋体" w:hAnsi="宋体" w:eastAsia="宋体" w:cs="宋体"/>
          <w:color w:val="auto"/>
          <w:sz w:val="21"/>
          <w:szCs w:val="21"/>
        </w:rPr>
      </w:pPr>
      <w:r>
        <w:rPr>
          <w:rFonts w:hint="eastAsia" w:ascii="宋体" w:hAnsi="宋体" w:eastAsia="宋体" w:cs="宋体"/>
          <w:color w:val="auto"/>
          <w:sz w:val="21"/>
          <w:szCs w:val="21"/>
        </w:rPr>
        <w:t>4、烘干：经过前处理喷淋得工件需要烘干后才能进行喷涂，烘干烘道是对工件进行加热使工件表面的水分进行烘干，设置输送轨道速度7米/分钟。所有工部件的表面处理是热固性粉末喷涂，然后200℃高温固化为成品，时间控制在10-15分钟范围内。热固性粉末由经过ISO14001国际环保认证企业提供，颜色根据用户要求选定。</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制造要求</w:t>
      </w:r>
      <w:bookmarkEnd w:id="18"/>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1、凡需焊接的部位应焊接牢固，焊点均匀，焊痕高度以不大于1mm，焊点间距应控制在100mm以内，焊痕表面波纹平整，不得出现焊焦、焊穿等现象。</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2、冲压件必须平整无毛刺，不允许有裂痕，冲压尺寸的误差应控制在±2.0mm之内。</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3、折弯必须到位，以确保工件折弯所需角度，其邻边垂直度、平行度控制在≤1.5mm内。</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4、涂层表面应平整光滑，色泽均匀一致，不允许有流挂、起粒、皱皮、露底、剥落、伤痕等外观缺陷。涂膜技术标准：</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耐冲击力：冲击试验1/2”*500g＞30cm正面冲击，涂膜无裂纹、皱纹及剥落现象</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涂膜厚度：60-70um；</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5、各零件、组合件表面应光滑平整，不得有尖角凸起；各零件、组合件之间能保持互换性。所有标准件及紧固件均需氧化或镀锌处理。</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bookmarkStart w:id="19" w:name="_Toc26646"/>
      <w:bookmarkStart w:id="20" w:name="_Toc12264"/>
      <w:bookmarkStart w:id="21" w:name="_Toc16236"/>
      <w:bookmarkStart w:id="22" w:name="_Toc14922"/>
      <w:bookmarkStart w:id="23" w:name="_Toc25766"/>
      <w:bookmarkStart w:id="24" w:name="_Toc17474"/>
      <w:bookmarkStart w:id="25" w:name="_Toc27252"/>
      <w:bookmarkStart w:id="26" w:name="_Toc19891"/>
      <w:bookmarkStart w:id="27" w:name="_Toc20258"/>
      <w:bookmarkStart w:id="28" w:name="_Toc32501"/>
      <w:bookmarkStart w:id="29" w:name="_Toc904"/>
      <w:bookmarkStart w:id="30" w:name="_Toc20509"/>
      <w:r>
        <w:rPr>
          <w:rFonts w:hint="eastAsia" w:ascii="宋体" w:hAnsi="宋体" w:eastAsia="宋体" w:cs="宋体"/>
          <w:b/>
          <w:bCs/>
          <w:color w:val="auto"/>
          <w:sz w:val="21"/>
          <w:szCs w:val="21"/>
        </w:rPr>
        <w:t>载重性能要求</w:t>
      </w:r>
      <w:bookmarkEnd w:id="19"/>
      <w:bookmarkEnd w:id="20"/>
      <w:bookmarkEnd w:id="21"/>
      <w:bookmarkEnd w:id="22"/>
      <w:bookmarkEnd w:id="23"/>
      <w:bookmarkEnd w:id="24"/>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1、搁板载重：搁板负载载重80kg，最大挠度3mm，24h卸载后，不得出现裂痕及钢性变形，残余变形量不大于0.3mm。</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2、全负载载重：每标准节在全负载（搁板均匀载重80kg）的情况下，架体、立柱不应有明显变形，架体不应产生倾倒现象。</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3、载重运行：在全负载的情况下，各列密集架在手动操纵下，都应运行自如，不得有阻滞现象。每标准节手动摇力应不大于11.8N（每列密集架的手柄摇力为：11.8N×标准节数）。</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4、载重稳定性：在受全部载荷二十分之一外力（沿X、Y轴两个方向的水平外力）的作用反复100次后，取消外力，架体所产生的倾斜不得大于总高的百分之一。支架、立柱不得有明显变形。</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bookmarkStart w:id="31" w:name="_Toc25468"/>
      <w:bookmarkStart w:id="32" w:name="_Toc24448"/>
      <w:bookmarkStart w:id="33" w:name="_Toc18040"/>
      <w:bookmarkStart w:id="34" w:name="_Toc17012"/>
      <w:bookmarkStart w:id="35" w:name="_Toc1271"/>
      <w:bookmarkStart w:id="36" w:name="_Toc15835"/>
      <w:r>
        <w:rPr>
          <w:rFonts w:hint="eastAsia" w:ascii="宋体" w:hAnsi="宋体" w:eastAsia="宋体" w:cs="宋体"/>
          <w:b/>
          <w:bCs/>
          <w:color w:val="auto"/>
          <w:sz w:val="21"/>
          <w:szCs w:val="21"/>
        </w:rPr>
        <w:t>安装要求</w:t>
      </w:r>
      <w:bookmarkEnd w:id="31"/>
      <w:bookmarkEnd w:id="32"/>
      <w:bookmarkEnd w:id="33"/>
      <w:bookmarkEnd w:id="34"/>
      <w:bookmarkEnd w:id="35"/>
      <w:bookmarkEnd w:id="36"/>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1、各部安装应牢固可靠，不允许有松动现象，各结构件和架体无明显变形，架体无倾斜现象。每标准节组合后外型尺寸（长、宽、高）的极限偏差为正负2mm。</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2、标准架组装后，侧面板与中腰带的对缝处的间隙不大于2mm。</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3、门缝间隙在工装保障的前提下，均匀一致在1-2mm之间。</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4、导轨安装后，单根导轨的直线度不大于1.0mm/m。5m中不大于2.0mm。两根导轨水平高度偏差不大于1.0mm/m。两根导轨宽度之间的平行度偏差不大于2.0mm/m，全长不大于2.0mm，导轨对接处高低差不大于0.3mm，架体移动时与轨道保持90度。</w:t>
      </w:r>
    </w:p>
    <w:p>
      <w:pPr>
        <w:keepNext w:val="0"/>
        <w:keepLines w:val="0"/>
        <w:pageBreakBefore w:val="0"/>
        <w:kinsoku/>
        <w:wordWrap/>
        <w:overflowPunct/>
        <w:topLinePunct w:val="0"/>
        <w:autoSpaceDE/>
        <w:autoSpaceDN/>
        <w:bidi w:val="0"/>
        <w:adjustRightInd w:val="0"/>
        <w:snapToGrid w:val="0"/>
        <w:spacing w:line="324" w:lineRule="auto"/>
        <w:ind w:firstLine="403" w:firstLineChars="192"/>
        <w:rPr>
          <w:rFonts w:hint="eastAsia" w:ascii="宋体" w:hAnsi="宋体" w:eastAsia="宋体" w:cs="宋体"/>
          <w:color w:val="auto"/>
          <w:sz w:val="21"/>
          <w:szCs w:val="21"/>
        </w:rPr>
      </w:pPr>
      <w:r>
        <w:rPr>
          <w:rFonts w:hint="eastAsia" w:ascii="宋体" w:hAnsi="宋体" w:eastAsia="宋体" w:cs="宋体"/>
          <w:color w:val="auto"/>
          <w:sz w:val="21"/>
          <w:szCs w:val="21"/>
        </w:rPr>
        <w:t>5、架体平行度：正负在1—2mm/列之间，架体垂直度：正负在1—2mm/列之间，架体纵向同步度：正负在1—2mm/列之间。</w:t>
      </w:r>
    </w:p>
    <w:p>
      <w:pPr>
        <w:keepNext w:val="0"/>
        <w:keepLines w:val="0"/>
        <w:pageBreakBefore w:val="0"/>
        <w:kinsoku/>
        <w:wordWrap/>
        <w:overflowPunct/>
        <w:topLinePunct w:val="0"/>
        <w:autoSpaceDE/>
        <w:autoSpaceDN/>
        <w:bidi w:val="0"/>
        <w:adjustRightInd w:val="0"/>
        <w:snapToGrid w:val="0"/>
        <w:spacing w:line="324" w:lineRule="auto"/>
        <w:rPr>
          <w:rFonts w:hint="eastAsia" w:ascii="宋体" w:hAnsi="宋体" w:eastAsia="宋体" w:cs="宋体"/>
          <w:b/>
          <w:bCs/>
          <w:color w:val="auto"/>
          <w:sz w:val="21"/>
          <w:szCs w:val="21"/>
        </w:rPr>
      </w:pPr>
      <w:bookmarkStart w:id="37" w:name="_Toc25983"/>
      <w:bookmarkStart w:id="38" w:name="_Toc11527"/>
      <w:bookmarkStart w:id="39" w:name="_Toc28398"/>
      <w:bookmarkStart w:id="40" w:name="_Toc1812"/>
      <w:bookmarkStart w:id="41" w:name="_Toc32126"/>
      <w:bookmarkStart w:id="42" w:name="_Toc23668"/>
      <w:bookmarkStart w:id="43" w:name="_Toc29316"/>
      <w:r>
        <w:rPr>
          <w:rFonts w:hint="eastAsia" w:ascii="宋体" w:hAnsi="宋体" w:eastAsia="宋体" w:cs="宋体"/>
          <w:b/>
          <w:bCs/>
          <w:color w:val="auto"/>
          <w:sz w:val="21"/>
          <w:szCs w:val="21"/>
        </w:rPr>
        <w:t>架体材料规格参数一览表</w:t>
      </w:r>
      <w:bookmarkEnd w:id="37"/>
      <w:bookmarkEnd w:id="38"/>
      <w:bookmarkEnd w:id="39"/>
      <w:bookmarkEnd w:id="40"/>
      <w:bookmarkEnd w:id="41"/>
      <w:bookmarkEnd w:id="42"/>
      <w:bookmarkEnd w:id="43"/>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679"/>
        <w:gridCol w:w="1972"/>
        <w:gridCol w:w="3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6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设备名称</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设备配置</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材料规格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6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轨道</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轨  座</w:t>
            </w:r>
          </w:p>
        </w:tc>
        <w:tc>
          <w:tcPr>
            <w:tcW w:w="3926"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sz w:val="21"/>
                <w:szCs w:val="21"/>
                <w:highlight w:val="none"/>
                <w:lang w:val="en-US" w:eastAsia="zh-CN"/>
              </w:rPr>
              <w:t>3.0</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val="en-US" w:eastAsia="zh-CN"/>
              </w:rPr>
              <w:t>304</w:t>
            </w:r>
            <w:r>
              <w:rPr>
                <w:rFonts w:hint="eastAsia" w:ascii="宋体" w:hAnsi="宋体" w:eastAsia="宋体" w:cs="宋体"/>
                <w:sz w:val="21"/>
                <w:szCs w:val="21"/>
                <w:highlight w:val="none"/>
                <w:lang w:eastAsia="zh-CN"/>
              </w:rPr>
              <w:t>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路  轨</w:t>
            </w:r>
          </w:p>
        </w:tc>
        <w:tc>
          <w:tcPr>
            <w:tcW w:w="3926" w:type="dxa"/>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sz w:val="21"/>
                <w:szCs w:val="21"/>
                <w:highlight w:val="none"/>
                <w:lang w:val="en-US" w:eastAsia="zh-CN"/>
              </w:rPr>
              <w:t>25*20</w:t>
            </w:r>
            <w:r>
              <w:rPr>
                <w:rFonts w:hint="eastAsia" w:ascii="宋体" w:hAnsi="宋体" w:eastAsia="宋体" w:cs="宋体"/>
                <w:sz w:val="21"/>
                <w:szCs w:val="21"/>
                <w:highlight w:val="none"/>
              </w:rPr>
              <w:t>mm</w:t>
            </w:r>
            <w:r>
              <w:rPr>
                <w:rFonts w:hint="eastAsia" w:ascii="宋体" w:hAnsi="宋体" w:eastAsia="宋体" w:cs="宋体"/>
                <w:sz w:val="21"/>
                <w:szCs w:val="21"/>
                <w:highlight w:val="none"/>
                <w:lang w:eastAsia="zh-CN"/>
              </w:rPr>
              <w:t>不锈钢</w:t>
            </w:r>
            <w:r>
              <w:rPr>
                <w:rFonts w:hint="eastAsia" w:ascii="宋体" w:hAnsi="宋体" w:eastAsia="宋体" w:cs="宋体"/>
                <w:sz w:val="21"/>
                <w:szCs w:val="21"/>
                <w:highlight w:val="none"/>
              </w:rPr>
              <w:t>方钢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6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底座</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底梁、轴承梁</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3.0mm</w:t>
            </w:r>
            <w:r>
              <w:rPr>
                <w:rFonts w:hint="eastAsia" w:ascii="宋体" w:hAnsi="宋体" w:eastAsia="宋体" w:cs="宋体"/>
                <w:color w:val="auto"/>
                <w:sz w:val="21"/>
                <w:szCs w:val="21"/>
                <w:highlight w:val="none"/>
                <w:lang w:eastAsia="zh-CN"/>
              </w:rPr>
              <w:t>热轧</w:t>
            </w:r>
            <w:r>
              <w:rPr>
                <w:rFonts w:hint="eastAsia" w:ascii="宋体" w:hAnsi="宋体" w:eastAsia="宋体" w:cs="宋体"/>
                <w:color w:val="auto"/>
                <w:sz w:val="21"/>
                <w:szCs w:val="21"/>
                <w:highlight w:val="none"/>
              </w:rPr>
              <w:t>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6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架体</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立  柱</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搁  板</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挂  板</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档  棒</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87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6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门面</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门  框</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门  板</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定位模块</w:t>
            </w:r>
          </w:p>
        </w:tc>
        <w:tc>
          <w:tcPr>
            <w:tcW w:w="392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ABS注塑件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679"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侧板</w:t>
            </w:r>
          </w:p>
        </w:tc>
        <w:tc>
          <w:tcPr>
            <w:tcW w:w="19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侧面板</w:t>
            </w:r>
          </w:p>
        </w:tc>
        <w:tc>
          <w:tcPr>
            <w:tcW w:w="392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6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传动</w:t>
            </w:r>
          </w:p>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机构</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轴  承</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P204E级带座球面轴承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传动轴</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内径Φ20实心45#钢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连接钢管</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内径Φ20无缝钢管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滚轮</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b w:val="0"/>
                <w:bCs w:val="0"/>
                <w:color w:val="auto"/>
                <w:sz w:val="21"/>
                <w:szCs w:val="21"/>
                <w:lang w:val="en-US" w:eastAsia="zh-CN"/>
              </w:rPr>
              <w:t>铸造滚轮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齿  轮</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ZG45滚轮精制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摩托车链条</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Φ8.5节距12.7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ind w:left="86" w:right="-13" w:rightChars="-6" w:hanging="75" w:hangingChars="36"/>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摇  手</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折叠摇把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摇手体总成</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滚珠轴承采用双向超越离合器结构GB1285-85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16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制动装置</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总 锁</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808锁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门  锁</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i w:val="0"/>
                <w:iCs w:val="0"/>
                <w:color w:val="auto"/>
                <w:kern w:val="0"/>
                <w:sz w:val="21"/>
                <w:szCs w:val="21"/>
                <w:u w:val="none"/>
                <w:lang w:val="en-US" w:eastAsia="zh-CN" w:bidi="ar"/>
              </w:rPr>
              <w:t>方形锁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restar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1679" w:type="dxa"/>
            <w:vMerge w:val="restar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防护装置</w:t>
            </w:r>
          </w:p>
        </w:tc>
        <w:tc>
          <w:tcPr>
            <w:tcW w:w="19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密封条</w:t>
            </w:r>
          </w:p>
        </w:tc>
        <w:tc>
          <w:tcPr>
            <w:tcW w:w="392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20mm磁性密封条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顶  板</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ind w:left="0" w:leftChars="0" w:firstLine="0" w:firstLineChars="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防尘板、防鼠板</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b w:val="0"/>
                <w:bCs w:val="0"/>
                <w:color w:val="auto"/>
                <w:sz w:val="21"/>
                <w:szCs w:val="21"/>
                <w:lang w:val="en-US" w:eastAsia="zh-CN"/>
              </w:rPr>
              <w:t>0.7</w:t>
            </w:r>
            <w:r>
              <w:rPr>
                <w:rFonts w:hint="eastAsia" w:ascii="宋体" w:hAnsi="宋体" w:eastAsia="宋体" w:cs="宋体"/>
                <w:b w:val="0"/>
                <w:bCs w:val="0"/>
                <w:color w:val="auto"/>
                <w:sz w:val="21"/>
                <w:szCs w:val="21"/>
              </w:rPr>
              <w:t>mm冷轧钢板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防倾倒装置</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3.0mm</w:t>
            </w:r>
            <w:r>
              <w:rPr>
                <w:rFonts w:hint="eastAsia" w:ascii="宋体" w:hAnsi="宋体" w:eastAsia="宋体" w:cs="宋体"/>
                <w:color w:val="auto"/>
                <w:sz w:val="21"/>
                <w:szCs w:val="21"/>
                <w:lang w:eastAsia="zh-CN"/>
              </w:rPr>
              <w:t>热轧</w:t>
            </w:r>
            <w:r>
              <w:rPr>
                <w:rFonts w:hint="eastAsia" w:ascii="宋体" w:hAnsi="宋体" w:eastAsia="宋体" w:cs="宋体"/>
                <w:color w:val="auto"/>
                <w:sz w:val="21"/>
                <w:szCs w:val="21"/>
              </w:rPr>
              <w:t>钢板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16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表面处理</w:t>
            </w: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前处理药剂</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硅烷处理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高压静电喷塑</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环氧型聚脂混合粉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6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p>
        </w:tc>
        <w:tc>
          <w:tcPr>
            <w:tcW w:w="19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纯水洗</w:t>
            </w:r>
          </w:p>
        </w:tc>
        <w:tc>
          <w:tcPr>
            <w:tcW w:w="3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4"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≤10ЦS电导率</w:t>
            </w:r>
          </w:p>
        </w:tc>
        <w:bookmarkStart w:id="44" w:name="page1"/>
      </w:tr>
      <w:bookmarkEnd w:id="25"/>
      <w:bookmarkEnd w:id="26"/>
      <w:bookmarkEnd w:id="27"/>
      <w:bookmarkEnd w:id="28"/>
      <w:bookmarkEnd w:id="29"/>
      <w:bookmarkEnd w:id="30"/>
      <w:bookmarkEnd w:id="44"/>
    </w:tbl>
    <w:p>
      <w:pPr>
        <w:spacing w:line="360" w:lineRule="auto"/>
        <w:jc w:val="left"/>
        <w:rPr>
          <w:rFonts w:hint="eastAsia" w:ascii="宋体" w:hAnsi="宋体" w:eastAsia="宋体" w:cs="宋体"/>
          <w:color w:val="000000"/>
          <w:sz w:val="21"/>
          <w:szCs w:val="21"/>
        </w:rPr>
      </w:pPr>
      <w:r>
        <w:rPr>
          <w:rFonts w:hint="eastAsia" w:ascii="宋体" w:hAnsi="宋体" w:eastAsia="宋体" w:cs="宋体"/>
          <w:b/>
          <w:color w:val="000000"/>
          <w:sz w:val="21"/>
          <w:szCs w:val="21"/>
        </w:rPr>
        <w:t>智能型密集架功能要求</w:t>
      </w:r>
    </w:p>
    <w:tbl>
      <w:tblPr>
        <w:tblStyle w:val="7"/>
        <w:tblW w:w="0" w:type="auto"/>
        <w:tblInd w:w="-3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684"/>
        <w:gridCol w:w="6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center"/>
          </w:tcPr>
          <w:p>
            <w:pPr>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1684" w:type="dxa"/>
            <w:noWrap w:val="0"/>
            <w:vAlign w:val="center"/>
          </w:tcPr>
          <w:p>
            <w:pPr>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项目</w:t>
            </w:r>
          </w:p>
        </w:tc>
        <w:tc>
          <w:tcPr>
            <w:tcW w:w="6904" w:type="dxa"/>
            <w:noWrap w:val="0"/>
            <w:vAlign w:val="center"/>
          </w:tcPr>
          <w:p>
            <w:pPr>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库区架体控制系统</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库区固定列及移动列上的控制系统为满足长期可靠稳定运行及维护的需要，应采用一体嵌入式开发的系统，不应直接采用任何受制于国外的商业操作系统或存在版权纠纷的软件（如必须采用美国的安卓、windows等操作系统、数据库及其它配套商业软件的，确保用户免责版权纠纷且可免费更新升级到最新版本，验收时的操作系统或任何外部商业软件版本应不低于合同签订时最新的版本）。</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架体控制系统应可靠、稳定及高效率。</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应采用工业级设计，尤其是关键的人机操作液晶屏器件要求采用工业级。驱动电机为24V低压直流无刷电机。</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因红外光会随着时间衰减，所有红外传感器需在空闲不用时自动切断电源以延长使用寿命，并在需要时自动启动。</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所有带电的接近开关不得长期开启，在架体静止不动情况下应自动切断电源，以延长使用寿命及提高可靠安全性。</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所有列的液晶屏的背光能在指定空闲时间后自动黑屏，黑屏后点击任意列任意位置后所在团体（单独运动的区域）同步启动。</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合上电源后，所有功能均可在≤3秒正常操作。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操作安全保障</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能准确检测通道内架内人员数量信息，在架内有人时，自动锁定并禁止外面的人手摇及电动操作，架内无人时，自动解锁。架内有人时，该团体所有列屏幕上均有信息指示。架内人员检测应计数准确可靠，用户缓慢进入及快步进入等方式均能可靠计数。</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架内纵向位置具备红外对射传感器，架体运动时，用户自然遮挡红外光束后可自动停止整个团体的运行。架体静止状态下，红外光束应处于关闭状态。</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架内人员计数器及架内红外对射器的保护应独立及互为补充，不得采用二合一或多合一等方式，避免一旦故障全部失效。</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运行时，点击该团体任意列液晶屏任意位置均可及时停止运行。通过管理计算机上的软件也可远程停止。</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具备用户可调整的运行时间保护功能，以避免插销脱落或脱焊等异常情况下的长时间电机空转。</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任意列采用2个互为冗余备用的接近开关，任意一个故障可正常运行，液晶屏上用户可查看接近开关状态。</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架体具备位置记忆功能，能自动在最后列移出轨道的一个设定距离（用户可调整）时锁定及保护。</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用户在在任意移动列上进行单列锁定/解锁操作。</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用户可在所有列液晶屏上进行需要密码方式验证的团体锁定/解锁操作。</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系统上电或空闲需自检。故障时，应自动禁止电动操作。故障列信息能显示在液晶屏上。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3</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人机交互器件要求</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固定列采用≥12吋，分辨率不低于1024*768的彩色触摸液晶屏。</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移动列采用≥8吋，分辨率不低于800*600的彩色触摸液晶屏。</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每个团体均具备一个根据效果（通常在团体中间，以不至于首尾音量差异过大）可放置在任意列上的高品质独立语音提示模块。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4</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架体操作要求</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任意列上均可通过液晶屏上的按钮图标对架体进行左右移动、停止、通风的操作。</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体移动采用快速启动、高速运行、缓降合拢的曲线运行方式，在避免架体碰撞情况下极大提高操作效率。运行的最高速度、最低速度、启动速率、缓降速率均可在任意列液晶屏上调整。即可单列设置，也可团体同步。</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移动列上支持全屏手指滑动对架体的简便操作方式，整个团体通风。手指滑动与屏幕按钮互不干扰，即使从按钮上滑动，也只响应滑动而不是按钮效果。手指滑动情况下，屏幕上有直观的辅助方向图标的交互指示。</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移动列上支持单列移动操作，在系统故障情况下，可指定该列移动设定的距离，在该距离范围内能到位停止（在到位开关失效情况下仍然可操作）。在系统正常情况下的单列运行时，任意列液晶屏上可点击停止运行。单列运行时，可指定曲线运行方式或固定速度方式。</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带电情况下，无论手摇还是电动，架体打开的距离均在当前列液晶屏上能显示。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5</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语音提示</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每个团体上均具备独立的高品质语音模块。</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高品质语音提示模块可放置在任意列位置，以最大效果提供语音提示交互。用户可在任意列液晶屏上对该团体语音提示模块随时修改定制提示音功能：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6</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电子标牌</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电子标牌应在主界面上显示。</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液晶屏上能直接查看该列存放的档案类型的电子标牌，从而可完全取代传统的纸质标插方式。用户可在任意列液晶屏上对电子标牌的方向（中间或左右）、文字内容、显示的颜色进行编辑。用户可对单列进行设置，也可团体同步设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液晶屏上的电子标牌区域可点击后全屏显示。点击操作与滑动操作可重叠互不干扰。</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电子标牌的文字内容录入可在任意列液晶屏上进行。</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固定列屏上支持拼音输入法及手写输入法方式录入，录入时自动联想最近输入的词及常用词。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7</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公告栏</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任意列液晶屏应在主界面上显示公告栏信息。</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用户可在任意列液晶屏上对公告栏的文字内容、显示的颜色进行编辑。用户可对单列进行设置，也可团体同步设置。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公告栏上的电子标牌区域可点击后全屏显示。点击操作与滑动操作可重叠互不干扰。</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公告栏的文字内容录入可在任意列液晶屏上进行。</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移动列上的公告栏在架体打开及自动关闭功能启动情况下，自动切换去显示倒计时的自动关闭预计时间信息。</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移动列上的公告栏在单列锁定情况下，自动切换去显示单列锁定的信息。</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固定列屏上支持拼音输入法及手写输入法方式录入，录入时自动联想最近输入的词及常用词。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8</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自定义区域（团体）信息</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任意列液晶屏应在主界面上显示该团体的自定义区域信息，如：三楼财务档案区，2018年卷宗档案区，等等。</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用户可在任意列液晶屏上对自定义区域（团体）信息的文字内容、显示的颜色进行编辑。用户可对单列进行设置，也可团体同步设置。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自定义区域（团体）信息区域可点击后全屏显示。点击操作与滑动操作可重叠互不干扰。</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自定义区域（团体）信息的文字内容录入可在任意列液晶屏上进行。</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固定列屏上支持拼音输入法及手写输入法方式录入，录入时自动联想最近输入的词及常用词。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9</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屏幕列号显示样式调整</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任意列液晶屏上显示的当前列号可以调整显示位置（能全屏位置调整，具备指定坐标及当前位置偏移等多种方式的调整）、字体大小及颜色。</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任意列液晶屏上均可以调整当前列及团体同步设置。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10</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架体存放信息查看</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任意列上的液晶屏显示该列存放的档案数量及借出数量信息，并能分开显示左右侧存放的数量信息。</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在任意列上的液晶屏上可图形化查看左右侧每个格位的存放、在库、借出数量信息。</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点击具体格位可分别查看该格位上的存放、在库、借出的具体到最小管理单位的编号、名称等更详细的档案信息。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11</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档案查找及远程开架</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任意列液晶屏上可用关键词或编号方式查找档案。</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查找到的档案可直接开架。</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远程开架的位置能用动态图标等直观方式定位，用户进入到架体后能语音播报位置及编号等信息。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12</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批量任务执行</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支持批量任务的实现，用户可一次性发送多个任务（支持不少于200个任务）到库区，在任意列液晶屏上可查看任务，加载并查看任务，从而能执行批量任务的依次开架操作。任意列液晶屏上可显示任务数量及任务信息（待执行，已执行，档案编号等），用户可在任意列液晶屏上对任意指定任务选定执行开架操作及能在开架所在列显示存放档案的位置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13</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架内照明</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采用24V低压高亮LED灯辅助架内照明。</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通道开启时自动开启照明，通道合拢时自动熄灭。</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人员进入到架内自动开启，人员离开时延时熄灭，延时时间用户可在任意列液晶屏上设置。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用户可在任意列上控制架内照明的开关。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14</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管理设置</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用户可在任意列液晶屏上进行架体曲线运行的</w:t>
            </w:r>
            <w:bookmarkStart w:id="45" w:name="_GoBack"/>
            <w:r>
              <w:rPr>
                <w:rFonts w:hint="eastAsia" w:ascii="宋体" w:hAnsi="宋体" w:eastAsia="宋体" w:cs="宋体"/>
                <w:sz w:val="21"/>
                <w:szCs w:val="21"/>
              </w:rPr>
              <w:t>最高速度、最低速度、启动速率、缓降速率进行设置。</w:t>
            </w:r>
          </w:p>
          <w:bookmarkEnd w:id="45"/>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用户可在任意列液晶屏上对防挤压参数进行设置。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用户可在任意列液晶屏上对电子标牌信息、公告栏信息、自定义区域（团体）信息进行设置。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用户可在任意列液晶屏上对语音提示模块进行设置。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用户可在任意列液晶屏上进行密码修改操作。</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用户可在任意列液晶屏上设置架内照明延时熄灭时间。</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用户可调整空闲自动黑屏时间、空闲无人自动关闭时间、列号显示亮度、当前时钟。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15</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自动关闭</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架体平时保持关闭状态不仅美观，而且安全。用户可设定空闲无人自动关闭时间以激活该功能。</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功能激活及架体打开情况下，预计的自动关闭时间全团体同步以精确到分钟的倒计时方式显示在该团体所有列液晶屏上。</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架内有人、锁定或架体操作等情况下，时间自动清零重新计数。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16</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温湿度显示</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可设置温湿度共享的位置。</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如果本身具备温湿度显示模块，可设置温湿度更新速率。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17</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维护帮助</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系统故障情况下，用户可切换到单列移动操作（可设定运行距离及运行方式：曲线或固定速度）。</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保存最近≥64条管理员设置记录。</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保存不低于15天的用户操作记录，用户对架体的移动操作、手摇操作均记录在案。记录需包含操作时间及操作的列号。</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移动列上可查看该列所有传感器状态。</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可在固定列上通过发送若干数量的探测包及应答来判断固定列与活动列间的通讯质量及故障点（无响应点）位置。也可以通过指定监听时间内的信息，来判断固定列到移动列间、或固定列到管理计算机间的线路是否受到干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18</w:t>
            </w:r>
          </w:p>
        </w:tc>
        <w:tc>
          <w:tcPr>
            <w:tcW w:w="168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管理软件与接口</w:t>
            </w:r>
          </w:p>
        </w:tc>
        <w:tc>
          <w:tcPr>
            <w:tcW w:w="6904" w:type="dxa"/>
            <w:noWrap w:val="0"/>
            <w:vAlign w:val="top"/>
          </w:tcPr>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软件可管理上百区的智能密集架，架体监控画面可自由缩放，实时显示架体移动状态，需要操控架体时，系统自动弹出架体控制面板的模拟画面，实现与在架体上操作相同的控制体验。</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模拟真实的架体结构，绘制档案存放分布图。直观显示每个单元格当前容积率，以及档案的在库外借状况。</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可自定义档案库条目：在系统设置中提供表格模式的档案模板设计器，支持两级模板管理，可以根据实际情况建立多个不同格式的档案库，用户只需简单定义好各档案库中条目的相关属性，系统会自动生成功能代码的操作界面。条目可指定数据类型，同时可设定数据格式。通过设置数据格式，可将条目关联到数据字典，或使条目的数据进行格式化显示。</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可自定义多条件组合式查询、排序：可根据设定组合出无限多种查询和排序条件，并可保存。</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可自定义条目在表格中的外观，包括：条目是否可见、条目所处位置、条目宽度等。</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自定义条目统计功能，在档案查询和档案利用报表中，数字型条目可自动统计。</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数据字典免维护功能：不需要一次性输入数据字典中的所有成员，可以在录入数据或修改数据时，即时添加新的字典成员，提高档案录入效率。</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rPr>
              <w:t>在进行档案归还时，在快速查找输入框中，输入或扫描档案编号,系统会自动跳转到档案归还页面，同时在归还清单中显示此档案。</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可随时修改区、列、节、层的显示名称，修改后数据库中已有档案的位置会自动同步成新的位置，方便老档案馆重新规划。</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10、</w:t>
            </w:r>
            <w:r>
              <w:rPr>
                <w:rFonts w:hint="eastAsia" w:ascii="宋体" w:hAnsi="宋体" w:eastAsia="宋体" w:cs="宋体"/>
                <w:sz w:val="21"/>
                <w:szCs w:val="21"/>
              </w:rPr>
              <w:t>只需输入档案名称的拼音首字母，就可以实现跨库检索功能。</w:t>
            </w:r>
          </w:p>
          <w:p>
            <w:pPr>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11、</w:t>
            </w:r>
            <w:r>
              <w:rPr>
                <w:rFonts w:hint="eastAsia" w:ascii="宋体" w:hAnsi="宋体" w:eastAsia="宋体" w:cs="宋体"/>
                <w:sz w:val="21"/>
                <w:szCs w:val="21"/>
              </w:rPr>
              <w:t>提供仿Excel的档案录入界面，批量录入档案更轻松。</w:t>
            </w:r>
          </w:p>
        </w:tc>
      </w:tr>
    </w:tbl>
    <w:p>
      <w:pPr>
        <w:keepNext w:val="0"/>
        <w:keepLines w:val="0"/>
        <w:pageBreakBefore w:val="0"/>
        <w:widowControl w:val="0"/>
        <w:kinsoku/>
        <w:wordWrap/>
        <w:overflowPunct/>
        <w:topLinePunct w:val="0"/>
        <w:autoSpaceDE/>
        <w:autoSpaceDN/>
        <w:bidi w:val="0"/>
        <w:adjustRightInd w:val="0"/>
        <w:snapToGrid w:val="0"/>
        <w:spacing w:line="336" w:lineRule="auto"/>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产品主要部件配置要求</w:t>
      </w:r>
    </w:p>
    <w:tbl>
      <w:tblPr>
        <w:tblStyle w:val="7"/>
        <w:tblW w:w="0" w:type="auto"/>
        <w:tblInd w:w="-2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4909"/>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部件名称</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要求</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无刷直流电动机</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24V，≤150W</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1/移动列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固定列控制板</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嵌入式设计，上电启动时间≤3秒</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1/固定列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移动列控制板</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嵌入式设计，上电启动时间≤3秒，内置电机驱动</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1/移动列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独立语音提示板</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嵌入式设计</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1/团体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开关电源</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24V，≥150W</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接近开关</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磁感应</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2/列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架内照明</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24V，高亮LED</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2/列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固定列彩色触摸显示屏</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≥12吋，工业级</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1/固定列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活动列彩色触摸显示屏</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≥8吋，工业级</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1/移动列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架内红外人员计数器</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空闲自动切断红外光</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红外对射器</w:t>
            </w:r>
          </w:p>
        </w:tc>
        <w:tc>
          <w:tcPr>
            <w:tcW w:w="4909"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10米有效距离</w:t>
            </w:r>
          </w:p>
        </w:tc>
        <w:tc>
          <w:tcPr>
            <w:tcW w:w="1378" w:type="dxa"/>
            <w:noWrap w:val="0"/>
            <w:vAlign w:val="center"/>
          </w:tcPr>
          <w:p>
            <w:pPr>
              <w:bidi w:val="0"/>
              <w:spacing w:line="360" w:lineRule="auto"/>
              <w:rPr>
                <w:rFonts w:hint="eastAsia" w:ascii="宋体" w:hAnsi="宋体" w:eastAsia="宋体" w:cs="宋体"/>
                <w:sz w:val="21"/>
                <w:szCs w:val="21"/>
              </w:rPr>
            </w:pPr>
            <w:r>
              <w:rPr>
                <w:rFonts w:hint="eastAsia" w:ascii="宋体" w:hAnsi="宋体" w:eastAsia="宋体" w:cs="宋体"/>
                <w:sz w:val="21"/>
                <w:szCs w:val="21"/>
              </w:rPr>
              <w:t>1对/列</w:t>
            </w:r>
          </w:p>
        </w:tc>
      </w:tr>
    </w:tbl>
    <w:p>
      <w:pPr>
        <w:pStyle w:val="2"/>
        <w:numPr>
          <w:ilvl w:val="0"/>
          <w:numId w:val="0"/>
        </w:numPr>
        <w:rPr>
          <w:rFonts w:hint="default"/>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0A5D0C"/>
    <w:multiLevelType w:val="singleLevel"/>
    <w:tmpl w:val="8B0A5D0C"/>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3MTM5NTFlYjc2ZDliMGQzNTBmMjNkNThmYmFkODQifQ=="/>
  </w:docVars>
  <w:rsids>
    <w:rsidRoot w:val="5F016B60"/>
    <w:rsid w:val="0557759D"/>
    <w:rsid w:val="21244F9D"/>
    <w:rsid w:val="222C5878"/>
    <w:rsid w:val="565518B4"/>
    <w:rsid w:val="5F016B60"/>
    <w:rsid w:val="70643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120" w:after="120" w:line="576" w:lineRule="auto"/>
      <w:jc w:val="center"/>
      <w:outlineLvl w:val="0"/>
    </w:pPr>
    <w:rPr>
      <w:rFonts w:ascii="Calibri" w:hAnsi="Calibri" w:eastAsia="宋体"/>
      <w:b/>
      <w:kern w:val="44"/>
      <w:sz w:val="36"/>
      <w:szCs w:val="2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1"/>
    <w:rPr>
      <w:rFonts w:ascii="宋体" w:hAnsi="宋体" w:eastAsia="宋体" w:cs="宋体"/>
      <w:sz w:val="24"/>
      <w:szCs w:val="24"/>
      <w:lang w:val="zh-CN" w:eastAsia="zh-CN" w:bidi="zh-CN"/>
    </w:rPr>
  </w:style>
  <w:style w:type="paragraph" w:styleId="3">
    <w:name w:val="Title"/>
    <w:basedOn w:val="1"/>
    <w:next w:val="1"/>
    <w:qFormat/>
    <w:uiPriority w:val="99"/>
    <w:pPr>
      <w:spacing w:before="240" w:after="60"/>
      <w:jc w:val="center"/>
      <w:outlineLvl w:val="0"/>
    </w:pPr>
    <w:rPr>
      <w:rFonts w:ascii="Cambria" w:hAnsi="Cambria"/>
      <w:b/>
      <w:bCs/>
      <w:kern w:val="28"/>
      <w:sz w:val="32"/>
      <w:szCs w:val="32"/>
    </w:rPr>
  </w:style>
  <w:style w:type="paragraph" w:styleId="5">
    <w:name w:val="footer"/>
    <w:basedOn w:val="1"/>
    <w:next w:val="6"/>
    <w:unhideWhenUsed/>
    <w:qFormat/>
    <w:uiPriority w:val="0"/>
    <w:pPr>
      <w:tabs>
        <w:tab w:val="center" w:pos="4153"/>
        <w:tab w:val="right" w:pos="8306"/>
      </w:tabs>
      <w:snapToGrid w:val="0"/>
      <w:jc w:val="left"/>
    </w:pPr>
    <w:rPr>
      <w:kern w:val="0"/>
      <w:sz w:val="18"/>
      <w:szCs w:val="18"/>
    </w:rPr>
  </w:style>
  <w:style w:type="paragraph" w:styleId="6">
    <w:name w:val="toc 2"/>
    <w:basedOn w:val="1"/>
    <w:next w:val="1"/>
    <w:unhideWhenUsed/>
    <w:qFormat/>
    <w:uiPriority w:val="0"/>
    <w:pPr>
      <w:tabs>
        <w:tab w:val="right" w:leader="dot" w:pos="8296"/>
      </w:tabs>
      <w:spacing w:line="360" w:lineRule="auto"/>
      <w:ind w:left="420" w:leftChars="200"/>
    </w:pPr>
    <w:rPr>
      <w:rFonts w:ascii="宋体" w:hAnsi="宋体" w:eastAsia="宋体" w:cs="宋体"/>
      <w:b/>
      <w:bCs/>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21"/>
    <w:basedOn w:val="9"/>
    <w:qFormat/>
    <w:uiPriority w:val="0"/>
    <w:rPr>
      <w:rFonts w:hint="eastAsia" w:ascii="宋体" w:hAnsi="宋体" w:eastAsia="宋体" w:cs="宋体"/>
      <w:color w:val="000000"/>
      <w:sz w:val="24"/>
      <w:szCs w:val="24"/>
      <w:u w:val="none"/>
    </w:rPr>
  </w:style>
  <w:style w:type="paragraph" w:customStyle="1" w:styleId="11">
    <w:name w:val="Char Char Char2 Char Char Char Char Char Char"/>
    <w:basedOn w:val="1"/>
    <w:qFormat/>
    <w:uiPriority w:val="0"/>
    <w:pPr>
      <w:spacing w:line="360" w:lineRule="auto"/>
    </w:pPr>
    <w:rPr>
      <w:rFonts w:ascii="宋体" w:hAnsi="宋体" w:eastAsia="Times New Roman"/>
      <w:b/>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2023-08-18T00:51:00Z</dcterms:created>
  <dc:creator>艺术就是派大星</dc:creator>
  <cp:lastModifiedBy>艺术就是派大星</cp:lastModifiedBy>
  <cp:lastPrinted>2023-08-18T02:33:00Z</cp:lastPrinted>
  <dcterms:modified xsi:type="dcterms:W3CDTF">2023-09-07T08:35:52Z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5EDACE1BF66F4A4E8B80B1070ADAE5EB_11</vt:lpwstr>
  </property>
</Properties>
</file>