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蒙城县第二人民医院新院区（一期）建设工程二标段项目劳务</w:t>
      </w: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（项目名称）</w:t>
      </w: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安徽通康建设工程有限公司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 2023年8</w:t>
      </w:r>
      <w:r>
        <w:rPr>
          <w:rFonts w:hint="eastAsia" w:ascii="Times New Roman" w:hAnsi="Times New Roman" w:eastAsia="楷体" w:cs="Times New Roman"/>
          <w:kern w:val="0"/>
          <w:sz w:val="32"/>
          <w:szCs w:val="32"/>
          <w:highlight w:val="none"/>
          <w:u w:val="none"/>
          <w:shd w:val="clear" w:color="auto" w:fill="auto"/>
          <w:lang w:val="en-US" w:eastAsia="zh-CN"/>
        </w:rPr>
        <w:t>月9日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招标人要求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 xml:space="preserve"> 蒙城县第二人民医院新院区（一期）建设工程二标段项目劳务 </w:t>
      </w:r>
      <w:r>
        <w:rPr>
          <w:rFonts w:hint="eastAsia" w:ascii="Times New Roman" w:hAnsi="Times New Roman" w:eastAsia="黑体" w:cs="Times New Roman"/>
          <w:sz w:val="28"/>
          <w:szCs w:val="28"/>
          <w:highlight w:val="none"/>
          <w:u w:val="none"/>
          <w:lang w:val="en-US" w:eastAsia="zh-CN"/>
        </w:rPr>
        <w:t>（项目名称）</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7085680"/>
      <w:bookmarkStart w:id="2" w:name="_Toc246996166"/>
      <w:bookmarkStart w:id="3" w:name="_Toc152045519"/>
      <w:bookmarkStart w:id="4" w:name="_Toc152042295"/>
      <w:bookmarkStart w:id="5" w:name="_Toc296602410"/>
      <w:bookmarkStart w:id="6" w:name="_Toc144974487"/>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46996167"/>
      <w:bookmarkStart w:id="10" w:name="_Toc246996910"/>
      <w:bookmarkStart w:id="11" w:name="_Toc144974488"/>
      <w:bookmarkStart w:id="12" w:name="_Toc179632537"/>
      <w:bookmarkStart w:id="13" w:name="_Toc247085681"/>
      <w:bookmarkStart w:id="14" w:name="_Toc15204552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项目名称：蒙城县第二人民医院新院区（一期）建设工程二标段项目劳务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安徽通康建设工程</w:t>
      </w:r>
      <w:r>
        <w:rPr>
          <w:rFonts w:hint="eastAsia" w:asciiTheme="minorEastAsia" w:hAnsiTheme="minorEastAsia" w:eastAsiaTheme="minorEastAsia" w:cstheme="minorEastAsia"/>
          <w:sz w:val="28"/>
          <w:szCs w:val="28"/>
          <w:highlight w:val="none"/>
          <w:lang w:val="en-US" w:eastAsia="zh-CN"/>
        </w:rPr>
        <w:t>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项目已具备招标条件，现对该项目的施工劳务进行公开招标。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（一）项目概况：亳州市蒙城县第二人民医院新院区（一期）；总建筑面积约 74610.48 ㎡，其中：住院楼装饰层数为地上 11 层，装饰设计面积约为 32316.92 ㎡</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报告厅为装饰层数为地上 2 层，装饰设计面积约为 1133.94 ㎡；</w:t>
      </w:r>
    </w:p>
    <w:p>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eastAsiaTheme="minorEastAsia" w:cstheme="minorEastAsia"/>
          <w:color w:val="auto"/>
          <w:sz w:val="28"/>
          <w:szCs w:val="28"/>
          <w:highlight w:val="none"/>
          <w:lang w:val="en-US" w:eastAsia="zh-CN"/>
        </w:rPr>
        <w:t>按</w:t>
      </w:r>
      <w:r>
        <w:rPr>
          <w:rFonts w:hint="eastAsia" w:asciiTheme="minorEastAsia" w:hAnsiTheme="minorEastAsia" w:eastAsiaTheme="minorEastAsia" w:cstheme="minorEastAsia"/>
          <w:sz w:val="28"/>
          <w:szCs w:val="28"/>
          <w:highlight w:val="none"/>
          <w:lang w:val="en-US" w:eastAsia="zh-CN"/>
        </w:rPr>
        <w:t>施工图纸及工程量清单范围内，招标项目在达到竣工验收与整体移交状态之前所涉及的全部项目实体资产施工建造的全部劳务作业工作。</w:t>
      </w:r>
      <w:r>
        <w:rPr>
          <w:rFonts w:hint="eastAsia" w:asciiTheme="minorEastAsia" w:hAnsiTheme="minorEastAsia" w:eastAsiaTheme="minorEastAsia" w:cstheme="minorEastAsia"/>
          <w:color w:val="auto"/>
          <w:sz w:val="28"/>
          <w:szCs w:val="28"/>
          <w:highlight w:val="none"/>
          <w:shd w:val="clear" w:color="auto" w:fill="auto"/>
          <w:lang w:val="en-US" w:eastAsia="zh-CN"/>
        </w:rPr>
        <w:t>承包范围包含</w:t>
      </w:r>
      <w:r>
        <w:rPr>
          <w:rFonts w:hint="eastAsia" w:asciiTheme="minorEastAsia" w:hAnsiTheme="minorEastAsia" w:cstheme="minorEastAsia"/>
          <w:color w:val="auto"/>
          <w:sz w:val="28"/>
          <w:szCs w:val="28"/>
          <w:highlight w:val="none"/>
          <w:shd w:val="clear" w:color="auto" w:fill="auto"/>
          <w:lang w:val="en-US" w:eastAsia="zh-CN"/>
        </w:rPr>
        <w:t>但不限于</w:t>
      </w:r>
      <w:bookmarkStart w:id="218" w:name="_GoBack"/>
      <w:bookmarkEnd w:id="218"/>
      <w:r>
        <w:rPr>
          <w:rFonts w:hint="eastAsia" w:asciiTheme="minorEastAsia" w:hAnsiTheme="minorEastAsia" w:eastAsiaTheme="minorEastAsia" w:cstheme="minorEastAsia"/>
          <w:color w:val="auto"/>
          <w:sz w:val="28"/>
          <w:szCs w:val="28"/>
          <w:highlight w:val="none"/>
          <w:shd w:val="clear" w:color="auto" w:fill="auto"/>
          <w:lang w:val="en-US" w:eastAsia="zh-CN"/>
        </w:rPr>
        <w:t>施工图纸及工程量清单范围内人工及</w:t>
      </w:r>
      <w:r>
        <w:rPr>
          <w:rFonts w:hint="eastAsia" w:asciiTheme="minorEastAsia" w:hAnsiTheme="minorEastAsia" w:cstheme="minorEastAsia"/>
          <w:color w:val="auto"/>
          <w:sz w:val="28"/>
          <w:szCs w:val="28"/>
          <w:highlight w:val="none"/>
          <w:shd w:val="clear" w:color="auto" w:fill="auto"/>
          <w:lang w:val="en-US" w:eastAsia="zh-CN"/>
        </w:rPr>
        <w:t>所有</w:t>
      </w:r>
      <w:r>
        <w:rPr>
          <w:rFonts w:hint="eastAsia" w:asciiTheme="minorEastAsia" w:hAnsiTheme="minorEastAsia" w:eastAsiaTheme="minorEastAsia" w:cstheme="minorEastAsia"/>
          <w:color w:val="auto"/>
          <w:sz w:val="28"/>
          <w:szCs w:val="28"/>
          <w:highlight w:val="none"/>
          <w:shd w:val="clear" w:color="auto" w:fill="auto"/>
          <w:lang w:val="en-US" w:eastAsia="zh-CN"/>
        </w:rPr>
        <w:t>辅材（甲供材除外）</w:t>
      </w:r>
      <w:r>
        <w:rPr>
          <w:rFonts w:hint="eastAsia" w:asciiTheme="minorEastAsia" w:hAnsiTheme="minorEastAsia" w:cstheme="minorEastAsia"/>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包脚手架支撑体系的搭设拆除、包二级箱以下的电线电缆及控制箱、施工照明灯具等、包小型机械、包辅助材料、包测量放线、包小型工具和设备、包质量、包工期、包安全、包环境保护、包劳保用品、包赶工费和误工费、包临时设施、包成品保护、包劳务作业人员社会保险、</w:t>
      </w:r>
      <w:r>
        <w:rPr>
          <w:rFonts w:hint="eastAsia" w:asciiTheme="minorEastAsia" w:hAnsiTheme="minorEastAsia" w:cstheme="minorEastAsia"/>
          <w:color w:val="auto"/>
          <w:sz w:val="28"/>
          <w:szCs w:val="28"/>
          <w:highlight w:val="none"/>
          <w:shd w:val="clear" w:color="auto" w:fill="auto"/>
          <w:lang w:val="en-US" w:eastAsia="zh-CN"/>
        </w:rPr>
        <w:t>包资料、</w:t>
      </w:r>
      <w:r>
        <w:rPr>
          <w:rFonts w:hint="eastAsia" w:asciiTheme="minorEastAsia" w:hAnsiTheme="minorEastAsia" w:eastAsiaTheme="minorEastAsia" w:cstheme="minorEastAsia"/>
          <w:color w:val="auto"/>
          <w:sz w:val="28"/>
          <w:szCs w:val="28"/>
          <w:highlight w:val="none"/>
          <w:shd w:val="clear" w:color="auto" w:fill="auto"/>
          <w:lang w:val="en-US" w:eastAsia="zh-CN"/>
        </w:rPr>
        <w:t>包竣工验收合格且一次性验收通过、包竣工验收后现场保洁及垃圾清运、包自负盈亏等，且不得转包。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240</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
    <w:p>
      <w:pPr>
        <w:keepNext w:val="0"/>
        <w:keepLines w:val="0"/>
        <w:widowControl w:val="0"/>
        <w:suppressLineNumbers w:val="0"/>
        <w:wordWrap w:val="0"/>
        <w:autoSpaceDE w:val="0"/>
        <w:autoSpaceDN/>
        <w:spacing w:before="0" w:beforeAutospacing="0" w:after="0" w:afterAutospacing="0" w:line="480" w:lineRule="exact"/>
        <w:ind w:left="0" w:right="0" w:firstLine="560" w:firstLineChars="200"/>
        <w:jc w:val="both"/>
        <w:rPr>
          <w:rFonts w:hint="default" w:ascii="宋体" w:hAnsi="宋体" w:eastAsia="宋体" w:cs="宋体"/>
          <w:kern w:val="2"/>
          <w:sz w:val="28"/>
          <w:szCs w:val="28"/>
          <w:lang w:val="en-US" w:eastAsia="zh-CN" w:bidi="ar"/>
        </w:rPr>
      </w:pPr>
      <w:r>
        <w:rPr>
          <w:rFonts w:hint="eastAsia" w:asciiTheme="minorEastAsia" w:hAnsiTheme="minorEastAsia" w:eastAsiaTheme="minorEastAsia" w:cstheme="minorEastAsia"/>
          <w:sz w:val="28"/>
          <w:szCs w:val="28"/>
          <w:highlight w:val="none"/>
          <w:lang w:val="en-US" w:eastAsia="zh-CN"/>
        </w:rPr>
        <w:t>（五）最高投标限价</w:t>
      </w:r>
      <w:r>
        <w:rPr>
          <w:rFonts w:hint="eastAsia" w:asciiTheme="minorEastAsia" w:hAnsiTheme="minorEastAsia" w:cstheme="minorEastAsia"/>
          <w:color w:val="auto"/>
          <w:sz w:val="28"/>
          <w:szCs w:val="28"/>
          <w:highlight w:val="none"/>
          <w:lang w:val="en-US" w:eastAsia="zh-CN"/>
        </w:rPr>
        <w:t>（含税</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3%</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w:t>
      </w:r>
      <w:r>
        <w:rPr>
          <w:rFonts w:hint="eastAsia" w:ascii="宋体" w:hAnsi="宋体" w:eastAsia="宋体" w:cs="宋体"/>
          <w:kern w:val="2"/>
          <w:sz w:val="28"/>
          <w:szCs w:val="28"/>
          <w:lang w:val="en-US" w:eastAsia="zh-CN" w:bidi="ar"/>
        </w:rPr>
        <w:t>本项目最高投标限价870万</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元，</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eastAsia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 xml:space="preserve"> 施工劳务 </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color w:val="auto"/>
          <w:sz w:val="28"/>
          <w:szCs w:val="28"/>
          <w:highlight w:val="none"/>
          <w:u w:val="single"/>
          <w:lang w:val="en-US" w:eastAsia="zh-CN"/>
        </w:rPr>
        <w:t xml:space="preserve">  建筑工程相关专业</w:t>
      </w:r>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中级专业技术职称</w:t>
      </w:r>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）提供</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2018</w:t>
      </w:r>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1 </w:t>
      </w:r>
      <w:r>
        <w:rPr>
          <w:rFonts w:hint="eastAsia" w:asciiTheme="minorEastAsia" w:hAnsiTheme="minorEastAsia" w:eastAsiaTheme="minorEastAsia" w:cstheme="minorEastAsia"/>
          <w:color w:val="auto"/>
          <w:sz w:val="28"/>
          <w:szCs w:val="28"/>
          <w:highlight w:val="none"/>
          <w:lang w:val="en-US" w:eastAsia="zh-CN"/>
        </w:rPr>
        <w:t>个，以竣工验收时间为准。类似项目业绩指：</w:t>
      </w:r>
      <w:r>
        <w:rPr>
          <w:rFonts w:hint="eastAsia" w:asciiTheme="minorEastAsia" w:hAnsiTheme="minorEastAsia" w:cstheme="minorEastAsia"/>
          <w:color w:val="auto"/>
          <w:sz w:val="28"/>
          <w:szCs w:val="28"/>
          <w:highlight w:val="none"/>
          <w:u w:val="single"/>
          <w:lang w:val="en-US" w:eastAsia="zh-CN"/>
        </w:rPr>
        <w:t>单项合同金额不低于600万元的施工劳务（建筑装饰装修工程类）业绩或单项合同金额不低于3000万元建筑装饰装修工程业绩</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注：提供业绩合同、竣工验收文件（验收报告、验收备案表或业主证明等）</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b w:val="0"/>
          <w:bCs w:val="0"/>
          <w:color w:val="auto"/>
          <w:sz w:val="28"/>
          <w:szCs w:val="28"/>
          <w:highlight w:val="none"/>
          <w:u w:val="singl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2023 年 8 月 17日 9 时   00分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auto"/>
          <w:sz w:val="28"/>
          <w:szCs w:val="28"/>
          <w:highlight w:val="non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b/>
          <w:bCs/>
          <w:color w:val="FF0000"/>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eastAsia" w:asciiTheme="minorEastAsia" w:hAnsiTheme="minorEastAsia" w:cstheme="minorEastAsia"/>
          <w:b/>
          <w:bCs/>
          <w:color w:val="auto"/>
          <w:sz w:val="28"/>
          <w:szCs w:val="28"/>
          <w:highlight w:val="none"/>
          <w:shd w:val="clear" w:color="FFFFFF" w:fill="D9D9D9"/>
          <w:lang w:val="en-US" w:eastAsia="zh-CN"/>
        </w:rPr>
        <w:t>伍万元整</w:t>
      </w:r>
      <w:r>
        <w:rPr>
          <w:rFonts w:hint="eastAsia" w:asciiTheme="minorEastAsia" w:hAnsiTheme="minorEastAsia" w:eastAsiaTheme="minorEastAsia" w:cstheme="minorEastAsia"/>
          <w:b/>
          <w:bCs/>
          <w:color w:val="auto"/>
          <w:sz w:val="28"/>
          <w:szCs w:val="28"/>
          <w:highlight w:val="none"/>
          <w:shd w:val="clear" w:color="FFFFFF" w:fill="D9D9D9"/>
          <w:lang w:val="en-US" w:eastAsia="zh-CN"/>
        </w:rPr>
        <w:t>（小写：</w:t>
      </w:r>
      <w:r>
        <w:rPr>
          <w:rFonts w:hint="eastAsia" w:asciiTheme="minorEastAsia" w:hAnsiTheme="minorEastAsia" w:cstheme="minorEastAsia"/>
          <w:b/>
          <w:bCs/>
          <w:color w:val="auto"/>
          <w:sz w:val="28"/>
          <w:szCs w:val="28"/>
          <w:highlight w:val="none"/>
          <w:shd w:val="clear" w:color="FFFFFF" w:fill="D9D9D9"/>
          <w:lang w:val="en-US" w:eastAsia="zh-CN"/>
        </w:rPr>
        <w:t>5</w:t>
      </w:r>
      <w:r>
        <w:rPr>
          <w:rFonts w:hint="eastAsia" w:asciiTheme="minorEastAsia" w:hAnsiTheme="minorEastAsia" w:eastAsiaTheme="minorEastAsia" w:cstheme="minorEastAsia"/>
          <w:b/>
          <w:bCs/>
          <w:color w:val="auto"/>
          <w:sz w:val="28"/>
          <w:szCs w:val="28"/>
          <w:highlight w:val="none"/>
          <w:shd w:val="clear" w:color="FFFFFF" w:fill="D9D9D9"/>
          <w:lang w:val="en-US" w:eastAsia="zh-CN"/>
        </w:rPr>
        <w:t>0000.00元）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（人民币），缴纳方式详见招标文件。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w:t>
      </w:r>
      <w:r>
        <w:rPr>
          <w:rFonts w:hint="eastAsia" w:ascii="宋体" w:hAnsi="宋体" w:cs="宋体"/>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 </w:t>
      </w:r>
      <w:r>
        <w:rPr>
          <w:rFonts w:ascii="宋体" w:hAnsi="宋体" w:cs="宋体"/>
          <w:sz w:val="28"/>
          <w:szCs w:val="28"/>
        </w:rPr>
        <w:t>安徽省亳州市谯城区大杨镇省道309线亳州收费</w:t>
      </w:r>
      <w:r>
        <w:rPr>
          <w:rFonts w:hint="eastAsia" w:asciiTheme="minorEastAsia" w:hAnsiTheme="minorEastAsia" w:cstheme="minorEastAsia"/>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周工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17356736996 </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宋体" w:hAnsi="宋体" w:cs="宋体"/>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r>
              <w:rPr>
                <w:rFonts w:hint="eastAsia"/>
              </w:rPr>
              <w:t>（1）技术负责人：</w:t>
            </w:r>
            <w:r>
              <w:rPr>
                <w:rFonts w:hint="eastAsia"/>
                <w:lang w:val="en-US" w:eastAsia="zh-CN"/>
              </w:rPr>
              <w:t>/</w:t>
            </w:r>
            <w:r>
              <w:rPr>
                <w:rFonts w:hint="eastAsia"/>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color w:val="FF0000"/>
                <w:szCs w:val="21"/>
              </w:rPr>
            </w:pPr>
            <w:r>
              <w:rPr>
                <w:rFonts w:hint="eastAsia" w:ascii="_x000B__x000C_" w:hAnsi="_x000B__x000C_"/>
                <w:color w:val="FF0000"/>
                <w:szCs w:val="21"/>
              </w:rPr>
              <w:t>施工员：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1</w:t>
            </w:r>
            <w:r>
              <w:rPr>
                <w:rFonts w:hint="eastAsia" w:hAnsi="宋体"/>
                <w:snapToGrid w:val="0"/>
                <w:color w:val="FF0000"/>
                <w:spacing w:val="-4"/>
                <w:kern w:val="0"/>
                <w:sz w:val="24"/>
                <w:u w:val="single"/>
              </w:rPr>
              <w:t xml:space="preserve">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hint="eastAsia" w:ascii="_x000B__x000C_" w:hAnsi="_x000B__x000C_"/>
                <w:color w:val="FF0000"/>
                <w:szCs w:val="21"/>
              </w:rPr>
            </w:pPr>
            <w:r>
              <w:rPr>
                <w:rFonts w:hint="eastAsia" w:ascii="_x000B__x000C_" w:hAnsi="_x000B__x000C_"/>
                <w:color w:val="FF0000"/>
                <w:szCs w:val="21"/>
              </w:rPr>
              <w:t>质量员：</w:t>
            </w:r>
            <w:r>
              <w:rPr>
                <w:rFonts w:hint="eastAsia" w:ascii="_x000B__x000C_" w:hAnsi="_x000B__x000C_"/>
                <w:color w:val="FF0000"/>
                <w:szCs w:val="21"/>
                <w:u w:val="single"/>
              </w:rPr>
              <w:t xml:space="preserve"> </w:t>
            </w:r>
            <w:r>
              <w:rPr>
                <w:rFonts w:hint="eastAsia" w:ascii="_x000B__x000C_" w:hAnsi="_x000B__x000C_"/>
                <w:color w:val="FF0000"/>
                <w:szCs w:val="21"/>
                <w:u w:val="single"/>
                <w:lang w:val="en-US" w:eastAsia="zh-CN"/>
              </w:rPr>
              <w:t xml:space="preserve"> </w:t>
            </w:r>
            <w:r>
              <w:rPr>
                <w:rFonts w:hint="eastAsia" w:hAnsi="宋体"/>
                <w:snapToGrid w:val="0"/>
                <w:color w:val="FF0000"/>
                <w:spacing w:val="-4"/>
                <w:kern w:val="0"/>
                <w:sz w:val="24"/>
                <w:u w:val="single"/>
                <w:lang w:val="en-US" w:eastAsia="zh-CN"/>
              </w:rPr>
              <w:t>1</w:t>
            </w:r>
            <w:r>
              <w:rPr>
                <w:rFonts w:hint="eastAsia" w:hAnsi="宋体"/>
                <w:snapToGrid w:val="0"/>
                <w:color w:val="FF0000"/>
                <w:spacing w:val="-4"/>
                <w:kern w:val="0"/>
                <w:sz w:val="24"/>
                <w:u w:val="single"/>
              </w:rPr>
              <w:t xml:space="preserve">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hint="eastAsia" w:ascii="_x000B__x000C_" w:hAnsi="_x000B__x000C_"/>
                <w:color w:val="FF0000"/>
                <w:szCs w:val="21"/>
              </w:rPr>
            </w:pPr>
            <w:r>
              <w:rPr>
                <w:rFonts w:hint="eastAsia" w:ascii="_x000B__x000C_" w:hAnsi="_x000B__x000C_"/>
                <w:color w:val="FF0000"/>
                <w:szCs w:val="21"/>
              </w:rPr>
              <w:t>安全员：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1</w:t>
            </w:r>
            <w:r>
              <w:rPr>
                <w:rFonts w:hint="eastAsia" w:hAnsi="宋体"/>
                <w:snapToGrid w:val="0"/>
                <w:color w:val="FF0000"/>
                <w:spacing w:val="-4"/>
                <w:kern w:val="0"/>
                <w:sz w:val="24"/>
                <w:u w:val="single"/>
              </w:rPr>
              <w:t xml:space="preserve">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hint="eastAsia" w:ascii="宋体" w:hAnsi="宋体" w:eastAsiaTheme="minorEastAsia"/>
                <w:color w:val="FF0000"/>
                <w:szCs w:val="21"/>
                <w:lang w:eastAsia="zh-CN"/>
              </w:rPr>
            </w:pPr>
            <w:r>
              <w:rPr>
                <w:rFonts w:hint="eastAsia" w:ascii="_x000B__x000C_" w:hAnsi="_x000B__x000C_"/>
                <w:color w:val="FF0000"/>
                <w:szCs w:val="21"/>
              </w:rPr>
              <w:t>资料员：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1</w:t>
            </w:r>
            <w:r>
              <w:rPr>
                <w:rFonts w:hint="eastAsia" w:hAnsi="宋体"/>
                <w:snapToGrid w:val="0"/>
                <w:color w:val="FF0000"/>
                <w:spacing w:val="-4"/>
                <w:kern w:val="0"/>
                <w:sz w:val="24"/>
                <w:u w:val="single"/>
              </w:rPr>
              <w:t xml:space="preserve"> </w:t>
            </w:r>
            <w:r>
              <w:rPr>
                <w:rFonts w:hint="eastAsia" w:ascii="_x000B__x000C_" w:hAnsi="_x000B__x000C_"/>
                <w:color w:val="FF0000"/>
                <w:szCs w:val="21"/>
                <w:u w:val="single"/>
              </w:rPr>
              <w:t xml:space="preserve">  </w:t>
            </w:r>
            <w:r>
              <w:rPr>
                <w:rFonts w:hint="eastAsia" w:ascii="_x000B__x000C_" w:hAnsi="_x000B__x000C_"/>
                <w:color w:val="FF0000"/>
                <w:szCs w:val="21"/>
              </w:rPr>
              <w:t>人</w:t>
            </w:r>
            <w:r>
              <w:rPr>
                <w:rFonts w:hint="eastAsia" w:ascii="_x000B__x000C_" w:hAnsi="_x000B__x000C_"/>
                <w:color w:val="FF0000"/>
                <w:szCs w:val="21"/>
                <w:lang w:eastAsia="zh-CN"/>
              </w:rPr>
              <w:t>；</w:t>
            </w:r>
          </w:p>
          <w:p>
            <w:pPr>
              <w:spacing w:line="440" w:lineRule="exact"/>
              <w:ind w:firstLine="415" w:firstLineChars="198"/>
              <w:rPr>
                <w:rFonts w:hint="eastAsia" w:ascii="宋体" w:hAnsi="宋体" w:cs="MingLiU" w:eastAsiaTheme="minorEastAsia"/>
                <w:color w:val="FF0000"/>
                <w:kern w:val="0"/>
                <w:szCs w:val="21"/>
                <w:lang w:val="en-US" w:eastAsia="zh-CN"/>
              </w:rPr>
            </w:pPr>
            <w:r>
              <w:rPr>
                <w:rFonts w:hint="eastAsia" w:ascii="宋体" w:hAnsi="宋体" w:cs="MingLiU"/>
                <w:color w:val="FF0000"/>
                <w:kern w:val="0"/>
                <w:szCs w:val="21"/>
                <w:lang w:val="en-US" w:eastAsia="zh-CN"/>
              </w:rPr>
              <w:t>劳资员：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1</w:t>
            </w:r>
            <w:r>
              <w:rPr>
                <w:rFonts w:hint="eastAsia" w:hAnsi="宋体"/>
                <w:snapToGrid w:val="0"/>
                <w:color w:val="FF0000"/>
                <w:spacing w:val="-4"/>
                <w:kern w:val="0"/>
                <w:sz w:val="24"/>
                <w:u w:val="single"/>
              </w:rPr>
              <w:t xml:space="preserve"> </w:t>
            </w:r>
            <w:r>
              <w:rPr>
                <w:rFonts w:hint="eastAsia" w:ascii="_x000B__x000C_" w:hAnsi="_x000B__x000C_"/>
                <w:color w:val="FF0000"/>
                <w:szCs w:val="21"/>
                <w:u w:val="single"/>
              </w:rPr>
              <w:t xml:space="preserve">  </w:t>
            </w:r>
            <w:r>
              <w:rPr>
                <w:rFonts w:hint="eastAsia" w:ascii="_x000B__x000C_" w:hAnsi="_x000B__x000C_"/>
                <w:color w:val="FF0000"/>
                <w:szCs w:val="21"/>
              </w:rPr>
              <w:t>人</w:t>
            </w:r>
            <w:r>
              <w:rPr>
                <w:rFonts w:hint="eastAsia" w:ascii="宋体" w:hAnsi="宋体"/>
                <w:color w:val="FF000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5"/>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r>
              <w:rPr>
                <w:rFonts w:hint="eastAsia" w:ascii="宋体" w:hAnsi="宋体" w:cs="MingLiU"/>
                <w:kern w:val="0"/>
                <w:szCs w:val="21"/>
              </w:rPr>
              <w:t>年</w:t>
            </w:r>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2" w:char="0052"/>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FF0000"/>
                <w:szCs w:val="21"/>
                <w:highlight w:val="none"/>
                <w:u w:val="single"/>
                <w:lang w:val="en-US" w:eastAsia="zh-CN"/>
              </w:rPr>
              <w:t xml:space="preserve"> 50000.00元 </w:t>
            </w:r>
            <w:r>
              <w:rPr>
                <w:rFonts w:hint="eastAsia" w:ascii="Times New Roman" w:hAnsi="Times New Roman" w:cs="Times New Roman"/>
                <w:color w:val="auto"/>
                <w:szCs w:val="21"/>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BZJK-2023-025号保证金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中标价款的10 %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997"/>
        <w:gridCol w:w="1837"/>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2366"/>
            <w:bookmarkStart w:id="17" w:name="_Toc247085747"/>
            <w:bookmarkStart w:id="18" w:name="_Toc246996975"/>
            <w:bookmarkStart w:id="19" w:name="_Toc144974556"/>
            <w:bookmarkStart w:id="20" w:name="_Toc246996232"/>
            <w:bookmarkStart w:id="21" w:name="_Toc179632607"/>
            <w:bookmarkStart w:id="22" w:name="_Toc152045589"/>
            <w:bookmarkStart w:id="23" w:name="_Toc296602477"/>
            <w:r>
              <w:rPr>
                <w:rFonts w:hint="default" w:ascii="Times New Roman" w:hAnsi="Times New Roman" w:cs="Times New Roman"/>
                <w:b/>
                <w:bCs/>
                <w:kern w:val="0"/>
                <w:sz w:val="24"/>
                <w:szCs w:val="24"/>
                <w:highlight w:val="none"/>
                <w:lang w:val="en-US" w:eastAsia="zh-CN"/>
              </w:rPr>
              <w:t>条款号</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w:t>
            </w:r>
            <w:r>
              <w:rPr>
                <w:rFonts w:hint="eastAsia" w:ascii="Times New Roman" w:hAnsi="Times New Roman" w:cs="Times New Roman"/>
                <w:kern w:val="0"/>
                <w:sz w:val="24"/>
                <w:szCs w:val="24"/>
                <w:highlight w:val="none"/>
                <w:u w:val="single"/>
                <w:lang w:val="en-US" w:eastAsia="zh-CN"/>
              </w:rPr>
              <w:t>30</w:t>
            </w:r>
            <w:r>
              <w:rPr>
                <w:rFonts w:hint="eastAsia"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r>
              <w:rPr>
                <w:rFonts w:hint="eastAsia" w:ascii="Times New Roman" w:hAnsi="Times New Roman" w:cs="Times New Roman"/>
                <w:kern w:val="0"/>
                <w:sz w:val="24"/>
                <w:szCs w:val="24"/>
                <w:highlight w:val="none"/>
                <w:u w:val="single"/>
                <w:lang w:val="en-US" w:eastAsia="zh-CN"/>
              </w:rPr>
              <w:t>20</w:t>
            </w:r>
            <w:r>
              <w:rPr>
                <w:rFonts w:hint="eastAsia"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yellow"/>
                <w:lang w:val="en-US"/>
              </w:rPr>
            </w:pP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kern w:val="0"/>
                <w:sz w:val="24"/>
                <w:szCs w:val="24"/>
                <w:highlight w:val="none"/>
                <w:u w:val="single"/>
                <w:lang w:val="en-US" w:eastAsia="zh-CN"/>
              </w:rPr>
              <w:t>50分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kern w:val="0"/>
                <w:sz w:val="24"/>
              </w:rPr>
              <w:t>取所有有效投标报价的算术平均值作为评标基准价</w:t>
            </w:r>
            <w:r>
              <w:rPr>
                <w:rFonts w:hint="eastAsia"/>
                <w:kern w:val="0"/>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7"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997"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997"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施工方案评分标准（30分）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质量管理体系及措施（7分）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宋体" w:hAnsi="宋体" w:eastAsia="宋体" w:cs="宋体"/>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kern w:val="0"/>
                <w:sz w:val="24"/>
                <w:szCs w:val="24"/>
                <w:highlight w:val="none"/>
                <w:lang w:val="en-US" w:eastAsia="zh-CN"/>
              </w:rPr>
              <w:t>优：</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7</w:t>
            </w:r>
            <w:r>
              <w:rPr>
                <w:rFonts w:hint="eastAsia" w:ascii="宋体" w:hAnsi="宋体" w:eastAsia="宋体" w:cs="宋体"/>
                <w:kern w:val="0"/>
                <w:sz w:val="24"/>
                <w:szCs w:val="24"/>
                <w:highlight w:val="none"/>
                <w:lang w:val="en-US" w:eastAsia="zh-CN"/>
              </w:rPr>
              <w:t>分，良：</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分，一般：</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分，差：0-</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安全管理体系及措施（7分）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kern w:val="0"/>
                <w:sz w:val="24"/>
                <w:szCs w:val="24"/>
                <w:highlight w:val="none"/>
                <w:lang w:val="en-US" w:eastAsia="zh-CN"/>
              </w:rPr>
              <w:t>优：</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7</w:t>
            </w:r>
            <w:r>
              <w:rPr>
                <w:rFonts w:hint="eastAsia" w:ascii="宋体" w:hAnsi="宋体" w:eastAsia="宋体" w:cs="宋体"/>
                <w:kern w:val="0"/>
                <w:sz w:val="24"/>
                <w:szCs w:val="24"/>
                <w:highlight w:val="none"/>
                <w:lang w:val="en-US" w:eastAsia="zh-CN"/>
              </w:rPr>
              <w:t>分，良：</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分，一般：</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分，差：0-</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工程进度计划与措施（ 8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在施工工艺、施工方法、劳动力安排、技术等方面有保证工期的具体措施且措施得当，有控制工期的施工进度计划，有施工总进度，各项计划图表编制完善、安排科学合理，符合本项目施工实际要求。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kern w:val="0"/>
                <w:sz w:val="24"/>
                <w:szCs w:val="24"/>
                <w:highlight w:val="none"/>
                <w:lang w:val="en-US" w:eastAsia="zh-CN"/>
              </w:rPr>
              <w:t>优：</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-8分，良：</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分，一般：</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分，差：0-</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宋体"/>
                <w:kern w:val="0"/>
                <w:sz w:val="24"/>
                <w:szCs w:val="24"/>
                <w:highlight w:val="none"/>
                <w:lang w:val="en-US" w:eastAsia="zh-CN"/>
              </w:rPr>
              <w:t>资源配备计划（ 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劳动力、机械设备投入计划及其保证措施，满足施工需要，调配投入计划合理、准确，满足施工需要。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kern w:val="0"/>
                <w:sz w:val="24"/>
                <w:szCs w:val="24"/>
                <w:highlight w:val="none"/>
                <w:lang w:val="en-US" w:eastAsia="zh-CN"/>
              </w:rPr>
              <w:t>优：</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8</w:t>
            </w:r>
            <w:r>
              <w:rPr>
                <w:rFonts w:hint="eastAsia" w:ascii="宋体" w:hAnsi="宋体" w:eastAsia="宋体" w:cs="宋体"/>
                <w:kern w:val="0"/>
                <w:sz w:val="24"/>
                <w:szCs w:val="24"/>
                <w:highlight w:val="none"/>
                <w:lang w:val="en-US" w:eastAsia="zh-CN"/>
              </w:rPr>
              <w:t>分，良：</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5</w:t>
            </w:r>
            <w:r>
              <w:rPr>
                <w:rFonts w:hint="eastAsia" w:ascii="宋体" w:hAnsi="宋体" w:eastAsia="宋体" w:cs="宋体"/>
                <w:kern w:val="0"/>
                <w:sz w:val="24"/>
                <w:szCs w:val="24"/>
                <w:highlight w:val="none"/>
                <w:lang w:val="en-US" w:eastAsia="zh-CN"/>
              </w:rPr>
              <w:t>分，一般：</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w:t>
            </w: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分，差：0-</w:t>
            </w:r>
            <w:r>
              <w:rPr>
                <w:rFonts w:hint="eastAsia" w:ascii="宋体" w:hAnsi="宋体" w:cs="宋体"/>
                <w:kern w:val="0"/>
                <w:sz w:val="24"/>
                <w:szCs w:val="24"/>
                <w:highlight w:val="none"/>
                <w:lang w:val="en-US" w:eastAsia="zh-CN"/>
              </w:rPr>
              <w:t>1</w:t>
            </w:r>
            <w:r>
              <w:rPr>
                <w:rFonts w:hint="eastAsia" w:ascii="宋体" w:hAnsi="宋体" w:eastAsia="宋体" w:cs="宋体"/>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7"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p>
        </w:tc>
        <w:tc>
          <w:tcPr>
            <w:tcW w:w="997"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（20分）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FF0000"/>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在符合招标公告投标人资格要求的基础上，投标人每额外提供1个类似项目业绩，得5分，本项满分10分。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拟派项目负责人业绩（5分）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宋体" w:hAnsi="宋体" w:cs="宋体"/>
                <w:color w:val="auto"/>
                <w:kern w:val="0"/>
                <w:sz w:val="24"/>
              </w:rPr>
              <w:t>拟派项目负责人以项目负责人身份完成1个</w:t>
            </w:r>
            <w:r>
              <w:rPr>
                <w:rFonts w:hint="eastAsia" w:ascii="Times New Roman" w:hAnsi="Times New Roman"/>
                <w:color w:val="auto"/>
                <w:kern w:val="0"/>
                <w:sz w:val="24"/>
              </w:rPr>
              <w:t>已完成单项合同金额不低于600万元的施工劳务（建筑装饰装修工程</w:t>
            </w:r>
            <w:r>
              <w:rPr>
                <w:rFonts w:hint="eastAsia" w:ascii="Times New Roman" w:hAnsi="Times New Roman"/>
                <w:color w:val="auto"/>
                <w:kern w:val="0"/>
                <w:sz w:val="24"/>
                <w:lang w:val="en-US" w:eastAsia="zh-CN"/>
              </w:rPr>
              <w:t>类</w:t>
            </w:r>
            <w:r>
              <w:rPr>
                <w:rFonts w:hint="eastAsia" w:ascii="Times New Roman" w:hAnsi="Times New Roman"/>
                <w:color w:val="auto"/>
                <w:kern w:val="0"/>
                <w:sz w:val="24"/>
              </w:rPr>
              <w:t>）业绩或单项合同金额不低于</w:t>
            </w:r>
            <w:r>
              <w:rPr>
                <w:rFonts w:hint="eastAsia" w:ascii="Times New Roman" w:hAnsi="Times New Roman"/>
                <w:color w:val="auto"/>
                <w:kern w:val="0"/>
                <w:sz w:val="24"/>
                <w:lang w:val="en-US" w:eastAsia="zh-CN"/>
              </w:rPr>
              <w:t>3</w:t>
            </w:r>
            <w:r>
              <w:rPr>
                <w:rFonts w:hint="eastAsia" w:ascii="Times New Roman" w:hAnsi="Times New Roman"/>
                <w:color w:val="auto"/>
                <w:kern w:val="0"/>
                <w:sz w:val="24"/>
              </w:rPr>
              <w:t>000万元建筑装饰装修工程业绩</w:t>
            </w:r>
            <w:r>
              <w:rPr>
                <w:rFonts w:hint="eastAsia" w:ascii="宋体" w:hAnsi="宋体" w:cs="宋体"/>
                <w:color w:val="auto"/>
                <w:kern w:val="0"/>
                <w:sz w:val="24"/>
              </w:rPr>
              <w:t>得</w:t>
            </w:r>
            <w:r>
              <w:rPr>
                <w:rFonts w:hint="eastAsia" w:ascii="宋体" w:hAnsi="宋体" w:cs="宋体"/>
                <w:color w:val="auto"/>
                <w:kern w:val="0"/>
                <w:sz w:val="24"/>
                <w:lang w:val="en-US" w:eastAsia="zh-CN"/>
              </w:rPr>
              <w:t>5</w:t>
            </w:r>
            <w:r>
              <w:rPr>
                <w:rFonts w:hint="eastAsia" w:ascii="宋体" w:hAnsi="宋体" w:cs="宋体"/>
                <w:color w:val="auto"/>
                <w:kern w:val="0"/>
                <w:sz w:val="24"/>
              </w:rPr>
              <w:t>分； 满分</w:t>
            </w:r>
            <w:r>
              <w:rPr>
                <w:rFonts w:hint="eastAsia" w:ascii="宋体" w:hAnsi="宋体" w:cs="宋体"/>
                <w:color w:val="auto"/>
                <w:kern w:val="0"/>
                <w:sz w:val="24"/>
                <w:lang w:val="en-US" w:eastAsia="zh-CN"/>
              </w:rPr>
              <w:t>5</w:t>
            </w:r>
            <w:r>
              <w:rPr>
                <w:rFonts w:hint="eastAsia" w:ascii="宋体" w:hAnsi="宋体" w:cs="宋体"/>
                <w:color w:val="auto"/>
                <w:kern w:val="0"/>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投标人参与的项目</w:t>
            </w:r>
            <w:r>
              <w:rPr>
                <w:rFonts w:hint="eastAsia" w:ascii="Times New Roman" w:hAnsi="Times New Roman" w:cs="Times New Roman"/>
                <w:kern w:val="0"/>
                <w:sz w:val="24"/>
                <w:szCs w:val="24"/>
                <w:highlight w:val="none"/>
                <w:lang w:val="en-US" w:eastAsia="zh-CN"/>
              </w:rPr>
              <w:t>获得省级及以上安全生产标准化示范工地或质量标准化示范工地的，每个项目得5分；获得市级安全生产标准化示范工地或质量标准化示范工地的，每个项目得2.5分。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eastAsia="楷体_GB2312" w:cs="Times New Roman"/>
                <w:kern w:val="0"/>
                <w:sz w:val="24"/>
                <w:szCs w:val="24"/>
                <w:highlight w:val="none"/>
                <w:lang w:val="en-US" w:eastAsia="zh-CN"/>
              </w:rPr>
              <w:t>注：投标人须提供相关奖项的证明材料以及获奖项目的业绩合同复印件（或扫描件），并装订入投标文件中；同一项目以获得的最高奖项为准，不重复计分。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（50分）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投标报价评审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宋体"/>
                <w:kern w:val="0"/>
                <w:sz w:val="24"/>
                <w:szCs w:val="24"/>
                <w:highlight w:val="non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12"/>
              <w:spacing w:before="0" w:line="240" w:lineRule="auto"/>
              <w:ind w:right="-44" w:firstLine="480" w:firstLineChars="200"/>
              <w:jc w:val="left"/>
              <w:rPr>
                <w:sz w:val="24"/>
                <w:szCs w:val="24"/>
              </w:rPr>
            </w:pPr>
            <w:r>
              <w:rPr>
                <w:rFonts w:hint="eastAsia"/>
                <w:kern w:val="0"/>
                <w:sz w:val="24"/>
              </w:rPr>
              <w:t>取所有有效投标报价的算术平均值作为评标基准价（5家及以上去掉一个最高价和最低价），各投标人的投标报价得分按以下公式计算：</w:t>
            </w:r>
          </w:p>
          <w:p>
            <w:pPr>
              <w:pStyle w:val="12"/>
              <w:numPr>
                <w:ilvl w:val="-1"/>
                <w:numId w:val="0"/>
              </w:numPr>
              <w:spacing w:before="0" w:after="0" w:line="240" w:lineRule="auto"/>
              <w:ind w:left="128" w:leftChars="0" w:right="-44" w:rightChars="0"/>
              <w:jc w:val="left"/>
              <w:rPr>
                <w:sz w:val="24"/>
                <w:szCs w:val="24"/>
              </w:rPr>
            </w:pPr>
            <w:r>
              <w:rPr>
                <w:rFonts w:hint="eastAsia"/>
                <w:spacing w:val="-3"/>
                <w:sz w:val="24"/>
                <w:szCs w:val="24"/>
                <w:lang w:eastAsia="zh-CN"/>
              </w:rPr>
              <w:t>（</w:t>
            </w:r>
            <w:r>
              <w:rPr>
                <w:rFonts w:hint="eastAsia"/>
                <w:spacing w:val="-3"/>
                <w:sz w:val="24"/>
                <w:szCs w:val="24"/>
                <w:lang w:val="en-US" w:eastAsia="zh-CN"/>
              </w:rPr>
              <w:t>1</w:t>
            </w:r>
            <w:r>
              <w:rPr>
                <w:rFonts w:hint="eastAsia"/>
                <w:spacing w:val="-3"/>
                <w:sz w:val="24"/>
                <w:szCs w:val="24"/>
                <w:lang w:eastAsia="zh-CN"/>
              </w:rPr>
              <w:t>）</w:t>
            </w:r>
            <w:r>
              <w:rPr>
                <w:spacing w:val="-3"/>
                <w:sz w:val="24"/>
                <w:szCs w:val="24"/>
              </w:rPr>
              <w:t xml:space="preserve">投标人的投标报价等于评标基准价得 </w:t>
            </w:r>
            <w:r>
              <w:rPr>
                <w:rFonts w:hint="eastAsia" w:ascii="Times New Roman"/>
                <w:sz w:val="24"/>
                <w:szCs w:val="24"/>
                <w:lang w:val="en-US" w:eastAsia="zh-CN"/>
              </w:rPr>
              <w:t>50分</w:t>
            </w:r>
            <w:r>
              <w:rPr>
                <w:sz w:val="24"/>
                <w:szCs w:val="24"/>
              </w:rPr>
              <w:t>；</w:t>
            </w:r>
          </w:p>
          <w:p>
            <w:pPr>
              <w:pStyle w:val="12"/>
              <w:numPr>
                <w:ilvl w:val="-1"/>
                <w:numId w:val="0"/>
              </w:numPr>
              <w:spacing w:before="0" w:after="0" w:line="240" w:lineRule="auto"/>
              <w:ind w:left="128" w:leftChars="0" w:right="-44" w:rightChars="0"/>
              <w:jc w:val="left"/>
              <w:rPr>
                <w:sz w:val="24"/>
                <w:szCs w:val="24"/>
              </w:rPr>
            </w:pPr>
            <w:r>
              <w:rPr>
                <w:rFonts w:hint="eastAsia"/>
                <w:spacing w:val="-3"/>
                <w:sz w:val="24"/>
                <w:szCs w:val="24"/>
                <w:lang w:eastAsia="zh-CN"/>
              </w:rPr>
              <w:t>（</w:t>
            </w:r>
            <w:r>
              <w:rPr>
                <w:rFonts w:hint="eastAsia"/>
                <w:spacing w:val="-3"/>
                <w:sz w:val="24"/>
                <w:szCs w:val="24"/>
                <w:lang w:val="en-US" w:eastAsia="zh-CN"/>
              </w:rPr>
              <w:t>2</w:t>
            </w:r>
            <w:r>
              <w:rPr>
                <w:rFonts w:hint="eastAsia"/>
                <w:spacing w:val="-3"/>
                <w:sz w:val="24"/>
                <w:szCs w:val="24"/>
                <w:lang w:eastAsia="zh-CN"/>
              </w:rPr>
              <w:t>）</w:t>
            </w:r>
            <w:r>
              <w:rPr>
                <w:sz w:val="24"/>
                <w:szCs w:val="24"/>
              </w:rPr>
              <w:t>投标人的投标报价高于评标基准价：</w:t>
            </w:r>
            <w:r>
              <w:rPr>
                <w:rFonts w:hint="eastAsia" w:ascii="Times New Roman"/>
                <w:sz w:val="24"/>
                <w:szCs w:val="24"/>
                <w:lang w:val="en-US" w:eastAsia="zh-CN"/>
              </w:rPr>
              <w:t>50</w:t>
            </w:r>
            <w:r>
              <w:rPr>
                <w:rFonts w:ascii="Times New Roman" w:eastAsia="Times New Roman"/>
                <w:sz w:val="24"/>
                <w:szCs w:val="24"/>
              </w:rPr>
              <w:t>-</w:t>
            </w:r>
            <w:r>
              <w:rPr>
                <w:sz w:val="24"/>
                <w:szCs w:val="24"/>
              </w:rPr>
              <w:t>（投标人投标报价</w:t>
            </w:r>
            <w:r>
              <w:rPr>
                <w:rFonts w:ascii="Times New Roman" w:eastAsia="Times New Roman"/>
                <w:spacing w:val="5"/>
                <w:sz w:val="24"/>
                <w:szCs w:val="24"/>
              </w:rPr>
              <w:t>-</w:t>
            </w:r>
            <w:r>
              <w:rPr>
                <w:sz w:val="24"/>
                <w:szCs w:val="24"/>
              </w:rPr>
              <w:t>评标基准价）</w:t>
            </w:r>
            <w:r>
              <w:rPr>
                <w:rFonts w:ascii="Times New Roman" w:eastAsia="Times New Roman"/>
                <w:sz w:val="24"/>
                <w:szCs w:val="24"/>
              </w:rPr>
              <w:t>/</w:t>
            </w:r>
            <w:r>
              <w:rPr>
                <w:sz w:val="24"/>
                <w:szCs w:val="24"/>
              </w:rPr>
              <w:t>评标基准价</w:t>
            </w:r>
            <w:r>
              <w:rPr>
                <w:rFonts w:ascii="Times New Roman" w:eastAsia="Times New Roman"/>
                <w:sz w:val="24"/>
                <w:szCs w:val="24"/>
              </w:rPr>
              <w:t>*100*</w:t>
            </w:r>
            <w:r>
              <w:rPr>
                <w:rFonts w:hint="eastAsia" w:ascii="Times New Roman" w:hAnsi="宋体" w:eastAsia="Times New Roman" w:cs="宋体"/>
                <w:sz w:val="24"/>
                <w:szCs w:val="24"/>
                <w:lang w:val="en-US" w:eastAsia="zh-CN"/>
              </w:rPr>
              <w:t>0.3</w:t>
            </w:r>
            <w:r>
              <w:rPr>
                <w:rFonts w:ascii="Times New Roman" w:hAnsi="宋体" w:eastAsia="Times New Roman" w:cs="宋体"/>
                <w:sz w:val="24"/>
                <w:szCs w:val="24"/>
              </w:rPr>
              <w:t>；</w:t>
            </w:r>
          </w:p>
          <w:p>
            <w:pPr>
              <w:pStyle w:val="12"/>
              <w:numPr>
                <w:ilvl w:val="-1"/>
                <w:numId w:val="0"/>
              </w:numPr>
              <w:spacing w:before="0" w:after="0" w:line="240" w:lineRule="auto"/>
              <w:ind w:left="128" w:leftChars="0" w:right="-44" w:rightChars="0"/>
              <w:jc w:val="left"/>
              <w:rPr>
                <w:sz w:val="24"/>
                <w:szCs w:val="24"/>
              </w:rPr>
            </w:pPr>
            <w:r>
              <w:rPr>
                <w:rFonts w:hint="eastAsia"/>
                <w:spacing w:val="-3"/>
                <w:sz w:val="24"/>
                <w:szCs w:val="24"/>
                <w:lang w:eastAsia="zh-CN"/>
              </w:rPr>
              <w:t>（</w:t>
            </w:r>
            <w:r>
              <w:rPr>
                <w:rFonts w:hint="eastAsia"/>
                <w:spacing w:val="-3"/>
                <w:sz w:val="24"/>
                <w:szCs w:val="24"/>
                <w:lang w:val="en-US" w:eastAsia="zh-CN"/>
              </w:rPr>
              <w:t>3</w:t>
            </w:r>
            <w:r>
              <w:rPr>
                <w:rFonts w:hint="eastAsia"/>
                <w:spacing w:val="-3"/>
                <w:sz w:val="24"/>
                <w:szCs w:val="24"/>
                <w:lang w:eastAsia="zh-CN"/>
              </w:rPr>
              <w:t>）</w:t>
            </w:r>
            <w:r>
              <w:rPr>
                <w:sz w:val="24"/>
                <w:szCs w:val="24"/>
              </w:rPr>
              <w:t>投标人的投标报价低于评标基准价：</w:t>
            </w:r>
            <w:r>
              <w:rPr>
                <w:rFonts w:hint="eastAsia"/>
                <w:sz w:val="24"/>
                <w:szCs w:val="24"/>
                <w:lang w:val="en-US" w:eastAsia="zh-CN"/>
              </w:rPr>
              <w:t>5</w:t>
            </w:r>
            <w:r>
              <w:rPr>
                <w:rFonts w:hint="eastAsia" w:ascii="Times New Roman"/>
                <w:sz w:val="24"/>
                <w:szCs w:val="24"/>
                <w:lang w:val="en-US" w:eastAsia="zh-CN"/>
              </w:rPr>
              <w:t>0</w:t>
            </w:r>
            <w:r>
              <w:rPr>
                <w:rFonts w:ascii="Times New Roman" w:eastAsia="Times New Roman"/>
                <w:sz w:val="24"/>
                <w:szCs w:val="24"/>
              </w:rPr>
              <w:t>+</w:t>
            </w:r>
            <w:r>
              <w:rPr>
                <w:sz w:val="24"/>
                <w:szCs w:val="24"/>
              </w:rPr>
              <w:t>（投标人投标报价</w:t>
            </w:r>
            <w:r>
              <w:rPr>
                <w:rFonts w:ascii="Times New Roman" w:eastAsia="Times New Roman"/>
                <w:spacing w:val="5"/>
                <w:sz w:val="24"/>
                <w:szCs w:val="24"/>
              </w:rPr>
              <w:t>-</w:t>
            </w:r>
            <w:r>
              <w:rPr>
                <w:sz w:val="24"/>
                <w:szCs w:val="24"/>
              </w:rPr>
              <w:t>评标基准价）</w:t>
            </w:r>
            <w:r>
              <w:rPr>
                <w:rFonts w:ascii="Times New Roman" w:eastAsia="Times New Roman"/>
                <w:sz w:val="24"/>
                <w:szCs w:val="24"/>
              </w:rPr>
              <w:t>/</w:t>
            </w:r>
            <w:r>
              <w:rPr>
                <w:sz w:val="24"/>
                <w:szCs w:val="24"/>
              </w:rPr>
              <w:t>评标基准价</w:t>
            </w:r>
            <w:r>
              <w:rPr>
                <w:rFonts w:ascii="Times New Roman" w:eastAsia="Times New Roman"/>
                <w:sz w:val="24"/>
                <w:szCs w:val="24"/>
              </w:rPr>
              <w:t>*100</w:t>
            </w:r>
            <w:r>
              <w:rPr>
                <w:rFonts w:ascii="Times New Roman" w:eastAsia="Times New Roman"/>
                <w:color w:val="000000"/>
                <w:sz w:val="24"/>
                <w:szCs w:val="24"/>
              </w:rPr>
              <w:t>*0.</w:t>
            </w:r>
            <w:r>
              <w:rPr>
                <w:rFonts w:hint="eastAsia" w:ascii="Times New Roman"/>
                <w:color w:val="000000"/>
                <w:sz w:val="24"/>
                <w:szCs w:val="24"/>
                <w:lang w:val="en-US" w:eastAsia="zh-CN"/>
              </w:rPr>
              <w:t>2</w:t>
            </w:r>
            <w:r>
              <w:rPr>
                <w:color w:val="000000"/>
                <w:sz w:val="24"/>
                <w:szCs w:val="24"/>
              </w:rPr>
              <w:t>；</w:t>
            </w:r>
          </w:p>
          <w:p>
            <w:pPr>
              <w:pStyle w:val="12"/>
              <w:spacing w:line="240" w:lineRule="auto"/>
              <w:ind w:left="128" w:leftChars="0" w:right="-44" w:rightChars="0"/>
              <w:rPr>
                <w:rFonts w:hint="eastAsia" w:ascii="Times New Roman" w:hAnsi="Times New Roman" w:cs="Times New Roman"/>
                <w:i/>
                <w:iCs/>
                <w:color w:val="FF0000"/>
                <w:kern w:val="0"/>
                <w:sz w:val="24"/>
                <w:szCs w:val="24"/>
                <w:highlight w:val="none"/>
                <w:u w:val="single"/>
                <w:lang w:val="en-US" w:eastAsia="zh-CN"/>
              </w:rPr>
            </w:pPr>
            <w:r>
              <w:rPr>
                <w:sz w:val="24"/>
                <w:szCs w:val="24"/>
              </w:rPr>
              <w:t>最终计算结果四舍五入保留两位小数。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（4）</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 </w:t>
            </w:r>
            <w:r>
              <w:rPr>
                <w:rFonts w:hint="default" w:ascii="Times New Roman" w:hAnsi="Times New Roman" w:cs="Times New Roman"/>
                <w:i/>
                <w:iCs/>
                <w:color w:val="FF0000"/>
                <w:kern w:val="0"/>
                <w:sz w:val="24"/>
                <w:szCs w:val="24"/>
                <w:highlight w:val="none"/>
                <w:u w:val="single"/>
                <w:lang w:val="en-US" w:eastAsia="zh-CN"/>
              </w:rPr>
              <w:t>分）</w:t>
            </w:r>
          </w:p>
        </w:tc>
        <w:tc>
          <w:tcPr>
            <w:tcW w:w="18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12"/>
              <w:spacing w:line="240" w:lineRule="auto"/>
              <w:ind w:left="128" w:leftChars="0" w:right="-44" w:rightChars="0"/>
              <w:rPr>
                <w:sz w:val="24"/>
                <w:szCs w:val="24"/>
                <w:u w:val="single"/>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144974557"/>
      <w:bookmarkStart w:id="26" w:name="_Toc247085748"/>
      <w:bookmarkStart w:id="27" w:name="_Toc296602478"/>
      <w:bookmarkStart w:id="28" w:name="_Toc246996976"/>
      <w:bookmarkStart w:id="29" w:name="_Toc246996233"/>
      <w:bookmarkStart w:id="30" w:name="_Toc152045590"/>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5591"/>
      <w:bookmarkStart w:id="33" w:name="_Toc144974558"/>
      <w:bookmarkStart w:id="34" w:name="_Toc246996234"/>
      <w:bookmarkStart w:id="35" w:name="_Toc296602479"/>
      <w:bookmarkStart w:id="36" w:name="_Toc247085749"/>
      <w:bookmarkStart w:id="37" w:name="_Toc152042368"/>
      <w:bookmarkStart w:id="38" w:name="_Toc179632609"/>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236"/>
      <w:bookmarkStart w:id="41" w:name="_Toc152045593"/>
      <w:bookmarkStart w:id="42" w:name="_Toc246996979"/>
      <w:bookmarkStart w:id="43" w:name="_Toc144974560"/>
      <w:bookmarkStart w:id="44" w:name="_Toc179632611"/>
      <w:bookmarkStart w:id="45" w:name="_Toc296602481"/>
      <w:bookmarkStart w:id="46" w:name="_Toc152042370"/>
      <w:bookmarkStart w:id="47"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其他评分因素</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2371"/>
      <w:bookmarkStart w:id="50" w:name="_Toc296602482"/>
      <w:bookmarkStart w:id="51" w:name="_Toc246996237"/>
      <w:bookmarkStart w:id="52" w:name="_Toc247085752"/>
      <w:bookmarkStart w:id="53" w:name="_Toc179632612"/>
      <w:bookmarkStart w:id="54" w:name="_Toc246996980"/>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144974562"/>
      <w:bookmarkStart w:id="58" w:name="_Toc179632613"/>
      <w:bookmarkStart w:id="59" w:name="_Toc152042372"/>
      <w:bookmarkStart w:id="60" w:name="_Toc296602483"/>
      <w:bookmarkStart w:id="61" w:name="_Toc247085753"/>
      <w:bookmarkStart w:id="62" w:name="_Toc246996981"/>
      <w:bookmarkStart w:id="63" w:name="_Toc152045595"/>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2373"/>
      <w:bookmarkStart w:id="66" w:name="_Toc296602484"/>
      <w:bookmarkStart w:id="67" w:name="_Toc246996239"/>
      <w:bookmarkStart w:id="68" w:name="_Toc246996982"/>
      <w:bookmarkStart w:id="69" w:name="_Toc247085754"/>
      <w:bookmarkStart w:id="70" w:name="_Toc152045596"/>
      <w:bookmarkStart w:id="71"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第2.2.4（4）目规定的评审因素和分值对其他部分</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（一）</w:t>
            </w:r>
            <w:r>
              <w:rPr>
                <w:rFonts w:hint="eastAsia" w:ascii="Times New Roman" w:hAnsi="Times New Roman" w:cs="Times New Roman"/>
                <w:color w:val="auto"/>
                <w:kern w:val="0"/>
                <w:sz w:val="24"/>
                <w:szCs w:val="24"/>
                <w:highlight w:val="none"/>
                <w:shd w:val="clear" w:color="auto" w:fill="auto"/>
                <w:vertAlign w:val="baseline"/>
                <w:lang w:val="en-US" w:eastAsia="zh-CN"/>
              </w:rPr>
              <w:t>付款方式：根据每月工程形象进度，按月支付完成合格工程量价款的85%；竣工验收通过后（五方责任主体验收通过），付至实际完成合同价款的90%；竣工验收备案及第三方竣工结算审计成果出具完毕后付至审定价款的97%，余款3%作为质保金，待两年质保期满后无缺陷问题一次性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工程返修</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因中标人劳务作业不规范等原因，给招标人造成经济损失的，中标人应当据实赔偿；中标人拒绝承担赔偿责任的，招标人有权从其履约保证金及工程价款中据实扣除。工程返修责任：自竣工验收合格之日起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拟派人员每月在劳务作业现场的时间，每月在工地不少于24天，每少一天，劳务分包人应承担1000元/天的违约金。        </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 xml:space="preserve">           </w:t>
      </w:r>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招标人要求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按</w:t>
      </w:r>
      <w:r>
        <w:rPr>
          <w:rFonts w:hint="eastAsia" w:asciiTheme="minorEastAsia" w:hAnsiTheme="minorEastAsia" w:eastAsiaTheme="minorEastAsia" w:cstheme="minorEastAsia"/>
          <w:sz w:val="28"/>
          <w:szCs w:val="28"/>
          <w:highlight w:val="none"/>
          <w:lang w:val="en-US" w:eastAsia="zh-CN"/>
        </w:rPr>
        <w:t>施工图纸及工程量清单范围内，招标项目在达到竣工验收与整体移交状态之前所涉及的全部项目实体资产施工建造的全部劳务作业工作。</w:t>
      </w:r>
      <w:r>
        <w:rPr>
          <w:rFonts w:hint="eastAsia" w:asciiTheme="minorEastAsia" w:hAnsiTheme="minorEastAsia" w:eastAsiaTheme="minorEastAsia" w:cstheme="minorEastAsia"/>
          <w:color w:val="auto"/>
          <w:sz w:val="28"/>
          <w:szCs w:val="28"/>
          <w:highlight w:val="none"/>
          <w:shd w:val="clear" w:color="auto" w:fill="auto"/>
          <w:lang w:val="en-US" w:eastAsia="zh-CN"/>
        </w:rPr>
        <w:t>承包范围包含施工图纸及工程量清单范围内人工及</w:t>
      </w:r>
      <w:r>
        <w:rPr>
          <w:rFonts w:hint="eastAsia" w:asciiTheme="minorEastAsia" w:hAnsiTheme="minorEastAsia" w:cstheme="minorEastAsia"/>
          <w:color w:val="FF0000"/>
          <w:sz w:val="28"/>
          <w:szCs w:val="28"/>
          <w:highlight w:val="none"/>
          <w:shd w:val="clear" w:color="auto" w:fill="auto"/>
          <w:lang w:val="en-US" w:eastAsia="zh-CN"/>
        </w:rPr>
        <w:t>所有</w:t>
      </w:r>
      <w:r>
        <w:rPr>
          <w:rFonts w:hint="eastAsia" w:asciiTheme="minorEastAsia" w:hAnsiTheme="minorEastAsia" w:eastAsiaTheme="minorEastAsia" w:cstheme="minorEastAsia"/>
          <w:color w:val="FF0000"/>
          <w:sz w:val="28"/>
          <w:szCs w:val="28"/>
          <w:highlight w:val="none"/>
          <w:shd w:val="clear" w:color="auto" w:fill="auto"/>
          <w:lang w:val="en-US" w:eastAsia="zh-CN"/>
        </w:rPr>
        <w:t>辅材（甲供材除外）</w:t>
      </w:r>
      <w:r>
        <w:rPr>
          <w:rFonts w:hint="eastAsia" w:asciiTheme="minorEastAsia" w:hAnsiTheme="minorEastAsia" w:cstheme="minorEastAsia"/>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包脚手架支撑体系的搭设拆除、包二级箱以下的电线电缆及控制箱、施工照明灯具等、包小型机械、包辅助材料、包测量放线、包小型工具和设备、包质量、包工期、包安全、包环境保护、包劳保用品、包赶工费和误工费、包临时设施、包成品保护、包劳务作业人员社会保险、</w:t>
      </w:r>
      <w:r>
        <w:rPr>
          <w:rFonts w:hint="eastAsia" w:asciiTheme="minorEastAsia" w:hAnsiTheme="minorEastAsia" w:cstheme="minorEastAsia"/>
          <w:color w:val="FF0000"/>
          <w:sz w:val="28"/>
          <w:szCs w:val="28"/>
          <w:highlight w:val="none"/>
          <w:shd w:val="clear" w:color="auto" w:fill="auto"/>
          <w:lang w:val="en-US" w:eastAsia="zh-CN"/>
        </w:rPr>
        <w:t>包资料</w:t>
      </w:r>
      <w:r>
        <w:rPr>
          <w:rFonts w:hint="eastAsia" w:asciiTheme="minorEastAsia" w:hAnsiTheme="minorEastAsia" w:cstheme="minorEastAsia"/>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auto"/>
          <w:sz w:val="28"/>
          <w:szCs w:val="28"/>
          <w:highlight w:val="none"/>
          <w:shd w:val="clear" w:color="auto" w:fill="auto"/>
          <w:lang w:val="en-US" w:eastAsia="zh-CN"/>
        </w:rPr>
        <w:t>包竣工验收合格且一次性验收通过、包竣工验收后现场保洁及垃圾清运、包自负盈亏等，且不得转包。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配合招标人创建安徽省安全生产标准化示范工地、安徽省质量标准化示范工地、黄山杯奖项</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72" w:name="_Toc247527827"/>
      <w:bookmarkStart w:id="73" w:name="_Toc247514246"/>
      <w:bookmarkStart w:id="74" w:name="_Toc152042576"/>
      <w:bookmarkStart w:id="75" w:name="_Toc144974856"/>
      <w:bookmarkStart w:id="76" w:name="_Toc152045787"/>
      <w:bookmarkStart w:id="77" w:name="_Toc300835209"/>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cs="Times New Roman"/>
        </w:rPr>
      </w:pPr>
      <w:bookmarkStart w:id="78" w:name="_Toc247514247"/>
      <w:bookmarkStart w:id="79" w:name="_Toc300835210"/>
      <w:bookmarkStart w:id="80" w:name="_Toc144974857"/>
      <w:bookmarkStart w:id="81" w:name="_Toc152045788"/>
      <w:bookmarkStart w:id="82" w:name="_Toc152042577"/>
      <w:bookmarkStart w:id="83" w:name="_Toc247527828"/>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eastAsia="黑体" w:cs="Times New Roman"/>
          <w:sz w:val="20"/>
          <w:szCs w:val="20"/>
        </w:rPr>
      </w:pPr>
    </w:p>
    <w:p>
      <w:pPr>
        <w:pStyle w:val="3"/>
        <w:rPr>
          <w:rFonts w:hint="default" w:ascii="Times New Roman" w:hAnsi="Times New Roman" w:cs="Times New Roman"/>
        </w:rPr>
      </w:pPr>
      <w:bookmarkStart w:id="84" w:name="_Toc300835211"/>
      <w:bookmarkStart w:id="85" w:name="_Toc152042578"/>
      <w:bookmarkStart w:id="86" w:name="_Toc144974858"/>
      <w:bookmarkStart w:id="87" w:name="_Toc247527829"/>
      <w:bookmarkStart w:id="88" w:name="_Toc152045789"/>
      <w:bookmarkStart w:id="89" w:name="_Toc247514248"/>
      <w:r>
        <w:rPr>
          <w:rFonts w:hint="default" w:ascii="Times New Roman" w:hAnsi="Times New Roman" w:cs="Times New Roman"/>
        </w:rPr>
        <w:t>（一）投标函</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的投标总报价（其中增值税税率：3% ），工期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3"/>
        <w:rPr>
          <w:rFonts w:hint="default" w:ascii="Times New Roman" w:hAnsi="Times New Roman" w:cs="Times New Roman"/>
        </w:rPr>
      </w:pPr>
      <w:bookmarkStart w:id="90" w:name="_Toc144974859"/>
      <w:bookmarkStart w:id="91" w:name="_Toc152045790"/>
      <w:bookmarkStart w:id="92" w:name="_Toc247527830"/>
      <w:bookmarkStart w:id="93" w:name="_Toc152042579"/>
      <w:bookmarkStart w:id="94" w:name="_Toc247514249"/>
      <w:bookmarkStart w:id="95" w:name="_Toc300835212"/>
    </w:p>
    <w:p>
      <w:pPr>
        <w:pStyle w:val="3"/>
        <w:rPr>
          <w:rFonts w:hint="default" w:ascii="Times New Roman" w:hAnsi="Times New Roman" w:cs="Times New Roman"/>
        </w:rPr>
      </w:pPr>
      <w:r>
        <w:rPr>
          <w:rFonts w:hint="default" w:ascii="Times New Roman" w:hAnsi="Times New Roman" w:cs="Times New Roman"/>
        </w:rPr>
        <w:t>（二）投标函附录</w:t>
      </w:r>
      <w:bookmarkEnd w:id="90"/>
      <w:bookmarkEnd w:id="91"/>
      <w:bookmarkEnd w:id="92"/>
      <w:bookmarkEnd w:id="93"/>
      <w:bookmarkEnd w:id="94"/>
      <w:bookmarkEnd w:id="95"/>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2"/>
        <w:jc w:val="center"/>
        <w:rPr>
          <w:rFonts w:hint="default" w:ascii="Times New Roman" w:hAnsi="Times New Roman" w:cs="Times New Roman"/>
        </w:rPr>
      </w:pPr>
      <w:bookmarkStart w:id="96" w:name="_Toc247514283"/>
      <w:bookmarkStart w:id="97" w:name="_Toc152042580"/>
      <w:bookmarkStart w:id="98" w:name="_Toc247527831"/>
      <w:bookmarkStart w:id="99" w:name="_Toc152045791"/>
      <w:bookmarkStart w:id="100" w:name="_Toc144974860"/>
      <w:bookmarkStart w:id="101" w:name="_Toc300835213"/>
      <w:r>
        <w:rPr>
          <w:rFonts w:hint="default" w:ascii="Times New Roman" w:hAnsi="Times New Roman" w:cs="Times New Roman"/>
        </w:rPr>
        <w:t>二、法定代表人身份证明</w:t>
      </w:r>
      <w:bookmarkEnd w:id="96"/>
      <w:bookmarkEnd w:id="97"/>
      <w:bookmarkEnd w:id="98"/>
      <w:bookmarkEnd w:id="99"/>
      <w:bookmarkEnd w:id="100"/>
      <w:bookmarkEnd w:id="10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102" w:name="_Toc247527832"/>
      <w:bookmarkStart w:id="103" w:name="_Toc247514284"/>
      <w:bookmarkStart w:id="104" w:name="_Toc300835214"/>
      <w:bookmarkStart w:id="105" w:name="_Toc152042581"/>
      <w:bookmarkStart w:id="106" w:name="_Toc152045792"/>
      <w:bookmarkStart w:id="107" w:name="_Toc144974861"/>
      <w:r>
        <w:rPr>
          <w:rFonts w:hint="default" w:ascii="Times New Roman" w:hAnsi="Times New Roman" w:cs="Times New Roman"/>
        </w:rPr>
        <w:t>二、授权委托书</w:t>
      </w:r>
      <w:bookmarkEnd w:id="102"/>
      <w:bookmarkEnd w:id="103"/>
      <w:bookmarkEnd w:id="104"/>
      <w:bookmarkEnd w:id="105"/>
      <w:bookmarkEnd w:id="106"/>
      <w:bookmarkEnd w:id="10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108" w:name="_Toc144974862"/>
      <w:bookmarkStart w:id="109" w:name="_Toc247527834"/>
      <w:bookmarkStart w:id="110" w:name="_Toc152042583"/>
      <w:bookmarkStart w:id="111" w:name="_Toc152045794"/>
      <w:bookmarkStart w:id="112" w:name="_Toc300835216"/>
      <w:bookmarkStart w:id="113"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108"/>
      <w:bookmarkEnd w:id="109"/>
      <w:bookmarkEnd w:id="110"/>
      <w:bookmarkEnd w:id="111"/>
      <w:bookmarkEnd w:id="112"/>
      <w:bookmarkEnd w:id="11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4"/>
    <w:p>
      <w:pPr>
        <w:rPr>
          <w:rFonts w:hint="default" w:ascii="Times New Roman" w:hAnsi="Times New Roman" w:cs="Times New Roman"/>
        </w:rPr>
      </w:pPr>
      <w:bookmarkStart w:id="115" w:name="_Toc247514287"/>
      <w:bookmarkStart w:id="116" w:name="_Toc300835218"/>
      <w:bookmarkStart w:id="117" w:name="_Toc152042584"/>
      <w:bookmarkStart w:id="118" w:name="_Toc144974863"/>
      <w:bookmarkStart w:id="119" w:name="_Toc152045795"/>
      <w:bookmarkStart w:id="120" w:name="_Toc247527835"/>
      <w:r>
        <w:rPr>
          <w:rFonts w:hint="default" w:ascii="Times New Roman" w:hAnsi="Times New Roman" w:cs="Times New Roma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15"/>
      <w:bookmarkEnd w:id="116"/>
      <w:bookmarkEnd w:id="117"/>
      <w:bookmarkEnd w:id="118"/>
      <w:bookmarkEnd w:id="119"/>
      <w:bookmarkEnd w:id="120"/>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121" w:name="_Toc144974864"/>
      <w:bookmarkStart w:id="122" w:name="_Toc152045796"/>
      <w:bookmarkStart w:id="123" w:name="_Toc247514288"/>
      <w:bookmarkStart w:id="124" w:name="_Toc300835221"/>
      <w:bookmarkStart w:id="125" w:name="_Toc247527836"/>
      <w:bookmarkStart w:id="126"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1"/>
      <w:bookmarkEnd w:id="122"/>
      <w:bookmarkEnd w:id="123"/>
      <w:bookmarkEnd w:id="124"/>
      <w:bookmarkEnd w:id="125"/>
      <w:bookmarkEnd w:id="126"/>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27"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3"/>
        <w:rPr>
          <w:rFonts w:hint="default" w:ascii="Times New Roman" w:hAnsi="Times New Roman" w:cs="Times New Roman"/>
        </w:rPr>
      </w:pPr>
      <w:bookmarkStart w:id="128" w:name="_Toc247085883"/>
      <w:bookmarkStart w:id="129" w:name="_Toc246997108"/>
      <w:bookmarkStart w:id="130" w:name="_Toc152045797"/>
      <w:bookmarkStart w:id="131" w:name="_Toc246996365"/>
      <w:bookmarkStart w:id="132" w:name="_Toc179632817"/>
      <w:bookmarkStart w:id="133" w:name="_Toc296602610"/>
      <w:bookmarkStart w:id="134" w:name="_Toc152042586"/>
      <w:bookmarkStart w:id="135" w:name="_Toc144974865"/>
      <w:r>
        <w:rPr>
          <w:rFonts w:hint="default" w:ascii="Times New Roman" w:hAnsi="Times New Roman" w:cs="Times New Roman"/>
        </w:rPr>
        <w:t>附表一：拟投入本项目的主要施工设备表</w:t>
      </w:r>
      <w:bookmarkEnd w:id="128"/>
      <w:bookmarkEnd w:id="129"/>
      <w:bookmarkEnd w:id="130"/>
      <w:bookmarkEnd w:id="131"/>
      <w:bookmarkEnd w:id="132"/>
      <w:bookmarkEnd w:id="133"/>
      <w:bookmarkEnd w:id="134"/>
      <w:bookmarkEnd w:id="135"/>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rPr>
          <w:rFonts w:hint="default" w:ascii="Times New Roman" w:hAnsi="Times New Roman" w:cs="Times New Roman"/>
        </w:rPr>
      </w:pPr>
      <w:bookmarkStart w:id="136" w:name="_Toc296602611"/>
      <w:bookmarkStart w:id="137" w:name="_Toc144974867"/>
      <w:bookmarkStart w:id="138" w:name="_Toc246996366"/>
      <w:bookmarkStart w:id="139" w:name="_Toc152045799"/>
      <w:bookmarkStart w:id="140" w:name="_Toc152042588"/>
      <w:bookmarkStart w:id="141" w:name="_Toc247085884"/>
      <w:bookmarkStart w:id="142" w:name="_Toc246997109"/>
      <w:bookmarkStart w:id="143" w:name="_Toc179632819"/>
      <w:r>
        <w:rPr>
          <w:rFonts w:hint="default" w:ascii="Times New Roman" w:hAnsi="Times New Roman" w:cs="Times New Roman"/>
        </w:rPr>
        <w:t>附表二：劳动力计划表</w:t>
      </w:r>
      <w:bookmarkEnd w:id="136"/>
      <w:bookmarkEnd w:id="137"/>
      <w:bookmarkEnd w:id="138"/>
      <w:bookmarkEnd w:id="139"/>
      <w:bookmarkEnd w:id="140"/>
      <w:bookmarkEnd w:id="141"/>
      <w:bookmarkEnd w:id="142"/>
      <w:bookmarkEnd w:id="143"/>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6"/>
        <w:rPr>
          <w:rFonts w:hint="default" w:ascii="Times New Roman" w:hAnsi="Times New Roman" w:cs="Times New Roman"/>
        </w:rPr>
      </w:pPr>
      <w:bookmarkStart w:id="144" w:name="_Toc152045800"/>
      <w:bookmarkStart w:id="145" w:name="_Toc179632820"/>
      <w:bookmarkStart w:id="146" w:name="_Toc152042589"/>
      <w:bookmarkStart w:id="147" w:name="_Toc246996367"/>
      <w:bookmarkStart w:id="148" w:name="_Toc144974868"/>
      <w:bookmarkStart w:id="149" w:name="_Toc246997110"/>
    </w:p>
    <w:p>
      <w:pPr>
        <w:pStyle w:val="6"/>
        <w:rPr>
          <w:rFonts w:hint="default" w:ascii="Times New Roman" w:hAnsi="Times New Roman" w:cs="Times New Roman"/>
        </w:rPr>
      </w:pPr>
      <w:r>
        <w:rPr>
          <w:rFonts w:hint="default" w:ascii="Times New Roman" w:hAnsi="Times New Roman" w:cs="Times New Roman"/>
        </w:rPr>
        <w:br w:type="page"/>
      </w:r>
    </w:p>
    <w:p>
      <w:pPr>
        <w:pStyle w:val="3"/>
        <w:rPr>
          <w:rFonts w:hint="default" w:ascii="Times New Roman" w:hAnsi="Times New Roman" w:cs="Times New Roman"/>
        </w:rPr>
      </w:pPr>
      <w:bookmarkStart w:id="150" w:name="_Toc296602612"/>
      <w:bookmarkStart w:id="151" w:name="_Toc247085885"/>
      <w:r>
        <w:rPr>
          <w:rFonts w:hint="default" w:ascii="Times New Roman" w:hAnsi="Times New Roman" w:cs="Times New Roman"/>
        </w:rPr>
        <w:t>附表三：进度计划</w:t>
      </w:r>
      <w:bookmarkEnd w:id="144"/>
      <w:bookmarkEnd w:id="145"/>
      <w:bookmarkEnd w:id="146"/>
      <w:bookmarkEnd w:id="147"/>
      <w:bookmarkEnd w:id="148"/>
      <w:bookmarkEnd w:id="149"/>
      <w:bookmarkEnd w:id="150"/>
      <w:bookmarkEnd w:id="151"/>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27"/>
    <w:p>
      <w:pPr>
        <w:pStyle w:val="2"/>
        <w:jc w:val="center"/>
        <w:rPr>
          <w:szCs w:val="21"/>
        </w:rPr>
      </w:pPr>
      <w:bookmarkStart w:id="152" w:name="_Toc152045803"/>
      <w:bookmarkStart w:id="153" w:name="_Toc144974871"/>
      <w:bookmarkStart w:id="154" w:name="_Toc152042592"/>
      <w:bookmarkStart w:id="155" w:name="_Toc246997112"/>
      <w:bookmarkStart w:id="156" w:name="_Toc179632823"/>
      <w:bookmarkStart w:id="157" w:name="_Toc246996369"/>
      <w:bookmarkStart w:id="158" w:name="_Toc247085887"/>
      <w:bookmarkStart w:id="159" w:name="_Toc296602614"/>
      <w:bookmarkStart w:id="160" w:name="_Toc152045808"/>
      <w:bookmarkStart w:id="161" w:name="_Toc300835224"/>
      <w:bookmarkStart w:id="162" w:name="_Toc152042597"/>
      <w:bookmarkStart w:id="163" w:name="_Toc247514300"/>
      <w:bookmarkStart w:id="164" w:name="_Toc144974876"/>
      <w:bookmarkStart w:id="165" w:name="_Toc247527848"/>
      <w:r>
        <w:rPr>
          <w:rFonts w:hint="eastAsia"/>
        </w:rPr>
        <w:t>六</w:t>
      </w:r>
      <w:r>
        <w:t>、项目管理机构</w:t>
      </w:r>
      <w:bookmarkEnd w:id="152"/>
      <w:bookmarkEnd w:id="153"/>
      <w:bookmarkEnd w:id="154"/>
      <w:bookmarkEnd w:id="155"/>
      <w:bookmarkEnd w:id="156"/>
      <w:bookmarkEnd w:id="157"/>
      <w:bookmarkEnd w:id="158"/>
      <w:bookmarkEnd w:id="159"/>
    </w:p>
    <w:p>
      <w:pPr>
        <w:spacing w:line="440" w:lineRule="exact"/>
        <w:jc w:val="center"/>
        <w:rPr>
          <w:rFonts w:eastAsia="黑体"/>
          <w:sz w:val="23"/>
          <w:szCs w:val="23"/>
        </w:rPr>
      </w:pPr>
    </w:p>
    <w:p>
      <w:pPr>
        <w:pStyle w:val="3"/>
        <w:jc w:val="both"/>
      </w:pPr>
      <w:bookmarkStart w:id="166" w:name="_Toc247085888"/>
      <w:bookmarkStart w:id="167" w:name="_Toc246996370"/>
      <w:bookmarkStart w:id="168" w:name="_Toc296602615"/>
      <w:bookmarkStart w:id="169" w:name="_Toc246997113"/>
      <w:r>
        <w:t>（一）项目管理机构组成表</w:t>
      </w:r>
      <w:bookmarkEnd w:id="166"/>
      <w:bookmarkEnd w:id="167"/>
      <w:bookmarkEnd w:id="168"/>
      <w:bookmarkEnd w:id="169"/>
    </w:p>
    <w:p>
      <w:pPr>
        <w:spacing w:line="440" w:lineRule="exact"/>
        <w:jc w:val="center"/>
        <w:rPr>
          <w:rFonts w:eastAsia="黑体"/>
          <w:sz w:val="23"/>
          <w:szCs w:val="23"/>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3"/>
        <w:jc w:val="both"/>
      </w:pPr>
      <w:bookmarkStart w:id="170" w:name="_Toc247085889"/>
      <w:bookmarkStart w:id="171" w:name="_Toc246997114"/>
      <w:bookmarkStart w:id="172" w:name="_Toc296602616"/>
      <w:bookmarkStart w:id="173" w:name="_Toc246996371"/>
      <w:r>
        <w:t>（二）</w:t>
      </w:r>
      <w:r>
        <w:rPr>
          <w:rFonts w:hint="eastAsia"/>
          <w:lang w:eastAsia="zh-CN"/>
        </w:rPr>
        <w:t>项目负责人</w:t>
      </w:r>
      <w:r>
        <w:t>简历表</w:t>
      </w:r>
      <w:bookmarkEnd w:id="170"/>
      <w:bookmarkEnd w:id="171"/>
      <w:bookmarkEnd w:id="172"/>
      <w:bookmarkEnd w:id="173"/>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eastAsia"/>
        </w:rPr>
      </w:pPr>
      <w:bookmarkStart w:id="174" w:name="_Toc296602617"/>
      <w:bookmarkStart w:id="175" w:name="_Toc152042596"/>
      <w:bookmarkStart w:id="176" w:name="_Toc179632827"/>
      <w:bookmarkStart w:id="177" w:name="_Toc246997115"/>
      <w:bookmarkStart w:id="178" w:name="_Toc247085890"/>
      <w:bookmarkStart w:id="179" w:name="_Toc144974875"/>
      <w:bookmarkStart w:id="180" w:name="_Toc246996372"/>
      <w:bookmarkStart w:id="181" w:name="_Toc152045807"/>
      <w:r>
        <w:rPr>
          <w:rFonts w:hint="eastAsia"/>
        </w:rPr>
        <w:t>七</w:t>
      </w:r>
      <w:r>
        <w:t>、资格审查资料</w:t>
      </w:r>
      <w:bookmarkEnd w:id="174"/>
      <w:bookmarkEnd w:id="175"/>
      <w:bookmarkEnd w:id="176"/>
      <w:bookmarkEnd w:id="177"/>
      <w:bookmarkEnd w:id="178"/>
      <w:bookmarkEnd w:id="179"/>
      <w:bookmarkEnd w:id="180"/>
      <w:bookmarkEnd w:id="181"/>
    </w:p>
    <w:p>
      <w:pPr>
        <w:pStyle w:val="3"/>
        <w:jc w:val="both"/>
        <w:rPr>
          <w:rFonts w:hint="eastAsia"/>
        </w:rPr>
      </w:pPr>
      <w:bookmarkStart w:id="182" w:name="_Toc296602618"/>
      <w:bookmarkStart w:id="183" w:name="_Toc179632828"/>
      <w:bookmarkStart w:id="184" w:name="_Toc247085891"/>
      <w:bookmarkStart w:id="185" w:name="_Toc246997116"/>
      <w:bookmarkStart w:id="186" w:name="_Toc246996373"/>
      <w:r>
        <w:t>（一）投标人基本情况表</w:t>
      </w:r>
      <w:bookmarkEnd w:id="182"/>
      <w:bookmarkEnd w:id="183"/>
      <w:bookmarkEnd w:id="184"/>
      <w:bookmarkEnd w:id="185"/>
      <w:bookmarkEnd w:id="186"/>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60"/>
    <w:bookmarkEnd w:id="161"/>
    <w:bookmarkEnd w:id="162"/>
    <w:bookmarkEnd w:id="163"/>
    <w:bookmarkEnd w:id="164"/>
    <w:bookmarkEnd w:id="165"/>
    <w:p>
      <w:pPr>
        <w:pStyle w:val="3"/>
        <w:rPr>
          <w:rFonts w:hint="default" w:ascii="Times New Roman" w:hAnsi="Times New Roman" w:cs="Times New Roman"/>
        </w:rPr>
      </w:pPr>
      <w:bookmarkStart w:id="187" w:name="_Toc152045809"/>
      <w:bookmarkStart w:id="188" w:name="_Toc152042598"/>
      <w:bookmarkStart w:id="189" w:name="_Toc144974877"/>
      <w:bookmarkStart w:id="190" w:name="_Toc247527849"/>
      <w:bookmarkStart w:id="191" w:name="_Toc247514301"/>
      <w:bookmarkStart w:id="192" w:name="_Toc300835225"/>
      <w:r>
        <w:rPr>
          <w:rFonts w:hint="default" w:ascii="Times New Roman" w:hAnsi="Times New Roman" w:cs="Times New Roman"/>
        </w:rPr>
        <w:t>（二）近年财务状况表</w:t>
      </w:r>
      <w:bookmarkEnd w:id="187"/>
      <w:bookmarkEnd w:id="188"/>
      <w:bookmarkEnd w:id="189"/>
      <w:bookmarkEnd w:id="190"/>
      <w:bookmarkEnd w:id="191"/>
      <w:bookmarkEnd w:id="192"/>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3"/>
        <w:rPr>
          <w:rFonts w:hint="default" w:ascii="Times New Roman" w:hAnsi="Times New Roman" w:cs="Times New Roman"/>
        </w:rPr>
      </w:pPr>
      <w:bookmarkStart w:id="193" w:name="_Toc300835226"/>
      <w:bookmarkStart w:id="194" w:name="_Toc247527850"/>
      <w:bookmarkStart w:id="195" w:name="_Toc152042599"/>
      <w:bookmarkStart w:id="196" w:name="_Toc152045810"/>
      <w:bookmarkStart w:id="197" w:name="_Toc144974878"/>
      <w:bookmarkStart w:id="198" w:name="_Toc247514302"/>
      <w:r>
        <w:rPr>
          <w:rFonts w:hint="default" w:ascii="Times New Roman" w:hAnsi="Times New Roman" w:cs="Times New Roman"/>
        </w:rPr>
        <w:t>（三）近年完成的类似项目情况表</w:t>
      </w:r>
      <w:bookmarkEnd w:id="193"/>
      <w:bookmarkEnd w:id="194"/>
      <w:bookmarkEnd w:id="195"/>
      <w:bookmarkEnd w:id="196"/>
      <w:bookmarkEnd w:id="197"/>
      <w:bookmarkEnd w:id="198"/>
    </w:p>
    <w:p>
      <w:pPr>
        <w:spacing w:line="440" w:lineRule="exact"/>
        <w:jc w:val="center"/>
        <w:rPr>
          <w:rFonts w:hint="default" w:ascii="Times New Roman" w:hAnsi="Times New Roman" w:eastAsia="黑体" w:cs="Times New Roman"/>
          <w:sz w:val="23"/>
          <w:szCs w:val="23"/>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99" w:name="_Toc247527851"/>
      <w:bookmarkStart w:id="200" w:name="_Toc152045811"/>
      <w:bookmarkStart w:id="201" w:name="_Toc247514303"/>
      <w:bookmarkStart w:id="202" w:name="_Toc144974879"/>
      <w:bookmarkStart w:id="203" w:name="_Toc152042600"/>
    </w:p>
    <w:p>
      <w:pPr>
        <w:spacing w:line="440" w:lineRule="exact"/>
        <w:rPr>
          <w:rFonts w:hint="default" w:ascii="Times New Roman" w:hAnsi="Times New Roman" w:cs="Times New Roman"/>
        </w:rPr>
      </w:pPr>
    </w:p>
    <w:p>
      <w:pPr>
        <w:pStyle w:val="3"/>
        <w:rPr>
          <w:rFonts w:hint="default" w:ascii="Times New Roman" w:hAnsi="Times New Roman" w:cs="Times New Roman"/>
        </w:rPr>
      </w:pPr>
      <w:bookmarkStart w:id="204" w:name="_Toc300835227"/>
      <w:r>
        <w:rPr>
          <w:rFonts w:hint="default" w:ascii="Times New Roman" w:hAnsi="Times New Roman" w:cs="Times New Roman"/>
        </w:rPr>
        <w:t>（四）正在实施的和新承接的项目情况表</w:t>
      </w:r>
      <w:bookmarkEnd w:id="199"/>
      <w:bookmarkEnd w:id="200"/>
      <w:bookmarkEnd w:id="201"/>
      <w:bookmarkEnd w:id="202"/>
      <w:bookmarkEnd w:id="203"/>
      <w:bookmarkEnd w:id="204"/>
    </w:p>
    <w:p>
      <w:pPr>
        <w:spacing w:line="440" w:lineRule="exact"/>
        <w:rPr>
          <w:rFonts w:hint="default" w:ascii="Times New Roman" w:hAnsi="Times New Roman" w:eastAsia="黑体" w:cs="Times New Roman"/>
          <w:sz w:val="20"/>
          <w:szCs w:val="20"/>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5" w:name="_Toc247514304"/>
      <w:bookmarkStart w:id="206" w:name="_Toc144974880"/>
      <w:bookmarkStart w:id="207" w:name="_Toc152045812"/>
      <w:bookmarkStart w:id="208" w:name="_Toc152042601"/>
      <w:bookmarkStart w:id="209" w:name="_Toc247527852"/>
    </w:p>
    <w:p>
      <w:pPr>
        <w:spacing w:line="440" w:lineRule="exact"/>
        <w:rPr>
          <w:rFonts w:hint="default" w:ascii="Times New Roman" w:hAnsi="Times New Roman" w:cs="Times New Roman"/>
        </w:rPr>
      </w:pPr>
    </w:p>
    <w:bookmarkEnd w:id="205"/>
    <w:bookmarkEnd w:id="206"/>
    <w:bookmarkEnd w:id="207"/>
    <w:bookmarkEnd w:id="208"/>
    <w:bookmarkEnd w:id="209"/>
    <w:p>
      <w:pPr>
        <w:pStyle w:val="3"/>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210" w:name="_Toc247527853"/>
      <w:bookmarkStart w:id="211" w:name="_Toc247530162"/>
      <w:bookmarkStart w:id="212" w:name="_Toc144974881"/>
      <w:bookmarkStart w:id="213" w:name="_Toc152045813"/>
      <w:bookmarkStart w:id="214" w:name="_Toc247514305"/>
      <w:bookmarkStart w:id="215" w:name="_Toc152042602"/>
    </w:p>
    <w:bookmarkEnd w:id="210"/>
    <w:bookmarkEnd w:id="211"/>
    <w:bookmarkEnd w:id="212"/>
    <w:bookmarkEnd w:id="213"/>
    <w:bookmarkEnd w:id="214"/>
    <w:bookmarkEnd w:id="215"/>
    <w:p>
      <w:pPr>
        <w:pStyle w:val="2"/>
        <w:jc w:val="center"/>
        <w:rPr>
          <w:rFonts w:hint="default" w:ascii="Times New Roman" w:hAnsi="Times New Roman" w:cs="Times New Roman"/>
        </w:rPr>
      </w:pPr>
      <w:bookmarkStart w:id="216" w:name="_Toc271821942"/>
      <w:bookmarkStart w:id="21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6"/>
      <w:bookmarkEnd w:id="217"/>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楷体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267524B8"/>
    <w:rsid w:val="005319D6"/>
    <w:rsid w:val="009C15CF"/>
    <w:rsid w:val="01AA1AC9"/>
    <w:rsid w:val="02070CCA"/>
    <w:rsid w:val="030C3BD6"/>
    <w:rsid w:val="09246605"/>
    <w:rsid w:val="0992271C"/>
    <w:rsid w:val="0BBC50B6"/>
    <w:rsid w:val="0C9E222B"/>
    <w:rsid w:val="0E06277D"/>
    <w:rsid w:val="13165947"/>
    <w:rsid w:val="131E5E73"/>
    <w:rsid w:val="139A1D41"/>
    <w:rsid w:val="15647C0C"/>
    <w:rsid w:val="17222C66"/>
    <w:rsid w:val="1821268E"/>
    <w:rsid w:val="19C72DC1"/>
    <w:rsid w:val="1C827473"/>
    <w:rsid w:val="1ECB13AF"/>
    <w:rsid w:val="1F680BA2"/>
    <w:rsid w:val="2059673D"/>
    <w:rsid w:val="20876465"/>
    <w:rsid w:val="20CE0ED9"/>
    <w:rsid w:val="22EA1D51"/>
    <w:rsid w:val="232272BA"/>
    <w:rsid w:val="241E5CD3"/>
    <w:rsid w:val="24F84776"/>
    <w:rsid w:val="251F61A7"/>
    <w:rsid w:val="25311A36"/>
    <w:rsid w:val="267524B8"/>
    <w:rsid w:val="28DE0127"/>
    <w:rsid w:val="291A0118"/>
    <w:rsid w:val="2C5129BE"/>
    <w:rsid w:val="2C892158"/>
    <w:rsid w:val="2C901738"/>
    <w:rsid w:val="2DCE114E"/>
    <w:rsid w:val="2DE57862"/>
    <w:rsid w:val="2F866E22"/>
    <w:rsid w:val="3240738A"/>
    <w:rsid w:val="33D5736C"/>
    <w:rsid w:val="342015F4"/>
    <w:rsid w:val="34983880"/>
    <w:rsid w:val="37C307FF"/>
    <w:rsid w:val="380D00E1"/>
    <w:rsid w:val="39131727"/>
    <w:rsid w:val="39366C8C"/>
    <w:rsid w:val="3A221ED2"/>
    <w:rsid w:val="3B6C15C2"/>
    <w:rsid w:val="3BDC22A4"/>
    <w:rsid w:val="3D0D2931"/>
    <w:rsid w:val="414324AD"/>
    <w:rsid w:val="44755B02"/>
    <w:rsid w:val="45F15341"/>
    <w:rsid w:val="47812B1E"/>
    <w:rsid w:val="4A2B24A5"/>
    <w:rsid w:val="4A7323B6"/>
    <w:rsid w:val="50F062F4"/>
    <w:rsid w:val="528F7C18"/>
    <w:rsid w:val="530C1269"/>
    <w:rsid w:val="56350AD7"/>
    <w:rsid w:val="56352885"/>
    <w:rsid w:val="57A37CC2"/>
    <w:rsid w:val="58877483"/>
    <w:rsid w:val="5B9F0927"/>
    <w:rsid w:val="5D5E2BBA"/>
    <w:rsid w:val="5E021DB5"/>
    <w:rsid w:val="60B46D8E"/>
    <w:rsid w:val="61EF3032"/>
    <w:rsid w:val="62DD22DA"/>
    <w:rsid w:val="65CE4B75"/>
    <w:rsid w:val="66C437AC"/>
    <w:rsid w:val="68925915"/>
    <w:rsid w:val="697B284D"/>
    <w:rsid w:val="70166A97"/>
    <w:rsid w:val="702168E9"/>
    <w:rsid w:val="72247F25"/>
    <w:rsid w:val="72551AEB"/>
    <w:rsid w:val="72F441A8"/>
    <w:rsid w:val="73B15882"/>
    <w:rsid w:val="74DF5DBC"/>
    <w:rsid w:val="761B33ED"/>
    <w:rsid w:val="76607052"/>
    <w:rsid w:val="76D06275"/>
    <w:rsid w:val="778D20C9"/>
    <w:rsid w:val="78E57CE3"/>
    <w:rsid w:val="7D7B29C4"/>
    <w:rsid w:val="7D9F106C"/>
    <w:rsid w:val="7DF06FA7"/>
    <w:rsid w:val="7F453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rPr>
      <w:rFonts w:eastAsia="宋体"/>
      <w:kern w:val="2"/>
      <w:sz w:val="21"/>
      <w:szCs w:val="24"/>
      <w:lang w:val="en-US" w:eastAsia="zh-CN" w:bidi="ar-SA"/>
    </w:rPr>
  </w:style>
  <w:style w:type="paragraph" w:styleId="5">
    <w:name w:val="Body Text 3"/>
    <w:basedOn w:val="1"/>
    <w:qFormat/>
    <w:uiPriority w:val="0"/>
    <w:rPr>
      <w:rFonts w:ascii="宋体"/>
      <w:sz w:val="24"/>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12334</Words>
  <Characters>13886</Characters>
  <Lines>0</Lines>
  <Paragraphs>0</Paragraphs>
  <TotalTime>26</TotalTime>
  <ScaleCrop>false</ScaleCrop>
  <LinksUpToDate>false</LinksUpToDate>
  <CharactersWithSpaces>15265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2023-08-02T02:30:00Z</dcterms:created>
  <dc:creator>Tracy</dc:creator>
  <cp:lastModifiedBy>TiMe</cp:lastModifiedBy>
  <dcterms:modified xsi:type="dcterms:W3CDTF">2023-08-09T01:33:40Z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29087F32E28D4F1397B741DE48FC7B97</vt:lpwstr>
  </property>
</Properties>
</file>